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22521" w14:textId="77777777" w:rsidR="0070791E" w:rsidRPr="0093144A" w:rsidRDefault="0070791E" w:rsidP="0070791E">
      <w:pPr>
        <w:widowControl/>
        <w:jc w:val="left"/>
        <w:rPr>
          <w:rFonts w:ascii="Times New Roman" w:eastAsia="KaiTi" w:hAnsi="Times New Roman" w:cs="Times New Roman"/>
          <w:b/>
          <w:bCs/>
          <w:sz w:val="22"/>
          <w:szCs w:val="24"/>
        </w:rPr>
      </w:pPr>
    </w:p>
    <w:p w14:paraId="4347619E" w14:textId="77777777" w:rsidR="0070791E" w:rsidRPr="0093144A" w:rsidRDefault="0070791E" w:rsidP="0070791E">
      <w:pPr>
        <w:spacing w:line="360" w:lineRule="auto"/>
        <w:ind w:firstLineChars="200" w:firstLine="440"/>
        <w:rPr>
          <w:rFonts w:ascii="Times New Roman" w:eastAsia="KaiTi" w:hAnsi="Times New Roman" w:cs="Times New Roman"/>
          <w:sz w:val="22"/>
          <w:szCs w:val="24"/>
        </w:rPr>
      </w:pPr>
      <w:r w:rsidRPr="0093144A">
        <w:rPr>
          <w:rFonts w:ascii="Times New Roman" w:eastAsia="KaiTi" w:hAnsi="Times New Roman" w:cs="Times New Roman"/>
          <w:noProof/>
          <w:sz w:val="22"/>
          <w:szCs w:val="24"/>
        </w:rPr>
        <w:drawing>
          <wp:inline distT="0" distB="0" distL="0" distR="0" wp14:anchorId="3D4462A7" wp14:editId="03898141">
            <wp:extent cx="4669785" cy="3722303"/>
            <wp:effectExtent l="0" t="0" r="0" b="0"/>
            <wp:docPr id="6672969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296964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" r="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785" cy="3722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78C357" w14:textId="77777777" w:rsidR="0070791E" w:rsidRPr="0093144A" w:rsidRDefault="0070791E" w:rsidP="0070791E">
      <w:pPr>
        <w:spacing w:line="360" w:lineRule="auto"/>
        <w:ind w:firstLineChars="200" w:firstLine="442"/>
        <w:rPr>
          <w:rFonts w:ascii="Times New Roman" w:eastAsia="KaiTi" w:hAnsi="Times New Roman" w:cs="Times New Roman"/>
          <w:sz w:val="22"/>
          <w:szCs w:val="24"/>
        </w:rPr>
      </w:pPr>
      <w:r w:rsidRPr="0093144A">
        <w:rPr>
          <w:rFonts w:ascii="Times New Roman" w:eastAsia="KaiTi" w:hAnsi="Times New Roman" w:cs="Times New Roman"/>
          <w:b/>
          <w:bCs/>
          <w:sz w:val="22"/>
          <w:szCs w:val="24"/>
        </w:rPr>
        <w:t>Extended Data Fig. 1.</w:t>
      </w:r>
      <w:r w:rsidRPr="0093144A">
        <w:rPr>
          <w:rFonts w:ascii="Times New Roman" w:eastAsia="KaiTi" w:hAnsi="Times New Roman" w:cs="Times New Roman"/>
          <w:sz w:val="22"/>
          <w:szCs w:val="24"/>
        </w:rPr>
        <w:t xml:space="preserve"> </w:t>
      </w:r>
      <w:r w:rsidRPr="0093144A">
        <w:rPr>
          <w:rFonts w:ascii="Times New Roman" w:eastAsia="KaiTi" w:hAnsi="Times New Roman" w:cs="Times New Roman"/>
          <w:b/>
          <w:bCs/>
          <w:sz w:val="22"/>
          <w:szCs w:val="24"/>
        </w:rPr>
        <w:t>Preparation and characterization of TMG/Cd/HMMI.</w:t>
      </w:r>
      <w:r w:rsidRPr="0093144A">
        <w:rPr>
          <w:rFonts w:ascii="Times New Roman" w:eastAsia="KaiTi" w:hAnsi="Times New Roman" w:cs="Times New Roman"/>
          <w:sz w:val="22"/>
          <w:szCs w:val="24"/>
        </w:rPr>
        <w:t xml:space="preserve"> (a) Synthetic route. (b) </w:t>
      </w:r>
      <w:r w:rsidRPr="0093144A">
        <w:rPr>
          <w:rFonts w:ascii="Times New Roman" w:eastAsia="KaiTi" w:hAnsi="Times New Roman" w:cs="Times New Roman"/>
          <w:sz w:val="22"/>
          <w:szCs w:val="24"/>
          <w:vertAlign w:val="superscript"/>
        </w:rPr>
        <w:t>1</w:t>
      </w:r>
      <w:r w:rsidRPr="0093144A">
        <w:rPr>
          <w:rFonts w:ascii="Times New Roman" w:eastAsia="KaiTi" w:hAnsi="Times New Roman" w:cs="Times New Roman"/>
          <w:sz w:val="22"/>
          <w:szCs w:val="24"/>
        </w:rPr>
        <w:t>H NMR spectra of TMG, TMG/Cd/HMMI and HMMI in DMSO</w:t>
      </w:r>
      <w:r w:rsidRPr="0093144A">
        <w:rPr>
          <w:rFonts w:ascii="Times New Roman" w:eastAsia="KaiTi" w:hAnsi="Times New Roman" w:cs="Times New Roman"/>
        </w:rPr>
        <w:t>-</w:t>
      </w:r>
      <w:r w:rsidRPr="0093144A">
        <w:rPr>
          <w:rFonts w:ascii="Times New Roman" w:eastAsia="KaiTi" w:hAnsi="Times New Roman" w:cs="Times New Roman"/>
          <w:i/>
          <w:iCs/>
          <w:sz w:val="22"/>
        </w:rPr>
        <w:t>d</w:t>
      </w:r>
      <w:r w:rsidRPr="0093144A">
        <w:rPr>
          <w:rFonts w:ascii="Times New Roman" w:eastAsia="KaiTi" w:hAnsi="Times New Roman" w:cs="Times New Roman"/>
          <w:i/>
          <w:iCs/>
          <w:sz w:val="22"/>
          <w:vertAlign w:val="subscript"/>
        </w:rPr>
        <w:t>6</w:t>
      </w:r>
      <w:r w:rsidRPr="0093144A">
        <w:rPr>
          <w:rFonts w:ascii="Times New Roman" w:eastAsia="KaiTi" w:hAnsi="Times New Roman" w:cs="Times New Roman"/>
          <w:sz w:val="22"/>
          <w:szCs w:val="24"/>
        </w:rPr>
        <w:t xml:space="preserve">. (c) </w:t>
      </w:r>
      <w:r w:rsidRPr="0093144A">
        <w:rPr>
          <w:rFonts w:ascii="Times New Roman" w:eastAsia="KaiTi" w:hAnsi="Times New Roman" w:cs="Times New Roman"/>
          <w:sz w:val="22"/>
          <w:szCs w:val="24"/>
          <w:vertAlign w:val="superscript"/>
        </w:rPr>
        <w:t>1</w:t>
      </w:r>
      <w:r w:rsidRPr="0093144A">
        <w:rPr>
          <w:rFonts w:ascii="Times New Roman" w:eastAsia="KaiTi" w:hAnsi="Times New Roman" w:cs="Times New Roman"/>
          <w:sz w:val="22"/>
          <w:szCs w:val="24"/>
        </w:rPr>
        <w:t>H NMR spectra and integral area of TMG/Cd/HMMI in DMSO</w:t>
      </w:r>
      <w:r w:rsidRPr="0093144A">
        <w:rPr>
          <w:rFonts w:ascii="Times New Roman" w:eastAsia="KaiTi" w:hAnsi="Times New Roman" w:cs="Times New Roman"/>
        </w:rPr>
        <w:t>-</w:t>
      </w:r>
      <w:r w:rsidRPr="0093144A">
        <w:rPr>
          <w:rFonts w:ascii="Times New Roman" w:eastAsia="KaiTi" w:hAnsi="Times New Roman" w:cs="Times New Roman"/>
          <w:i/>
          <w:iCs/>
          <w:sz w:val="22"/>
        </w:rPr>
        <w:t>d</w:t>
      </w:r>
      <w:r w:rsidRPr="0093144A">
        <w:rPr>
          <w:rFonts w:ascii="Times New Roman" w:eastAsia="KaiTi" w:hAnsi="Times New Roman" w:cs="Times New Roman"/>
          <w:i/>
          <w:iCs/>
          <w:sz w:val="22"/>
          <w:vertAlign w:val="subscript"/>
        </w:rPr>
        <w:t>6</w:t>
      </w:r>
      <w:r w:rsidRPr="0093144A">
        <w:rPr>
          <w:rFonts w:ascii="Times New Roman" w:eastAsia="KaiTi" w:hAnsi="Times New Roman" w:cs="Times New Roman"/>
          <w:sz w:val="22"/>
          <w:szCs w:val="24"/>
        </w:rPr>
        <w:t>.</w:t>
      </w:r>
    </w:p>
    <w:p w14:paraId="47EAAB62" w14:textId="77777777" w:rsidR="0070791E" w:rsidRPr="0093144A" w:rsidRDefault="0070791E" w:rsidP="0070791E">
      <w:pPr>
        <w:widowControl/>
        <w:jc w:val="left"/>
        <w:rPr>
          <w:rFonts w:ascii="Times New Roman" w:eastAsia="KaiTi" w:hAnsi="Times New Roman" w:cs="Times New Roman"/>
          <w:sz w:val="22"/>
          <w:szCs w:val="24"/>
        </w:rPr>
      </w:pPr>
      <w:r w:rsidRPr="0093144A">
        <w:rPr>
          <w:rFonts w:ascii="Times New Roman" w:eastAsia="KaiTi" w:hAnsi="Times New Roman" w:cs="Times New Roman"/>
          <w:sz w:val="22"/>
          <w:szCs w:val="24"/>
        </w:rPr>
        <w:br w:type="page"/>
      </w:r>
    </w:p>
    <w:p w14:paraId="10BDB315" w14:textId="77777777" w:rsidR="0070791E" w:rsidRPr="0093144A" w:rsidRDefault="0070791E" w:rsidP="0070791E">
      <w:pPr>
        <w:spacing w:line="360" w:lineRule="auto"/>
        <w:jc w:val="center"/>
        <w:rPr>
          <w:rFonts w:ascii="Times New Roman" w:eastAsia="KaiTi" w:hAnsi="Times New Roman" w:cs="Times New Roman"/>
          <w:sz w:val="22"/>
          <w:szCs w:val="24"/>
        </w:rPr>
      </w:pPr>
      <w:r w:rsidRPr="0093144A">
        <w:rPr>
          <w:rFonts w:ascii="Times New Roman" w:eastAsia="KaiTi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4D305342" wp14:editId="51F6F11A">
            <wp:extent cx="4945644" cy="2010101"/>
            <wp:effectExtent l="0" t="0" r="7620" b="9525"/>
            <wp:docPr id="47961774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617743" name="图片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5644" cy="2010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8BF65B" w14:textId="77777777" w:rsidR="0070791E" w:rsidRPr="0093144A" w:rsidRDefault="0070791E" w:rsidP="0070791E">
      <w:pPr>
        <w:spacing w:line="360" w:lineRule="auto"/>
        <w:rPr>
          <w:rFonts w:ascii="Times New Roman" w:eastAsia="KaiTi" w:hAnsi="Times New Roman" w:cs="Times New Roman"/>
          <w:sz w:val="20"/>
          <w:szCs w:val="21"/>
        </w:rPr>
      </w:pPr>
      <w:r w:rsidRPr="0093144A">
        <w:rPr>
          <w:rFonts w:ascii="Times New Roman" w:eastAsia="KaiTi" w:hAnsi="Times New Roman" w:cs="Times New Roman"/>
          <w:b/>
          <w:bCs/>
          <w:sz w:val="20"/>
          <w:szCs w:val="21"/>
        </w:rPr>
        <w:t>Extended Data Fig. 2. Dissociation rate</w:t>
      </w:r>
      <w:r w:rsidRPr="0093144A">
        <w:rPr>
          <w:rFonts w:ascii="Times New Roman" w:hAnsi="Times New Roman" w:cs="Times New Roman"/>
          <w:sz w:val="18"/>
          <w:szCs w:val="20"/>
        </w:rPr>
        <w:t xml:space="preserve"> </w:t>
      </w:r>
      <w:r w:rsidRPr="0093144A">
        <w:rPr>
          <w:rFonts w:ascii="Times New Roman" w:eastAsia="KaiTi" w:hAnsi="Times New Roman" w:cs="Times New Roman"/>
          <w:b/>
          <w:bCs/>
          <w:sz w:val="20"/>
          <w:szCs w:val="21"/>
        </w:rPr>
        <w:t>for the step 2 reaction of DMPC by different catalysts.</w:t>
      </w:r>
      <w:r w:rsidRPr="0093144A">
        <w:rPr>
          <w:rFonts w:ascii="Times New Roman" w:eastAsia="KaiTi" w:hAnsi="Times New Roman" w:cs="Times New Roman"/>
          <w:sz w:val="20"/>
          <w:szCs w:val="21"/>
        </w:rPr>
        <w:t xml:space="preserve"> (a) The degradation rate of DMPC by the catalyst with three-component pairwise coordination in DEA system at 160 </w:t>
      </w:r>
      <w:r w:rsidRPr="0093144A">
        <w:rPr>
          <w:rFonts w:ascii="Times New Roman" w:eastAsia="KaiTi" w:hAnsi="Times New Roman" w:cs="Times New Roman"/>
          <w:sz w:val="20"/>
          <w:szCs w:val="21"/>
          <w:vertAlign w:val="superscript"/>
        </w:rPr>
        <w:t>o</w:t>
      </w:r>
      <w:r w:rsidRPr="0093144A">
        <w:rPr>
          <w:rFonts w:ascii="Times New Roman" w:eastAsia="KaiTi" w:hAnsi="Times New Roman" w:cs="Times New Roman"/>
          <w:sz w:val="20"/>
          <w:szCs w:val="21"/>
        </w:rPr>
        <w:t xml:space="preserve">C for different time. (b) The degradation rate of DMPC by cadmium salts with different basic anions in DEA system at 160 </w:t>
      </w:r>
      <w:r w:rsidRPr="0093144A">
        <w:rPr>
          <w:rFonts w:ascii="Times New Roman" w:eastAsia="KaiTi" w:hAnsi="Times New Roman" w:cs="Times New Roman"/>
          <w:sz w:val="20"/>
          <w:szCs w:val="21"/>
          <w:vertAlign w:val="superscript"/>
        </w:rPr>
        <w:t>o</w:t>
      </w:r>
      <w:r w:rsidRPr="0093144A">
        <w:rPr>
          <w:rFonts w:ascii="Times New Roman" w:eastAsia="KaiTi" w:hAnsi="Times New Roman" w:cs="Times New Roman"/>
          <w:sz w:val="20"/>
          <w:szCs w:val="21"/>
        </w:rPr>
        <w:t>C for different time.</w:t>
      </w:r>
    </w:p>
    <w:p w14:paraId="0C76F713" w14:textId="77777777" w:rsidR="0070791E" w:rsidRPr="0093144A" w:rsidRDefault="0070791E" w:rsidP="0070791E">
      <w:pPr>
        <w:widowControl/>
        <w:jc w:val="left"/>
        <w:rPr>
          <w:rFonts w:ascii="Times New Roman" w:eastAsia="KaiTi" w:hAnsi="Times New Roman" w:cs="Times New Roman"/>
          <w:sz w:val="22"/>
          <w:szCs w:val="24"/>
        </w:rPr>
      </w:pPr>
      <w:r w:rsidRPr="0093144A">
        <w:rPr>
          <w:rFonts w:ascii="Times New Roman" w:eastAsia="KaiTi" w:hAnsi="Times New Roman" w:cs="Times New Roman"/>
          <w:sz w:val="22"/>
          <w:szCs w:val="24"/>
        </w:rPr>
        <w:br w:type="page"/>
      </w:r>
    </w:p>
    <w:p w14:paraId="4AF14A9A" w14:textId="77777777" w:rsidR="0070791E" w:rsidRPr="0093144A" w:rsidRDefault="0070791E" w:rsidP="0070791E">
      <w:pPr>
        <w:spacing w:line="360" w:lineRule="auto"/>
        <w:jc w:val="center"/>
        <w:rPr>
          <w:rFonts w:ascii="Times New Roman" w:eastAsia="KaiTi" w:hAnsi="Times New Roman" w:cs="Times New Roman"/>
          <w:sz w:val="22"/>
          <w:szCs w:val="24"/>
        </w:rPr>
      </w:pPr>
      <w:r w:rsidRPr="0093144A">
        <w:rPr>
          <w:rFonts w:ascii="Times New Roman" w:eastAsia="KaiTi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098C6264" wp14:editId="69A7580A">
            <wp:extent cx="5624694" cy="4204661"/>
            <wp:effectExtent l="0" t="0" r="0" b="5715"/>
            <wp:docPr id="20560646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064619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694" cy="4204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C7C05A" w14:textId="77777777" w:rsidR="0070791E" w:rsidRPr="0093144A" w:rsidRDefault="0070791E" w:rsidP="0070791E">
      <w:pPr>
        <w:spacing w:line="360" w:lineRule="auto"/>
        <w:rPr>
          <w:rFonts w:ascii="Times New Roman" w:eastAsia="KaiTi" w:hAnsi="Times New Roman" w:cs="Times New Roman"/>
          <w:sz w:val="20"/>
          <w:szCs w:val="21"/>
        </w:rPr>
      </w:pPr>
      <w:r w:rsidRPr="0093144A">
        <w:rPr>
          <w:rFonts w:ascii="Times New Roman" w:eastAsia="KaiTi" w:hAnsi="Times New Roman" w:cs="Times New Roman"/>
          <w:b/>
          <w:bCs/>
          <w:sz w:val="22"/>
          <w:szCs w:val="24"/>
        </w:rPr>
        <w:t>Extended Data Fig. 3</w:t>
      </w:r>
      <w:r w:rsidRPr="0093144A">
        <w:rPr>
          <w:rFonts w:ascii="Times New Roman" w:eastAsia="KaiTi" w:hAnsi="Times New Roman" w:cs="Times New Roman"/>
          <w:b/>
          <w:bCs/>
          <w:sz w:val="20"/>
          <w:szCs w:val="21"/>
        </w:rPr>
        <w:t>. Catalytic Depolymerization Mechanism of TMG/Cd/HMMI.</w:t>
      </w:r>
      <w:r w:rsidRPr="0093144A">
        <w:rPr>
          <w:rFonts w:ascii="Times New Roman" w:eastAsia="KaiTi" w:hAnsi="Times New Roman" w:cs="Times New Roman"/>
          <w:sz w:val="20"/>
          <w:szCs w:val="21"/>
        </w:rPr>
        <w:t xml:space="preserve"> (a) The Fourier-transform infrared (FTIR) spectra of degradation products (denoted as RP) from carbamate oligomer (CbO) under two conditions are compared: (1) with TMG/Cd/HMMI catalyst at 160 °C for 30 min (blue curve) and (2) without catalyst at 160 °C for 30 min (yellow curve). The insets display time-dependent FTIR spectra of CbO degradation products under catalytic (TMG/Cd/HMMI) and non-catalytic conditions at 160 °C. (b) Mechanism of catalytic dissociation of carbamate bond (DMPC) by TMG/Cd/HMMI. (c) Mechanism of catalytic dissociation of urea bond (DPU) by TMG/Cd/HMMI.</w:t>
      </w:r>
    </w:p>
    <w:p w14:paraId="7B2AFE54" w14:textId="77777777" w:rsidR="0070791E" w:rsidRPr="0093144A" w:rsidRDefault="0070791E" w:rsidP="0070791E">
      <w:pPr>
        <w:widowControl/>
        <w:jc w:val="left"/>
        <w:rPr>
          <w:rFonts w:ascii="Times New Roman" w:eastAsia="KaiTi" w:hAnsi="Times New Roman" w:cs="Times New Roman"/>
          <w:sz w:val="22"/>
          <w:szCs w:val="24"/>
        </w:rPr>
      </w:pPr>
      <w:r w:rsidRPr="0093144A">
        <w:rPr>
          <w:rFonts w:ascii="Times New Roman" w:eastAsia="KaiTi" w:hAnsi="Times New Roman" w:cs="Times New Roman"/>
          <w:sz w:val="22"/>
          <w:szCs w:val="24"/>
        </w:rPr>
        <w:br w:type="page"/>
      </w:r>
    </w:p>
    <w:p w14:paraId="3B6BE137" w14:textId="77777777" w:rsidR="0070791E" w:rsidRPr="0093144A" w:rsidRDefault="0070791E" w:rsidP="0070791E">
      <w:pPr>
        <w:spacing w:line="360" w:lineRule="auto"/>
        <w:jc w:val="center"/>
        <w:rPr>
          <w:rFonts w:ascii="Times New Roman" w:eastAsia="KaiTi" w:hAnsi="Times New Roman" w:cs="Times New Roman"/>
          <w:sz w:val="22"/>
          <w:szCs w:val="24"/>
        </w:rPr>
      </w:pPr>
      <w:r w:rsidRPr="0093144A">
        <w:rPr>
          <w:rFonts w:ascii="Times New Roman" w:eastAsia="KaiTi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53E95CEF" wp14:editId="3A9F2CD8">
            <wp:extent cx="5484916" cy="1769377"/>
            <wp:effectExtent l="0" t="0" r="1905" b="2540"/>
            <wp:docPr id="207359285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592851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916" cy="17693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ABC8D5" w14:textId="77777777" w:rsidR="0070791E" w:rsidRPr="0093144A" w:rsidRDefault="0070791E" w:rsidP="0070791E">
      <w:pPr>
        <w:spacing w:line="360" w:lineRule="auto"/>
        <w:rPr>
          <w:rFonts w:ascii="Times New Roman" w:eastAsia="KaiTi" w:hAnsi="Times New Roman" w:cs="Times New Roman"/>
          <w:sz w:val="20"/>
          <w:szCs w:val="21"/>
        </w:rPr>
      </w:pPr>
      <w:r w:rsidRPr="0093144A">
        <w:rPr>
          <w:rFonts w:ascii="Times New Roman" w:eastAsia="KaiTi" w:hAnsi="Times New Roman" w:cs="Times New Roman"/>
          <w:b/>
          <w:bCs/>
          <w:sz w:val="20"/>
          <w:szCs w:val="21"/>
        </w:rPr>
        <w:t>Extended Data Fig. 4.</w:t>
      </w:r>
      <w:r w:rsidRPr="0093144A">
        <w:rPr>
          <w:rFonts w:ascii="Times New Roman" w:eastAsia="KaiTi" w:hAnsi="Times New Roman" w:cs="Times New Roman"/>
          <w:sz w:val="20"/>
          <w:szCs w:val="21"/>
        </w:rPr>
        <w:t xml:space="preserve"> </w:t>
      </w:r>
      <w:r w:rsidRPr="0093144A">
        <w:rPr>
          <w:rFonts w:ascii="Times New Roman" w:eastAsia="KaiTi" w:hAnsi="Times New Roman" w:cs="Times New Roman"/>
          <w:b/>
          <w:bCs/>
          <w:sz w:val="20"/>
          <w:szCs w:val="21"/>
        </w:rPr>
        <w:t xml:space="preserve">Mechanical properties of regenerated polyurethane foam with different amount of recycled polyol. </w:t>
      </w:r>
      <w:r w:rsidRPr="0093144A">
        <w:rPr>
          <w:rFonts w:ascii="Times New Roman" w:eastAsia="KaiTi" w:hAnsi="Times New Roman" w:cs="Times New Roman"/>
          <w:sz w:val="20"/>
          <w:szCs w:val="21"/>
        </w:rPr>
        <w:t>(a) flexible regenerated polyurethane foam (Flexible - RPUF). (b)</w:t>
      </w:r>
      <w:r w:rsidRPr="0093144A">
        <w:rPr>
          <w:rFonts w:ascii="Times New Roman" w:hAnsi="Times New Roman" w:cs="Times New Roman"/>
          <w:sz w:val="18"/>
          <w:szCs w:val="20"/>
        </w:rPr>
        <w:t xml:space="preserve"> </w:t>
      </w:r>
      <w:r w:rsidRPr="0093144A">
        <w:rPr>
          <w:rFonts w:ascii="Times New Roman" w:eastAsia="KaiTi" w:hAnsi="Times New Roman" w:cs="Times New Roman"/>
          <w:sz w:val="20"/>
          <w:szCs w:val="21"/>
        </w:rPr>
        <w:t>rigid regenerated polyurethane foam (Rigid - RPUF).</w:t>
      </w:r>
    </w:p>
    <w:p w14:paraId="1BDFC34E" w14:textId="77777777" w:rsidR="004E780C" w:rsidRDefault="004E780C"/>
    <w:sectPr w:rsidR="004E780C" w:rsidSect="007079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1E"/>
    <w:rsid w:val="002978F5"/>
    <w:rsid w:val="003852CF"/>
    <w:rsid w:val="004E780C"/>
    <w:rsid w:val="0070791E"/>
    <w:rsid w:val="00A8279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C7429"/>
  <w15:chartTrackingRefBased/>
  <w15:docId w15:val="{B0CA11CB-067A-4F69-9292-CFA4BF9AA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91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791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91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91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91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91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91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91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91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91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9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9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9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9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9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9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9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9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9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91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079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91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079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91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079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91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7079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91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9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9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2025-06-25T09:16:00Z</dcterms:created>
  <dcterms:modified xsi:type="dcterms:W3CDTF">2025-06-25T09:17:00Z</dcterms:modified>
</cp:coreProperties>
</file>