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13B649" w14:textId="77777777" w:rsidR="00294015" w:rsidRDefault="00294015" w:rsidP="00294015">
      <w:pPr>
        <w:spacing w:line="480" w:lineRule="auto"/>
        <w:jc w:val="center"/>
        <w:rPr>
          <w:rFonts w:ascii="Helvetica" w:hAnsi="Helvetica"/>
          <w:noProof/>
          <w:sz w:val="20"/>
          <w:szCs w:val="20"/>
          <w:lang w:val="en-GB" w:eastAsia="en-GB"/>
        </w:rPr>
      </w:pPr>
      <w:r>
        <w:rPr>
          <w:rFonts w:ascii="Helvetica" w:hAnsi="Helvetica"/>
          <w:noProof/>
          <w:sz w:val="20"/>
          <w:szCs w:val="20"/>
          <w:lang w:val="en-GB" w:eastAsia="en-GB"/>
        </w:rPr>
        <w:drawing>
          <wp:inline distT="0" distB="0" distL="0" distR="0" wp14:anchorId="66D1977A" wp14:editId="11AD13B7">
            <wp:extent cx="5760720" cy="415671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v5_Supplementary Figure S1_d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5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4D21A" w14:textId="52F54A86" w:rsidR="00294015" w:rsidRDefault="00294015" w:rsidP="00294015">
      <w:pPr>
        <w:spacing w:line="480" w:lineRule="auto"/>
        <w:jc w:val="both"/>
        <w:rPr>
          <w:rFonts w:ascii="Helvetica" w:hAnsi="Helvetica"/>
          <w:sz w:val="20"/>
          <w:szCs w:val="20"/>
          <w:lang w:val="en-GB"/>
        </w:rPr>
      </w:pPr>
      <w:r w:rsidRPr="00CB55A8">
        <w:rPr>
          <w:rFonts w:ascii="Helvetica" w:hAnsi="Helvetica"/>
          <w:b/>
          <w:sz w:val="20"/>
          <w:szCs w:val="20"/>
          <w:lang w:val="en-GB"/>
        </w:rPr>
        <w:t>Supplementary Figure S1.</w:t>
      </w:r>
      <w:r>
        <w:rPr>
          <w:rFonts w:ascii="Helvetica" w:hAnsi="Helvetica"/>
          <w:sz w:val="20"/>
          <w:szCs w:val="20"/>
          <w:lang w:val="en-GB"/>
        </w:rPr>
        <w:t xml:space="preserve"> Transmission electron microscopy (TEM) from EV</w:t>
      </w:r>
      <w:r w:rsidR="008C5F08">
        <w:rPr>
          <w:rFonts w:ascii="Helvetica" w:hAnsi="Helvetica"/>
          <w:sz w:val="20"/>
          <w:szCs w:val="20"/>
          <w:lang w:val="en-GB"/>
        </w:rPr>
        <w:t>s</w:t>
      </w:r>
      <w:r>
        <w:rPr>
          <w:rFonts w:ascii="Helvetica" w:hAnsi="Helvetica"/>
          <w:sz w:val="20"/>
          <w:szCs w:val="20"/>
          <w:lang w:val="en-GB"/>
        </w:rPr>
        <w:t xml:space="preserve"> pellets obtained after a) Method 1 (EDTA 0.25M precipitation followed by differential ultracentrifugation 12’000g, 35’000g, 70’000g, 100’000g); b) Method 2 (Acid acetic 1% precipitation following 210’000g ultracentrifugation). c) SDS-PAGE protein profile of different samples stained with Blue Coomassie. L: ladder. 1: EV</w:t>
      </w:r>
      <w:r w:rsidR="008C5F08">
        <w:rPr>
          <w:rFonts w:ascii="Helvetica" w:hAnsi="Helvetica"/>
          <w:sz w:val="20"/>
          <w:szCs w:val="20"/>
          <w:lang w:val="en-GB"/>
        </w:rPr>
        <w:t>s</w:t>
      </w:r>
      <w:r>
        <w:rPr>
          <w:rFonts w:ascii="Helvetica" w:hAnsi="Helvetica"/>
          <w:sz w:val="20"/>
          <w:szCs w:val="20"/>
          <w:lang w:val="en-GB"/>
        </w:rPr>
        <w:t xml:space="preserve"> pellet after Method 2 of isolation (described in detail in the Material and Methods section); 2: Supernatant from sample 1 after acid precipitation before 0.22 </w:t>
      </w:r>
      <w:r>
        <w:rPr>
          <w:rFonts w:ascii="Helvetica" w:hAnsi="Helvetica" w:cs="Helvetica"/>
          <w:sz w:val="20"/>
          <w:szCs w:val="20"/>
          <w:lang w:val="en-GB"/>
        </w:rPr>
        <w:t>µ</w:t>
      </w:r>
      <w:r>
        <w:rPr>
          <w:rFonts w:ascii="Helvetica" w:hAnsi="Helvetica"/>
          <w:sz w:val="20"/>
          <w:szCs w:val="20"/>
          <w:lang w:val="en-GB"/>
        </w:rPr>
        <w:t xml:space="preserve">m filtering. 3: Supernatant from sample 1 after 0.22 </w:t>
      </w:r>
      <w:r>
        <w:rPr>
          <w:rFonts w:ascii="Helvetica" w:hAnsi="Helvetica" w:cs="Helvetica"/>
          <w:sz w:val="20"/>
          <w:szCs w:val="20"/>
          <w:lang w:val="en-GB"/>
        </w:rPr>
        <w:t>µ</w:t>
      </w:r>
      <w:r>
        <w:rPr>
          <w:rFonts w:ascii="Helvetica" w:hAnsi="Helvetica"/>
          <w:sz w:val="20"/>
          <w:szCs w:val="20"/>
          <w:lang w:val="en-GB"/>
        </w:rPr>
        <w:t>m filtering; 4: Supernatant from sample 1 after the first round of 210’000g ultracentrifugation; 5: Supernatant from sample 1 after second round 210’000g ultracentrifugation; 6: EV</w:t>
      </w:r>
      <w:r w:rsidR="008C5F08">
        <w:rPr>
          <w:rFonts w:ascii="Helvetica" w:hAnsi="Helvetica"/>
          <w:sz w:val="20"/>
          <w:szCs w:val="20"/>
          <w:lang w:val="en-GB"/>
        </w:rPr>
        <w:t>s</w:t>
      </w:r>
      <w:r>
        <w:rPr>
          <w:rFonts w:ascii="Helvetica" w:hAnsi="Helvetica"/>
          <w:sz w:val="20"/>
          <w:szCs w:val="20"/>
          <w:lang w:val="en-GB"/>
        </w:rPr>
        <w:t xml:space="preserve"> pellet after Method 2 of isolation with minor modification. The milk samples were stored in the freezer without 12’000g centrifugation 20 min; 7: Supernatant from sample 6 after acid precipitation before 0.22 </w:t>
      </w:r>
      <w:r>
        <w:rPr>
          <w:rFonts w:ascii="Helvetica" w:hAnsi="Helvetica" w:cs="Helvetica"/>
          <w:sz w:val="20"/>
          <w:szCs w:val="20"/>
          <w:lang w:val="en-GB"/>
        </w:rPr>
        <w:t>µ</w:t>
      </w:r>
      <w:r>
        <w:rPr>
          <w:rFonts w:ascii="Helvetica" w:hAnsi="Helvetica"/>
          <w:sz w:val="20"/>
          <w:szCs w:val="20"/>
          <w:lang w:val="en-GB"/>
        </w:rPr>
        <w:t>m filtering.</w:t>
      </w:r>
      <w:r w:rsidRPr="00FF320D">
        <w:rPr>
          <w:rFonts w:ascii="Helvetica" w:hAnsi="Helvetica"/>
          <w:sz w:val="20"/>
          <w:szCs w:val="20"/>
          <w:lang w:val="en-GB"/>
        </w:rPr>
        <w:t xml:space="preserve"> </w:t>
      </w:r>
      <w:r>
        <w:rPr>
          <w:rFonts w:ascii="Helvetica" w:hAnsi="Helvetica"/>
          <w:sz w:val="20"/>
          <w:szCs w:val="20"/>
          <w:lang w:val="en-GB"/>
        </w:rPr>
        <w:t xml:space="preserve">8: Supernatant from sample 6 after 0.22 </w:t>
      </w:r>
      <w:r>
        <w:rPr>
          <w:rFonts w:ascii="Helvetica" w:hAnsi="Helvetica" w:cs="Helvetica"/>
          <w:sz w:val="20"/>
          <w:szCs w:val="20"/>
          <w:lang w:val="en-GB"/>
        </w:rPr>
        <w:t>µ</w:t>
      </w:r>
      <w:r>
        <w:rPr>
          <w:rFonts w:ascii="Helvetica" w:hAnsi="Helvetica"/>
          <w:sz w:val="20"/>
          <w:szCs w:val="20"/>
          <w:lang w:val="en-GB"/>
        </w:rPr>
        <w:t>m filtering; 9: Supernatant from sample 6 after second round 210’000g ultracentrifugation; 10: EV</w:t>
      </w:r>
      <w:r w:rsidR="008C5F08">
        <w:rPr>
          <w:rFonts w:ascii="Helvetica" w:hAnsi="Helvetica"/>
          <w:sz w:val="20"/>
          <w:szCs w:val="20"/>
          <w:lang w:val="en-GB"/>
        </w:rPr>
        <w:t>s</w:t>
      </w:r>
      <w:r>
        <w:rPr>
          <w:rFonts w:ascii="Helvetica" w:hAnsi="Helvetica"/>
          <w:sz w:val="20"/>
          <w:szCs w:val="20"/>
          <w:lang w:val="en-GB"/>
        </w:rPr>
        <w:t xml:space="preserve"> pellet after Method 1; 11: Supernatant after last round of centrifugation from sample 10. d) Western blots of TSG101, MFGE8 and CD81. L: ladder; 1 and 2: EV</w:t>
      </w:r>
      <w:r w:rsidR="008C5F08">
        <w:rPr>
          <w:rFonts w:ascii="Helvetica" w:hAnsi="Helvetica"/>
          <w:sz w:val="20"/>
          <w:szCs w:val="20"/>
          <w:lang w:val="en-GB"/>
        </w:rPr>
        <w:t>s</w:t>
      </w:r>
      <w:r>
        <w:rPr>
          <w:rFonts w:ascii="Helvetica" w:hAnsi="Helvetica"/>
          <w:sz w:val="20"/>
          <w:szCs w:val="20"/>
          <w:lang w:val="en-GB"/>
        </w:rPr>
        <w:t xml:space="preserve"> pellets after Method 1 isolation; 3 and 4: EV pellets after Method 2 isolation. During CD81 analysis, sample 3 had </w:t>
      </w:r>
      <w:r w:rsidRPr="0066425A">
        <w:rPr>
          <w:rFonts w:ascii="Helvetica" w:hAnsi="Helvetica"/>
          <w:sz w:val="20"/>
          <w:szCs w:val="20"/>
          <w:lang w:val="en-GB"/>
        </w:rPr>
        <w:t xml:space="preserve">10% </w:t>
      </w:r>
      <w:r w:rsidRPr="0066425A">
        <w:rPr>
          <w:rFonts w:ascii="Helvetica" w:hAnsi="Helvetica"/>
          <w:sz w:val="20"/>
          <w:szCs w:val="20"/>
          <w:lang w:val="en-GB"/>
        </w:rPr>
        <w:sym w:font="Symbol" w:char="F062"/>
      </w:r>
      <w:r w:rsidRPr="0066425A">
        <w:rPr>
          <w:rFonts w:ascii="Helvetica" w:hAnsi="Helvetica"/>
          <w:sz w:val="20"/>
          <w:szCs w:val="20"/>
          <w:lang w:val="en-GB"/>
        </w:rPr>
        <w:t xml:space="preserve">-Mercaptoethanol </w:t>
      </w:r>
      <w:r>
        <w:rPr>
          <w:rFonts w:ascii="Helvetica" w:hAnsi="Helvetica"/>
          <w:sz w:val="20"/>
          <w:szCs w:val="20"/>
          <w:lang w:val="en-GB"/>
        </w:rPr>
        <w:t>during the SDS-PAGE electrophoresis while samples 4 and 2 not.</w:t>
      </w:r>
    </w:p>
    <w:p w14:paraId="726E0F94" w14:textId="494F83A7" w:rsidR="00294015" w:rsidRDefault="00294015" w:rsidP="00294015">
      <w:pPr>
        <w:spacing w:line="480" w:lineRule="auto"/>
        <w:rPr>
          <w:rFonts w:ascii="Helvetica" w:hAnsi="Helvetica"/>
          <w:sz w:val="20"/>
          <w:szCs w:val="20"/>
          <w:lang w:val="en-GB"/>
        </w:rPr>
      </w:pPr>
    </w:p>
    <w:p w14:paraId="0358992E" w14:textId="77777777" w:rsidR="00294015" w:rsidRDefault="00294015" w:rsidP="00294015">
      <w:pPr>
        <w:spacing w:line="480" w:lineRule="auto"/>
        <w:jc w:val="center"/>
        <w:rPr>
          <w:rFonts w:ascii="Helvetica" w:hAnsi="Helvetica"/>
          <w:sz w:val="20"/>
          <w:szCs w:val="20"/>
          <w:lang w:val="en-GB"/>
        </w:rPr>
      </w:pPr>
      <w:r>
        <w:rPr>
          <w:rFonts w:ascii="Helvetica" w:hAnsi="Helvetica"/>
          <w:noProof/>
          <w:sz w:val="20"/>
          <w:szCs w:val="20"/>
          <w:lang w:val="en-GB" w:eastAsia="en-GB"/>
        </w:rPr>
        <w:drawing>
          <wp:inline distT="0" distB="0" distL="0" distR="0" wp14:anchorId="37DA18A4" wp14:editId="44F01828">
            <wp:extent cx="5760720" cy="4622165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ry Figure S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2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9294A" w14:textId="6EB59B22" w:rsidR="00294015" w:rsidRDefault="00294015" w:rsidP="00294015">
      <w:pPr>
        <w:spacing w:line="480" w:lineRule="auto"/>
        <w:rPr>
          <w:rFonts w:ascii="Helvetica" w:hAnsi="Helvetica"/>
          <w:sz w:val="20"/>
          <w:szCs w:val="20"/>
          <w:lang w:val="en-GB"/>
        </w:rPr>
      </w:pPr>
      <w:r w:rsidRPr="00CD2AD4">
        <w:rPr>
          <w:rFonts w:ascii="Helvetica" w:hAnsi="Helvetica"/>
          <w:b/>
          <w:sz w:val="20"/>
          <w:szCs w:val="20"/>
          <w:lang w:val="en-GB"/>
        </w:rPr>
        <w:t>Supplementary Figure S2.</w:t>
      </w:r>
      <w:r>
        <w:rPr>
          <w:rFonts w:ascii="Helvetica" w:hAnsi="Helvetica"/>
          <w:sz w:val="20"/>
          <w:szCs w:val="20"/>
          <w:lang w:val="en-GB"/>
        </w:rPr>
        <w:t xml:space="preserve"> Bioanalyzer profiles after RNA 6000 Pico assay (blue) and Small RNA assay (green). The extraction method and use or not of RNase treatment of EV</w:t>
      </w:r>
      <w:r w:rsidR="008C5F08">
        <w:rPr>
          <w:rFonts w:ascii="Helvetica" w:hAnsi="Helvetica"/>
          <w:sz w:val="20"/>
          <w:szCs w:val="20"/>
          <w:lang w:val="en-GB"/>
        </w:rPr>
        <w:t>s</w:t>
      </w:r>
      <w:r>
        <w:rPr>
          <w:rFonts w:ascii="Helvetica" w:hAnsi="Helvetica"/>
          <w:sz w:val="20"/>
          <w:szCs w:val="20"/>
          <w:lang w:val="en-GB"/>
        </w:rPr>
        <w:t xml:space="preserve"> are mentioned above the graphs.</w:t>
      </w:r>
    </w:p>
    <w:p w14:paraId="09B1E2D7" w14:textId="77777777" w:rsidR="00294015" w:rsidRDefault="00294015" w:rsidP="00294015">
      <w:pPr>
        <w:spacing w:line="480" w:lineRule="auto"/>
        <w:rPr>
          <w:rFonts w:ascii="Helvetica" w:hAnsi="Helvetica"/>
          <w:sz w:val="20"/>
          <w:szCs w:val="20"/>
          <w:lang w:val="en-GB"/>
        </w:rPr>
      </w:pPr>
      <w:r>
        <w:rPr>
          <w:rFonts w:ascii="Helvetica" w:hAnsi="Helvetica"/>
          <w:sz w:val="20"/>
          <w:szCs w:val="20"/>
          <w:lang w:val="en-GB"/>
        </w:rPr>
        <w:br w:type="page"/>
      </w:r>
    </w:p>
    <w:p w14:paraId="0857F567" w14:textId="77777777" w:rsidR="00294015" w:rsidRDefault="00294015" w:rsidP="00294015">
      <w:pPr>
        <w:spacing w:line="480" w:lineRule="auto"/>
        <w:jc w:val="center"/>
        <w:rPr>
          <w:rFonts w:ascii="Helvetica" w:hAnsi="Helvetica"/>
          <w:sz w:val="20"/>
          <w:szCs w:val="20"/>
          <w:lang w:val="en-GB"/>
        </w:rPr>
      </w:pPr>
      <w:r>
        <w:rPr>
          <w:rFonts w:ascii="Helvetica" w:hAnsi="Helvetica"/>
          <w:noProof/>
          <w:sz w:val="20"/>
          <w:szCs w:val="20"/>
          <w:lang w:val="en-GB" w:eastAsia="en-GB"/>
        </w:rPr>
        <w:lastRenderedPageBreak/>
        <w:drawing>
          <wp:inline distT="0" distB="0" distL="0" distR="0" wp14:anchorId="49DB826F" wp14:editId="0527B63E">
            <wp:extent cx="5760720" cy="2246630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lementary Figure S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4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A8A7C" w14:textId="2445780B" w:rsidR="00311486" w:rsidRDefault="00294015" w:rsidP="000A5BD0">
      <w:pPr>
        <w:spacing w:line="480" w:lineRule="auto"/>
        <w:rPr>
          <w:rFonts w:ascii="Helvetica" w:hAnsi="Helvetica"/>
          <w:sz w:val="20"/>
          <w:szCs w:val="20"/>
          <w:lang w:val="en-GB"/>
        </w:rPr>
      </w:pPr>
      <w:r>
        <w:rPr>
          <w:rFonts w:ascii="Helvetica" w:hAnsi="Helvetica"/>
          <w:b/>
          <w:sz w:val="20"/>
          <w:szCs w:val="20"/>
          <w:lang w:val="en-GB"/>
        </w:rPr>
        <w:t xml:space="preserve">Supplementary Figure S3. </w:t>
      </w:r>
      <w:r w:rsidRPr="00D32E8A">
        <w:rPr>
          <w:rFonts w:ascii="Helvetica" w:hAnsi="Helvetica"/>
          <w:sz w:val="20"/>
          <w:szCs w:val="20"/>
          <w:lang w:val="en-GB"/>
        </w:rPr>
        <w:t>a)</w:t>
      </w:r>
      <w:r>
        <w:rPr>
          <w:rFonts w:ascii="Helvetica" w:hAnsi="Helvetica"/>
          <w:b/>
          <w:sz w:val="20"/>
          <w:szCs w:val="20"/>
          <w:lang w:val="en-GB"/>
        </w:rPr>
        <w:t xml:space="preserve"> </w:t>
      </w:r>
      <w:r>
        <w:rPr>
          <w:rFonts w:ascii="Helvetica" w:hAnsi="Helvetica"/>
          <w:sz w:val="20"/>
          <w:szCs w:val="20"/>
          <w:lang w:val="en-GB"/>
        </w:rPr>
        <w:t>EV</w:t>
      </w:r>
      <w:r w:rsidR="00147DB0">
        <w:rPr>
          <w:rFonts w:ascii="Helvetica" w:hAnsi="Helvetica"/>
          <w:sz w:val="20"/>
          <w:szCs w:val="20"/>
          <w:lang w:val="en-GB"/>
        </w:rPr>
        <w:t>s</w:t>
      </w:r>
      <w:r>
        <w:rPr>
          <w:rFonts w:ascii="Helvetica" w:hAnsi="Helvetica"/>
          <w:sz w:val="20"/>
          <w:szCs w:val="20"/>
          <w:lang w:val="en-GB"/>
        </w:rPr>
        <w:t xml:space="preserve"> concentration obtained in each session of EV</w:t>
      </w:r>
      <w:r w:rsidR="00147DB0">
        <w:rPr>
          <w:rFonts w:ascii="Helvetica" w:hAnsi="Helvetica"/>
          <w:sz w:val="20"/>
          <w:szCs w:val="20"/>
          <w:lang w:val="en-GB"/>
        </w:rPr>
        <w:t>s</w:t>
      </w:r>
      <w:r>
        <w:rPr>
          <w:rFonts w:ascii="Helvetica" w:hAnsi="Helvetica"/>
          <w:sz w:val="20"/>
          <w:szCs w:val="20"/>
          <w:lang w:val="en-GB"/>
        </w:rPr>
        <w:t xml:space="preserve"> isolation. b) Correlation between Somatic Cell Count (SCC) and EV</w:t>
      </w:r>
      <w:r w:rsidR="00147DB0">
        <w:rPr>
          <w:rFonts w:ascii="Helvetica" w:hAnsi="Helvetica"/>
          <w:sz w:val="20"/>
          <w:szCs w:val="20"/>
          <w:lang w:val="en-GB"/>
        </w:rPr>
        <w:t>s</w:t>
      </w:r>
      <w:r>
        <w:rPr>
          <w:rFonts w:ascii="Helvetica" w:hAnsi="Helvetica"/>
          <w:sz w:val="20"/>
          <w:szCs w:val="20"/>
          <w:lang w:val="en-GB"/>
        </w:rPr>
        <w:t xml:space="preserve"> concentration, both in logarithmic scale.</w:t>
      </w:r>
    </w:p>
    <w:p w14:paraId="5FFA33F1" w14:textId="77777777" w:rsidR="00311486" w:rsidRDefault="00311486" w:rsidP="000A5BD0">
      <w:pPr>
        <w:spacing w:line="480" w:lineRule="auto"/>
        <w:rPr>
          <w:rFonts w:ascii="Helvetica" w:hAnsi="Helvetica"/>
          <w:sz w:val="20"/>
          <w:szCs w:val="20"/>
          <w:lang w:val="en-GB"/>
        </w:rPr>
      </w:pPr>
      <w:r>
        <w:rPr>
          <w:rFonts w:ascii="Helvetica" w:hAnsi="Helvetica"/>
          <w:sz w:val="20"/>
          <w:szCs w:val="20"/>
          <w:lang w:val="en-GB"/>
        </w:rPr>
        <w:br w:type="page"/>
      </w:r>
    </w:p>
    <w:p w14:paraId="3AF15395" w14:textId="08F94057" w:rsidR="00311486" w:rsidRPr="00311486" w:rsidRDefault="001B0EDC" w:rsidP="00294015">
      <w:pPr>
        <w:rPr>
          <w:rFonts w:ascii="Helvetica" w:hAnsi="Helvetica"/>
          <w:bCs/>
          <w:sz w:val="20"/>
          <w:szCs w:val="20"/>
          <w:lang w:val="en-GB"/>
        </w:rPr>
      </w:pPr>
      <w:r>
        <w:rPr>
          <w:rFonts w:ascii="Helvetica" w:hAnsi="Helvetica"/>
          <w:bCs/>
          <w:noProof/>
          <w:sz w:val="20"/>
          <w:szCs w:val="20"/>
          <w:lang w:val="en-GB"/>
        </w:rPr>
        <w:lastRenderedPageBreak/>
        <w:drawing>
          <wp:inline distT="0" distB="0" distL="0" distR="0" wp14:anchorId="5D2609BE" wp14:editId="7A798D33">
            <wp:extent cx="5760720" cy="57435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4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2970F" w14:textId="480B5202" w:rsidR="00D700BE" w:rsidRPr="00FC6CFF" w:rsidRDefault="00311486" w:rsidP="00D700BE">
      <w:pPr>
        <w:tabs>
          <w:tab w:val="left" w:pos="2834"/>
        </w:tabs>
        <w:spacing w:line="480" w:lineRule="auto"/>
        <w:jc w:val="both"/>
        <w:rPr>
          <w:rFonts w:ascii="Helvetica" w:hAnsi="Helvetica"/>
          <w:sz w:val="20"/>
          <w:szCs w:val="20"/>
          <w:lang w:val="en-US"/>
        </w:rPr>
      </w:pPr>
      <w:r>
        <w:rPr>
          <w:rFonts w:ascii="Helvetica" w:hAnsi="Helvetica"/>
          <w:b/>
          <w:sz w:val="20"/>
          <w:szCs w:val="20"/>
          <w:lang w:val="en-GB"/>
        </w:rPr>
        <w:t>Supplementary Figure S4</w:t>
      </w:r>
      <w:r w:rsidR="00D700BE">
        <w:rPr>
          <w:rFonts w:ascii="Helvetica" w:hAnsi="Helvetica"/>
          <w:b/>
          <w:sz w:val="20"/>
          <w:szCs w:val="20"/>
          <w:lang w:val="en-GB"/>
        </w:rPr>
        <w:t xml:space="preserve">. </w:t>
      </w:r>
      <w:r w:rsidR="00D700BE" w:rsidRPr="00D700BE">
        <w:rPr>
          <w:rFonts w:ascii="Helvetica" w:hAnsi="Helvetica"/>
          <w:bCs/>
          <w:sz w:val="20"/>
          <w:szCs w:val="20"/>
          <w:lang w:val="en-GB"/>
        </w:rPr>
        <w:t>Full</w:t>
      </w:r>
      <w:r w:rsidR="00D700BE">
        <w:rPr>
          <w:rFonts w:ascii="Helvetica" w:hAnsi="Helvetica"/>
          <w:bCs/>
          <w:sz w:val="20"/>
          <w:szCs w:val="20"/>
          <w:lang w:val="en-GB"/>
        </w:rPr>
        <w:t>-</w:t>
      </w:r>
      <w:r w:rsidR="00D700BE" w:rsidRPr="00D700BE">
        <w:rPr>
          <w:rFonts w:ascii="Helvetica" w:hAnsi="Helvetica"/>
          <w:bCs/>
          <w:sz w:val="20"/>
          <w:szCs w:val="20"/>
          <w:lang w:val="en-GB"/>
        </w:rPr>
        <w:t>length western</w:t>
      </w:r>
      <w:r w:rsidR="00D700BE">
        <w:rPr>
          <w:rFonts w:ascii="Helvetica" w:hAnsi="Helvetica"/>
          <w:sz w:val="20"/>
          <w:szCs w:val="20"/>
          <w:lang w:val="en-GB"/>
        </w:rPr>
        <w:t xml:space="preserve"> blot </w:t>
      </w:r>
      <w:r w:rsidR="00D700BE" w:rsidRPr="003D2199">
        <w:rPr>
          <w:rFonts w:ascii="Helvetica" w:hAnsi="Helvetica"/>
          <w:sz w:val="20"/>
          <w:szCs w:val="20"/>
          <w:lang w:val="en-GB"/>
        </w:rPr>
        <w:t xml:space="preserve">characterization for </w:t>
      </w:r>
      <w:r w:rsidR="00D700BE">
        <w:rPr>
          <w:rFonts w:ascii="Helvetica" w:hAnsi="Helvetica"/>
          <w:sz w:val="20"/>
          <w:szCs w:val="20"/>
          <w:lang w:val="en-GB"/>
        </w:rPr>
        <w:t>the EV</w:t>
      </w:r>
      <w:r w:rsidR="00987ACB">
        <w:rPr>
          <w:rFonts w:ascii="Helvetica" w:hAnsi="Helvetica"/>
          <w:sz w:val="20"/>
          <w:szCs w:val="20"/>
          <w:lang w:val="en-GB"/>
        </w:rPr>
        <w:t>s</w:t>
      </w:r>
      <w:r w:rsidR="00D700BE">
        <w:rPr>
          <w:rFonts w:ascii="Helvetica" w:hAnsi="Helvetica"/>
          <w:sz w:val="20"/>
          <w:szCs w:val="20"/>
          <w:lang w:val="en-GB"/>
        </w:rPr>
        <w:t xml:space="preserve"> </w:t>
      </w:r>
      <w:r w:rsidR="00D700BE" w:rsidRPr="003D2199">
        <w:rPr>
          <w:rFonts w:ascii="Helvetica" w:hAnsi="Helvetica"/>
          <w:sz w:val="20"/>
          <w:szCs w:val="20"/>
          <w:lang w:val="en-GB"/>
        </w:rPr>
        <w:t>protein markers</w:t>
      </w:r>
      <w:r w:rsidR="00D700BE">
        <w:rPr>
          <w:rFonts w:ascii="Helvetica" w:hAnsi="Helvetica"/>
          <w:sz w:val="20"/>
          <w:szCs w:val="20"/>
          <w:lang w:val="en-GB"/>
        </w:rPr>
        <w:t xml:space="preserve"> CXN, TSG101, CD81, CD9 and MFGE8</w:t>
      </w:r>
      <w:r w:rsidR="00D700BE" w:rsidRPr="003D2199">
        <w:rPr>
          <w:rFonts w:ascii="Helvetica" w:hAnsi="Helvetica"/>
          <w:sz w:val="20"/>
          <w:szCs w:val="20"/>
          <w:lang w:val="en-GB"/>
        </w:rPr>
        <w:t>.</w:t>
      </w:r>
      <w:r w:rsidR="00D700BE">
        <w:rPr>
          <w:rFonts w:ascii="Helvetica" w:hAnsi="Helvetica"/>
          <w:sz w:val="20"/>
          <w:szCs w:val="20"/>
          <w:lang w:val="en-GB"/>
        </w:rPr>
        <w:t xml:space="preserve"> The green line</w:t>
      </w:r>
      <w:r w:rsidR="00BB50F6">
        <w:rPr>
          <w:rFonts w:ascii="Helvetica" w:hAnsi="Helvetica"/>
          <w:sz w:val="20"/>
          <w:szCs w:val="20"/>
          <w:lang w:val="en-GB"/>
        </w:rPr>
        <w:t>s</w:t>
      </w:r>
      <w:r w:rsidR="00D700BE">
        <w:rPr>
          <w:rFonts w:ascii="Helvetica" w:hAnsi="Helvetica"/>
          <w:sz w:val="20"/>
          <w:szCs w:val="20"/>
          <w:lang w:val="en-GB"/>
        </w:rPr>
        <w:t xml:space="preserve"> define the area shown in the main </w:t>
      </w:r>
      <w:r w:rsidR="00BB50F6">
        <w:rPr>
          <w:rFonts w:ascii="Helvetica" w:hAnsi="Helvetica"/>
          <w:sz w:val="20"/>
          <w:szCs w:val="20"/>
          <w:lang w:val="en-GB"/>
        </w:rPr>
        <w:t>text</w:t>
      </w:r>
      <w:r w:rsidR="00D700BE">
        <w:rPr>
          <w:rFonts w:ascii="Helvetica" w:hAnsi="Helvetica"/>
          <w:sz w:val="20"/>
          <w:szCs w:val="20"/>
          <w:lang w:val="en-GB"/>
        </w:rPr>
        <w:t xml:space="preserve">. L: Ladder; </w:t>
      </w:r>
      <w:r w:rsidR="008C5F08">
        <w:rPr>
          <w:rFonts w:ascii="Helvetica" w:hAnsi="Helvetica"/>
          <w:sz w:val="20"/>
          <w:szCs w:val="20"/>
          <w:lang w:val="en-GB"/>
        </w:rPr>
        <w:t>1-</w:t>
      </w:r>
      <w:r w:rsidR="001B0EDC">
        <w:rPr>
          <w:rFonts w:ascii="Helvetica" w:hAnsi="Helvetica"/>
          <w:sz w:val="20"/>
          <w:szCs w:val="20"/>
          <w:lang w:val="en-GB"/>
        </w:rPr>
        <w:t>9</w:t>
      </w:r>
      <w:r w:rsidR="008C5F08">
        <w:rPr>
          <w:rFonts w:ascii="Helvetica" w:hAnsi="Helvetica"/>
          <w:sz w:val="20"/>
          <w:szCs w:val="20"/>
          <w:lang w:val="en-GB"/>
        </w:rPr>
        <w:t xml:space="preserve">: </w:t>
      </w:r>
      <w:r w:rsidR="00946891">
        <w:rPr>
          <w:rFonts w:ascii="Helvetica" w:hAnsi="Helvetica"/>
          <w:sz w:val="20"/>
          <w:szCs w:val="20"/>
          <w:lang w:val="en-GB"/>
        </w:rPr>
        <w:t xml:space="preserve">Milk </w:t>
      </w:r>
      <w:r w:rsidR="008C5F08">
        <w:rPr>
          <w:rFonts w:ascii="Helvetica" w:hAnsi="Helvetica"/>
          <w:sz w:val="20"/>
          <w:szCs w:val="20"/>
          <w:lang w:val="en-GB"/>
        </w:rPr>
        <w:t xml:space="preserve">EVs pellets. </w:t>
      </w:r>
      <w:r w:rsidR="00D700BE">
        <w:rPr>
          <w:rFonts w:ascii="Helvetica" w:hAnsi="Helvetica"/>
          <w:sz w:val="20"/>
          <w:szCs w:val="20"/>
          <w:lang w:val="en-GB"/>
        </w:rPr>
        <w:t>MG: Mammary gland tissue; MF: Milk Fat; MC: Milk cells.</w:t>
      </w:r>
    </w:p>
    <w:p w14:paraId="5CEC8C42" w14:textId="28E9F2DE" w:rsidR="00E62E55" w:rsidRDefault="00BB50F6" w:rsidP="00294015">
      <w:pPr>
        <w:rPr>
          <w:lang w:val="en-US"/>
        </w:rPr>
      </w:pPr>
    </w:p>
    <w:p w14:paraId="61608BB9" w14:textId="77777777" w:rsidR="00311486" w:rsidRPr="00294015" w:rsidRDefault="00311486" w:rsidP="00294015">
      <w:pPr>
        <w:rPr>
          <w:lang w:val="en-US"/>
        </w:rPr>
      </w:pPr>
    </w:p>
    <w:sectPr w:rsidR="00311486" w:rsidRPr="0029401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zQzNDc3MzAyNTWyNDdQ0lEKTi0uzszPAykwqQUAb3z0uywAAAA="/>
  </w:docVars>
  <w:rsids>
    <w:rsidRoot w:val="00294015"/>
    <w:rsid w:val="000A5BD0"/>
    <w:rsid w:val="00147DB0"/>
    <w:rsid w:val="001910A1"/>
    <w:rsid w:val="001A780C"/>
    <w:rsid w:val="001B0EDC"/>
    <w:rsid w:val="00294015"/>
    <w:rsid w:val="00311486"/>
    <w:rsid w:val="00806C0D"/>
    <w:rsid w:val="008C5F08"/>
    <w:rsid w:val="00946891"/>
    <w:rsid w:val="00961818"/>
    <w:rsid w:val="00987ACB"/>
    <w:rsid w:val="00AA6B80"/>
    <w:rsid w:val="00BB50F6"/>
    <w:rsid w:val="00D700BE"/>
    <w:rsid w:val="00E0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B0200"/>
  <w15:chartTrackingRefBased/>
  <w15:docId w15:val="{11391DA2-2526-4FDE-B992-97556B8C0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015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Saenz de Juano Ribes  Mara</dc:creator>
  <cp:keywords/>
  <dc:description/>
  <cp:lastModifiedBy>Saenz de Juano Ribes  Mara</cp:lastModifiedBy>
  <cp:revision>11</cp:revision>
  <dcterms:created xsi:type="dcterms:W3CDTF">2021-07-01T12:55:00Z</dcterms:created>
  <dcterms:modified xsi:type="dcterms:W3CDTF">2021-07-03T09:07:00Z</dcterms:modified>
</cp:coreProperties>
</file>