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40BA1">
      <w:pPr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Supplementary </w:t>
      </w:r>
      <w:r>
        <w:rPr>
          <w:rFonts w:ascii="Times New Roman" w:hAnsi="Times New Roman" w:cs="Times New Roman"/>
          <w:b/>
          <w:bCs/>
          <w:sz w:val="28"/>
          <w:szCs w:val="28"/>
        </w:rPr>
        <w:t>Figure legend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s</w:t>
      </w:r>
    </w:p>
    <w:p w14:paraId="263F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cs="Times New Roman"/>
          <w:sz w:val="24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4"/>
        </w:rPr>
        <w:t xml:space="preserve">Fig. S1 </w:t>
      </w:r>
      <w:r>
        <w:rPr>
          <w:rFonts w:hint="eastAsia" w:ascii="Times New Roman" w:hAnsi="Times New Roman" w:cs="Times New Roman"/>
          <w:sz w:val="24"/>
        </w:rPr>
        <w:t xml:space="preserve">Kaplan-Meier Survival Plot for all-cause mortality. </w:t>
      </w:r>
      <w:r>
        <w:rPr>
          <w:rFonts w:hint="default" w:ascii="Times New Roman Bold" w:hAnsi="Times New Roman Bold" w:cs="Times New Roman Bold"/>
          <w:b/>
          <w:bCs/>
          <w:sz w:val="24"/>
        </w:rPr>
        <w:t>A</w:t>
      </w:r>
      <w:r>
        <w:rPr>
          <w:rFonts w:hint="eastAsia" w:ascii="Times New Roman" w:hAnsi="Times New Roman" w:cs="Times New Roman"/>
          <w:sz w:val="24"/>
        </w:rPr>
        <w:t xml:space="preserve"> 28-day mortality; </w:t>
      </w:r>
      <w:r>
        <w:rPr>
          <w:rFonts w:hint="default" w:ascii="Times New Roman Bold" w:hAnsi="Times New Roman Bold" w:cs="Times New Roman Bold"/>
          <w:b/>
          <w:bCs/>
          <w:sz w:val="24"/>
        </w:rPr>
        <w:t>B</w:t>
      </w:r>
      <w:r>
        <w:rPr>
          <w:rFonts w:hint="eastAsia" w:ascii="Times New Roman Bold" w:hAnsi="Times New Roman Bold" w:cs="Times New Roman Bold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90-day mortality; </w:t>
      </w:r>
      <w:r>
        <w:rPr>
          <w:rFonts w:hint="default" w:ascii="Times New Roman Bold" w:hAnsi="Times New Roman Bold" w:cs="Times New Roman Bold"/>
          <w:b/>
          <w:bCs/>
          <w:sz w:val="24"/>
        </w:rPr>
        <w:t>C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365-day mortality. TyG index: T1 (7.30, 8.60), T2 (8.60, 9.22), T3 (9.22, 11.98)</w:t>
      </w:r>
    </w:p>
    <w:p w14:paraId="36A11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Fig. S2 </w:t>
      </w:r>
      <w:r>
        <w:rPr>
          <w:rFonts w:hint="eastAsia" w:ascii="Times New Roman" w:hAnsi="Times New Roman" w:cs="Times New Roman"/>
          <w:sz w:val="24"/>
        </w:rPr>
        <w:t xml:space="preserve">Association between TyG index and all-cause mortality in critically ill patients. </w:t>
      </w:r>
      <w:r>
        <w:rPr>
          <w:rFonts w:hint="eastAsia" w:ascii="Times New Roman" w:hAnsi="Times New Roman" w:cs="Times New Roman"/>
          <w:b/>
          <w:bCs/>
          <w:sz w:val="24"/>
        </w:rPr>
        <w:t>A</w:t>
      </w:r>
      <w:r>
        <w:rPr>
          <w:rFonts w:hint="eastAsia" w:ascii="Times New Roman" w:hAnsi="Times New Roman" w:cs="Times New Roman"/>
          <w:sz w:val="24"/>
        </w:rPr>
        <w:t xml:space="preserve"> 28-day mortality; </w:t>
      </w:r>
      <w:r>
        <w:rPr>
          <w:rFonts w:hint="eastAsia" w:ascii="Times New Roman" w:hAnsi="Times New Roman" w:cs="Times New Roman"/>
          <w:b/>
          <w:bCs/>
          <w:sz w:val="24"/>
        </w:rPr>
        <w:t>B</w:t>
      </w:r>
      <w:r>
        <w:rPr>
          <w:rFonts w:hint="eastAsia" w:ascii="Times New Roman" w:hAnsi="Times New Roman" w:cs="Times New Roman"/>
          <w:sz w:val="24"/>
        </w:rPr>
        <w:t xml:space="preserve"> 90-day mortality;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C</w:t>
      </w:r>
      <w:r>
        <w:rPr>
          <w:rFonts w:hint="eastAsia" w:ascii="Times New Roman" w:hAnsi="Times New Roman" w:cs="Times New Roman"/>
          <w:sz w:val="24"/>
        </w:rPr>
        <w:t xml:space="preserve"> 365-day mortality. Solid and dashed lines represent the predicted values and 95% confidence intervals, respectively. TyG index, triglyceride-glucose index</w:t>
      </w:r>
    </w:p>
    <w:p w14:paraId="7A59E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Fig. S3</w:t>
      </w:r>
      <w:r>
        <w:rPr>
          <w:rFonts w:hint="eastAsia" w:ascii="Times New Roman" w:hAnsi="Times New Roman" w:cs="Times New Roman"/>
          <w:sz w:val="24"/>
        </w:rPr>
        <w:t xml:space="preserve"> Subgroup </w:t>
      </w:r>
      <w:r>
        <w:rPr>
          <w:rFonts w:ascii="Times New Roman" w:hAnsi="Times New Roman" w:cs="Times New Roman"/>
          <w:sz w:val="24"/>
        </w:rPr>
        <w:t>analyses</w:t>
      </w:r>
      <w:r>
        <w:rPr>
          <w:rFonts w:hint="eastAsia" w:ascii="Times New Roman" w:hAnsi="Times New Roman" w:cs="Times New Roman"/>
          <w:sz w:val="24"/>
        </w:rPr>
        <w:t xml:space="preserve"> for the association of TyG index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with all-cause mortality. </w:t>
      </w:r>
      <w:r>
        <w:rPr>
          <w:rFonts w:hint="eastAsia" w:ascii="Times New Roman" w:hAnsi="Times New Roman" w:cs="Times New Roman"/>
          <w:b/>
          <w:bCs/>
          <w:sz w:val="24"/>
        </w:rPr>
        <w:t>A</w:t>
      </w:r>
      <w:r>
        <w:rPr>
          <w:rFonts w:hint="eastAsia" w:ascii="Times New Roman" w:hAnsi="Times New Roman" w:cs="Times New Roman"/>
          <w:sz w:val="24"/>
        </w:rPr>
        <w:t xml:space="preserve"> 28-day mortality; </w:t>
      </w:r>
      <w:r>
        <w:rPr>
          <w:rFonts w:hint="eastAsia" w:ascii="Times New Roman" w:hAnsi="Times New Roman" w:cs="Times New Roman"/>
          <w:b/>
          <w:bCs/>
          <w:sz w:val="24"/>
        </w:rPr>
        <w:t>B</w:t>
      </w:r>
      <w:r>
        <w:rPr>
          <w:rFonts w:hint="eastAsia" w:ascii="Times New Roman" w:hAnsi="Times New Roman" w:cs="Times New Roman"/>
          <w:sz w:val="24"/>
        </w:rPr>
        <w:t xml:space="preserve"> 90-day mortality;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C</w:t>
      </w:r>
      <w:r>
        <w:rPr>
          <w:rFonts w:hint="eastAsia" w:ascii="Times New Roman" w:hAnsi="Times New Roman" w:cs="Times New Roman"/>
          <w:sz w:val="24"/>
        </w:rPr>
        <w:t xml:space="preserve"> 365-day mortality. </w:t>
      </w:r>
      <w:r>
        <w:rPr>
          <w:rFonts w:ascii="Times New Roman" w:hAnsi="Times New Roman" w:eastAsia="等线" w:cs="Times New Roman"/>
          <w:sz w:val="24"/>
        </w:rPr>
        <w:t>HR</w:t>
      </w:r>
      <w:r>
        <w:rPr>
          <w:rFonts w:hint="eastAsia" w:ascii="Times New Roman" w:hAnsi="Times New Roman" w:eastAsia="等线" w:cs="Times New Roman"/>
          <w:sz w:val="24"/>
        </w:rPr>
        <w:t>,</w:t>
      </w:r>
      <w:r>
        <w:rPr>
          <w:rFonts w:ascii="Times New Roman" w:hAnsi="Times New Roman" w:eastAsia="等线" w:cs="Times New Roman"/>
          <w:sz w:val="24"/>
        </w:rPr>
        <w:t xml:space="preserve"> hazard ratio; CI</w:t>
      </w:r>
      <w:r>
        <w:rPr>
          <w:rFonts w:hint="eastAsia" w:ascii="Times New Roman" w:hAnsi="Times New Roman" w:eastAsia="等线" w:cs="Times New Roman"/>
          <w:sz w:val="24"/>
        </w:rPr>
        <w:t>,</w:t>
      </w:r>
      <w:r>
        <w:rPr>
          <w:rFonts w:ascii="Times New Roman" w:hAnsi="Times New Roman" w:eastAsia="等线" w:cs="Times New Roman"/>
          <w:sz w:val="24"/>
        </w:rPr>
        <w:t xml:space="preserve"> confidential interval.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1A"/>
    <w:rsid w:val="00814040"/>
    <w:rsid w:val="009873E0"/>
    <w:rsid w:val="009D2D02"/>
    <w:rsid w:val="00A030F2"/>
    <w:rsid w:val="00AE7933"/>
    <w:rsid w:val="00C23C3B"/>
    <w:rsid w:val="00CC6859"/>
    <w:rsid w:val="00EB1A1A"/>
    <w:rsid w:val="37FD5CC3"/>
    <w:rsid w:val="BBFDB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597</Characters>
  <Lines>9</Lines>
  <Paragraphs>2</Paragraphs>
  <TotalTime>7</TotalTime>
  <ScaleCrop>false</ScaleCrop>
  <LinksUpToDate>false</LinksUpToDate>
  <CharactersWithSpaces>690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2025-05-04T17:32:00Z</dcterms:created>
  <dc:creator>xn yi</dc:creator>
  <cp:lastModifiedBy>一杯沧海</cp:lastModifiedBy>
  <dcterms:modified xsi:type="dcterms:W3CDTF">2025-05-13T16:16:04Z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3B91FC5A6033A9CCB5FF22686835F612_42</vt:lpwstr>
  </property>
</Properties>
</file>