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4EC1E" w14:textId="395F56EF" w:rsidR="00C01246" w:rsidRPr="00C01246" w:rsidRDefault="00C01246" w:rsidP="00C01246">
      <w:pPr>
        <w:spacing w:line="480" w:lineRule="auto"/>
        <w:jc w:val="center"/>
        <w:rPr>
          <w:rFonts w:cstheme="minorHAnsi"/>
          <w:bCs/>
        </w:rPr>
      </w:pPr>
      <w:r w:rsidRPr="00C01246">
        <w:rPr>
          <w:rFonts w:cstheme="minorHAnsi"/>
          <w:bCs/>
        </w:rPr>
        <w:t>Supplementary figures for:</w:t>
      </w:r>
    </w:p>
    <w:p w14:paraId="468AA180" w14:textId="2125E4BD" w:rsidR="00C01246" w:rsidRDefault="00C01246" w:rsidP="00C01246">
      <w:pPr>
        <w:spacing w:line="480" w:lineRule="auto"/>
        <w:jc w:val="center"/>
        <w:rPr>
          <w:rFonts w:cstheme="minorHAnsi"/>
          <w:b/>
        </w:rPr>
      </w:pPr>
      <w:r w:rsidRPr="00AC21D9">
        <w:rPr>
          <w:rFonts w:cstheme="minorHAnsi"/>
          <w:b/>
        </w:rPr>
        <w:t>Molecular and Physiological Acclimation to Low Light and Iron Scarcity in Globally Abundant Oceanic Pelagophyte</w:t>
      </w:r>
    </w:p>
    <w:p w14:paraId="2DD6B52C" w14:textId="77777777" w:rsidR="00C01246" w:rsidRPr="002D0E99" w:rsidRDefault="00C01246" w:rsidP="00C01246">
      <w:pPr>
        <w:spacing w:line="480" w:lineRule="auto"/>
        <w:jc w:val="center"/>
        <w:rPr>
          <w:rFonts w:cstheme="minorHAnsi"/>
          <w:vertAlign w:val="superscript"/>
        </w:rPr>
      </w:pPr>
      <w:r w:rsidRPr="002D0E99">
        <w:rPr>
          <w:rFonts w:cstheme="minorHAnsi"/>
        </w:rPr>
        <w:t>Coale, T. H.</w:t>
      </w:r>
      <w:r w:rsidRPr="002D0E99">
        <w:rPr>
          <w:rFonts w:cstheme="minorHAnsi"/>
          <w:vertAlign w:val="superscript"/>
        </w:rPr>
        <w:t>1</w:t>
      </w:r>
      <w:r w:rsidRPr="002D0E99">
        <w:rPr>
          <w:rFonts w:cstheme="minorHAnsi"/>
        </w:rPr>
        <w:t>, Lampe, R. H.</w:t>
      </w:r>
      <w:r>
        <w:rPr>
          <w:rFonts w:cstheme="minorHAnsi"/>
          <w:vertAlign w:val="superscript"/>
        </w:rPr>
        <w:t>2</w:t>
      </w:r>
      <w:r w:rsidRPr="002D0E99">
        <w:rPr>
          <w:rFonts w:cstheme="minorHAnsi"/>
          <w:vertAlign w:val="superscript"/>
        </w:rPr>
        <w:t>,</w:t>
      </w:r>
      <w:r>
        <w:rPr>
          <w:rFonts w:cstheme="minorHAnsi"/>
          <w:vertAlign w:val="superscript"/>
        </w:rPr>
        <w:t>3</w:t>
      </w:r>
      <w:r w:rsidRPr="002D0E99">
        <w:rPr>
          <w:rFonts w:cstheme="minorHAnsi"/>
        </w:rPr>
        <w:t>,</w:t>
      </w:r>
      <w:r>
        <w:rPr>
          <w:rFonts w:cstheme="minorHAnsi"/>
        </w:rPr>
        <w:t xml:space="preserve"> </w:t>
      </w:r>
      <w:r w:rsidRPr="002D0E99">
        <w:rPr>
          <w:rFonts w:cstheme="minorHAnsi"/>
        </w:rPr>
        <w:t>Tan, M</w:t>
      </w:r>
      <w:r>
        <w:rPr>
          <w:rFonts w:cstheme="minorHAnsi"/>
          <w:vertAlign w:val="superscript"/>
        </w:rPr>
        <w:t>2</w:t>
      </w:r>
      <w:r w:rsidRPr="002D0E99">
        <w:rPr>
          <w:rFonts w:cstheme="minorHAnsi"/>
        </w:rPr>
        <w:t>., Rowland, E.</w:t>
      </w:r>
      <w:r>
        <w:rPr>
          <w:rFonts w:cstheme="minorHAnsi"/>
          <w:vertAlign w:val="superscript"/>
        </w:rPr>
        <w:t>4</w:t>
      </w:r>
      <w:r w:rsidRPr="002D0E99">
        <w:rPr>
          <w:rFonts w:cstheme="minorHAnsi"/>
        </w:rPr>
        <w:t xml:space="preserve">, </w:t>
      </w:r>
      <w:proofErr w:type="spellStart"/>
      <w:r>
        <w:rPr>
          <w:rFonts w:cstheme="minorHAnsi"/>
        </w:rPr>
        <w:t>F</w:t>
      </w:r>
      <w:r>
        <w:rPr>
          <w:rFonts w:ascii="u" w:hAnsi="u" w:cstheme="minorHAnsi"/>
        </w:rPr>
        <w:t>ü</w:t>
      </w:r>
      <w:r>
        <w:rPr>
          <w:rFonts w:cstheme="minorHAnsi"/>
        </w:rPr>
        <w:t>ssy</w:t>
      </w:r>
      <w:proofErr w:type="spellEnd"/>
      <w:r>
        <w:rPr>
          <w:rFonts w:cstheme="minorHAnsi"/>
        </w:rPr>
        <w:t>, Z.</w:t>
      </w:r>
      <w:r>
        <w:rPr>
          <w:rFonts w:cstheme="minorHAnsi"/>
          <w:vertAlign w:val="superscript"/>
        </w:rPr>
        <w:t>2</w:t>
      </w:r>
      <w:r w:rsidRPr="00A66A15">
        <w:rPr>
          <w:rFonts w:cstheme="minorHAnsi"/>
          <w:vertAlign w:val="superscript"/>
        </w:rPr>
        <w:t>,</w:t>
      </w:r>
      <w:r>
        <w:rPr>
          <w:rFonts w:cstheme="minorHAnsi"/>
          <w:vertAlign w:val="superscript"/>
        </w:rPr>
        <w:t>3,5</w:t>
      </w:r>
      <w:r>
        <w:rPr>
          <w:rFonts w:cstheme="minorHAnsi"/>
        </w:rPr>
        <w:t xml:space="preserve">, </w:t>
      </w:r>
      <w:proofErr w:type="spellStart"/>
      <w:r w:rsidRPr="002D0E99">
        <w:rPr>
          <w:rFonts w:cstheme="minorHAnsi"/>
        </w:rPr>
        <w:t>Venepally</w:t>
      </w:r>
      <w:proofErr w:type="spellEnd"/>
      <w:r w:rsidRPr="002D0E99">
        <w:rPr>
          <w:rFonts w:cstheme="minorHAnsi"/>
        </w:rPr>
        <w:t>, P.</w:t>
      </w:r>
      <w:r>
        <w:rPr>
          <w:rFonts w:cstheme="minorHAnsi"/>
          <w:vertAlign w:val="superscript"/>
        </w:rPr>
        <w:t>2</w:t>
      </w:r>
      <w:r>
        <w:rPr>
          <w:rFonts w:cstheme="minorHAnsi"/>
        </w:rPr>
        <w:t xml:space="preserve">, </w:t>
      </w:r>
      <w:r w:rsidRPr="00B04EE4">
        <w:rPr>
          <w:rFonts w:cstheme="minorHAnsi"/>
        </w:rPr>
        <w:t>Zheng</w:t>
      </w:r>
      <w:r w:rsidRPr="002D0E99">
        <w:rPr>
          <w:rFonts w:cstheme="minorHAnsi"/>
        </w:rPr>
        <w:t>, H.</w:t>
      </w:r>
      <w:r>
        <w:rPr>
          <w:rFonts w:cstheme="minorHAnsi"/>
          <w:vertAlign w:val="superscript"/>
        </w:rPr>
        <w:t>2</w:t>
      </w:r>
      <w:r>
        <w:rPr>
          <w:rFonts w:cstheme="minorHAnsi"/>
        </w:rPr>
        <w:t xml:space="preserve">, </w:t>
      </w:r>
      <w:proofErr w:type="spellStart"/>
      <w:r w:rsidRPr="002D0E99">
        <w:rPr>
          <w:rFonts w:cstheme="minorHAnsi"/>
        </w:rPr>
        <w:t>McCrow</w:t>
      </w:r>
      <w:proofErr w:type="spellEnd"/>
      <w:r w:rsidRPr="002D0E99">
        <w:rPr>
          <w:rFonts w:cstheme="minorHAnsi"/>
        </w:rPr>
        <w:t>, J.</w:t>
      </w:r>
      <w:r>
        <w:rPr>
          <w:rFonts w:cstheme="minorHAnsi"/>
          <w:vertAlign w:val="superscript"/>
        </w:rPr>
        <w:t>2</w:t>
      </w:r>
      <w:r w:rsidRPr="002D0E99">
        <w:rPr>
          <w:rFonts w:cstheme="minorHAnsi"/>
        </w:rPr>
        <w:t>, Bertrand, E. M.</w:t>
      </w:r>
      <w:r>
        <w:rPr>
          <w:rFonts w:cstheme="minorHAnsi"/>
          <w:vertAlign w:val="superscript"/>
        </w:rPr>
        <w:t>4</w:t>
      </w:r>
      <w:r w:rsidRPr="002D0E99">
        <w:rPr>
          <w:rFonts w:cstheme="minorHAnsi"/>
        </w:rPr>
        <w:t xml:space="preserve"> &amp; Allen, A.E.</w:t>
      </w:r>
      <w:r>
        <w:rPr>
          <w:rFonts w:cstheme="minorHAnsi"/>
          <w:vertAlign w:val="superscript"/>
        </w:rPr>
        <w:t>2</w:t>
      </w:r>
      <w:r w:rsidRPr="002D0E99">
        <w:rPr>
          <w:rFonts w:cstheme="minorHAnsi"/>
          <w:vertAlign w:val="superscript"/>
        </w:rPr>
        <w:t>,</w:t>
      </w:r>
      <w:r>
        <w:rPr>
          <w:rFonts w:cstheme="minorHAnsi"/>
          <w:vertAlign w:val="superscript"/>
        </w:rPr>
        <w:t>3</w:t>
      </w:r>
    </w:p>
    <w:p w14:paraId="20F11AA0" w14:textId="77777777" w:rsidR="00C01246" w:rsidRPr="00CE3E60" w:rsidRDefault="00C01246" w:rsidP="00C01246">
      <w:pPr>
        <w:pStyle w:val="NoSpacing"/>
        <w:rPr>
          <w:rFonts w:asciiTheme="minorHAnsi" w:hAnsiTheme="minorHAnsi" w:cstheme="minorHAnsi"/>
          <w:color w:val="000000" w:themeColor="text1"/>
          <w:szCs w:val="24"/>
          <w:lang w:val="es-US"/>
        </w:rPr>
      </w:pPr>
      <w:bookmarkStart w:id="0" w:name="_Hlk78656965"/>
      <w:r>
        <w:rPr>
          <w:rFonts w:asciiTheme="minorHAnsi" w:hAnsiTheme="minorHAnsi" w:cstheme="minorHAnsi"/>
          <w:color w:val="000000" w:themeColor="text1"/>
          <w:szCs w:val="24"/>
          <w:vertAlign w:val="superscript"/>
          <w:lang w:val="es-US"/>
        </w:rPr>
        <w:t>1</w:t>
      </w:r>
      <w:r>
        <w:rPr>
          <w:rFonts w:asciiTheme="minorHAnsi" w:hAnsiTheme="minorHAnsi" w:cstheme="minorHAnsi"/>
          <w:color w:val="000000" w:themeColor="text1"/>
          <w:szCs w:val="24"/>
          <w:lang w:val="es-US"/>
        </w:rPr>
        <w:t xml:space="preserve">Ocean </w:t>
      </w:r>
      <w:proofErr w:type="spellStart"/>
      <w:r>
        <w:rPr>
          <w:rFonts w:asciiTheme="minorHAnsi" w:hAnsiTheme="minorHAnsi" w:cstheme="minorHAnsi"/>
          <w:color w:val="000000" w:themeColor="text1"/>
          <w:szCs w:val="24"/>
          <w:lang w:val="es-US"/>
        </w:rPr>
        <w:t>Sciences</w:t>
      </w:r>
      <w:proofErr w:type="spellEnd"/>
      <w:r>
        <w:rPr>
          <w:rFonts w:asciiTheme="minorHAnsi" w:hAnsiTheme="minorHAnsi" w:cstheme="minorHAnsi"/>
          <w:color w:val="000000" w:themeColor="text1"/>
          <w:szCs w:val="24"/>
          <w:lang w:val="es-US"/>
        </w:rPr>
        <w:t xml:space="preserve"> </w:t>
      </w:r>
      <w:proofErr w:type="spellStart"/>
      <w:r>
        <w:rPr>
          <w:rFonts w:asciiTheme="minorHAnsi" w:hAnsiTheme="minorHAnsi" w:cstheme="minorHAnsi"/>
          <w:color w:val="000000" w:themeColor="text1"/>
          <w:szCs w:val="24"/>
          <w:lang w:val="es-US"/>
        </w:rPr>
        <w:t>Department</w:t>
      </w:r>
      <w:proofErr w:type="spellEnd"/>
      <w:r>
        <w:rPr>
          <w:rFonts w:asciiTheme="minorHAnsi" w:hAnsiTheme="minorHAnsi" w:cstheme="minorHAnsi"/>
          <w:color w:val="000000" w:themeColor="text1"/>
          <w:szCs w:val="24"/>
          <w:lang w:val="es-US"/>
        </w:rPr>
        <w:t xml:space="preserve">, </w:t>
      </w:r>
      <w:proofErr w:type="spellStart"/>
      <w:r>
        <w:rPr>
          <w:rFonts w:asciiTheme="minorHAnsi" w:hAnsiTheme="minorHAnsi" w:cstheme="minorHAnsi"/>
          <w:color w:val="000000" w:themeColor="text1"/>
          <w:szCs w:val="24"/>
          <w:lang w:val="es-US"/>
        </w:rPr>
        <w:t>University</w:t>
      </w:r>
      <w:proofErr w:type="spellEnd"/>
      <w:r>
        <w:rPr>
          <w:rFonts w:asciiTheme="minorHAnsi" w:hAnsiTheme="minorHAnsi" w:cstheme="minorHAnsi"/>
          <w:color w:val="000000" w:themeColor="text1"/>
          <w:szCs w:val="24"/>
          <w:lang w:val="es-US"/>
        </w:rPr>
        <w:t xml:space="preserve"> </w:t>
      </w:r>
      <w:proofErr w:type="spellStart"/>
      <w:r>
        <w:rPr>
          <w:rFonts w:asciiTheme="minorHAnsi" w:hAnsiTheme="minorHAnsi" w:cstheme="minorHAnsi"/>
          <w:color w:val="000000" w:themeColor="text1"/>
          <w:szCs w:val="24"/>
          <w:lang w:val="es-US"/>
        </w:rPr>
        <w:t>of</w:t>
      </w:r>
      <w:proofErr w:type="spellEnd"/>
      <w:r>
        <w:rPr>
          <w:rFonts w:asciiTheme="minorHAnsi" w:hAnsiTheme="minorHAnsi" w:cstheme="minorHAnsi"/>
          <w:color w:val="000000" w:themeColor="text1"/>
          <w:szCs w:val="24"/>
          <w:lang w:val="es-US"/>
        </w:rPr>
        <w:t xml:space="preserve"> California, Santa Cruz, Santa Cruz, CA 95064</w:t>
      </w:r>
    </w:p>
    <w:p w14:paraId="5C972418" w14:textId="77777777" w:rsidR="00C01246" w:rsidRPr="00AC21D9" w:rsidRDefault="00C01246" w:rsidP="00C01246">
      <w:pPr>
        <w:pStyle w:val="NoSpacing"/>
        <w:rPr>
          <w:rFonts w:asciiTheme="minorHAnsi" w:hAnsiTheme="minorHAnsi" w:cstheme="minorHAnsi"/>
          <w:szCs w:val="24"/>
          <w:lang w:val="en-GB"/>
        </w:rPr>
      </w:pPr>
    </w:p>
    <w:p w14:paraId="2D50A0DC" w14:textId="77777777" w:rsidR="00C01246" w:rsidRPr="002D0E99" w:rsidRDefault="00C01246" w:rsidP="00C01246">
      <w:pPr>
        <w:pStyle w:val="NoSpacing"/>
        <w:rPr>
          <w:rFonts w:asciiTheme="minorHAnsi" w:hAnsiTheme="minorHAnsi" w:cstheme="minorHAnsi"/>
          <w:szCs w:val="24"/>
          <w:lang w:val="en-GB"/>
        </w:rPr>
      </w:pPr>
      <w:r>
        <w:rPr>
          <w:rFonts w:asciiTheme="minorHAnsi" w:hAnsiTheme="minorHAnsi" w:cstheme="minorHAnsi"/>
          <w:szCs w:val="24"/>
          <w:vertAlign w:val="superscript"/>
          <w:lang w:val="en-GB"/>
        </w:rPr>
        <w:t>2</w:t>
      </w:r>
      <w:r w:rsidRPr="002D0E99">
        <w:rPr>
          <w:rFonts w:asciiTheme="minorHAnsi" w:hAnsiTheme="minorHAnsi" w:cstheme="minorHAnsi"/>
          <w:color w:val="000000" w:themeColor="text1"/>
          <w:szCs w:val="24"/>
          <w:lang w:val="en-GB"/>
        </w:rPr>
        <w:t>Microbial and Environmental Genomics, J. Craig Venter Institute, 4120 Capricorn Lane, La Jolla, CA, 92037, USA</w:t>
      </w:r>
    </w:p>
    <w:bookmarkEnd w:id="0"/>
    <w:p w14:paraId="0937E03B" w14:textId="77777777" w:rsidR="00C01246" w:rsidRDefault="00C01246" w:rsidP="00C01246">
      <w:pPr>
        <w:pStyle w:val="NoSpacing"/>
        <w:rPr>
          <w:rFonts w:asciiTheme="minorHAnsi" w:hAnsiTheme="minorHAnsi" w:cstheme="minorHAnsi"/>
          <w:szCs w:val="24"/>
          <w:lang w:val="en-GB"/>
        </w:rPr>
      </w:pPr>
      <w:r>
        <w:rPr>
          <w:rFonts w:asciiTheme="minorHAnsi" w:eastAsia="Times New Roman" w:hAnsiTheme="minorHAnsi" w:cstheme="minorHAnsi"/>
          <w:color w:val="000000" w:themeColor="text1"/>
          <w:vertAlign w:val="superscript"/>
        </w:rPr>
        <w:t>3</w:t>
      </w:r>
      <w:r w:rsidRPr="002D0E99">
        <w:rPr>
          <w:rFonts w:asciiTheme="minorHAnsi" w:hAnsiTheme="minorHAnsi" w:cstheme="minorHAnsi"/>
          <w:szCs w:val="24"/>
          <w:lang w:val="en-GB"/>
        </w:rPr>
        <w:t>Integrative Oceanography Division, Scripps Institution of Oceanography, University of California San Diego, 9500 Gilman Drive, La Jolla, CA, 92093 USA</w:t>
      </w:r>
    </w:p>
    <w:p w14:paraId="3FA1F5C6" w14:textId="77777777" w:rsidR="00C01246" w:rsidRDefault="00C01246" w:rsidP="00C01246">
      <w:pPr>
        <w:contextualSpacing/>
        <w:rPr>
          <w:rFonts w:cstheme="minorHAnsi"/>
          <w:color w:val="000000" w:themeColor="text1"/>
        </w:rPr>
      </w:pPr>
      <w:r w:rsidRPr="00955411">
        <w:rPr>
          <w:rFonts w:cstheme="minorHAnsi"/>
          <w:color w:val="000000" w:themeColor="text1"/>
          <w:vertAlign w:val="superscript"/>
        </w:rPr>
        <w:t>4</w:t>
      </w:r>
      <w:r w:rsidRPr="002D0E99">
        <w:rPr>
          <w:rFonts w:cstheme="minorHAnsi"/>
          <w:color w:val="000000" w:themeColor="text1"/>
        </w:rPr>
        <w:t>Department of Biology, Dalhousie University, 1355 Oxford St, Halifax, NS, Canada B3H 4R2</w:t>
      </w:r>
    </w:p>
    <w:p w14:paraId="435E8B90" w14:textId="77777777" w:rsidR="00C01246" w:rsidRDefault="00C01246" w:rsidP="00C01246">
      <w:pPr>
        <w:contextualSpacing/>
        <w:rPr>
          <w:rFonts w:eastAsia="Times New Roman"/>
          <w:color w:val="000000" w:themeColor="text1"/>
        </w:rPr>
      </w:pPr>
      <w:r>
        <w:rPr>
          <w:color w:val="000000" w:themeColor="text1"/>
          <w:vertAlign w:val="superscript"/>
        </w:rPr>
        <w:t>5</w:t>
      </w:r>
      <w:r w:rsidRPr="00B502AE">
        <w:rPr>
          <w:rFonts w:eastAsia="Times New Roman"/>
          <w:color w:val="000000" w:themeColor="text1"/>
        </w:rPr>
        <w:t>Faculty of Science, </w:t>
      </w:r>
      <w:r>
        <w:rPr>
          <w:rFonts w:eastAsia="Times New Roman"/>
          <w:color w:val="000000" w:themeColor="text1"/>
        </w:rPr>
        <w:t xml:space="preserve">Department of Chemistry, </w:t>
      </w:r>
      <w:r w:rsidRPr="00B502AE">
        <w:rPr>
          <w:rFonts w:eastAsia="Times New Roman"/>
          <w:color w:val="000000" w:themeColor="text1"/>
        </w:rPr>
        <w:t xml:space="preserve">University of South Bohemia, 370 05 </w:t>
      </w:r>
      <w:proofErr w:type="spellStart"/>
      <w:r w:rsidRPr="00B502AE">
        <w:rPr>
          <w:rFonts w:eastAsia="Times New Roman"/>
          <w:color w:val="000000" w:themeColor="text1"/>
        </w:rPr>
        <w:t>České</w:t>
      </w:r>
      <w:proofErr w:type="spellEnd"/>
      <w:r w:rsidRPr="00B502AE">
        <w:rPr>
          <w:rFonts w:eastAsia="Times New Roman"/>
          <w:color w:val="000000" w:themeColor="text1"/>
        </w:rPr>
        <w:t xml:space="preserve"> Budějovice, CZ</w:t>
      </w:r>
    </w:p>
    <w:p w14:paraId="4CD8D9E5" w14:textId="77777777" w:rsidR="00C01246" w:rsidRDefault="00C01246" w:rsidP="00C01246">
      <w:pPr>
        <w:spacing w:line="480" w:lineRule="auto"/>
        <w:jc w:val="center"/>
        <w:rPr>
          <w:rFonts w:cstheme="minorHAnsi"/>
          <w:b/>
        </w:rPr>
      </w:pPr>
    </w:p>
    <w:p w14:paraId="6AA7EA9C" w14:textId="2C1A7904" w:rsidR="00C01246" w:rsidRDefault="00C01246">
      <w:pPr>
        <w:spacing w:after="160" w:line="278" w:lineRule="auto"/>
      </w:pPr>
      <w:r>
        <w:br w:type="page"/>
      </w:r>
    </w:p>
    <w:p w14:paraId="0EA146A7" w14:textId="51E52238" w:rsidR="00C01246" w:rsidRDefault="00C01246">
      <w:r w:rsidRPr="00C01246">
        <w:rPr>
          <w:noProof/>
        </w:rPr>
        <w:lastRenderedPageBreak/>
        <w:drawing>
          <wp:inline distT="0" distB="0" distL="0" distR="0" wp14:anchorId="5E5E9615" wp14:editId="6CC88C92">
            <wp:extent cx="5943471" cy="4118610"/>
            <wp:effectExtent l="0" t="0" r="635" b="0"/>
            <wp:docPr id="6" name="Picture 5">
              <a:extLst xmlns:a="http://schemas.openxmlformats.org/drawingml/2006/main">
                <a:ext uri="{FF2B5EF4-FFF2-40B4-BE49-F238E27FC236}">
                  <a16:creationId xmlns:a16="http://schemas.microsoft.com/office/drawing/2014/main" id="{4989E9D2-ECBE-36AF-3CA7-1C844CEED0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989E9D2-ECBE-36AF-3CA7-1C844CEED0D9}"/>
                        </a:ext>
                      </a:extLst>
                    </pic:cNvPr>
                    <pic:cNvPicPr>
                      <a:picLocks noChangeAspect="1"/>
                    </pic:cNvPicPr>
                  </pic:nvPicPr>
                  <pic:blipFill>
                    <a:blip r:embed="rId4">
                      <a:extLst>
                        <a:ext uri="{96DAC541-7B7A-43D3-8B79-37D633B846F1}">
                          <asvg:svgBlip xmlns:asvg="http://schemas.microsoft.com/office/drawing/2016/SVG/main" r:embed="rId5"/>
                        </a:ext>
                      </a:extLst>
                    </a:blip>
                    <a:stretch>
                      <a:fillRect/>
                    </a:stretch>
                  </pic:blipFill>
                  <pic:spPr>
                    <a:xfrm>
                      <a:off x="0" y="0"/>
                      <a:ext cx="5943471" cy="4118610"/>
                    </a:xfrm>
                    <a:prstGeom prst="rect">
                      <a:avLst/>
                    </a:prstGeom>
                  </pic:spPr>
                </pic:pic>
              </a:graphicData>
            </a:graphic>
          </wp:inline>
        </w:drawing>
      </w:r>
    </w:p>
    <w:p w14:paraId="52C3ECAD" w14:textId="77777777" w:rsidR="00C01246" w:rsidRPr="00C01246" w:rsidRDefault="00C01246" w:rsidP="00C01246">
      <w:r w:rsidRPr="00C01246">
        <w:rPr>
          <w:b/>
          <w:bCs/>
        </w:rPr>
        <w:t>Extended Data Fig.1 a</w:t>
      </w:r>
      <w:r w:rsidRPr="00C01246">
        <w:t xml:space="preserve">, Growth in pre-experiment cultures used to determine exponential growth phase by fluorescence (relative fluorescence units, RFU). Points represent mean RFU of triplicate cultures with error bars showing ± 1 SD. </w:t>
      </w:r>
      <w:r w:rsidRPr="00C01246">
        <w:rPr>
          <w:b/>
          <w:bCs/>
        </w:rPr>
        <w:t>b</w:t>
      </w:r>
      <w:r w:rsidRPr="00C01246">
        <w:t xml:space="preserve">, Growth of cells in experimental bottles prior to initiation of the experiment at Day 0. Points represent mean RFU of triplicate cultures with error bars showing ± 1 SD. </w:t>
      </w:r>
      <w:r w:rsidRPr="00C01246">
        <w:rPr>
          <w:b/>
          <w:bCs/>
        </w:rPr>
        <w:t xml:space="preserve">c-j, </w:t>
      </w:r>
      <w:r w:rsidRPr="00C01246">
        <w:t>Cellular quotas at the three major time points for carbon (</w:t>
      </w:r>
      <w:proofErr w:type="spellStart"/>
      <w:proofErr w:type="gramStart"/>
      <w:r w:rsidRPr="00C01246">
        <w:rPr>
          <w:b/>
          <w:bCs/>
        </w:rPr>
        <w:t>c,d</w:t>
      </w:r>
      <w:proofErr w:type="spellEnd"/>
      <w:proofErr w:type="gramEnd"/>
      <w:r w:rsidRPr="00C01246">
        <w:t>)</w:t>
      </w:r>
      <w:r w:rsidRPr="00C01246">
        <w:rPr>
          <w:b/>
          <w:bCs/>
        </w:rPr>
        <w:t>,</w:t>
      </w:r>
      <w:r w:rsidRPr="00C01246">
        <w:t xml:space="preserve"> nitrogen (</w:t>
      </w:r>
      <w:r w:rsidRPr="00C01246">
        <w:rPr>
          <w:b/>
          <w:bCs/>
        </w:rPr>
        <w:t>e, f</w:t>
      </w:r>
      <w:proofErr w:type="gramStart"/>
      <w:r w:rsidRPr="00C01246">
        <w:t>) ,</w:t>
      </w:r>
      <w:proofErr w:type="gramEnd"/>
      <w:r w:rsidRPr="00C01246">
        <w:t xml:space="preserve"> chlorophyll </w:t>
      </w:r>
      <w:r w:rsidRPr="0045579C">
        <w:rPr>
          <w:i/>
          <w:iCs/>
        </w:rPr>
        <w:t>a</w:t>
      </w:r>
      <w:r w:rsidRPr="00C01246">
        <w:t xml:space="preserve"> (</w:t>
      </w:r>
      <w:r w:rsidRPr="00C01246">
        <w:rPr>
          <w:b/>
          <w:bCs/>
        </w:rPr>
        <w:t>g, h</w:t>
      </w:r>
      <w:proofErr w:type="gramStart"/>
      <w:r w:rsidRPr="00C01246">
        <w:t>) ,</w:t>
      </w:r>
      <w:proofErr w:type="gramEnd"/>
      <w:r w:rsidRPr="00C01246">
        <w:t xml:space="preserve"> and Fe (</w:t>
      </w:r>
      <w:proofErr w:type="spellStart"/>
      <w:r w:rsidRPr="00C01246">
        <w:rPr>
          <w:b/>
          <w:bCs/>
        </w:rPr>
        <w:t>i</w:t>
      </w:r>
      <w:proofErr w:type="spellEnd"/>
      <w:r w:rsidRPr="00C01246">
        <w:rPr>
          <w:b/>
          <w:bCs/>
        </w:rPr>
        <w:t>, j</w:t>
      </w:r>
      <w:proofErr w:type="gramStart"/>
      <w:r w:rsidRPr="00C01246">
        <w:t>) .</w:t>
      </w:r>
      <w:proofErr w:type="gramEnd"/>
      <w:r w:rsidRPr="00C01246">
        <w:t xml:space="preserve"> High light treatments are in orange, low light in blue. Bars show </w:t>
      </w:r>
      <w:proofErr w:type="gramStart"/>
      <w:r w:rsidRPr="00C01246">
        <w:t>mean</w:t>
      </w:r>
      <w:proofErr w:type="gramEnd"/>
      <w:r w:rsidRPr="00C01246">
        <w:t xml:space="preserve"> of biological triplicate cultures and error bars represent ± 1 SD. Letters indicate groups that are not significantly different from each other, based on pairwise comparisons within the same timepoint and light level, * indicates significant differences between the light levels at a given timepoint and Fe (Welch’s t-test, P&lt;0.05). </w:t>
      </w:r>
    </w:p>
    <w:p w14:paraId="523E43DD" w14:textId="5451289C" w:rsidR="00C01246" w:rsidRDefault="00C01246">
      <w:pPr>
        <w:spacing w:after="160" w:line="278" w:lineRule="auto"/>
      </w:pPr>
      <w:r>
        <w:br w:type="page"/>
      </w:r>
    </w:p>
    <w:p w14:paraId="488FD624" w14:textId="1AB8D5B8" w:rsidR="00C01246" w:rsidRDefault="00C01246">
      <w:r w:rsidRPr="00C01246">
        <w:rPr>
          <w:noProof/>
        </w:rPr>
        <w:lastRenderedPageBreak/>
        <w:drawing>
          <wp:inline distT="0" distB="0" distL="0" distR="0" wp14:anchorId="3FEBB6AE" wp14:editId="09BE9F50">
            <wp:extent cx="4627359" cy="5338443"/>
            <wp:effectExtent l="0" t="0" r="1905" b="0"/>
            <wp:docPr id="4" name="Picture 3">
              <a:extLst xmlns:a="http://schemas.openxmlformats.org/drawingml/2006/main">
                <a:ext uri="{FF2B5EF4-FFF2-40B4-BE49-F238E27FC236}">
                  <a16:creationId xmlns:a16="http://schemas.microsoft.com/office/drawing/2014/main" id="{0E2BB2EE-9A24-8142-A2BE-3A1E4075A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E2BB2EE-9A24-8142-A2BE-3A1E4075A37A}"/>
                        </a:ext>
                      </a:extLst>
                    </pic:cNvPr>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0" y="0"/>
                      <a:ext cx="4627359" cy="5338443"/>
                    </a:xfrm>
                    <a:prstGeom prst="rect">
                      <a:avLst/>
                    </a:prstGeom>
                  </pic:spPr>
                </pic:pic>
              </a:graphicData>
            </a:graphic>
          </wp:inline>
        </w:drawing>
      </w:r>
    </w:p>
    <w:p w14:paraId="1C8F538C" w14:textId="77777777" w:rsidR="00C01246" w:rsidRPr="00C01246" w:rsidRDefault="00C01246" w:rsidP="00C01246">
      <w:r w:rsidRPr="00C01246">
        <w:rPr>
          <w:b/>
          <w:bCs/>
        </w:rPr>
        <w:t xml:space="preserve">Extended Data Fig.2 </w:t>
      </w:r>
      <w:r w:rsidRPr="00C01246">
        <w:t xml:space="preserve">Ratios of chlorophyll </w:t>
      </w:r>
      <w:r w:rsidRPr="0045579C">
        <w:rPr>
          <w:i/>
          <w:iCs/>
        </w:rPr>
        <w:t>a</w:t>
      </w:r>
      <w:r w:rsidRPr="00C01246">
        <w:t xml:space="preserve"> to iron (</w:t>
      </w:r>
      <w:proofErr w:type="spellStart"/>
      <w:proofErr w:type="gramStart"/>
      <w:r w:rsidRPr="00C01246">
        <w:rPr>
          <w:b/>
          <w:bCs/>
        </w:rPr>
        <w:t>a,b</w:t>
      </w:r>
      <w:proofErr w:type="spellEnd"/>
      <w:proofErr w:type="gramEnd"/>
      <w:r w:rsidRPr="00C01246">
        <w:t>), cellular copper quotas (</w:t>
      </w:r>
      <w:proofErr w:type="spellStart"/>
      <w:proofErr w:type="gramStart"/>
      <w:r w:rsidRPr="00C01246">
        <w:rPr>
          <w:b/>
          <w:bCs/>
        </w:rPr>
        <w:t>c,d</w:t>
      </w:r>
      <w:proofErr w:type="spellEnd"/>
      <w:proofErr w:type="gramEnd"/>
      <w:r w:rsidRPr="00C01246">
        <w:t>), and ratios of copper to carbon (</w:t>
      </w:r>
      <w:proofErr w:type="spellStart"/>
      <w:proofErr w:type="gramStart"/>
      <w:r w:rsidRPr="00C01246">
        <w:rPr>
          <w:b/>
          <w:bCs/>
        </w:rPr>
        <w:t>e,f</w:t>
      </w:r>
      <w:proofErr w:type="spellEnd"/>
      <w:proofErr w:type="gramEnd"/>
      <w:r w:rsidRPr="00C01246">
        <w:t xml:space="preserve">) at the three major time points. High light treatments are in orange, low light in blue. Bars show </w:t>
      </w:r>
      <w:proofErr w:type="gramStart"/>
      <w:r w:rsidRPr="00C01246">
        <w:t>mean</w:t>
      </w:r>
      <w:proofErr w:type="gramEnd"/>
      <w:r w:rsidRPr="00C01246">
        <w:t xml:space="preserve"> of biological triplicate cultures and error bars represent ± 1 SD. Letters indicate groups that are not significantly different from each other, based on pairwise comparisons within the same timepoint and light level, * indicates significant differences between the light levels at a given timepoint and Fe (Welch’s t-test, P&lt;0.05). </w:t>
      </w:r>
    </w:p>
    <w:p w14:paraId="55B1FC79" w14:textId="10792216" w:rsidR="00C01246" w:rsidRDefault="00C01246">
      <w:pPr>
        <w:spacing w:after="160" w:line="278" w:lineRule="auto"/>
      </w:pPr>
      <w:r>
        <w:br w:type="page"/>
      </w:r>
    </w:p>
    <w:p w14:paraId="121D721F" w14:textId="0AC79E29" w:rsidR="00C01246" w:rsidRDefault="00C01246">
      <w:r>
        <w:rPr>
          <w:noProof/>
        </w:rPr>
        <w:lastRenderedPageBreak/>
        <w:drawing>
          <wp:inline distT="0" distB="0" distL="0" distR="0" wp14:anchorId="20AAAD44" wp14:editId="3DF378FC">
            <wp:extent cx="5998780" cy="5235674"/>
            <wp:effectExtent l="0" t="0" r="2540" b="0"/>
            <wp:docPr id="1126180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5782" cy="5250513"/>
                    </a:xfrm>
                    <a:prstGeom prst="rect">
                      <a:avLst/>
                    </a:prstGeom>
                    <a:noFill/>
                  </pic:spPr>
                </pic:pic>
              </a:graphicData>
            </a:graphic>
          </wp:inline>
        </w:drawing>
      </w:r>
    </w:p>
    <w:p w14:paraId="1176F6C0" w14:textId="0C776880" w:rsidR="00C01246" w:rsidRDefault="00C01246" w:rsidP="00C01246">
      <w:r w:rsidRPr="00C01246">
        <w:rPr>
          <w:b/>
          <w:bCs/>
        </w:rPr>
        <w:t xml:space="preserve">Extended Data Fig.3 a, </w:t>
      </w:r>
      <w:r w:rsidRPr="00C01246">
        <w:t xml:space="preserve">Heatmap showing average CPM transcript abundance (row-normalized) of differentially expressed genes across the diel cycle, grouped by </w:t>
      </w:r>
      <w:proofErr w:type="spellStart"/>
      <w:r w:rsidRPr="00C01246">
        <w:t>EdgeR</w:t>
      </w:r>
      <w:proofErr w:type="spellEnd"/>
      <w:r w:rsidRPr="00C01246">
        <w:t xml:space="preserve"> response type. Orange brackets indicate high light treatments and blue brackets show low light. Orange arrows show </w:t>
      </w:r>
      <w:proofErr w:type="gramStart"/>
      <w:r w:rsidRPr="00C01246">
        <w:t>day time</w:t>
      </w:r>
      <w:proofErr w:type="gramEnd"/>
      <w:r w:rsidRPr="00C01246">
        <w:t xml:space="preserve"> points and blue arrows show </w:t>
      </w:r>
      <w:proofErr w:type="gramStart"/>
      <w:r w:rsidRPr="00C01246">
        <w:t>night time</w:t>
      </w:r>
      <w:proofErr w:type="gramEnd"/>
      <w:r w:rsidRPr="00C01246">
        <w:t xml:space="preserve"> points. Numbers indicate total number of genes in each response type. </w:t>
      </w:r>
      <w:r w:rsidRPr="00C01246">
        <w:rPr>
          <w:b/>
          <w:bCs/>
        </w:rPr>
        <w:t xml:space="preserve">b, </w:t>
      </w:r>
      <w:proofErr w:type="spellStart"/>
      <w:proofErr w:type="gramStart"/>
      <w:r w:rsidRPr="00C01246">
        <w:t>UpSet</w:t>
      </w:r>
      <w:proofErr w:type="spellEnd"/>
      <w:proofErr w:type="gramEnd"/>
      <w:r w:rsidRPr="00C01246">
        <w:t xml:space="preserve"> plot showing intersections of Fe and light response types from day samples only. </w:t>
      </w:r>
      <w:r w:rsidRPr="00C01246">
        <w:rPr>
          <w:b/>
          <w:bCs/>
        </w:rPr>
        <w:t xml:space="preserve">c, </w:t>
      </w:r>
      <w:r w:rsidRPr="00C01246">
        <w:t xml:space="preserve">same as b but for night samples. </w:t>
      </w:r>
      <w:r w:rsidRPr="00C01246">
        <w:rPr>
          <w:b/>
          <w:bCs/>
        </w:rPr>
        <w:t>d</w:t>
      </w:r>
      <w:r w:rsidRPr="00C01246">
        <w:t xml:space="preserve">, Heatmap showing Euclidean distances between all protein samples. </w:t>
      </w:r>
      <w:proofErr w:type="gramStart"/>
      <w:r w:rsidRPr="00C01246">
        <w:t>Mean</w:t>
      </w:r>
      <w:proofErr w:type="gramEnd"/>
      <w:r w:rsidRPr="00C01246">
        <w:t xml:space="preserve"> normalized protein quantities for each set of triplicate samples were used to calculate distances.</w:t>
      </w:r>
    </w:p>
    <w:p w14:paraId="6F9A0D8A" w14:textId="66F9136C" w:rsidR="00C01246" w:rsidRDefault="00C01246">
      <w:pPr>
        <w:spacing w:after="160" w:line="278" w:lineRule="auto"/>
      </w:pPr>
      <w:r>
        <w:br w:type="page"/>
      </w:r>
    </w:p>
    <w:p w14:paraId="7C6AF0F8" w14:textId="7F046DB5" w:rsidR="00C01246" w:rsidRPr="00C01246" w:rsidRDefault="00C01246" w:rsidP="00C01246">
      <w:r>
        <w:rPr>
          <w:noProof/>
        </w:rPr>
        <w:lastRenderedPageBreak/>
        <w:drawing>
          <wp:inline distT="0" distB="0" distL="0" distR="0" wp14:anchorId="4FC1943C" wp14:editId="725EDF7A">
            <wp:extent cx="5018986" cy="6142945"/>
            <wp:effectExtent l="0" t="0" r="0" b="0"/>
            <wp:docPr id="1860249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5415" cy="6150813"/>
                    </a:xfrm>
                    <a:prstGeom prst="rect">
                      <a:avLst/>
                    </a:prstGeom>
                    <a:noFill/>
                  </pic:spPr>
                </pic:pic>
              </a:graphicData>
            </a:graphic>
          </wp:inline>
        </w:drawing>
      </w:r>
    </w:p>
    <w:p w14:paraId="5BAFB870" w14:textId="155E044B" w:rsidR="00C01246" w:rsidRPr="00C01246" w:rsidRDefault="00C01246" w:rsidP="00C01246">
      <w:r w:rsidRPr="00C01246">
        <w:rPr>
          <w:b/>
          <w:bCs/>
        </w:rPr>
        <w:t xml:space="preserve">Extended Data Fig.4 </w:t>
      </w:r>
      <w:r w:rsidRPr="00C01246">
        <w:t xml:space="preserve">Heatmap showing average CPM transcript abundance of selected genes across the diel cycle. Orange brackets indicate high light treatments and blue brackets show low light. Orange arrows show </w:t>
      </w:r>
      <w:proofErr w:type="gramStart"/>
      <w:r w:rsidRPr="00C01246">
        <w:t>day time</w:t>
      </w:r>
      <w:proofErr w:type="gramEnd"/>
      <w:r w:rsidRPr="00C01246">
        <w:t xml:space="preserve"> points and blue arrows show </w:t>
      </w:r>
      <w:proofErr w:type="gramStart"/>
      <w:r w:rsidRPr="00C01246">
        <w:t>night time</w:t>
      </w:r>
      <w:proofErr w:type="gramEnd"/>
      <w:r w:rsidRPr="00C01246">
        <w:t xml:space="preserve"> points. </w:t>
      </w:r>
      <w:r w:rsidRPr="00C01246">
        <w:rPr>
          <w:i/>
          <w:iCs/>
        </w:rPr>
        <w:t>amt7</w:t>
      </w:r>
      <w:r w:rsidRPr="00C01246">
        <w:t xml:space="preserve">, ammonia transporter; </w:t>
      </w:r>
      <w:proofErr w:type="spellStart"/>
      <w:r w:rsidRPr="00C01246">
        <w:rPr>
          <w:i/>
          <w:iCs/>
        </w:rPr>
        <w:t>arg</w:t>
      </w:r>
      <w:proofErr w:type="spellEnd"/>
      <w:r w:rsidRPr="00C01246">
        <w:t xml:space="preserve">, arginase; </w:t>
      </w:r>
      <w:proofErr w:type="spellStart"/>
      <w:r>
        <w:rPr>
          <w:i/>
          <w:iCs/>
        </w:rPr>
        <w:t>a</w:t>
      </w:r>
      <w:r w:rsidRPr="00C01246">
        <w:rPr>
          <w:i/>
          <w:iCs/>
        </w:rPr>
        <w:t>SuS</w:t>
      </w:r>
      <w:proofErr w:type="spellEnd"/>
      <w:r w:rsidRPr="00C01246">
        <w:t xml:space="preserve">, </w:t>
      </w:r>
      <w:proofErr w:type="spellStart"/>
      <w:r w:rsidRPr="00C01246">
        <w:t>argininosuccinate</w:t>
      </w:r>
      <w:proofErr w:type="spellEnd"/>
      <w:r w:rsidRPr="00C01246">
        <w:t xml:space="preserve"> synthase; </w:t>
      </w:r>
      <w:r w:rsidRPr="00C01246">
        <w:rPr>
          <w:i/>
          <w:iCs/>
        </w:rPr>
        <w:t>β-ca</w:t>
      </w:r>
      <w:r w:rsidRPr="00C01246">
        <w:t xml:space="preserve">, carbonic anhydrase; </w:t>
      </w:r>
      <w:proofErr w:type="spellStart"/>
      <w:r w:rsidRPr="00C01246">
        <w:rPr>
          <w:i/>
          <w:iCs/>
        </w:rPr>
        <w:t>cyc</w:t>
      </w:r>
      <w:proofErr w:type="spellEnd"/>
      <w:r w:rsidRPr="00C01246">
        <w:rPr>
          <w:i/>
          <w:iCs/>
        </w:rPr>
        <w:t xml:space="preserve"> ox.</w:t>
      </w:r>
      <w:r w:rsidRPr="00C01246">
        <w:t xml:space="preserve">, cytochrome c oxidase; </w:t>
      </w:r>
      <w:r w:rsidRPr="00C01246">
        <w:rPr>
          <w:i/>
          <w:iCs/>
        </w:rPr>
        <w:t>cyc1</w:t>
      </w:r>
      <w:r w:rsidRPr="00C01246">
        <w:t xml:space="preserve">, cytochrome c; </w:t>
      </w:r>
      <w:proofErr w:type="spellStart"/>
      <w:r w:rsidRPr="00C01246">
        <w:rPr>
          <w:i/>
          <w:iCs/>
        </w:rPr>
        <w:t>cyt</w:t>
      </w:r>
      <w:r>
        <w:rPr>
          <w:i/>
          <w:iCs/>
        </w:rPr>
        <w:t>B</w:t>
      </w:r>
      <w:proofErr w:type="spellEnd"/>
      <w:r w:rsidRPr="00C01246">
        <w:t xml:space="preserve">, cytochrome b6; </w:t>
      </w:r>
      <w:r w:rsidRPr="00C01246">
        <w:rPr>
          <w:i/>
          <w:iCs/>
        </w:rPr>
        <w:t>dur3</w:t>
      </w:r>
      <w:r w:rsidRPr="00C01246">
        <w:t xml:space="preserve">, urea-proton symporter; </w:t>
      </w:r>
      <w:proofErr w:type="spellStart"/>
      <w:r w:rsidRPr="00C01246">
        <w:rPr>
          <w:i/>
          <w:iCs/>
        </w:rPr>
        <w:t>fba</w:t>
      </w:r>
      <w:proofErr w:type="spellEnd"/>
      <w:r w:rsidRPr="00C01246">
        <w:rPr>
          <w:i/>
          <w:iCs/>
        </w:rPr>
        <w:t xml:space="preserve"> I</w:t>
      </w:r>
      <w:r w:rsidRPr="00C01246">
        <w:t xml:space="preserve">, fructose bisphosphate aldolase class I; </w:t>
      </w:r>
      <w:proofErr w:type="spellStart"/>
      <w:r w:rsidRPr="00C01246">
        <w:rPr>
          <w:i/>
          <w:iCs/>
        </w:rPr>
        <w:t>fba</w:t>
      </w:r>
      <w:proofErr w:type="spellEnd"/>
      <w:r w:rsidRPr="00C01246">
        <w:rPr>
          <w:i/>
          <w:iCs/>
        </w:rPr>
        <w:t xml:space="preserve"> II</w:t>
      </w:r>
      <w:r w:rsidRPr="00C01246">
        <w:t xml:space="preserve">, fructose bisphosphate aldolase class II; </w:t>
      </w:r>
      <w:proofErr w:type="spellStart"/>
      <w:r w:rsidRPr="00C01246">
        <w:rPr>
          <w:i/>
          <w:iCs/>
        </w:rPr>
        <w:t>fbac</w:t>
      </w:r>
      <w:proofErr w:type="spellEnd"/>
      <w:r w:rsidRPr="00C01246">
        <w:t xml:space="preserve">, fructose bisphosphate aldolase class I; </w:t>
      </w:r>
      <w:proofErr w:type="spellStart"/>
      <w:r w:rsidRPr="00C01246">
        <w:rPr>
          <w:i/>
          <w:iCs/>
        </w:rPr>
        <w:t>fbp</w:t>
      </w:r>
      <w:proofErr w:type="spellEnd"/>
      <w:r w:rsidRPr="00C01246">
        <w:t xml:space="preserve">, fructose </w:t>
      </w:r>
      <w:proofErr w:type="spellStart"/>
      <w:r w:rsidRPr="00C01246">
        <w:t>bisphosphatase</w:t>
      </w:r>
      <w:proofErr w:type="spellEnd"/>
      <w:r w:rsidRPr="00C01246">
        <w:t xml:space="preserve">; </w:t>
      </w:r>
      <w:proofErr w:type="spellStart"/>
      <w:r w:rsidRPr="00C01246">
        <w:rPr>
          <w:i/>
          <w:iCs/>
        </w:rPr>
        <w:t>fd</w:t>
      </w:r>
      <w:proofErr w:type="spellEnd"/>
      <w:r w:rsidRPr="00C01246">
        <w:t xml:space="preserve">, ferredoxin; </w:t>
      </w:r>
      <w:proofErr w:type="spellStart"/>
      <w:r w:rsidRPr="00C01246">
        <w:rPr>
          <w:i/>
          <w:iCs/>
        </w:rPr>
        <w:t>fd-nir</w:t>
      </w:r>
      <w:proofErr w:type="spellEnd"/>
      <w:r w:rsidRPr="00C01246">
        <w:t xml:space="preserve">, nitrite reductase - ferredoxin; </w:t>
      </w:r>
      <w:r w:rsidRPr="00C01246">
        <w:rPr>
          <w:i/>
          <w:iCs/>
        </w:rPr>
        <w:t>sod</w:t>
      </w:r>
      <w:r>
        <w:t xml:space="preserve"> (</w:t>
      </w:r>
      <w:r w:rsidRPr="00C01246">
        <w:t>Fe/Mn</w:t>
      </w:r>
      <w:r>
        <w:t>)</w:t>
      </w:r>
      <w:r w:rsidRPr="00C01246">
        <w:t xml:space="preserve">, Fe/Mn superoxide dismutase; </w:t>
      </w:r>
      <w:proofErr w:type="spellStart"/>
      <w:r w:rsidRPr="00C01246">
        <w:rPr>
          <w:i/>
          <w:iCs/>
        </w:rPr>
        <w:t>feABC</w:t>
      </w:r>
      <w:proofErr w:type="spellEnd"/>
      <w:r w:rsidRPr="00C01246">
        <w:t xml:space="preserve">,  </w:t>
      </w:r>
      <w:proofErr w:type="spellStart"/>
      <w:r w:rsidRPr="00C01246">
        <w:t>ferrichrome</w:t>
      </w:r>
      <w:proofErr w:type="spellEnd"/>
      <w:r w:rsidRPr="00C01246">
        <w:t xml:space="preserve"> ABC transporter-like protein; </w:t>
      </w:r>
      <w:proofErr w:type="spellStart"/>
      <w:r w:rsidRPr="00C01246">
        <w:rPr>
          <w:i/>
          <w:iCs/>
        </w:rPr>
        <w:t>flav</w:t>
      </w:r>
      <w:proofErr w:type="spellEnd"/>
      <w:r w:rsidRPr="00C01246">
        <w:t xml:space="preserve">, flavodoxin; </w:t>
      </w:r>
      <w:proofErr w:type="spellStart"/>
      <w:r w:rsidRPr="00C01246">
        <w:rPr>
          <w:i/>
          <w:iCs/>
        </w:rPr>
        <w:t>fnr</w:t>
      </w:r>
      <w:proofErr w:type="spellEnd"/>
      <w:r w:rsidRPr="00C01246">
        <w:t xml:space="preserve">, ferredoxin NADP+ reductase; </w:t>
      </w:r>
      <w:proofErr w:type="spellStart"/>
      <w:r w:rsidRPr="00C01246">
        <w:rPr>
          <w:i/>
          <w:iCs/>
        </w:rPr>
        <w:t>fnt</w:t>
      </w:r>
      <w:proofErr w:type="spellEnd"/>
      <w:r w:rsidRPr="00C01246">
        <w:t xml:space="preserve">, </w:t>
      </w:r>
      <w:proofErr w:type="spellStart"/>
      <w:r w:rsidRPr="00C01246">
        <w:t>formate</w:t>
      </w:r>
      <w:proofErr w:type="spellEnd"/>
      <w:r w:rsidRPr="00C01246">
        <w:t xml:space="preserve"> nitrite transporter; </w:t>
      </w:r>
      <w:proofErr w:type="spellStart"/>
      <w:r w:rsidRPr="00C01246">
        <w:rPr>
          <w:i/>
          <w:iCs/>
        </w:rPr>
        <w:t>fre</w:t>
      </w:r>
      <w:proofErr w:type="spellEnd"/>
      <w:r w:rsidRPr="00C01246">
        <w:t xml:space="preserve">, ferric reductase ; </w:t>
      </w:r>
      <w:proofErr w:type="spellStart"/>
      <w:r w:rsidRPr="00C01246">
        <w:rPr>
          <w:i/>
          <w:iCs/>
        </w:rPr>
        <w:t>gcpE</w:t>
      </w:r>
      <w:proofErr w:type="spellEnd"/>
      <w:r w:rsidRPr="00C01246">
        <w:t xml:space="preserve">, (E)-4-hydroxy-3-methylbut-2-enyl-diphosphate synthase; </w:t>
      </w:r>
      <w:proofErr w:type="spellStart"/>
      <w:r w:rsidRPr="00C01246">
        <w:rPr>
          <w:i/>
          <w:iCs/>
        </w:rPr>
        <w:t>gs</w:t>
      </w:r>
      <w:proofErr w:type="spellEnd"/>
      <w:r w:rsidRPr="00C01246">
        <w:t xml:space="preserve">, glutamate </w:t>
      </w:r>
      <w:r w:rsidRPr="00C01246">
        <w:lastRenderedPageBreak/>
        <w:t xml:space="preserve">synthetase; </w:t>
      </w:r>
      <w:r w:rsidRPr="00C01246">
        <w:rPr>
          <w:i/>
          <w:iCs/>
        </w:rPr>
        <w:t>isc1</w:t>
      </w:r>
      <w:r w:rsidRPr="00C01246">
        <w:t xml:space="preserve">, Fe-S assembly protein; </w:t>
      </w:r>
      <w:r w:rsidRPr="00C01246">
        <w:rPr>
          <w:i/>
          <w:iCs/>
        </w:rPr>
        <w:t>isip3</w:t>
      </w:r>
      <w:r w:rsidRPr="00C01246">
        <w:t xml:space="preserve">, iron starvation induced protein 3; </w:t>
      </w:r>
      <w:r w:rsidRPr="00C01246">
        <w:rPr>
          <w:i/>
          <w:iCs/>
        </w:rPr>
        <w:t>lhc23</w:t>
      </w:r>
      <w:r w:rsidRPr="00C01246">
        <w:t xml:space="preserve">, putative plastid light harvesting protein isoform 23; </w:t>
      </w:r>
      <w:r w:rsidRPr="00C01246">
        <w:rPr>
          <w:i/>
          <w:iCs/>
        </w:rPr>
        <w:t>lhc53</w:t>
      </w:r>
      <w:r w:rsidRPr="00C01246">
        <w:t xml:space="preserve">, putative plastid light harvesting protein isoform 53; </w:t>
      </w:r>
      <w:r w:rsidRPr="00C01246">
        <w:rPr>
          <w:i/>
          <w:iCs/>
        </w:rPr>
        <w:t>lhc7</w:t>
      </w:r>
      <w:r w:rsidRPr="00C01246">
        <w:t xml:space="preserve">, putative plastid light harvesting protein isoform 7; </w:t>
      </w:r>
      <w:proofErr w:type="spellStart"/>
      <w:r w:rsidRPr="00C01246">
        <w:rPr>
          <w:i/>
          <w:iCs/>
        </w:rPr>
        <w:t>mco</w:t>
      </w:r>
      <w:proofErr w:type="spellEnd"/>
      <w:r w:rsidRPr="00C01246">
        <w:t xml:space="preserve">, multicopper oxidase ; </w:t>
      </w:r>
      <w:proofErr w:type="spellStart"/>
      <w:r w:rsidRPr="00C01246">
        <w:rPr>
          <w:i/>
          <w:iCs/>
        </w:rPr>
        <w:t>ndufs</w:t>
      </w:r>
      <w:proofErr w:type="spellEnd"/>
      <w:r w:rsidRPr="00C01246">
        <w:t xml:space="preserve">, </w:t>
      </w:r>
      <w:proofErr w:type="spellStart"/>
      <w:r w:rsidRPr="00C01246">
        <w:t>NADH:ubiquinone</w:t>
      </w:r>
      <w:proofErr w:type="spellEnd"/>
      <w:r w:rsidRPr="00C01246">
        <w:t xml:space="preserve"> oxidoreductase; </w:t>
      </w:r>
      <w:proofErr w:type="spellStart"/>
      <w:r w:rsidRPr="00C01246">
        <w:rPr>
          <w:i/>
          <w:iCs/>
        </w:rPr>
        <w:t>ngit</w:t>
      </w:r>
      <w:proofErr w:type="spellEnd"/>
      <w:r w:rsidRPr="00C01246">
        <w:t xml:space="preserve">, Neurotransmitter-gated ion-channel; </w:t>
      </w:r>
      <w:r w:rsidRPr="00C01246">
        <w:rPr>
          <w:i/>
          <w:iCs/>
        </w:rPr>
        <w:t>nii2</w:t>
      </w:r>
      <w:r w:rsidRPr="00C01246">
        <w:t xml:space="preserve">, nitrite reductase - NADH; </w:t>
      </w:r>
      <w:r w:rsidRPr="00C01246">
        <w:rPr>
          <w:i/>
          <w:iCs/>
        </w:rPr>
        <w:t>nr</w:t>
      </w:r>
      <w:r w:rsidRPr="00C01246">
        <w:t xml:space="preserve">, nitrate reductase; </w:t>
      </w:r>
      <w:proofErr w:type="spellStart"/>
      <w:r w:rsidRPr="00C01246">
        <w:rPr>
          <w:i/>
          <w:iCs/>
        </w:rPr>
        <w:t>nrt</w:t>
      </w:r>
      <w:proofErr w:type="spellEnd"/>
      <w:r w:rsidRPr="00C01246">
        <w:t xml:space="preserve">, nitrate/nitrite transporter; </w:t>
      </w:r>
      <w:proofErr w:type="spellStart"/>
      <w:r w:rsidRPr="00C01246">
        <w:rPr>
          <w:i/>
          <w:iCs/>
        </w:rPr>
        <w:t>otc</w:t>
      </w:r>
      <w:proofErr w:type="spellEnd"/>
      <w:r w:rsidRPr="00C01246">
        <w:t xml:space="preserve">, ornithine </w:t>
      </w:r>
      <w:proofErr w:type="spellStart"/>
      <w:r w:rsidRPr="00C01246">
        <w:t>carbamoyltransferase</w:t>
      </w:r>
      <w:proofErr w:type="spellEnd"/>
      <w:r w:rsidRPr="00C01246">
        <w:t xml:space="preserve"> ; </w:t>
      </w:r>
      <w:r w:rsidRPr="00C01246">
        <w:rPr>
          <w:i/>
          <w:iCs/>
        </w:rPr>
        <w:t>pc</w:t>
      </w:r>
      <w:r w:rsidRPr="00C01246">
        <w:t xml:space="preserve">, plastocyanin; </w:t>
      </w:r>
      <w:r w:rsidRPr="00C01246">
        <w:rPr>
          <w:i/>
          <w:iCs/>
        </w:rPr>
        <w:t>petJ1</w:t>
      </w:r>
      <w:r w:rsidRPr="00C01246">
        <w:t xml:space="preserve">, cytochrome c6; </w:t>
      </w:r>
      <w:proofErr w:type="spellStart"/>
      <w:r w:rsidRPr="00C01246">
        <w:rPr>
          <w:i/>
          <w:iCs/>
        </w:rPr>
        <w:t>psaA</w:t>
      </w:r>
      <w:proofErr w:type="spellEnd"/>
      <w:r w:rsidRPr="00C01246">
        <w:t xml:space="preserve">, photosystem I core protein </w:t>
      </w:r>
      <w:proofErr w:type="spellStart"/>
      <w:r w:rsidRPr="00C01246">
        <w:t>PsaA</w:t>
      </w:r>
      <w:proofErr w:type="spellEnd"/>
      <w:r w:rsidRPr="00C01246">
        <w:t xml:space="preserve">; </w:t>
      </w:r>
      <w:proofErr w:type="spellStart"/>
      <w:r w:rsidRPr="00C01246">
        <w:rPr>
          <w:i/>
          <w:iCs/>
        </w:rPr>
        <w:t>psbA</w:t>
      </w:r>
      <w:proofErr w:type="spellEnd"/>
      <w:r w:rsidRPr="00C01246">
        <w:t xml:space="preserve">, photosystem II P680 reaction center D1 protein ; </w:t>
      </w:r>
      <w:proofErr w:type="spellStart"/>
      <w:r w:rsidRPr="00C01246">
        <w:rPr>
          <w:i/>
          <w:iCs/>
        </w:rPr>
        <w:t>pTF</w:t>
      </w:r>
      <w:proofErr w:type="spellEnd"/>
      <w:r w:rsidRPr="00C01246">
        <w:t xml:space="preserve">, </w:t>
      </w:r>
      <w:proofErr w:type="spellStart"/>
      <w:r w:rsidRPr="00C01246">
        <w:t>phytotransferrin</w:t>
      </w:r>
      <w:proofErr w:type="spellEnd"/>
      <w:r w:rsidRPr="00C01246">
        <w:t xml:space="preserve">; </w:t>
      </w:r>
      <w:proofErr w:type="spellStart"/>
      <w:r w:rsidRPr="00C01246">
        <w:rPr>
          <w:i/>
          <w:iCs/>
        </w:rPr>
        <w:t>rbcL</w:t>
      </w:r>
      <w:proofErr w:type="spellEnd"/>
      <w:r w:rsidRPr="00C01246">
        <w:t xml:space="preserve">, ribulose-1,5-bisphosphate carboxylase/oxygenase large subunit; </w:t>
      </w:r>
      <w:proofErr w:type="spellStart"/>
      <w:r w:rsidRPr="00C01246">
        <w:rPr>
          <w:i/>
          <w:iCs/>
        </w:rPr>
        <w:t>rnd</w:t>
      </w:r>
      <w:proofErr w:type="spellEnd"/>
      <w:r w:rsidRPr="00C01246">
        <w:t xml:space="preserve">, resistance-nodulation-division transporter; </w:t>
      </w:r>
      <w:proofErr w:type="spellStart"/>
      <w:r w:rsidRPr="00C01246">
        <w:rPr>
          <w:i/>
          <w:iCs/>
        </w:rPr>
        <w:t>rpe</w:t>
      </w:r>
      <w:proofErr w:type="spellEnd"/>
      <w:r w:rsidRPr="00C01246">
        <w:t xml:space="preserve">, ribulose 5-phosphate 3-epimerase; </w:t>
      </w:r>
      <w:r w:rsidRPr="00C01246">
        <w:rPr>
          <w:i/>
          <w:iCs/>
        </w:rPr>
        <w:t>selU1</w:t>
      </w:r>
      <w:r w:rsidRPr="00C01246">
        <w:t xml:space="preserve">, </w:t>
      </w:r>
      <w:proofErr w:type="spellStart"/>
      <w:r w:rsidRPr="00C01246">
        <w:t>selenoprotein</w:t>
      </w:r>
      <w:proofErr w:type="spellEnd"/>
      <w:r w:rsidRPr="00C01246">
        <w:t xml:space="preserve">; </w:t>
      </w:r>
      <w:r w:rsidRPr="00C01246">
        <w:rPr>
          <w:i/>
          <w:iCs/>
        </w:rPr>
        <w:t>sir</w:t>
      </w:r>
      <w:r w:rsidRPr="00C01246">
        <w:t xml:space="preserve">, nitrite/sulfite reductase - ferredoxin; </w:t>
      </w:r>
      <w:proofErr w:type="spellStart"/>
      <w:r w:rsidRPr="00C01246">
        <w:rPr>
          <w:i/>
          <w:iCs/>
        </w:rPr>
        <w:t>suf</w:t>
      </w:r>
      <w:proofErr w:type="spellEnd"/>
      <w:r w:rsidRPr="00C01246">
        <w:t xml:space="preserve">, Fe-S assembly protein; </w:t>
      </w:r>
      <w:r w:rsidRPr="00C01246">
        <w:rPr>
          <w:i/>
          <w:iCs/>
        </w:rPr>
        <w:t>zip</w:t>
      </w:r>
      <w:r w:rsidRPr="00C01246">
        <w:t xml:space="preserve">, zinc responsive transporter/iron responsive transporter-like protein </w:t>
      </w:r>
    </w:p>
    <w:p w14:paraId="132D3CA9" w14:textId="37C7084B" w:rsidR="00D9544F" w:rsidRDefault="00D9544F">
      <w:pPr>
        <w:spacing w:after="160" w:line="278" w:lineRule="auto"/>
      </w:pPr>
      <w:r>
        <w:br w:type="page"/>
      </w:r>
    </w:p>
    <w:p w14:paraId="0C6EC92A" w14:textId="77777777" w:rsidR="00C01246" w:rsidRDefault="00C01246">
      <w:pPr>
        <w:spacing w:after="160" w:line="278" w:lineRule="auto"/>
      </w:pPr>
    </w:p>
    <w:p w14:paraId="441728E6" w14:textId="3CD489A5" w:rsidR="00C01246" w:rsidRDefault="00C01246">
      <w:r w:rsidRPr="00C01246">
        <w:rPr>
          <w:noProof/>
        </w:rPr>
        <w:drawing>
          <wp:inline distT="0" distB="0" distL="0" distR="0" wp14:anchorId="40B15808" wp14:editId="570C8EC4">
            <wp:extent cx="5943600" cy="5582285"/>
            <wp:effectExtent l="0" t="0" r="0" b="0"/>
            <wp:docPr id="2" name="Picture 1" descr="A screen shot of a computer screen&#10;&#10;AI-generated content may be incorrect.">
              <a:extLst xmlns:a="http://schemas.openxmlformats.org/drawingml/2006/main">
                <a:ext uri="{FF2B5EF4-FFF2-40B4-BE49-F238E27FC236}">
                  <a16:creationId xmlns:a16="http://schemas.microsoft.com/office/drawing/2014/main" id="{1BEF03F2-02DB-8425-0AD5-1EA336DC1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 shot of a computer screen&#10;&#10;AI-generated content may be incorrect.">
                      <a:extLst>
                        <a:ext uri="{FF2B5EF4-FFF2-40B4-BE49-F238E27FC236}">
                          <a16:creationId xmlns:a16="http://schemas.microsoft.com/office/drawing/2014/main" id="{1BEF03F2-02DB-8425-0AD5-1EA336DC11F7}"/>
                        </a:ext>
                      </a:extLst>
                    </pic:cNvPr>
                    <pic:cNvPicPr>
                      <a:picLocks noChangeAspect="1"/>
                    </pic:cNvPicPr>
                  </pic:nvPicPr>
                  <pic:blipFill>
                    <a:blip r:embed="rId10"/>
                    <a:stretch>
                      <a:fillRect/>
                    </a:stretch>
                  </pic:blipFill>
                  <pic:spPr>
                    <a:xfrm>
                      <a:off x="0" y="0"/>
                      <a:ext cx="5943600" cy="5582285"/>
                    </a:xfrm>
                    <a:prstGeom prst="rect">
                      <a:avLst/>
                    </a:prstGeom>
                  </pic:spPr>
                </pic:pic>
              </a:graphicData>
            </a:graphic>
          </wp:inline>
        </w:drawing>
      </w:r>
    </w:p>
    <w:p w14:paraId="365095E6" w14:textId="77777777" w:rsidR="00C01246" w:rsidRPr="00C01246" w:rsidRDefault="00C01246" w:rsidP="00C01246">
      <w:r w:rsidRPr="00C01246">
        <w:rPr>
          <w:b/>
          <w:bCs/>
        </w:rPr>
        <w:t xml:space="preserve">Extended Data Fig.5 </w:t>
      </w:r>
      <w:r w:rsidRPr="00C01246">
        <w:t>Dynein, kinesin and myosin motor protein gene expression across all conditions and time points. Heatmap showing average CPM transcript abundance of genes annotated as dynein, kinesin or myosin across the diel cycle and hierarchically clustered by expression pattern (Pearson correlation). Fe-related response types (</w:t>
      </w:r>
      <w:proofErr w:type="spellStart"/>
      <w:r w:rsidRPr="00C01246">
        <w:t>edgeR</w:t>
      </w:r>
      <w:proofErr w:type="spellEnd"/>
      <w:r w:rsidRPr="00C01246">
        <w:t xml:space="preserve">, see online methods) are given by colored bar. </w:t>
      </w:r>
    </w:p>
    <w:p w14:paraId="35D797CD" w14:textId="4CD630D5" w:rsidR="00C01246" w:rsidRDefault="00C01246">
      <w:pPr>
        <w:spacing w:after="160" w:line="278" w:lineRule="auto"/>
      </w:pPr>
      <w:r>
        <w:br w:type="page"/>
      </w:r>
    </w:p>
    <w:p w14:paraId="501C404F" w14:textId="41DF7A95" w:rsidR="00C01246" w:rsidRDefault="00C01246">
      <w:r w:rsidRPr="00C01246">
        <w:rPr>
          <w:noProof/>
        </w:rPr>
        <w:lastRenderedPageBreak/>
        <w:drawing>
          <wp:inline distT="0" distB="0" distL="0" distR="0" wp14:anchorId="356E70E9" wp14:editId="393C34BC">
            <wp:extent cx="5943600" cy="5801995"/>
            <wp:effectExtent l="0" t="0" r="0" b="8255"/>
            <wp:docPr id="232058792" name="Picture 3" descr="A screenshot of a computer screen&#10;&#10;AI-generated content may be incorrect.">
              <a:extLst xmlns:a="http://schemas.openxmlformats.org/drawingml/2006/main">
                <a:ext uri="{FF2B5EF4-FFF2-40B4-BE49-F238E27FC236}">
                  <a16:creationId xmlns:a16="http://schemas.microsoft.com/office/drawing/2014/main" id="{9E20E2C2-1D88-5042-B313-C3FEF2E179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58792" name="Picture 3" descr="A screenshot of a computer screen&#10;&#10;AI-generated content may be incorrect.">
                      <a:extLst>
                        <a:ext uri="{FF2B5EF4-FFF2-40B4-BE49-F238E27FC236}">
                          <a16:creationId xmlns:a16="http://schemas.microsoft.com/office/drawing/2014/main" id="{9E20E2C2-1D88-5042-B313-C3FEF2E17952}"/>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5943600" cy="5801995"/>
                    </a:xfrm>
                    <a:prstGeom prst="rect">
                      <a:avLst/>
                    </a:prstGeom>
                  </pic:spPr>
                </pic:pic>
              </a:graphicData>
            </a:graphic>
          </wp:inline>
        </w:drawing>
      </w:r>
    </w:p>
    <w:p w14:paraId="6E6D3A7E" w14:textId="77777777" w:rsidR="00C01246" w:rsidRPr="00C01246" w:rsidRDefault="00C01246" w:rsidP="00C01246">
      <w:r w:rsidRPr="00C01246">
        <w:rPr>
          <w:b/>
          <w:bCs/>
        </w:rPr>
        <w:t xml:space="preserve">Extended Data Fig.6 </w:t>
      </w:r>
      <w:r w:rsidRPr="00C01246">
        <w:t>Glycolysis gene expression across all conditions and time points. Heatmap showing average CPM transcript abundance of genes annotated as glycolysis by KO pathway, across the diel cycle. Genes are hierarchically clustered by expression pattern (Pearson correlation).</w:t>
      </w:r>
    </w:p>
    <w:p w14:paraId="1DC7BC5B" w14:textId="2B0DC5C7" w:rsidR="00C01246" w:rsidRDefault="00C01246">
      <w:pPr>
        <w:spacing w:after="160" w:line="278" w:lineRule="auto"/>
      </w:pPr>
      <w:r>
        <w:br w:type="page"/>
      </w:r>
    </w:p>
    <w:p w14:paraId="4A69333E" w14:textId="34B1D747" w:rsidR="00C01246" w:rsidRDefault="00D9544F">
      <w:r w:rsidRPr="00D9544F">
        <w:rPr>
          <w:noProof/>
        </w:rPr>
        <w:lastRenderedPageBreak/>
        <w:drawing>
          <wp:inline distT="0" distB="0" distL="0" distR="0" wp14:anchorId="259C8B12" wp14:editId="019007EF">
            <wp:extent cx="4147185" cy="8229600"/>
            <wp:effectExtent l="0" t="0" r="0" b="0"/>
            <wp:docPr id="1104338770" name="Picture 1">
              <a:extLst xmlns:a="http://schemas.openxmlformats.org/drawingml/2006/main">
                <a:ext uri="{FF2B5EF4-FFF2-40B4-BE49-F238E27FC236}">
                  <a16:creationId xmlns:a16="http://schemas.microsoft.com/office/drawing/2014/main" id="{D8F265F5-438A-6CAD-4390-B9A6AE36F6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8F265F5-438A-6CAD-4390-B9A6AE36F667}"/>
                        </a:ext>
                      </a:extLst>
                    </pic:cNvPr>
                    <pic:cNvPicPr>
                      <a:picLocks noChangeAspect="1"/>
                    </pic:cNvPicPr>
                  </pic:nvPicPr>
                  <pic:blipFill>
                    <a:blip r:embed="rId12">
                      <a:extLst>
                        <a:ext uri="{96DAC541-7B7A-43D3-8B79-37D633B846F1}">
                          <asvg:svgBlip xmlns:asvg="http://schemas.microsoft.com/office/drawing/2016/SVG/main" r:embed="rId13"/>
                        </a:ext>
                      </a:extLst>
                    </a:blip>
                    <a:srcRect/>
                    <a:stretch/>
                  </pic:blipFill>
                  <pic:spPr>
                    <a:xfrm>
                      <a:off x="0" y="0"/>
                      <a:ext cx="4147185" cy="8229600"/>
                    </a:xfrm>
                    <a:prstGeom prst="rect">
                      <a:avLst/>
                    </a:prstGeom>
                  </pic:spPr>
                </pic:pic>
              </a:graphicData>
            </a:graphic>
          </wp:inline>
        </w:drawing>
      </w:r>
    </w:p>
    <w:p w14:paraId="3BEBC6C2" w14:textId="77777777" w:rsidR="00D9544F" w:rsidRPr="00D9544F" w:rsidRDefault="00D9544F" w:rsidP="00D9544F">
      <w:r w:rsidRPr="00D9544F">
        <w:rPr>
          <w:b/>
          <w:bCs/>
        </w:rPr>
        <w:lastRenderedPageBreak/>
        <w:t xml:space="preserve">Extended Data Fig.7 </w:t>
      </w:r>
      <w:r w:rsidRPr="00D9544F">
        <w:t xml:space="preserve">Scaled abundance of photosynthetic proteins. Protein expression values (TMM) averaged across biological </w:t>
      </w:r>
      <w:proofErr w:type="gramStart"/>
      <w:r w:rsidRPr="00D9544F">
        <w:t>triplicates, and</w:t>
      </w:r>
      <w:proofErr w:type="gramEnd"/>
      <w:r w:rsidRPr="00D9544F">
        <w:t xml:space="preserve"> scaled to average expression by protein. Orange indicated high light cultures; blue shows low light cultures. Error bars show +/- 1 SD and asterisk indicates P &lt; 0.05 (Student unpaired two-tailed t test) difference from -Fe value at same time of day. </w:t>
      </w:r>
      <w:proofErr w:type="spellStart"/>
      <w:r w:rsidRPr="00D9544F">
        <w:t>RbcL</w:t>
      </w:r>
      <w:proofErr w:type="spellEnd"/>
      <w:r w:rsidRPr="00D9544F">
        <w:t xml:space="preserve"> = ribulose 1,5 bisphosphate carboxylase large subunit, </w:t>
      </w:r>
      <w:proofErr w:type="spellStart"/>
      <w:r w:rsidRPr="00D9544F">
        <w:t>PsaA</w:t>
      </w:r>
      <w:proofErr w:type="spellEnd"/>
      <w:r w:rsidRPr="00D9544F">
        <w:t xml:space="preserve"> = photosystem I reaction center proteins A, </w:t>
      </w:r>
      <w:proofErr w:type="spellStart"/>
      <w:r w:rsidRPr="00D9544F">
        <w:t>PsbA</w:t>
      </w:r>
      <w:proofErr w:type="spellEnd"/>
      <w:r w:rsidRPr="00D9544F">
        <w:t xml:space="preserve"> = photosystem II reaction center proteins A, </w:t>
      </w:r>
      <w:proofErr w:type="spellStart"/>
      <w:r w:rsidRPr="00D9544F">
        <w:t>Lhcf</w:t>
      </w:r>
      <w:proofErr w:type="spellEnd"/>
      <w:r w:rsidRPr="00D9544F">
        <w:t xml:space="preserve"> = light harvesting complex protein f, </w:t>
      </w:r>
      <w:proofErr w:type="spellStart"/>
      <w:r w:rsidRPr="00D9544F">
        <w:t>Fnr</w:t>
      </w:r>
      <w:proofErr w:type="spellEnd"/>
      <w:r w:rsidRPr="00D9544F">
        <w:t xml:space="preserve"> = ferredoxin NADP+ oxidoreductase.</w:t>
      </w:r>
    </w:p>
    <w:p w14:paraId="2D1D71CB" w14:textId="6F0EF18D" w:rsidR="00D9544F" w:rsidRDefault="00D9544F">
      <w:pPr>
        <w:spacing w:after="160" w:line="278" w:lineRule="auto"/>
      </w:pPr>
      <w:r>
        <w:br w:type="page"/>
      </w:r>
    </w:p>
    <w:p w14:paraId="2B558F8E" w14:textId="161377B3" w:rsidR="00D9544F" w:rsidRDefault="00D9544F">
      <w:r w:rsidRPr="00D9544F">
        <w:rPr>
          <w:noProof/>
        </w:rPr>
        <w:lastRenderedPageBreak/>
        <w:drawing>
          <wp:inline distT="0" distB="0" distL="0" distR="0" wp14:anchorId="03E3BE83" wp14:editId="3004612D">
            <wp:extent cx="5943600" cy="5013960"/>
            <wp:effectExtent l="0" t="0" r="0" b="0"/>
            <wp:docPr id="59" name="Picture 58">
              <a:extLst xmlns:a="http://schemas.openxmlformats.org/drawingml/2006/main">
                <a:ext uri="{FF2B5EF4-FFF2-40B4-BE49-F238E27FC236}">
                  <a16:creationId xmlns:a16="http://schemas.microsoft.com/office/drawing/2014/main" id="{4233B3C1-DBB5-825F-5DD6-50E39DE062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4233B3C1-DBB5-825F-5DD6-50E39DE06294}"/>
                        </a:ext>
                      </a:extLst>
                    </pic:cNvPr>
                    <pic:cNvPicPr>
                      <a:picLocks noChangeAspect="1"/>
                    </pic:cNvPicPr>
                  </pic:nvPicPr>
                  <pic:blipFill>
                    <a:blip r:embed="rId14">
                      <a:extLst>
                        <a:ext uri="{96DAC541-7B7A-43D3-8B79-37D633B846F1}">
                          <asvg:svgBlip xmlns:asvg="http://schemas.microsoft.com/office/drawing/2016/SVG/main" r:embed="rId15"/>
                        </a:ext>
                      </a:extLst>
                    </a:blip>
                    <a:srcRect/>
                    <a:stretch/>
                  </pic:blipFill>
                  <pic:spPr>
                    <a:xfrm>
                      <a:off x="0" y="0"/>
                      <a:ext cx="5943600" cy="5013960"/>
                    </a:xfrm>
                    <a:prstGeom prst="rect">
                      <a:avLst/>
                    </a:prstGeom>
                  </pic:spPr>
                </pic:pic>
              </a:graphicData>
            </a:graphic>
          </wp:inline>
        </w:drawing>
      </w:r>
    </w:p>
    <w:p w14:paraId="4C020592" w14:textId="77777777" w:rsidR="00D9544F" w:rsidRPr="00D9544F" w:rsidRDefault="00D9544F" w:rsidP="00D9544F">
      <w:r w:rsidRPr="00D9544F">
        <w:rPr>
          <w:b/>
          <w:bCs/>
        </w:rPr>
        <w:t xml:space="preserve">Extended Data Fig.8 </w:t>
      </w:r>
      <w:r w:rsidRPr="00D9544F">
        <w:t xml:space="preserve">Scaled abundance of nitrogen metabolism proteins. Protein expression values (TMM) averaged across biological </w:t>
      </w:r>
      <w:proofErr w:type="gramStart"/>
      <w:r w:rsidRPr="00D9544F">
        <w:t>triplicates, and</w:t>
      </w:r>
      <w:proofErr w:type="gramEnd"/>
      <w:r w:rsidRPr="00D9544F">
        <w:t xml:space="preserve"> scaled to average expression by protein. Orange indicated high light cultures; blue shows low light cultures. Error bars show +/- 1 SD and asterisk indicates P &lt; 0.05 (Student unpaired two-tailed t test) difference from -Fe value at same time of day. </w:t>
      </w:r>
      <w:proofErr w:type="spellStart"/>
      <w:r w:rsidRPr="00D9544F">
        <w:t>Nadh</w:t>
      </w:r>
      <w:proofErr w:type="spellEnd"/>
      <w:r w:rsidRPr="00D9544F">
        <w:t xml:space="preserve">-Nir = NADPH nitrite reductase, </w:t>
      </w:r>
      <w:proofErr w:type="spellStart"/>
      <w:r w:rsidRPr="00D9544F">
        <w:t>Fd</w:t>
      </w:r>
      <w:proofErr w:type="spellEnd"/>
      <w:r w:rsidRPr="00D9544F">
        <w:t xml:space="preserve">-Nir = ferredoxin nitrite reductase, Nrt1 = nitrate transporter, Amt = ammonia transporter, </w:t>
      </w:r>
      <w:proofErr w:type="spellStart"/>
      <w:r w:rsidRPr="00D9544F">
        <w:t>GsIII</w:t>
      </w:r>
      <w:proofErr w:type="spellEnd"/>
      <w:r w:rsidRPr="00D9544F">
        <w:t xml:space="preserve"> = glutamine synthetase III, </w:t>
      </w:r>
      <w:proofErr w:type="spellStart"/>
      <w:r w:rsidRPr="00D9544F">
        <w:t>GATase</w:t>
      </w:r>
      <w:proofErr w:type="spellEnd"/>
      <w:r w:rsidRPr="00D9544F">
        <w:t xml:space="preserve"> = glutamine </w:t>
      </w:r>
      <w:proofErr w:type="spellStart"/>
      <w:r w:rsidRPr="00D9544F">
        <w:t>amidotransferases</w:t>
      </w:r>
      <w:proofErr w:type="spellEnd"/>
      <w:r w:rsidRPr="00D9544F">
        <w:t xml:space="preserve">, </w:t>
      </w:r>
      <w:proofErr w:type="spellStart"/>
      <w:r w:rsidRPr="00D9544F">
        <w:t>Uncps</w:t>
      </w:r>
      <w:proofErr w:type="spellEnd"/>
      <w:r w:rsidRPr="00D9544F">
        <w:t xml:space="preserve"> = carbamoyl phosphate synthetase, Nr = nitrate reductase, Gogat = glutamine oxoglutarate aminotransferase.</w:t>
      </w:r>
    </w:p>
    <w:p w14:paraId="26C7011E" w14:textId="193D4A31" w:rsidR="00D9544F" w:rsidRDefault="00D9544F">
      <w:pPr>
        <w:spacing w:after="160" w:line="278" w:lineRule="auto"/>
      </w:pPr>
      <w:r>
        <w:br w:type="page"/>
      </w:r>
    </w:p>
    <w:p w14:paraId="5F53E8C7" w14:textId="136C0576" w:rsidR="00D9544F" w:rsidRDefault="00D9544F">
      <w:r w:rsidRPr="00D9544F">
        <w:rPr>
          <w:noProof/>
        </w:rPr>
        <w:lastRenderedPageBreak/>
        <w:drawing>
          <wp:inline distT="0" distB="0" distL="0" distR="0" wp14:anchorId="321A4E78" wp14:editId="1BC27959">
            <wp:extent cx="5943600" cy="6967855"/>
            <wp:effectExtent l="0" t="0" r="0" b="0"/>
            <wp:docPr id="3" name="Picture 2">
              <a:extLst xmlns:a="http://schemas.openxmlformats.org/drawingml/2006/main">
                <a:ext uri="{FF2B5EF4-FFF2-40B4-BE49-F238E27FC236}">
                  <a16:creationId xmlns:a16="http://schemas.microsoft.com/office/drawing/2014/main" id="{20D6F795-7ECC-0243-BC46-22B0B3883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0D6F795-7ECC-0243-BC46-22B0B388349E}"/>
                        </a:ext>
                      </a:extLst>
                    </pic:cNvPr>
                    <pic:cNvPicPr>
                      <a:picLocks noChangeAspect="1"/>
                    </pic:cNvPicPr>
                  </pic:nvPicPr>
                  <pic:blipFill>
                    <a:blip r:embed="rId16">
                      <a:extLst>
                        <a:ext uri="{96DAC541-7B7A-43D3-8B79-37D633B846F1}">
                          <asvg:svgBlip xmlns:asvg="http://schemas.microsoft.com/office/drawing/2016/SVG/main" r:embed="rId17"/>
                        </a:ext>
                      </a:extLst>
                    </a:blip>
                    <a:srcRect/>
                    <a:stretch/>
                  </pic:blipFill>
                  <pic:spPr>
                    <a:xfrm>
                      <a:off x="0" y="0"/>
                      <a:ext cx="5943600" cy="6967855"/>
                    </a:xfrm>
                    <a:prstGeom prst="rect">
                      <a:avLst/>
                    </a:prstGeom>
                  </pic:spPr>
                </pic:pic>
              </a:graphicData>
            </a:graphic>
          </wp:inline>
        </w:drawing>
      </w:r>
    </w:p>
    <w:p w14:paraId="1DD5AAE4" w14:textId="77777777" w:rsidR="00D9544F" w:rsidRPr="00D9544F" w:rsidRDefault="00D9544F" w:rsidP="00D9544F">
      <w:r w:rsidRPr="00D9544F">
        <w:rPr>
          <w:b/>
          <w:bCs/>
        </w:rPr>
        <w:t xml:space="preserve">Extended Data Fig.9 </w:t>
      </w:r>
      <w:r w:rsidRPr="00D9544F">
        <w:t xml:space="preserve">Scaled abundance of iron-sensitive proteins. Protein expression values (TMM) averaged across biological </w:t>
      </w:r>
      <w:proofErr w:type="gramStart"/>
      <w:r w:rsidRPr="00D9544F">
        <w:t>triplicates, and</w:t>
      </w:r>
      <w:proofErr w:type="gramEnd"/>
      <w:r w:rsidRPr="00D9544F">
        <w:t xml:space="preserve"> scaled to average expression by protein. Orange indicated high light cultures; blue shows low light cultures. Error bars show +/- 1 SD and asterisk indicates P &lt; 0.05 (Student unpaired two-tailed t test) difference from -Fe value at same time of day. </w:t>
      </w:r>
      <w:proofErr w:type="spellStart"/>
      <w:r w:rsidRPr="00D9544F">
        <w:t>Fd</w:t>
      </w:r>
      <w:proofErr w:type="spellEnd"/>
      <w:r w:rsidRPr="00D9544F">
        <w:t xml:space="preserve"> = ferredoxin, Fbp1 = fructose 1,6-bisphosphatase, </w:t>
      </w:r>
      <w:r w:rsidRPr="00D9544F">
        <w:rPr>
          <w:lang w:val="el-GR"/>
        </w:rPr>
        <w:t>β</w:t>
      </w:r>
      <w:r w:rsidRPr="00D9544F">
        <w:t xml:space="preserve">-CA = </w:t>
      </w:r>
      <w:r w:rsidRPr="00D9544F">
        <w:rPr>
          <w:lang w:val="el-GR"/>
        </w:rPr>
        <w:t>β</w:t>
      </w:r>
      <w:r w:rsidRPr="00D9544F">
        <w:t xml:space="preserve">-carbonic anhydrase, SelU1 = </w:t>
      </w:r>
      <w:proofErr w:type="spellStart"/>
      <w:r w:rsidRPr="00D9544F">
        <w:t>selenoprotein</w:t>
      </w:r>
      <w:proofErr w:type="spellEnd"/>
      <w:r w:rsidRPr="00D9544F">
        <w:t xml:space="preserve"> U1, </w:t>
      </w:r>
      <w:proofErr w:type="spellStart"/>
      <w:r w:rsidRPr="00D9544F">
        <w:t>Gsa</w:t>
      </w:r>
      <w:proofErr w:type="spellEnd"/>
      <w:r w:rsidRPr="00D9544F">
        <w:t xml:space="preserve"> = </w:t>
      </w:r>
      <w:r w:rsidRPr="00D9544F">
        <w:lastRenderedPageBreak/>
        <w:t xml:space="preserve">glutamate-1-semialdehyde aminotransferase, Fbp1 = fructose 1,6-bisphosphatase, </w:t>
      </w:r>
      <w:proofErr w:type="spellStart"/>
      <w:r w:rsidRPr="00D9544F">
        <w:t>Fba</w:t>
      </w:r>
      <w:proofErr w:type="spellEnd"/>
      <w:r w:rsidRPr="00D9544F">
        <w:t xml:space="preserve"> = fructose bisphosphate aldolase, PetJ1= cytochrome c</w:t>
      </w:r>
      <w:r w:rsidRPr="00D9544F">
        <w:rPr>
          <w:vertAlign w:val="subscript"/>
        </w:rPr>
        <w:t>6</w:t>
      </w:r>
      <w:r w:rsidRPr="00D9544F">
        <w:t xml:space="preserve">, </w:t>
      </w:r>
      <w:proofErr w:type="spellStart"/>
      <w:r w:rsidRPr="00D9544F">
        <w:t>Rpe</w:t>
      </w:r>
      <w:proofErr w:type="spellEnd"/>
      <w:r w:rsidRPr="00D9544F">
        <w:t xml:space="preserve"> = ribulose 5-phosphate 3-epimerase, Flav = flavodoxin.</w:t>
      </w:r>
    </w:p>
    <w:p w14:paraId="7A96F0DD" w14:textId="3C4AC749" w:rsidR="00D9544F" w:rsidRDefault="00D9544F">
      <w:pPr>
        <w:spacing w:after="160" w:line="278" w:lineRule="auto"/>
      </w:pPr>
      <w:r>
        <w:br w:type="page"/>
      </w:r>
    </w:p>
    <w:p w14:paraId="1BCC19EF" w14:textId="52F7955D" w:rsidR="00D9544F" w:rsidRDefault="00D9544F">
      <w:r w:rsidRPr="00D9544F">
        <w:rPr>
          <w:noProof/>
        </w:rPr>
        <w:lastRenderedPageBreak/>
        <w:drawing>
          <wp:inline distT="0" distB="0" distL="0" distR="0" wp14:anchorId="7F29E4DA" wp14:editId="34C1DB9D">
            <wp:extent cx="5943600" cy="4636135"/>
            <wp:effectExtent l="0" t="0" r="0" b="0"/>
            <wp:docPr id="750628252" name="Picture 1">
              <a:extLst xmlns:a="http://schemas.openxmlformats.org/drawingml/2006/main">
                <a:ext uri="{FF2B5EF4-FFF2-40B4-BE49-F238E27FC236}">
                  <a16:creationId xmlns:a16="http://schemas.microsoft.com/office/drawing/2014/main" id="{BE919007-4694-D64E-BDA7-CAEACB77B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E919007-4694-D64E-BDA7-CAEACB77B434}"/>
                        </a:ext>
                      </a:extLst>
                    </pic:cNvPr>
                    <pic:cNvPicPr>
                      <a:picLocks noChangeAspect="1"/>
                    </pic:cNvPicPr>
                  </pic:nvPicPr>
                  <pic:blipFill>
                    <a:blip r:embed="rId18">
                      <a:extLst>
                        <a:ext uri="{96DAC541-7B7A-43D3-8B79-37D633B846F1}">
                          <asvg:svgBlip xmlns:asvg="http://schemas.microsoft.com/office/drawing/2016/SVG/main" r:embed="rId19"/>
                        </a:ext>
                      </a:extLst>
                    </a:blip>
                    <a:srcRect/>
                    <a:stretch/>
                  </pic:blipFill>
                  <pic:spPr>
                    <a:xfrm>
                      <a:off x="0" y="0"/>
                      <a:ext cx="5943600" cy="4636135"/>
                    </a:xfrm>
                    <a:prstGeom prst="rect">
                      <a:avLst/>
                    </a:prstGeom>
                  </pic:spPr>
                </pic:pic>
              </a:graphicData>
            </a:graphic>
          </wp:inline>
        </w:drawing>
      </w:r>
    </w:p>
    <w:p w14:paraId="1B62A111" w14:textId="77777777" w:rsidR="00D9544F" w:rsidRPr="00D9544F" w:rsidRDefault="00D9544F" w:rsidP="00D9544F">
      <w:r w:rsidRPr="00D9544F">
        <w:rPr>
          <w:b/>
          <w:bCs/>
        </w:rPr>
        <w:t xml:space="preserve">Extended Data Fig.10 </w:t>
      </w:r>
      <w:r w:rsidRPr="00D9544F">
        <w:t xml:space="preserve">Scaled abundance of iron transport and storage related proteins. Protein expression values (TMM) averaged across biological </w:t>
      </w:r>
      <w:proofErr w:type="gramStart"/>
      <w:r w:rsidRPr="00D9544F">
        <w:t>triplicates, and</w:t>
      </w:r>
      <w:proofErr w:type="gramEnd"/>
      <w:r w:rsidRPr="00D9544F">
        <w:t xml:space="preserve"> scaled to average expression by protein. Orange indicated high light cultures, blue shows low light cultures. Error bars show +/- 1 SD and asterisk indicates P &lt; 0.05 (Student unpaired two-tailed t test) difference from -Fe value at same time of day. </w:t>
      </w:r>
      <w:proofErr w:type="spellStart"/>
      <w:r w:rsidRPr="00D9544F">
        <w:t>pTF</w:t>
      </w:r>
      <w:proofErr w:type="spellEnd"/>
      <w:r w:rsidRPr="00D9544F">
        <w:t xml:space="preserve"> = </w:t>
      </w:r>
      <w:proofErr w:type="spellStart"/>
      <w:r w:rsidRPr="00D9544F">
        <w:t>phytotransferrin</w:t>
      </w:r>
      <w:proofErr w:type="spellEnd"/>
      <w:r w:rsidRPr="00D9544F">
        <w:t xml:space="preserve">, Isip3 = iron starvation induced protein 3, FeABC = </w:t>
      </w:r>
      <w:proofErr w:type="spellStart"/>
      <w:r w:rsidRPr="00D9544F">
        <w:t>ferrichrome</w:t>
      </w:r>
      <w:proofErr w:type="spellEnd"/>
      <w:r w:rsidRPr="00D9544F">
        <w:t xml:space="preserve"> ABC transporter protein, Zip = zinc responsive transporter/iron responsive transporter-like protein, Mrp1 = multidrug resistance protein, </w:t>
      </w:r>
      <w:proofErr w:type="spellStart"/>
      <w:r w:rsidRPr="00D9544F">
        <w:t>SufB</w:t>
      </w:r>
      <w:proofErr w:type="spellEnd"/>
      <w:r w:rsidRPr="00D9544F">
        <w:t xml:space="preserve"> = chloroplast Fe-S cluster assembly protein, V-ATPase = vacuolar proton pump, Isc1 = Iron </w:t>
      </w:r>
      <w:proofErr w:type="gramStart"/>
      <w:r w:rsidRPr="00D9544F">
        <w:t>sulfur cluster</w:t>
      </w:r>
      <w:proofErr w:type="gramEnd"/>
      <w:r w:rsidRPr="00D9544F">
        <w:t xml:space="preserve"> assembly protein, </w:t>
      </w:r>
      <w:proofErr w:type="spellStart"/>
      <w:r w:rsidRPr="00D9544F">
        <w:t>Rnd</w:t>
      </w:r>
      <w:proofErr w:type="spellEnd"/>
      <w:r w:rsidRPr="00D9544F">
        <w:t xml:space="preserve"> = resistance-nodulation-division transporter.</w:t>
      </w:r>
    </w:p>
    <w:p w14:paraId="26C46A62" w14:textId="77777777" w:rsidR="00D9544F" w:rsidRDefault="00D9544F"/>
    <w:sectPr w:rsidR="00D9544F" w:rsidSect="00C01246">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u">
    <w:altName w:val="Cambria"/>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246"/>
    <w:rsid w:val="0045579C"/>
    <w:rsid w:val="005A1C97"/>
    <w:rsid w:val="00BD0D69"/>
    <w:rsid w:val="00C01246"/>
    <w:rsid w:val="00D95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0FA23"/>
  <w15:chartTrackingRefBased/>
  <w15:docId w15:val="{48DEAED8-097C-475C-A4F3-4BEAF578D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246"/>
    <w:pPr>
      <w:spacing w:after="0" w:line="240" w:lineRule="auto"/>
    </w:pPr>
    <w:rPr>
      <w:kern w:val="0"/>
      <w14:ligatures w14:val="none"/>
    </w:rPr>
  </w:style>
  <w:style w:type="paragraph" w:styleId="Heading1">
    <w:name w:val="heading 1"/>
    <w:basedOn w:val="Normal"/>
    <w:next w:val="Normal"/>
    <w:link w:val="Heading1Char"/>
    <w:uiPriority w:val="9"/>
    <w:qFormat/>
    <w:rsid w:val="00C01246"/>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01246"/>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01246"/>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01246"/>
    <w:pPr>
      <w:keepNext/>
      <w:keepLines/>
      <w:spacing w:before="80" w:after="40" w:line="278" w:lineRule="auto"/>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C01246"/>
    <w:pPr>
      <w:keepNext/>
      <w:keepLines/>
      <w:spacing w:before="80" w:after="40" w:line="278" w:lineRule="auto"/>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C01246"/>
    <w:pPr>
      <w:keepNext/>
      <w:keepLines/>
      <w:spacing w:before="40" w:line="278"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C01246"/>
    <w:pPr>
      <w:keepNext/>
      <w:keepLines/>
      <w:spacing w:before="40" w:line="278"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C01246"/>
    <w:pPr>
      <w:keepNext/>
      <w:keepLines/>
      <w:spacing w:line="278"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C01246"/>
    <w:pPr>
      <w:keepNext/>
      <w:keepLines/>
      <w:spacing w:line="278"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12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12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12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12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12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12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12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12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1246"/>
    <w:rPr>
      <w:rFonts w:eastAsiaTheme="majorEastAsia" w:cstheme="majorBidi"/>
      <w:color w:val="272727" w:themeColor="text1" w:themeTint="D8"/>
    </w:rPr>
  </w:style>
  <w:style w:type="paragraph" w:styleId="Title">
    <w:name w:val="Title"/>
    <w:basedOn w:val="Normal"/>
    <w:next w:val="Normal"/>
    <w:link w:val="TitleChar"/>
    <w:uiPriority w:val="10"/>
    <w:qFormat/>
    <w:rsid w:val="00C0124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012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1246"/>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012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1246"/>
    <w:pPr>
      <w:spacing w:before="160" w:after="160" w:line="278"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C01246"/>
    <w:rPr>
      <w:i/>
      <w:iCs/>
      <w:color w:val="404040" w:themeColor="text1" w:themeTint="BF"/>
    </w:rPr>
  </w:style>
  <w:style w:type="paragraph" w:styleId="ListParagraph">
    <w:name w:val="List Paragraph"/>
    <w:basedOn w:val="Normal"/>
    <w:uiPriority w:val="34"/>
    <w:qFormat/>
    <w:rsid w:val="00C01246"/>
    <w:pPr>
      <w:spacing w:after="160" w:line="278" w:lineRule="auto"/>
      <w:ind w:left="720"/>
      <w:contextualSpacing/>
    </w:pPr>
    <w:rPr>
      <w:kern w:val="2"/>
      <w14:ligatures w14:val="standardContextual"/>
    </w:rPr>
  </w:style>
  <w:style w:type="character" w:styleId="IntenseEmphasis">
    <w:name w:val="Intense Emphasis"/>
    <w:basedOn w:val="DefaultParagraphFont"/>
    <w:uiPriority w:val="21"/>
    <w:qFormat/>
    <w:rsid w:val="00C01246"/>
    <w:rPr>
      <w:i/>
      <w:iCs/>
      <w:color w:val="0F4761" w:themeColor="accent1" w:themeShade="BF"/>
    </w:rPr>
  </w:style>
  <w:style w:type="paragraph" w:styleId="IntenseQuote">
    <w:name w:val="Intense Quote"/>
    <w:basedOn w:val="Normal"/>
    <w:next w:val="Normal"/>
    <w:link w:val="IntenseQuoteChar"/>
    <w:uiPriority w:val="30"/>
    <w:qFormat/>
    <w:rsid w:val="00C01246"/>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C01246"/>
    <w:rPr>
      <w:i/>
      <w:iCs/>
      <w:color w:val="0F4761" w:themeColor="accent1" w:themeShade="BF"/>
    </w:rPr>
  </w:style>
  <w:style w:type="character" w:styleId="IntenseReference">
    <w:name w:val="Intense Reference"/>
    <w:basedOn w:val="DefaultParagraphFont"/>
    <w:uiPriority w:val="32"/>
    <w:qFormat/>
    <w:rsid w:val="00C01246"/>
    <w:rPr>
      <w:b/>
      <w:bCs/>
      <w:smallCaps/>
      <w:color w:val="0F4761" w:themeColor="accent1" w:themeShade="BF"/>
      <w:spacing w:val="5"/>
    </w:rPr>
  </w:style>
  <w:style w:type="paragraph" w:styleId="NoSpacing">
    <w:name w:val="No Spacing"/>
    <w:link w:val="NoSpacingChar"/>
    <w:uiPriority w:val="1"/>
    <w:qFormat/>
    <w:rsid w:val="00C01246"/>
    <w:pPr>
      <w:spacing w:after="0" w:line="240" w:lineRule="auto"/>
    </w:pPr>
    <w:rPr>
      <w:rFonts w:ascii="Times New Roman" w:hAnsi="Times New Roman"/>
      <w:kern w:val="0"/>
      <w:szCs w:val="22"/>
      <w14:ligatures w14:val="none"/>
    </w:rPr>
  </w:style>
  <w:style w:type="character" w:customStyle="1" w:styleId="NoSpacingChar">
    <w:name w:val="No Spacing Char"/>
    <w:basedOn w:val="DefaultParagraphFont"/>
    <w:link w:val="NoSpacing"/>
    <w:uiPriority w:val="1"/>
    <w:rsid w:val="00C01246"/>
    <w:rPr>
      <w:rFonts w:ascii="Times New Roman" w:hAnsi="Times New Roman"/>
      <w:kern w:val="0"/>
      <w:szCs w:val="22"/>
      <w14:ligatures w14:val="none"/>
    </w:rPr>
  </w:style>
  <w:style w:type="character" w:styleId="LineNumber">
    <w:name w:val="line number"/>
    <w:basedOn w:val="DefaultParagraphFont"/>
    <w:uiPriority w:val="99"/>
    <w:semiHidden/>
    <w:unhideWhenUsed/>
    <w:rsid w:val="00C01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239403">
      <w:bodyDiv w:val="1"/>
      <w:marLeft w:val="0"/>
      <w:marRight w:val="0"/>
      <w:marTop w:val="0"/>
      <w:marBottom w:val="0"/>
      <w:divBdr>
        <w:top w:val="none" w:sz="0" w:space="0" w:color="auto"/>
        <w:left w:val="none" w:sz="0" w:space="0" w:color="auto"/>
        <w:bottom w:val="none" w:sz="0" w:space="0" w:color="auto"/>
        <w:right w:val="none" w:sz="0" w:space="0" w:color="auto"/>
      </w:divBdr>
    </w:div>
    <w:div w:id="223492119">
      <w:bodyDiv w:val="1"/>
      <w:marLeft w:val="0"/>
      <w:marRight w:val="0"/>
      <w:marTop w:val="0"/>
      <w:marBottom w:val="0"/>
      <w:divBdr>
        <w:top w:val="none" w:sz="0" w:space="0" w:color="auto"/>
        <w:left w:val="none" w:sz="0" w:space="0" w:color="auto"/>
        <w:bottom w:val="none" w:sz="0" w:space="0" w:color="auto"/>
        <w:right w:val="none" w:sz="0" w:space="0" w:color="auto"/>
      </w:divBdr>
    </w:div>
    <w:div w:id="225263226">
      <w:bodyDiv w:val="1"/>
      <w:marLeft w:val="0"/>
      <w:marRight w:val="0"/>
      <w:marTop w:val="0"/>
      <w:marBottom w:val="0"/>
      <w:divBdr>
        <w:top w:val="none" w:sz="0" w:space="0" w:color="auto"/>
        <w:left w:val="none" w:sz="0" w:space="0" w:color="auto"/>
        <w:bottom w:val="none" w:sz="0" w:space="0" w:color="auto"/>
        <w:right w:val="none" w:sz="0" w:space="0" w:color="auto"/>
      </w:divBdr>
    </w:div>
    <w:div w:id="705834002">
      <w:bodyDiv w:val="1"/>
      <w:marLeft w:val="0"/>
      <w:marRight w:val="0"/>
      <w:marTop w:val="0"/>
      <w:marBottom w:val="0"/>
      <w:divBdr>
        <w:top w:val="none" w:sz="0" w:space="0" w:color="auto"/>
        <w:left w:val="none" w:sz="0" w:space="0" w:color="auto"/>
        <w:bottom w:val="none" w:sz="0" w:space="0" w:color="auto"/>
        <w:right w:val="none" w:sz="0" w:space="0" w:color="auto"/>
      </w:divBdr>
    </w:div>
    <w:div w:id="739713165">
      <w:bodyDiv w:val="1"/>
      <w:marLeft w:val="0"/>
      <w:marRight w:val="0"/>
      <w:marTop w:val="0"/>
      <w:marBottom w:val="0"/>
      <w:divBdr>
        <w:top w:val="none" w:sz="0" w:space="0" w:color="auto"/>
        <w:left w:val="none" w:sz="0" w:space="0" w:color="auto"/>
        <w:bottom w:val="none" w:sz="0" w:space="0" w:color="auto"/>
        <w:right w:val="none" w:sz="0" w:space="0" w:color="auto"/>
      </w:divBdr>
    </w:div>
    <w:div w:id="776557627">
      <w:bodyDiv w:val="1"/>
      <w:marLeft w:val="0"/>
      <w:marRight w:val="0"/>
      <w:marTop w:val="0"/>
      <w:marBottom w:val="0"/>
      <w:divBdr>
        <w:top w:val="none" w:sz="0" w:space="0" w:color="auto"/>
        <w:left w:val="none" w:sz="0" w:space="0" w:color="auto"/>
        <w:bottom w:val="none" w:sz="0" w:space="0" w:color="auto"/>
        <w:right w:val="none" w:sz="0" w:space="0" w:color="auto"/>
      </w:divBdr>
    </w:div>
    <w:div w:id="1154299296">
      <w:bodyDiv w:val="1"/>
      <w:marLeft w:val="0"/>
      <w:marRight w:val="0"/>
      <w:marTop w:val="0"/>
      <w:marBottom w:val="0"/>
      <w:divBdr>
        <w:top w:val="none" w:sz="0" w:space="0" w:color="auto"/>
        <w:left w:val="none" w:sz="0" w:space="0" w:color="auto"/>
        <w:bottom w:val="none" w:sz="0" w:space="0" w:color="auto"/>
        <w:right w:val="none" w:sz="0" w:space="0" w:color="auto"/>
      </w:divBdr>
    </w:div>
    <w:div w:id="1160075746">
      <w:bodyDiv w:val="1"/>
      <w:marLeft w:val="0"/>
      <w:marRight w:val="0"/>
      <w:marTop w:val="0"/>
      <w:marBottom w:val="0"/>
      <w:divBdr>
        <w:top w:val="none" w:sz="0" w:space="0" w:color="auto"/>
        <w:left w:val="none" w:sz="0" w:space="0" w:color="auto"/>
        <w:bottom w:val="none" w:sz="0" w:space="0" w:color="auto"/>
        <w:right w:val="none" w:sz="0" w:space="0" w:color="auto"/>
      </w:divBdr>
    </w:div>
    <w:div w:id="1898276220">
      <w:bodyDiv w:val="1"/>
      <w:marLeft w:val="0"/>
      <w:marRight w:val="0"/>
      <w:marTop w:val="0"/>
      <w:marBottom w:val="0"/>
      <w:divBdr>
        <w:top w:val="none" w:sz="0" w:space="0" w:color="auto"/>
        <w:left w:val="none" w:sz="0" w:space="0" w:color="auto"/>
        <w:bottom w:val="none" w:sz="0" w:space="0" w:color="auto"/>
        <w:right w:val="none" w:sz="0" w:space="0" w:color="auto"/>
      </w:divBdr>
    </w:div>
    <w:div w:id="192769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sv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svg"/><Relationship Id="rId12" Type="http://schemas.openxmlformats.org/officeDocument/2006/relationships/image" Target="media/image9.png"/><Relationship Id="rId17" Type="http://schemas.openxmlformats.org/officeDocument/2006/relationships/image" Target="media/image14.sv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svg"/><Relationship Id="rId15" Type="http://schemas.openxmlformats.org/officeDocument/2006/relationships/image" Target="media/image12.svg"/><Relationship Id="rId10" Type="http://schemas.openxmlformats.org/officeDocument/2006/relationships/image" Target="media/image7.png"/><Relationship Id="rId19" Type="http://schemas.openxmlformats.org/officeDocument/2006/relationships/image" Target="media/image16.sv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14</Pages>
  <Words>1278</Words>
  <Characters>7286</Characters>
  <Application>Microsoft Office Word</Application>
  <DocSecurity>0</DocSecurity>
  <Lines>60</Lines>
  <Paragraphs>17</Paragraphs>
  <ScaleCrop>false</ScaleCrop>
  <Company/>
  <LinksUpToDate>false</LinksUpToDate>
  <CharactersWithSpaces>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Coale</dc:creator>
  <cp:keywords/>
  <dc:description/>
  <cp:lastModifiedBy>Tyler Coale</cp:lastModifiedBy>
  <cp:revision>3</cp:revision>
  <dcterms:created xsi:type="dcterms:W3CDTF">2025-05-06T22:57:00Z</dcterms:created>
  <dcterms:modified xsi:type="dcterms:W3CDTF">2025-05-19T18:19:00Z</dcterms:modified>
</cp:coreProperties>
</file>