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DD2F6" w14:textId="7BC721D8" w:rsidR="00157061" w:rsidRPr="00001654" w:rsidRDefault="00001654" w:rsidP="00157061">
      <w:pPr>
        <w:pStyle w:val="Heading1"/>
        <w:rPr>
          <w:sz w:val="36"/>
          <w:szCs w:val="48"/>
        </w:rPr>
      </w:pPr>
      <w:r w:rsidRPr="00001654">
        <w:rPr>
          <w:sz w:val="36"/>
          <w:szCs w:val="48"/>
        </w:rPr>
        <w:t>The global implications of uncertainty in China's climate policy delivery</w:t>
      </w:r>
      <w:r w:rsidR="00D01E6A" w:rsidRPr="00001654">
        <w:rPr>
          <w:rFonts w:hint="eastAsia"/>
          <w:sz w:val="36"/>
          <w:szCs w:val="48"/>
        </w:rPr>
        <w:t xml:space="preserve">: </w:t>
      </w:r>
      <w:r w:rsidR="00157061" w:rsidRPr="00001654">
        <w:rPr>
          <w:sz w:val="36"/>
          <w:szCs w:val="48"/>
        </w:rPr>
        <w:t>supplementary information</w:t>
      </w:r>
    </w:p>
    <w:p w14:paraId="3FC46975" w14:textId="2DD6F862" w:rsidR="00D57345" w:rsidRDefault="00D57345" w:rsidP="00D57345">
      <w:pPr>
        <w:pStyle w:val="Heading2"/>
      </w:pPr>
      <w:r>
        <w:t xml:space="preserve">SI Section </w:t>
      </w:r>
      <w:r w:rsidR="00D01E6A">
        <w:rPr>
          <w:rFonts w:hint="eastAsia"/>
        </w:rPr>
        <w:t>1</w:t>
      </w:r>
      <w:r>
        <w:t>: Policy credibility assessment of China climate policies</w:t>
      </w:r>
    </w:p>
    <w:p w14:paraId="54F5AB43" w14:textId="292EA49F" w:rsidR="00883080" w:rsidRDefault="00D57345" w:rsidP="00883080">
      <w:pPr>
        <w:spacing w:line="300" w:lineRule="auto"/>
        <w:rPr>
          <w:rFonts w:cs="Calibri"/>
          <w:szCs w:val="22"/>
        </w:rPr>
      </w:pPr>
      <w:r w:rsidRPr="00106B7F">
        <w:rPr>
          <w:rFonts w:cs="Calibri"/>
          <w:szCs w:val="22"/>
        </w:rPr>
        <w:t>When seeking to explore future energy scenarios</w:t>
      </w:r>
      <w:r>
        <w:rPr>
          <w:rFonts w:cs="Calibri"/>
          <w:szCs w:val="22"/>
        </w:rPr>
        <w:t xml:space="preserve">, </w:t>
      </w:r>
      <w:r w:rsidRPr="00610296">
        <w:rPr>
          <w:rFonts w:cs="Calibri"/>
          <w:szCs w:val="22"/>
        </w:rPr>
        <w:t xml:space="preserve"> policy credibility has started to receive attention in the context of achieving </w:t>
      </w:r>
      <w:r>
        <w:rPr>
          <w:rFonts w:cs="Calibri"/>
          <w:szCs w:val="22"/>
        </w:rPr>
        <w:t xml:space="preserve">a </w:t>
      </w:r>
      <w:r w:rsidRPr="00610296">
        <w:rPr>
          <w:rFonts w:cs="Calibri"/>
          <w:szCs w:val="22"/>
        </w:rPr>
        <w:t xml:space="preserve">low-carbon transition and </w:t>
      </w:r>
      <w:r>
        <w:rPr>
          <w:rFonts w:cs="Calibri"/>
          <w:szCs w:val="22"/>
        </w:rPr>
        <w:t xml:space="preserve">meeting </w:t>
      </w:r>
      <w:r w:rsidRPr="00610296">
        <w:rPr>
          <w:rFonts w:cs="Calibri"/>
          <w:szCs w:val="22"/>
        </w:rPr>
        <w:t xml:space="preserve">climate targets </w:t>
      </w:r>
      <w:r w:rsidRPr="00610296">
        <w:rPr>
          <w:rFonts w:cs="Calibri"/>
          <w:szCs w:val="22"/>
        </w:rPr>
        <w:fldChar w:fldCharType="begin"/>
      </w:r>
      <w:r w:rsidR="006B2721">
        <w:rPr>
          <w:rFonts w:cs="Calibri"/>
          <w:szCs w:val="22"/>
        </w:rPr>
        <w:instrText xml:space="preserve"> ADDIN ZOTERO_ITEM CSL_CITATION {"citationID":"adm6vvq5pe","properties":{"formattedCitation":"\\super 1\\uc0\\u8211{}5\\nosupersub{}","plainCitation":"1–5","noteIndex":0},"citationItems":[{"id":3674,"uris":["http://zotero.org/users/10504693/items/Y5CEV35Z"],"itemData":{"id":3674,"type":"article-journal","abstract":"Sustainability oriented innovation and technology studies have received increasing attention over the past 10–15 years. In particular, a new field dealing with “sustainability transitions” has gained ground and reached an output of 60–100 academic papers per year. In this article, we aim to identify the intellectual contours of this emerging field by conducting a review of basic conceptual frameworks, together with bibliographical analysis of 540 journal articles in the field. It is against this background that we position the six papers assembled in a special section in Research Policy. These papers pave the way for new conceptual developments and serve as stepping-stones in the maturation of sustainability transition studies, by linking with the scholarly literatures of management studies, sociology, policy studies, economic geography, and modeling.","collection-title":"Special Section on Sustainability Transitions","container-title":"Research Policy","DOI":"10.1016/j.respol.2012.02.013","ISSN":"0048-7333","issue":"6","journalAbbreviation":"Research Policy","page":"955-967","source":"ScienceDirect","title":"Sustainability transitions: An emerging field of research and its prospects","title-short":"Sustainability transitions","volume":"41","author":[{"family":"Markard","given":"Jochen"},{"family":"Raven","given":"Rob"},{"family":"Truffer","given":"Bernhard"}],"issued":{"date-parts":[["2012",7,1]]}}},{"id":3672,"uris":["http://zotero.org/users/10504693/items/7WGE9HJV"],"itemData":{"id":3672,"type":"article-journal","abstract":"A combination of characteristics of the climate change problem make the credibility of future commitments crucial for climate policy: the long lifetimes of carbon dioxide in the atmosphere and of energy infrastructure requires a long term perspective; the inherently global aspects of the atmosphere as a public good requires international coordination; decarbonizing the global economy depends on the incentives for investment in innovation; and persistent uncertainty— both about the problem and potential solutions—necessitate adapting to new information. Even in a first best world, climate policy design needs to navigate a tradeoff between making commitments that are sufficiently credible to stimulate transformation and retaining flexibility to adjust. The goal of this paper is to use the experience in other policy areas to assemble a broad set of possible remedies for addressing credibility problems and then characterize the advantages and disadvantages of each. We first review the theory and practice of addressing credibility problems in monetary, fiscal, and trade policy. From this we derive a taxonomy of four policy design categories. As a preliminary example, we then apply this framework to assess the credibility of climate targets made by selected developing countries as part of the United Nations Framework Convention on Climate Change process. Finally, we evaluate the items in the taxonomy as policy alternatives in terms of their effects on incentives for investment in low-carbon technology.","container-title":"Global Environmental Change","DOI":"10.1016/j.gloenvcha.2016.12.004","ISSN":"0959-3780","journalAbbreviation":"Global Environmental Change","page":"47-57","source":"ScienceDirect","title":"Addressing policy credibility problems for low-carbon investment","volume":"42","author":[{"family":"Nemet","given":"Gregory F."},{"family":"Jakob","given":"Michael"},{"family":"Steckel","given":"Jan Christoph"},{"family":"Edenhofer","given":"Ottmar"}],"issued":{"date-parts":[["2017",1,1]]}}},{"id":3511,"uris":["http://zotero.org/users/10504693/items/Z932C6M4"],"itemData":{"id":3511,"type":"article-journal","container-title":"Science","DOI":"10.1126/science.adg6248","issue":"6649","note":"publisher: American Association for the Advancement of Science","page":"1014-1016","source":"science.org (Atypon)","title":"Credibility gap in net-zero climate targets leaves world at high risk","volume":"380","author":[{"family":"Rogelj","given":"Joeri"},{"family":"Fransen","given":"Taryn"},{"family":"Elzen","given":"Michel G. J.","non-dropping-particle":"den"},{"family":"Lamboll","given":"Robin D."},{"family":"Schumer","given":"Clea"},{"family":"Kuramochi","given":"Takeshi"},{"family":"Hans","given":"Frederic"},{"family":"Mooldijk","given":"Silke"},{"family":"Portugal-Pereira","given":"Joana"}],"issued":{"date-parts":[["2023",6,9]]}}},{"id":3905,"uris":["http://zotero.org/users/10504693/items/AVNTMR4Y"],"itemData":{"id":3905,"type":"article-journal","container-title":"Nature Climate Change","DOI":"10.1038/s41558-022-01459-6","ISSN":"1758-678X, 1758-6798","issue":"9","journalAbbreviation":"Nat. Clim. Chang.","language":"en","page":"779-780","source":"DOI.org (Crossref)","title":"Ambitious and credible pledges","volume":"12","author":[{"family":"Teng","given":"Fei"}],"issued":{"date-parts":[["2022",9]]}}},{"id":3846,"uris":["http://zotero.org/users/10504693/items/G4HM5HII"],"itemData":{"id":3846,"type":"article-journal","abstract":"Abstract\n            The Paris Agreement on climate change aims to improve cooperation by allowing governments to set their own commitments. Its success hinges on whether governments and investors believe those national commitments. To assess credibility, we interrogate a large novel sample of climate policy elites with decades of experience and well-placed to evaluate whether nations’ policy pledges are aligned with what they are politically and administratively able to implement. This expert assessment reveals that countries making the boldest pledges are also making the most credible pledges, contrasting theoretical warnings of a trade-off between ambition and credibility. We find that the quality of national political institutions is the largest explanator of the variation in credibility, and Europe’s credibility is exceptionally high. We also find that economic factors, such as the costs and benefits of controlling emissions, are statistically unimportant in explaining the credibility of national pledges to cooperate.","container-title":"Nature Climate Change","DOI":"10.1038/s41558-022-01454-x","ISSN":"1758-678X, 1758-6798","issue":"9","journalAbbreviation":"Nat. Clim. Chang.","language":"en","page":"793-800","source":"DOI.org (Crossref)","title":"Determining the credibility of commitments in international climate policy","volume":"12","author":[{"family":"Victor","given":"David G."},{"family":"Lumkowsky","given":"Marcel"},{"family":"Dannenberg","given":"Astrid"}],"issued":{"date-parts":[["2022",9]]}}}],"schema":"https://github.com/citation-style-language/schema/raw/master/csl-citation.json"} </w:instrText>
      </w:r>
      <w:r w:rsidRPr="00610296">
        <w:rPr>
          <w:rFonts w:cs="Calibri"/>
          <w:szCs w:val="22"/>
        </w:rPr>
        <w:fldChar w:fldCharType="separate"/>
      </w:r>
      <w:r w:rsidR="00693E69" w:rsidRPr="00693E69">
        <w:rPr>
          <w:rFonts w:cs="Calibri"/>
          <w:kern w:val="0"/>
          <w:vertAlign w:val="superscript"/>
        </w:rPr>
        <w:t>1–5</w:t>
      </w:r>
      <w:r w:rsidRPr="00610296">
        <w:rPr>
          <w:rFonts w:cs="Calibri"/>
          <w:szCs w:val="22"/>
        </w:rPr>
        <w:fldChar w:fldCharType="end"/>
      </w:r>
      <w:r w:rsidRPr="00610296">
        <w:rPr>
          <w:rFonts w:cs="Calibri"/>
          <w:szCs w:val="22"/>
        </w:rPr>
        <w:t xml:space="preserve">. Existing Chinese policy-related scenarios studies have mainly focused on overarching NDC or Net zero targets, often assuming the delivery of policy targets </w:t>
      </w:r>
      <w:r w:rsidR="00883080" w:rsidRPr="00796821">
        <w:rPr>
          <w:rFonts w:cs="Calibri"/>
          <w:szCs w:val="22"/>
        </w:rPr>
        <w:t>while overlooking the uncertainties associated with delayed, partial, or failed implementation—particularly at the sectoral level. This paper takes a first step toward closing that research gap by systematically assessing the credibility of China’s sectoral climate and energy targets, providing a more realistic basis for evaluating whether the country is on track to meet its decarbonisation goals.</w:t>
      </w:r>
    </w:p>
    <w:p w14:paraId="622E83D8" w14:textId="5C50E19E" w:rsidR="00D57345" w:rsidRPr="00610296" w:rsidRDefault="00693E69" w:rsidP="00D57345">
      <w:pPr>
        <w:rPr>
          <w:rFonts w:cs="Calibri"/>
          <w:szCs w:val="22"/>
        </w:rPr>
      </w:pPr>
      <w:r>
        <w:rPr>
          <w:rFonts w:cs="Calibri"/>
          <w:szCs w:val="22"/>
        </w:rPr>
        <w:t>T</w:t>
      </w:r>
      <w:r w:rsidRPr="00610296">
        <w:rPr>
          <w:rFonts w:cs="Calibri"/>
          <w:szCs w:val="22"/>
        </w:rPr>
        <w:t xml:space="preserve">he definition of ‘policy credibility’ </w:t>
      </w:r>
      <w:r>
        <w:rPr>
          <w:rFonts w:cs="Calibri"/>
          <w:szCs w:val="22"/>
        </w:rPr>
        <w:t xml:space="preserve">varies </w:t>
      </w:r>
      <w:r w:rsidRPr="00610296">
        <w:rPr>
          <w:rFonts w:cs="Calibri"/>
          <w:szCs w:val="22"/>
        </w:rPr>
        <w:t xml:space="preserve">in the literature </w:t>
      </w:r>
      <w:r w:rsidRPr="00610296">
        <w:rPr>
          <w:rFonts w:cs="Calibri"/>
          <w:szCs w:val="22"/>
        </w:rPr>
        <w:fldChar w:fldCharType="begin"/>
      </w:r>
      <w:r w:rsidR="006B2721">
        <w:rPr>
          <w:rFonts w:cs="Calibri"/>
          <w:szCs w:val="22"/>
        </w:rPr>
        <w:instrText xml:space="preserve"> ADDIN ZOTERO_ITEM CSL_CITATION {"citationID":"ZLtZOCmF","properties":{"formattedCitation":"\\super 6\\uc0\\u8211{}8\\nosupersub{}","plainCitation":"6–8","noteIndex":0},"citationItems":[{"id":3679,"uris":["http://zotero.org/users/10504693/items/AKDCPXME"],"itemData":{"id":3679,"type":"article-journal","container-title":"Climate Policy","DOI":"10.1080/14693062.2011.582327","ISSN":"1469-3062","issue":"2","note":"publisher: Taylor &amp; Francis","page":"255-271","source":"tandfonline.com (Atypon)","title":"Credible commitment in carbon policy","volume":"12","author":[{"family":"Brunner","given":"Steffen"},{"family":"Flachsland","given":"Christian"},{"family":"Marschinski","given":"Robert"}],"issued":{"date-parts":[["2012",3]]}}},{"id":3681,"uris":["http://zotero.org/users/10504693/items/UJ27BPV6"],"itemData":{"id":3681,"type":"article-journal","abstract":"A range of policy problems—from climate change to pension sustainability to skill shortages—confront governments with intertemporal dilemmas: trade-offs between maximizing social welfare in the present and taking care of the future. There is, moreover, substantial variation in the degree to which democratic governments are willing to invest in long-term social goods. Surprisingly, the literature on the politics of public policy has paid little explicit attention to timing as a dimension of policy choice, focusing almost exclusively on matters of cross-sectional distribution. This article develops a framework for explaining intertemporal policy choices in democracies by adapting findings from the literatures on distributive politics, political economy, and political behavior. The article makes a case for analyzing the politics of the long term as a struggle over how welfare should be allocated across groups and over how policy effects should be distributed through time.","container-title":"Annual Review of Political Science","DOI":"10.1146/annurev-polisci-110813-034103","ISSN":"1094-2939, 1545-1577","issue":"Volume 19, 2016","language":"en","note":"publisher: Annual Reviews","page":"433-454","source":"www.annualreviews.org","title":"Policy Making for the Long Term in Advanced Democracies","volume":"19","author":[{"family":"Jacobs","given":"Alan M."}],"issued":{"date-parts":[["2016",5,11]]}}},{"id":3676,"uris":["http://zotero.org/users/10504693/items/8M7L6Y9F"],"itemData":{"id":3676,"type":"article-journal","abstract":"Reaching a better understanding of the policies and politics of transitions presents a main agenda item in the emerging field of sustainability transitions. One important requirement for these transitions, such as the move towards a decarbonized energy system, is the redirection and acceleration of technological change, for which policies play a key role. In this regard, several studies have argued for the need to combine different policy instruments in so-called policy mixes. However, existing policy mix studies often fall short of reflecting the complexity and dynamics of actual policy mixes, the underlying politics and the evaluation of their impacts. In this paper we take a first step towards an extended, interdisciplinary policy mix concept based on a review of the bodies of literature on innovation studies, environmental economics and policy analysis. The concept introduces a clear terminology and consists of the three building blocks elements, policy processes and characteristics, which can be delineated by several dimensions. Based on this, we discuss its application as analytical framework for empirical studies analyzing the impact of the policy mix on technological change. Throughout the paper we illustrate the proposed concept by using the example of the policy mix for fostering the transition of the German energy system to renewable power generation technologies. Finally, we derive policy implications and suggest avenues for future research.","container-title":"Research Policy","DOI":"10.1016/j.respol.2016.04.004","ISSN":"0048-7333","issue":"8","journalAbbreviation":"Research Policy","page":"1620-1635","source":"ScienceDirect","title":"Policy mixes for sustainability transitions: An extended concept and framework for analysis","title-short":"Policy mixes for sustainability transitions","volume":"45","author":[{"family":"Rogge","given":"Karoline S."},{"family":"Reichardt","given":"Kristin"}],"issued":{"date-parts":[["2016",10,1]]}}}],"schema":"https://github.com/citation-style-language/schema/raw/master/csl-citation.json"} </w:instrText>
      </w:r>
      <w:r w:rsidRPr="00610296">
        <w:rPr>
          <w:rFonts w:cs="Calibri"/>
          <w:szCs w:val="22"/>
        </w:rPr>
        <w:fldChar w:fldCharType="separate"/>
      </w:r>
      <w:r w:rsidRPr="00693E69">
        <w:rPr>
          <w:rFonts w:cs="Calibri"/>
          <w:kern w:val="0"/>
          <w:vertAlign w:val="superscript"/>
        </w:rPr>
        <w:t>6–8</w:t>
      </w:r>
      <w:r w:rsidRPr="00610296">
        <w:rPr>
          <w:rFonts w:cs="Calibri"/>
          <w:szCs w:val="22"/>
        </w:rPr>
        <w:fldChar w:fldCharType="end"/>
      </w:r>
      <w:r w:rsidRPr="00610296">
        <w:rPr>
          <w:rFonts w:cs="Calibri"/>
          <w:szCs w:val="22"/>
        </w:rPr>
        <w:t xml:space="preserve">. </w:t>
      </w:r>
      <w:r>
        <w:rPr>
          <w:rFonts w:cs="Calibri"/>
          <w:szCs w:val="22"/>
        </w:rPr>
        <w:t>Furthermore, t</w:t>
      </w:r>
      <w:r w:rsidRPr="00BF40E3">
        <w:rPr>
          <w:rFonts w:cs="Calibri"/>
          <w:szCs w:val="22"/>
        </w:rPr>
        <w:t>here is no standard assessment framework for policy credibility across studies</w:t>
      </w:r>
      <w:r>
        <w:rPr>
          <w:rFonts w:cs="Calibri"/>
          <w:szCs w:val="22"/>
        </w:rPr>
        <w:fldChar w:fldCharType="begin"/>
      </w:r>
      <w:r w:rsidR="006B2721">
        <w:rPr>
          <w:rFonts w:cs="Calibri"/>
          <w:szCs w:val="22"/>
        </w:rPr>
        <w:instrText xml:space="preserve"> ADDIN ZOTERO_ITEM CSL_CITATION {"citationID":"viukp8zA","properties":{"formattedCitation":"\\super 4,5\\nosupersub{}","plainCitation":"4,5","noteIndex":0},"citationItems":[{"id":3846,"uris":["http://zotero.org/users/10504693/items/G4HM5HII"],"itemData":{"id":3846,"type":"article-journal","abstract":"Abstract\n            The Paris Agreement on climate change aims to improve cooperation by allowing governments to set their own commitments. Its success hinges on whether governments and investors believe those national commitments. To assess credibility, we interrogate a large novel sample of climate policy elites with decades of experience and well-placed to evaluate whether nations’ policy pledges are aligned with what they are politically and administratively able to implement. This expert assessment reveals that countries making the boldest pledges are also making the most credible pledges, contrasting theoretical warnings of a trade-off between ambition and credibility. We find that the quality of national political institutions is the largest explanator of the variation in credibility, and Europe’s credibility is exceptionally high. We also find that economic factors, such as the costs and benefits of controlling emissions, are statistically unimportant in explaining the credibility of national pledges to cooperate.","container-title":"Nature Climate Change","DOI":"10.1038/s41558-022-01454-x","ISSN":"1758-678X, 1758-6798","issue":"9","journalAbbreviation":"Nat. Clim. Chang.","language":"en","page":"793-800","source":"DOI.org (Crossref)","title":"Determining the credibility of commitments in international climate policy","volume":"12","author":[{"family":"Victor","given":"David G."},{"family":"Lumkowsky","given":"Marcel"},{"family":"Dannenberg","given":"Astrid"}],"issued":{"date-parts":[["2022",9]]}}},{"id":3905,"uris":["http://zotero.org/users/10504693/items/AVNTMR4Y"],"itemData":{"id":3905,"type":"article-journal","container-title":"Nature Climate Change","DOI":"10.1038/s41558-022-01459-6","ISSN":"1758-678X, 1758-6798","issue":"9","journalAbbreviation":"Nat. Clim. Chang.","language":"en","page":"779-780","source":"DOI.org (Crossref)","title":"Ambitious and credible pledges","volume":"12","author":[{"family":"Teng","given":"Fei"}],"issued":{"date-parts":[["2022",9]]}}}],"schema":"https://github.com/citation-style-language/schema/raw/master/csl-citation.json"} </w:instrText>
      </w:r>
      <w:r>
        <w:rPr>
          <w:rFonts w:cs="Calibri"/>
          <w:szCs w:val="22"/>
        </w:rPr>
        <w:fldChar w:fldCharType="separate"/>
      </w:r>
      <w:r w:rsidRPr="00693E69">
        <w:rPr>
          <w:rFonts w:cs="Calibri"/>
          <w:kern w:val="0"/>
          <w:vertAlign w:val="superscript"/>
        </w:rPr>
        <w:t>4,5</w:t>
      </w:r>
      <w:r>
        <w:rPr>
          <w:rFonts w:cs="Calibri"/>
          <w:szCs w:val="22"/>
        </w:rPr>
        <w:fldChar w:fldCharType="end"/>
      </w:r>
      <w:r w:rsidRPr="00BF40E3">
        <w:rPr>
          <w:rFonts w:cs="Calibri"/>
          <w:szCs w:val="22"/>
        </w:rPr>
        <w:t>.</w:t>
      </w:r>
      <w:r>
        <w:rPr>
          <w:rFonts w:cs="Calibri"/>
          <w:szCs w:val="22"/>
        </w:rPr>
        <w:t xml:space="preserve">  </w:t>
      </w:r>
      <w:r w:rsidR="00D57345" w:rsidRPr="00610296">
        <w:rPr>
          <w:rFonts w:cs="Calibri"/>
          <w:szCs w:val="22"/>
        </w:rPr>
        <w:t>In this study, we follow</w:t>
      </w:r>
      <w:r w:rsidR="00D57345">
        <w:rPr>
          <w:rFonts w:cs="Calibri" w:hint="eastAsia"/>
          <w:szCs w:val="22"/>
        </w:rPr>
        <w:t xml:space="preserve"> </w:t>
      </w:r>
      <w:r w:rsidR="00D57345" w:rsidRPr="00D11F23">
        <w:rPr>
          <w:rFonts w:cs="Calibri"/>
          <w:kern w:val="0"/>
          <w:szCs w:val="22"/>
        </w:rPr>
        <w:t xml:space="preserve">Rogelj, J. </w:t>
      </w:r>
      <w:r w:rsidR="00D57345" w:rsidRPr="00D11F23">
        <w:rPr>
          <w:rFonts w:cs="Calibri"/>
          <w:i/>
          <w:iCs/>
          <w:kern w:val="0"/>
          <w:szCs w:val="22"/>
        </w:rPr>
        <w:t>et al</w:t>
      </w:r>
      <w:r w:rsidR="00D57345" w:rsidRPr="00610296">
        <w:rPr>
          <w:rFonts w:cs="Calibri"/>
          <w:szCs w:val="22"/>
        </w:rPr>
        <w:t xml:space="preserve"> </w:t>
      </w:r>
      <w:r w:rsidR="00D57345" w:rsidRPr="00610296">
        <w:rPr>
          <w:rFonts w:cs="Calibri"/>
          <w:szCs w:val="22"/>
        </w:rPr>
        <w:fldChar w:fldCharType="begin"/>
      </w:r>
      <w:r w:rsidR="006B2721">
        <w:rPr>
          <w:rFonts w:cs="Calibri"/>
          <w:szCs w:val="22"/>
        </w:rPr>
        <w:instrText xml:space="preserve"> ADDIN ZOTERO_ITEM CSL_CITATION {"citationID":"YClXizgp","properties":{"formattedCitation":"\\super 3\\nosupersub{}","plainCitation":"3","noteIndex":0},"citationItems":[{"id":3511,"uris":["http://zotero.org/users/10504693/items/Z932C6M4"],"itemData":{"id":3511,"type":"article-journal","container-title":"Science","DOI":"10.1126/science.adg6248","issue":"6649","note":"publisher: American Association for the Advancement of Science","page":"1014-1016","source":"science.org (Atypon)","title":"Credibility gap in net-zero climate targets leaves world at high risk","volume":"380","author":[{"family":"Rogelj","given":"Joeri"},{"family":"Fransen","given":"Taryn"},{"family":"Elzen","given":"Michel G. J.","non-dropping-particle":"den"},{"family":"Lamboll","given":"Robin D."},{"family":"Schumer","given":"Clea"},{"family":"Kuramochi","given":"Takeshi"},{"family":"Hans","given":"Frederic"},{"family":"Mooldijk","given":"Silke"},{"family":"Portugal-Pereira","given":"Joana"}],"issued":{"date-parts":[["2023",6,9]]}}}],"schema":"https://github.com/citation-style-language/schema/raw/master/csl-citation.json"} </w:instrText>
      </w:r>
      <w:r w:rsidR="00D57345" w:rsidRPr="00610296">
        <w:rPr>
          <w:rFonts w:cs="Calibri"/>
          <w:szCs w:val="22"/>
        </w:rPr>
        <w:fldChar w:fldCharType="separate"/>
      </w:r>
      <w:r w:rsidR="00D95D3B" w:rsidRPr="00D95D3B">
        <w:rPr>
          <w:rFonts w:cs="Calibri"/>
          <w:kern w:val="0"/>
          <w:vertAlign w:val="superscript"/>
        </w:rPr>
        <w:t>3</w:t>
      </w:r>
      <w:r w:rsidR="00D57345" w:rsidRPr="00610296">
        <w:rPr>
          <w:rFonts w:cs="Calibri"/>
          <w:szCs w:val="22"/>
        </w:rPr>
        <w:fldChar w:fldCharType="end"/>
      </w:r>
      <w:r w:rsidR="00D57345" w:rsidRPr="00610296">
        <w:rPr>
          <w:rFonts w:cs="Calibri"/>
          <w:szCs w:val="22"/>
        </w:rPr>
        <w:t xml:space="preserve">, who define credibility as “the level of confidence in </w:t>
      </w:r>
      <w:r w:rsidR="00D57345">
        <w:rPr>
          <w:rFonts w:cs="Calibri" w:hint="eastAsia"/>
          <w:szCs w:val="22"/>
        </w:rPr>
        <w:t xml:space="preserve">a </w:t>
      </w:r>
      <w:r w:rsidR="00D57345">
        <w:rPr>
          <w:rFonts w:cs="Calibri"/>
        </w:rPr>
        <w:t>target</w:t>
      </w:r>
      <w:r w:rsidR="00D57345" w:rsidRPr="00610296">
        <w:rPr>
          <w:rFonts w:cs="Calibri"/>
          <w:szCs w:val="22"/>
        </w:rPr>
        <w:t xml:space="preserve"> (net-zero targets) delivery”, and extend their net-zero target credibility assessment to national-level targets in China. Policies reviewed in this study </w:t>
      </w:r>
      <w:r w:rsidR="00D57345" w:rsidRPr="00262CE1">
        <w:rPr>
          <w:rFonts w:cs="Calibri"/>
          <w:szCs w:val="22"/>
        </w:rPr>
        <w:t>encompass</w:t>
      </w:r>
      <w:r w:rsidR="00D57345" w:rsidRPr="00610296">
        <w:rPr>
          <w:rFonts w:cs="Calibri"/>
          <w:szCs w:val="22"/>
        </w:rPr>
        <w:t xml:space="preserve"> all Chinese government policy</w:t>
      </w:r>
      <w:r w:rsidR="00D57345">
        <w:rPr>
          <w:rFonts w:cs="Calibri" w:hint="eastAsia"/>
          <w:szCs w:val="22"/>
        </w:rPr>
        <w:t xml:space="preserve"> documents</w:t>
      </w:r>
      <w:r w:rsidR="00D57345" w:rsidRPr="00610296">
        <w:rPr>
          <w:rFonts w:cs="Calibri"/>
          <w:szCs w:val="22"/>
        </w:rPr>
        <w:t xml:space="preserve"> related to energy and climate </w:t>
      </w:r>
      <w:r w:rsidR="00D57345">
        <w:rPr>
          <w:rFonts w:cs="Calibri" w:hint="eastAsia"/>
          <w:szCs w:val="22"/>
        </w:rPr>
        <w:t xml:space="preserve">issued </w:t>
      </w:r>
      <w:r w:rsidR="00D57345">
        <w:rPr>
          <w:rFonts w:cs="Calibri"/>
          <w:szCs w:val="22"/>
        </w:rPr>
        <w:t xml:space="preserve">from central government </w:t>
      </w:r>
      <w:r w:rsidR="00D57345">
        <w:rPr>
          <w:rFonts w:cs="Calibri" w:hint="eastAsia"/>
          <w:szCs w:val="22"/>
        </w:rPr>
        <w:t xml:space="preserve">between 2020 </w:t>
      </w:r>
      <w:r w:rsidR="00D57345">
        <w:rPr>
          <w:rFonts w:cs="Calibri"/>
          <w:szCs w:val="22"/>
        </w:rPr>
        <w:t>and 2025</w:t>
      </w:r>
      <w:r w:rsidR="00D57345">
        <w:rPr>
          <w:rFonts w:cs="Calibri" w:hint="eastAsia"/>
          <w:szCs w:val="22"/>
        </w:rPr>
        <w:t>, including</w:t>
      </w:r>
      <w:r w:rsidR="00D57345" w:rsidRPr="00610296">
        <w:rPr>
          <w:rFonts w:cs="Calibri"/>
          <w:szCs w:val="22"/>
        </w:rPr>
        <w:t xml:space="preserve"> action plans, working scheme, strategy</w:t>
      </w:r>
      <w:r w:rsidR="00D57345">
        <w:rPr>
          <w:rFonts w:cs="Calibri"/>
          <w:szCs w:val="22"/>
        </w:rPr>
        <w:t xml:space="preserve"> documents</w:t>
      </w:r>
      <w:r w:rsidR="00D57345" w:rsidRPr="00610296">
        <w:rPr>
          <w:rFonts w:cs="Calibri"/>
          <w:szCs w:val="22"/>
        </w:rPr>
        <w:t>, guiding opinions, guidelines, standards and so on.</w:t>
      </w:r>
      <w:r w:rsidR="00D57345" w:rsidRPr="009B2286">
        <w:rPr>
          <w:rFonts w:cs="Calibri"/>
          <w:szCs w:val="22"/>
        </w:rPr>
        <w:t xml:space="preserve"> </w:t>
      </w:r>
      <w:r w:rsidR="00D57345" w:rsidRPr="001830C0">
        <w:rPr>
          <w:rFonts w:cs="Calibri"/>
          <w:szCs w:val="22"/>
        </w:rPr>
        <w:t>The credibility rating in Rogelj et al.’s study is based on three criteria: (</w:t>
      </w:r>
      <w:proofErr w:type="spellStart"/>
      <w:r w:rsidR="00D57345" w:rsidRPr="001830C0">
        <w:rPr>
          <w:rFonts w:cs="Calibri"/>
          <w:szCs w:val="22"/>
        </w:rPr>
        <w:t>i</w:t>
      </w:r>
      <w:proofErr w:type="spellEnd"/>
      <w:r w:rsidR="00D57345" w:rsidRPr="001830C0">
        <w:rPr>
          <w:rFonts w:cs="Calibri"/>
          <w:szCs w:val="22"/>
        </w:rPr>
        <w:t>) whether a country’s net-zero target is legally binding, (ii) whether it is accompanied by a published implementation plan, and (iii) whether the country’s current policy trajectory is on track to significantly reduce emissions by 2030</w:t>
      </w:r>
      <w:r w:rsidR="00D57345">
        <w:rPr>
          <w:rFonts w:cs="Calibri"/>
          <w:szCs w:val="22"/>
        </w:rPr>
        <w:t>. In the context of China, we conducted credibility</w:t>
      </w:r>
      <w:r w:rsidR="00D57345" w:rsidRPr="00610296">
        <w:rPr>
          <w:rFonts w:cs="Calibri"/>
          <w:szCs w:val="22"/>
        </w:rPr>
        <w:t xml:space="preserve"> rating based on the following three policy characteristics: </w:t>
      </w:r>
    </w:p>
    <w:p w14:paraId="2D84E9AF" w14:textId="5541EB27" w:rsidR="00D57345" w:rsidRDefault="00D57345" w:rsidP="00D57345">
      <w:pPr>
        <w:spacing w:before="100" w:beforeAutospacing="1" w:after="100" w:afterAutospacing="1" w:line="276" w:lineRule="auto"/>
        <w:rPr>
          <w:rFonts w:cs="Calibri"/>
          <w:kern w:val="0"/>
          <w:szCs w:val="22"/>
          <w14:ligatures w14:val="none"/>
        </w:rPr>
      </w:pPr>
      <w:r w:rsidRPr="00802411">
        <w:rPr>
          <w:rFonts w:cs="Calibri"/>
          <w:b/>
          <w:bCs/>
          <w:szCs w:val="22"/>
        </w:rPr>
        <w:t xml:space="preserve">Governance level at which policy is </w:t>
      </w:r>
      <w:proofErr w:type="gramStart"/>
      <w:r w:rsidRPr="00802411">
        <w:rPr>
          <w:rFonts w:cs="Calibri"/>
          <w:b/>
          <w:bCs/>
          <w:szCs w:val="22"/>
        </w:rPr>
        <w:t>set:</w:t>
      </w:r>
      <w:proofErr w:type="gramEnd"/>
      <w:r w:rsidRPr="00802411">
        <w:rPr>
          <w:rFonts w:cs="Calibri"/>
          <w:b/>
          <w:bCs/>
          <w:szCs w:val="22"/>
        </w:rPr>
        <w:t xml:space="preserve"> </w:t>
      </w:r>
      <w:r w:rsidRPr="0008277F">
        <w:rPr>
          <w:rFonts w:cs="Calibri"/>
          <w:szCs w:val="22"/>
        </w:rPr>
        <w:t>we replace the "legally binding" criterion with the governance level at which the policy is set</w:t>
      </w:r>
      <w:r>
        <w:rPr>
          <w:rFonts w:cs="Calibri" w:hint="eastAsia"/>
          <w:szCs w:val="22"/>
        </w:rPr>
        <w:t xml:space="preserve"> as a </w:t>
      </w:r>
      <w:r w:rsidRPr="0008277F">
        <w:rPr>
          <w:rFonts w:eastAsia="Times New Roman" w:cs="Calibri"/>
          <w:kern w:val="0"/>
          <w:szCs w:val="22"/>
          <w14:ligatures w14:val="none"/>
        </w:rPr>
        <w:t xml:space="preserve">more nuanced and accurate </w:t>
      </w:r>
      <w:r>
        <w:rPr>
          <w:rFonts w:cs="Calibri"/>
          <w:kern w:val="0"/>
          <w:szCs w:val="22"/>
          <w14:ligatures w14:val="none"/>
        </w:rPr>
        <w:t>criteria</w:t>
      </w:r>
      <w:r>
        <w:rPr>
          <w:rFonts w:cs="Calibri" w:hint="eastAsia"/>
          <w:kern w:val="0"/>
          <w:szCs w:val="22"/>
          <w14:ligatures w14:val="none"/>
        </w:rPr>
        <w:t xml:space="preserve"> </w:t>
      </w:r>
      <w:r w:rsidRPr="0008277F">
        <w:rPr>
          <w:rFonts w:eastAsia="Times New Roman" w:cs="Calibri"/>
          <w:kern w:val="0"/>
          <w:szCs w:val="22"/>
          <w14:ligatures w14:val="none"/>
        </w:rPr>
        <w:t>of credibility in the Chinese context</w:t>
      </w:r>
      <w:r w:rsidRPr="0008277F">
        <w:rPr>
          <w:rFonts w:cs="Calibri"/>
          <w:szCs w:val="22"/>
        </w:rPr>
        <w:t>. China’s governance system is hierarchical and predominantly driven by executive orders rather than acts of parliament</w:t>
      </w:r>
      <w:r>
        <w:rPr>
          <w:rFonts w:cs="Calibri"/>
          <w:szCs w:val="22"/>
        </w:rPr>
        <w:fldChar w:fldCharType="begin"/>
      </w:r>
      <w:r w:rsidR="006B2721">
        <w:rPr>
          <w:rFonts w:cs="Calibri"/>
          <w:szCs w:val="22"/>
        </w:rPr>
        <w:instrText xml:space="preserve"> ADDIN ZOTERO_ITEM CSL_CITATION {"citationID":"a1s5pdfkj5","properties":{"formattedCitation":"\\super 9,10\\nosupersub{}","plainCitation":"9,10","noteIndex":0},"citationItems":[{"id":3809,"uris":["http://zotero.org/users/10504693/items/EY7T7D2X"],"itemData":{"id":3809,"type":"webpage","title":"The Rule of Climate Policy: How Do Chinese Judges Contribute to Climate Governance without Climate Law? | Transnational Environmental Law | Cambridge Core","URL":"https://www.cambridge.org/core/journals/transnational-environmental-law/article/rule-of-climate-policy-how-do-chinese-judges-contribute-to-climate-governance-without-climate-law/41A922D370E2E373389F521BEE54511F?utm_source=chatgpt.com","author":[{"family":"Zhu","given":"Mingzhe"}],"accessed":{"date-parts":[["2025",1,25]]},"issued":{"date-parts":[["2021"]]}}},{"id":3815,"uris":["http://zotero.org/users/10504693/items/DXR92T36"],"itemData":{"id":3815,"type":"webpage","container-title":"Guide to Chinese Climate Policy","language":"en-GB","title":"Appendix A: Government Structure","title-short":"Appendix A","URL":"https://chineseclimatepolicy.oxfordenergy.org/book-content/appendicies/government-structure/","author":[{"family":"Oxford Institute of Enegy Studies","given":""}],"accessed":{"date-parts":[["2025",1,25]]},"issued":{"date-parts":[["2021"]]}}}],"schema":"https://github.com/citation-style-language/schema/raw/master/csl-citation.json"} </w:instrText>
      </w:r>
      <w:r>
        <w:rPr>
          <w:rFonts w:cs="Calibri"/>
          <w:szCs w:val="22"/>
        </w:rPr>
        <w:fldChar w:fldCharType="separate"/>
      </w:r>
      <w:r w:rsidR="00693E69" w:rsidRPr="00693E69">
        <w:rPr>
          <w:rFonts w:cs="Calibri"/>
          <w:kern w:val="0"/>
          <w:vertAlign w:val="superscript"/>
        </w:rPr>
        <w:t>9,10</w:t>
      </w:r>
      <w:r>
        <w:rPr>
          <w:rFonts w:cs="Calibri"/>
          <w:szCs w:val="22"/>
        </w:rPr>
        <w:fldChar w:fldCharType="end"/>
      </w:r>
      <w:r w:rsidRPr="0008277F">
        <w:rPr>
          <w:rFonts w:cs="Calibri"/>
          <w:szCs w:val="22"/>
        </w:rPr>
        <w:t>. Legislation and policies related to climate change are often issued as soft regulations, rather than hard laws</w:t>
      </w:r>
      <w:r w:rsidRPr="0008277F">
        <w:rPr>
          <w:rFonts w:cs="Calibri"/>
          <w:szCs w:val="22"/>
        </w:rPr>
        <w:fldChar w:fldCharType="begin"/>
      </w:r>
      <w:r w:rsidR="006B2721">
        <w:rPr>
          <w:rFonts w:cs="Calibri"/>
          <w:szCs w:val="22"/>
        </w:rPr>
        <w:instrText xml:space="preserve"> ADDIN ZOTERO_ITEM CSL_CITATION {"citationID":"a1rrj4ek51o","properties":{"formattedCitation":"\\super 11\\nosupersub{}","plainCitation":"11","noteIndex":0},"citationItems":[{"id":3805,"uris":["http://zotero.org/users/10504693/items/Q2BL2T3U"],"itemData":{"id":3805,"type":"article-journal","abstract":"The realisation of global carbon neutrality is crucial for combating climate change. As the largest emitter, China declared to achieve carbon neutrality by 2060. However, substantial changes in the energy structure are far from being achieved. Using time series data from 2001 to 2019 and the ARDL-ECM method, this paper explored the effectiveness of climate policies in controlling China’s carbon emissions. The results show that economic and technical factors such as economic growth and energy structure are the determinants of carbon emissions. A green paradox is shown since increasing climate policy density does not significantly reduce carbon emissions. The main regulatory gaps in China’s climate governance include weaknesses in the rule of law, lack of accountability, and insufficient arrangements for equitable energy transitions. A binding legal system is necessary to realise absolute reduction and secure carbon neutrality, especially one including specific climate change legislation, binding reduction targets, and combining energy justice with regulatory efficiency.","container-title":"Humanities and Social Sciences Communications","DOI":"10.1057/s41599-023-02381-8","ISSN":"2662-9992","issue":"1","journalAbbreviation":"Humanit Soc Sci Commun","language":"en","license":"2023 The Author(s)","note":"publisher: Palgrave","page":"1-10","source":"www.nature.com","title":"China’s climate governance for carbon neutrality: regulatory gaps and the ways forward","title-short":"China’s climate governance for carbon neutrality","volume":"10","author":[{"family":"Xu","given":"Shengqing"}],"issued":{"date-parts":[["2023",11,21]]}}}],"schema":"https://github.com/citation-style-language/schema/raw/master/csl-citation.json"} </w:instrText>
      </w:r>
      <w:r w:rsidRPr="0008277F">
        <w:rPr>
          <w:rFonts w:cs="Calibri"/>
          <w:szCs w:val="22"/>
        </w:rPr>
        <w:fldChar w:fldCharType="separate"/>
      </w:r>
      <w:r w:rsidR="00693E69" w:rsidRPr="00693E69">
        <w:rPr>
          <w:rFonts w:cs="Calibri"/>
          <w:kern w:val="0"/>
          <w:vertAlign w:val="superscript"/>
        </w:rPr>
        <w:t>11</w:t>
      </w:r>
      <w:r w:rsidRPr="0008277F">
        <w:rPr>
          <w:rFonts w:cs="Calibri"/>
          <w:szCs w:val="22"/>
        </w:rPr>
        <w:fldChar w:fldCharType="end"/>
      </w:r>
      <w:r w:rsidRPr="0008277F">
        <w:rPr>
          <w:rFonts w:cs="Calibri"/>
          <w:szCs w:val="22"/>
        </w:rPr>
        <w:t>, which shifts the focus from legal enforceability to the authority and level of governance behind a policy</w:t>
      </w:r>
      <w:r w:rsidRPr="0008277F">
        <w:rPr>
          <w:rFonts w:cs="Calibri"/>
          <w:szCs w:val="22"/>
        </w:rPr>
        <w:fldChar w:fldCharType="begin"/>
      </w:r>
      <w:r w:rsidR="006B2721">
        <w:rPr>
          <w:rFonts w:cs="Calibri"/>
          <w:szCs w:val="22"/>
        </w:rPr>
        <w:instrText xml:space="preserve"> ADDIN ZOTERO_ITEM CSL_CITATION {"citationID":"a1k3juel2uf","properties":{"formattedCitation":"\\super 12,13\\nosupersub{}","plainCitation":"12,13","noteIndex":0},"citationItems":[{"id":3426,"uris":["http://zotero.org/users/10504693/items/CB42WCSZ"],"itemData":{"id":3426,"type":"article-journal","abstract":"Understanding the underlying forces of China’s climate governance, and asses­ sing the effectiveness of China’s climate institutions, are critical to the global climate governance architecture. This paper reviews the evolution of China’s climate governance system over the past three decades, and examines how factors such as socioeconomic transitions, cognitive shifts associated with climate change, as well as international climate politics have influenced China’s climate institutions. We argue that the evolution of climate governance is influenced by the varying dynamics between climate change and Chinese state’s quest for performance legitimacy. The positive co-benefits between climate change, energy conservation and environment quality triggered the creation of a dedicated climate agency, which then become an anchor to China’s Five-Year Plan and a centerpiece of climate policy communities. The announcement of a climate neutrality target marked a new moment for China as climate change become a new source of performance legitimacy.","container-title":"Environmental Politics","DOI":"10.1080/09644016.2021.1985221","ISSN":"0964-4016, 1743-8934","issue":"sup1","journalAbbreviation":"Environmental Politics","language":"en","page":"141-161","source":"DOI.org (Crossref)","title":"The evolution of climate governance in China: drivers, features, and effectiveness","title-short":"The evolution of climate governance in China","volume":"30","author":[{"family":"Teng","given":"Fei"},{"family":"Wang","given":"Pu"}],"issued":{"date-parts":[["2021",10,20]]}}},{"id":3684,"uris":["http://zotero.org/users/10504693/items/IR4FTYIZ"],"itemData":{"id":3684,"type":"article-journal","abstract":"The obvious paradox within China's environmental politics is the big gap between the central government's policy and its implementation outcomes at local levels. Despite concerns about implementation at the local level, much about the role of central governments in China's local environmental politics is still poorly understood. This article examines how the incentive structure set by the central authorities affects the policy implementation gap at the local level. Drawing on fieldwork and document analysis, this article argues that the incentives set by the central government regarding environmental policy implementation at local levels are perversely structured, meaning that the central government provides much more incentive for local governments' non-implementation or poor implementation of its environmental policies than it provides for full implementation. The central government's failure to encourage—politically, financially, as well as morally—local government officials to appropriately implement environmental policies can partly explain the production of the policy implementation gap at the local level. This implementation gap cannot be overcome by efforts at the local level unless the central government takes significant measures to address the perverse incentive structure embedded in the overall structure of China's local environmental politics.","container-title":"Journal of Environmental Policy &amp; Planning","DOI":"10.1080/1523908X.2012.752186","ISSN":"1523-908X","issue":"1","note":"publisher: Routledge\n_eprint: https://doi.org/10.1080/1523908X.2012.752186","page":"17-39","source":"Taylor and Francis+NEJM","title":"Perverse Incentive Structure and Policy Implementation Gap in China's Local Environmental Politics","volume":"15","author":[{"family":"Ran","given":"Ran"}],"issued":{"date-parts":[["2013",3,1]]}}}],"schema":"https://github.com/citation-style-language/schema/raw/master/csl-citation.json"} </w:instrText>
      </w:r>
      <w:r w:rsidRPr="0008277F">
        <w:rPr>
          <w:rFonts w:cs="Calibri"/>
          <w:szCs w:val="22"/>
        </w:rPr>
        <w:fldChar w:fldCharType="separate"/>
      </w:r>
      <w:r w:rsidR="00693E69" w:rsidRPr="00693E69">
        <w:rPr>
          <w:rFonts w:cs="Calibri"/>
          <w:kern w:val="0"/>
          <w:vertAlign w:val="superscript"/>
        </w:rPr>
        <w:t>12,13</w:t>
      </w:r>
      <w:r w:rsidRPr="0008277F">
        <w:rPr>
          <w:rFonts w:cs="Calibri"/>
          <w:szCs w:val="22"/>
        </w:rPr>
        <w:fldChar w:fldCharType="end"/>
      </w:r>
      <w:r>
        <w:rPr>
          <w:rFonts w:cs="Calibri" w:hint="eastAsia"/>
          <w:szCs w:val="22"/>
        </w:rPr>
        <w:t xml:space="preserve"> (</w:t>
      </w:r>
      <w:r w:rsidR="000264E6">
        <w:rPr>
          <w:rFonts w:cs="Calibri"/>
          <w:szCs w:val="22"/>
        </w:rPr>
        <w:t>s</w:t>
      </w:r>
      <w:r>
        <w:rPr>
          <w:rFonts w:cs="Calibri" w:hint="eastAsia"/>
          <w:szCs w:val="22"/>
        </w:rPr>
        <w:t xml:space="preserve">ee </w:t>
      </w:r>
      <w:r w:rsidR="000264E6">
        <w:rPr>
          <w:rFonts w:cs="Calibri"/>
          <w:szCs w:val="22"/>
        </w:rPr>
        <w:t>SI F</w:t>
      </w:r>
      <w:r>
        <w:rPr>
          <w:rFonts w:cs="Calibri" w:hint="eastAsia"/>
          <w:szCs w:val="22"/>
        </w:rPr>
        <w:t xml:space="preserve">igure </w:t>
      </w:r>
      <w:r w:rsidR="000264E6">
        <w:rPr>
          <w:rFonts w:cs="Calibri"/>
          <w:szCs w:val="22"/>
        </w:rPr>
        <w:t>1</w:t>
      </w:r>
      <w:r>
        <w:rPr>
          <w:rFonts w:cs="Calibri" w:hint="eastAsia"/>
          <w:szCs w:val="22"/>
        </w:rPr>
        <w:t xml:space="preserve">) </w:t>
      </w:r>
      <w:r w:rsidRPr="0008277F">
        <w:rPr>
          <w:rFonts w:cs="Calibri"/>
          <w:szCs w:val="22"/>
        </w:rPr>
        <w:t xml:space="preserve">. </w:t>
      </w:r>
      <w:r w:rsidRPr="00345D4E">
        <w:rPr>
          <w:rFonts w:eastAsia="Times New Roman" w:cs="Calibri"/>
          <w:kern w:val="0"/>
          <w:szCs w:val="22"/>
          <w14:ligatures w14:val="none"/>
        </w:rPr>
        <w:t>The "</w:t>
      </w:r>
      <w:proofErr w:type="gramStart"/>
      <w:r w:rsidRPr="00345D4E">
        <w:rPr>
          <w:rFonts w:eastAsia="Times New Roman" w:cs="Calibri"/>
          <w:kern w:val="0"/>
          <w:szCs w:val="22"/>
          <w14:ligatures w14:val="none"/>
        </w:rPr>
        <w:t>dual-carbon</w:t>
      </w:r>
      <w:proofErr w:type="gramEnd"/>
      <w:r w:rsidRPr="00345D4E">
        <w:rPr>
          <w:rFonts w:eastAsia="Times New Roman" w:cs="Calibri"/>
          <w:kern w:val="0"/>
          <w:szCs w:val="22"/>
          <w14:ligatures w14:val="none"/>
        </w:rPr>
        <w:t>" targets (peaking carbon emissions by 2030 and achieving carbon neutrality by 2060) are an example of policies set at the highest levels of authority. These targets are endorsed by the Chinese Communist Party (CCP) and the State Council and are made legally binding at the national level. In contrast, policies issued by the National Development and Reform Commission (NDRC) or other ministries are often non-binding guidelines or frameworks.</w:t>
      </w:r>
      <w:r>
        <w:rPr>
          <w:rFonts w:cs="Calibri" w:hint="eastAsia"/>
          <w:kern w:val="0"/>
          <w:szCs w:val="22"/>
          <w14:ligatures w14:val="none"/>
        </w:rPr>
        <w:t xml:space="preserve"> Therefore, to better </w:t>
      </w:r>
      <w:r>
        <w:rPr>
          <w:rFonts w:cs="Calibri"/>
          <w:kern w:val="0"/>
          <w:szCs w:val="22"/>
          <w14:ligatures w14:val="none"/>
        </w:rPr>
        <w:t>evaluate</w:t>
      </w:r>
      <w:r>
        <w:rPr>
          <w:rFonts w:cs="Calibri" w:hint="eastAsia"/>
          <w:kern w:val="0"/>
          <w:szCs w:val="22"/>
          <w14:ligatures w14:val="none"/>
        </w:rPr>
        <w:t xml:space="preserve"> the </w:t>
      </w:r>
      <w:r>
        <w:rPr>
          <w:rFonts w:cs="Calibri"/>
          <w:kern w:val="0"/>
          <w:szCs w:val="22"/>
          <w14:ligatures w14:val="none"/>
        </w:rPr>
        <w:t>credibility</w:t>
      </w:r>
      <w:r>
        <w:rPr>
          <w:rFonts w:cs="Calibri" w:hint="eastAsia"/>
          <w:kern w:val="0"/>
          <w:szCs w:val="22"/>
          <w14:ligatures w14:val="none"/>
        </w:rPr>
        <w:t xml:space="preserve"> of all </w:t>
      </w:r>
      <w:r>
        <w:rPr>
          <w:rFonts w:cs="Calibri"/>
          <w:kern w:val="0"/>
          <w:szCs w:val="22"/>
          <w14:ligatures w14:val="none"/>
        </w:rPr>
        <w:t>official</w:t>
      </w:r>
      <w:r>
        <w:rPr>
          <w:rFonts w:cs="Calibri" w:hint="eastAsia"/>
          <w:kern w:val="0"/>
          <w:szCs w:val="22"/>
          <w14:ligatures w14:val="none"/>
        </w:rPr>
        <w:t xml:space="preserve"> targets from all levels of government, it </w:t>
      </w:r>
      <w:r w:rsidRPr="008F5AC2">
        <w:rPr>
          <w:rFonts w:cs="Calibri"/>
          <w:kern w:val="0"/>
          <w:szCs w:val="22"/>
          <w14:ligatures w14:val="none"/>
        </w:rPr>
        <w:t>cannot be assessed simply using the "legally binding"</w:t>
      </w:r>
      <w:r>
        <w:rPr>
          <w:rFonts w:cs="Calibri" w:hint="eastAsia"/>
          <w:kern w:val="0"/>
          <w:szCs w:val="22"/>
          <w14:ligatures w14:val="none"/>
        </w:rPr>
        <w:t xml:space="preserve"> </w:t>
      </w:r>
      <w:r w:rsidRPr="007F0749">
        <w:rPr>
          <w:rFonts w:cs="Calibri"/>
          <w:kern w:val="0"/>
          <w:szCs w:val="22"/>
          <w14:ligatures w14:val="none"/>
        </w:rPr>
        <w:t xml:space="preserve">as is common in other countries. Instead, the level of authority behind the policy—whether it is set by the CCP, the State Council, the NDRC, or ministries—plays a significant role in </w:t>
      </w:r>
      <w:r w:rsidRPr="007F0749">
        <w:rPr>
          <w:rFonts w:cs="Calibri"/>
          <w:kern w:val="0"/>
          <w:szCs w:val="22"/>
          <w14:ligatures w14:val="none"/>
        </w:rPr>
        <w:lastRenderedPageBreak/>
        <w:t>determining its enforceability and alignment with the overarching dual-carbon goals.</w:t>
      </w:r>
      <w:r>
        <w:rPr>
          <w:rFonts w:cs="Calibri" w:hint="eastAsia"/>
          <w:kern w:val="0"/>
          <w:szCs w:val="22"/>
          <w14:ligatures w14:val="none"/>
        </w:rPr>
        <w:t xml:space="preserve"> </w:t>
      </w:r>
      <w:r w:rsidRPr="001B1B7C">
        <w:rPr>
          <w:rFonts w:cs="Calibri"/>
          <w:kern w:val="0"/>
          <w:szCs w:val="22"/>
          <w14:ligatures w14:val="none"/>
        </w:rPr>
        <w:t>Policies issued by higher authorities, such as the CCP and the State Council, typically receive stronger institutional support, better funding, and more rigorous monitoring</w:t>
      </w:r>
      <w:r>
        <w:rPr>
          <w:rFonts w:cs="Calibri" w:hint="eastAsia"/>
          <w:kern w:val="0"/>
          <w:szCs w:val="22"/>
          <w14:ligatures w14:val="none"/>
        </w:rPr>
        <w:t>, marking them more likely to secure compliance and achieve their intended outcomes</w:t>
      </w:r>
      <w:r>
        <w:rPr>
          <w:rFonts w:cs="Calibri"/>
          <w:kern w:val="0"/>
          <w:szCs w:val="22"/>
          <w14:ligatures w14:val="none"/>
        </w:rPr>
        <w:fldChar w:fldCharType="begin"/>
      </w:r>
      <w:r w:rsidR="006B2721">
        <w:rPr>
          <w:rFonts w:cs="Calibri"/>
          <w:kern w:val="0"/>
          <w:szCs w:val="22"/>
          <w14:ligatures w14:val="none"/>
        </w:rPr>
        <w:instrText xml:space="preserve"> ADDIN ZOTERO_ITEM CSL_CITATION {"citationID":"a2atag60fci","properties":{"formattedCitation":"\\super 14\\nosupersub{}","plainCitation":"14","noteIndex":0},"citationItems":[{"id":3811,"uris":["http://zotero.org/users/10504693/items/2HNXAKIK"],"itemData":{"id":3811,"type":"article-journal","abstract":"In recent years, the Chinese government has initiated assertive centralization efforts in its approach to environmental governance. However, the efficacy of these initiatives demonstrates marked variability across different sectors. While the central-local relational framework has traditionally been employed to elucidate these disparities, its explanatory power is showing signs of strain. This paper, through policy analysis and field interviews, investigates regulatory conflicts in land use for ecological and agricultural purposes within China. The findings highlight instances of overlapping jurisdictions and discordant policy objectives among agencies responsible for delineating ecological spaces and agricultural zones. While these conflicts seem to stem from the dynamics between the central and local governments, they more accurately reflect the inherent characteristics of fragmented authoritarianism. This paper aims to expand the theory of fragmented authoritarianism by incorporating the dimension of inter-departmental competition into environmental governance, moving beyond the traditional binary analysis framework of central-local relations. It seeks to understand and critique its limitations from a broader perspective, emphasizing the role of departmental competition within fragmented authoritarianism. By analyzing this internal mechanism, the paper reveals a more nuanced governance landscape, essentially replacing the traditional central-local paradigm with a model that situates departmental competition within the overall context of fragmented authoritarianism. We propose two models for delineating competition among governmental institutions: the bureaucratic model and the charisma model, thereby advancing and deepening the application of fragmented authoritarianism theory in China’s environmental governance. This provides new theoretical insights for understanding the current challenges and developments in China’s environmental governance.","container-title":"Humanities and Social Sciences Communications","DOI":"10.1057/s41599-024-03082-6","ISSN":"2662-9992","issue":"1","journalAbbreviation":"Humanit Soc Sci Commun","language":"en","license":"2024 The Author(s)","note":"publisher: Palgrave","page":"1-12","source":"www.nature.com","title":"Beyond central-local relations: the introduction of a new perspective on China’s environmental governance model","title-short":"Beyond central-local relations","volume":"11","author":[{"family":"Chen","given":"Haisong"},{"family":"Feng","given":"Li"},{"family":"Sun","given":"Xiaoyu"}],"issued":{"date-parts":[["2024",6,1]]}}}],"schema":"https://github.com/citation-style-language/schema/raw/master/csl-citation.json"} </w:instrText>
      </w:r>
      <w:r>
        <w:rPr>
          <w:rFonts w:cs="Calibri"/>
          <w:kern w:val="0"/>
          <w:szCs w:val="22"/>
          <w14:ligatures w14:val="none"/>
        </w:rPr>
        <w:fldChar w:fldCharType="separate"/>
      </w:r>
      <w:r w:rsidR="00693E69" w:rsidRPr="00693E69">
        <w:rPr>
          <w:rFonts w:cs="Calibri"/>
          <w:kern w:val="0"/>
          <w:vertAlign w:val="superscript"/>
        </w:rPr>
        <w:t>14</w:t>
      </w:r>
      <w:r>
        <w:rPr>
          <w:rFonts w:cs="Calibri"/>
          <w:kern w:val="0"/>
          <w:szCs w:val="22"/>
          <w14:ligatures w14:val="none"/>
        </w:rPr>
        <w:fldChar w:fldCharType="end"/>
      </w:r>
      <w:r w:rsidRPr="001B1B7C">
        <w:rPr>
          <w:rFonts w:cs="Calibri"/>
          <w:kern w:val="0"/>
          <w:szCs w:val="22"/>
          <w14:ligatures w14:val="none"/>
        </w:rPr>
        <w:t>. In contrast, lower-level policies often depend on the interpretation and implementation capacity of subnational governments, which can result in inconsistencies and gaps in execution</w:t>
      </w:r>
      <w:r>
        <w:rPr>
          <w:rFonts w:cs="Calibri"/>
          <w:kern w:val="0"/>
          <w:szCs w:val="22"/>
          <w14:ligatures w14:val="none"/>
        </w:rPr>
        <w:fldChar w:fldCharType="begin"/>
      </w:r>
      <w:r w:rsidR="006B2721">
        <w:rPr>
          <w:rFonts w:cs="Calibri"/>
          <w:kern w:val="0"/>
          <w:szCs w:val="22"/>
          <w14:ligatures w14:val="none"/>
        </w:rPr>
        <w:instrText xml:space="preserve"> ADDIN ZOTERO_ITEM CSL_CITATION {"citationID":"a2bum6m2mjv","properties":{"formattedCitation":"\\super 15\\nosupersub{}","plainCitation":"15","noteIndex":0},"citationItems":[{"id":3813,"uris":["http://zotero.org/users/10504693/items/TXMAT6LP"],"itemData":{"id":3813,"type":"post-weblog","abstract":"Central planning vs. local sustainable implementation At the end of 2020, China officially pledged to peak carbon dioxide emissions by 2030 and to become carbon neutral in 2060, a decade later than other regions, like the EU. A concrete roadmap on how to achieve this transition, however, has not yet been published. And while the...","container-title":"Climate Scorecard","language":"en-US","title":"Divergent Central and Local Government Interests May Impede Implementation of China’s Climate Targets","URL":"https://www.climatescorecard.org/2021/08/divergent-central-and-local-government-interests-may-impede-implementation-of-chinas-climate-targets/","author":[{"family":"Wiedenbach","given":"Annette"}],"accessed":{"date-parts":[["2025",1,25]]},"issued":{"date-parts":[["2021",8,2]]}}}],"schema":"https://github.com/citation-style-language/schema/raw/master/csl-citation.json"} </w:instrText>
      </w:r>
      <w:r>
        <w:rPr>
          <w:rFonts w:cs="Calibri"/>
          <w:kern w:val="0"/>
          <w:szCs w:val="22"/>
          <w14:ligatures w14:val="none"/>
        </w:rPr>
        <w:fldChar w:fldCharType="separate"/>
      </w:r>
      <w:r w:rsidR="00693E69" w:rsidRPr="00693E69">
        <w:rPr>
          <w:rFonts w:cs="Calibri"/>
          <w:kern w:val="0"/>
          <w:vertAlign w:val="superscript"/>
        </w:rPr>
        <w:t>15</w:t>
      </w:r>
      <w:r>
        <w:rPr>
          <w:rFonts w:cs="Calibri"/>
          <w:kern w:val="0"/>
          <w:szCs w:val="22"/>
          <w14:ligatures w14:val="none"/>
        </w:rPr>
        <w:fldChar w:fldCharType="end"/>
      </w:r>
      <w:r w:rsidRPr="001B1B7C">
        <w:rPr>
          <w:rFonts w:cs="Calibri"/>
          <w:kern w:val="0"/>
          <w:szCs w:val="22"/>
          <w14:ligatures w14:val="none"/>
        </w:rPr>
        <w:t>.</w:t>
      </w:r>
      <w:r w:rsidRPr="00981D94">
        <w:t xml:space="preserve"> </w:t>
      </w:r>
      <w:r w:rsidRPr="00981D94">
        <w:rPr>
          <w:rFonts w:cs="Calibri"/>
          <w:kern w:val="0"/>
          <w:szCs w:val="22"/>
          <w14:ligatures w14:val="none"/>
        </w:rPr>
        <w:t xml:space="preserve">Therefore, we assume the achievement of the climate target with </w:t>
      </w:r>
      <w:r>
        <w:rPr>
          <w:rFonts w:cs="Calibri" w:hint="eastAsia"/>
          <w:kern w:val="0"/>
          <w:szCs w:val="22"/>
          <w14:ligatures w14:val="none"/>
        </w:rPr>
        <w:t xml:space="preserve">higher-level </w:t>
      </w:r>
      <w:r>
        <w:rPr>
          <w:rFonts w:cs="Calibri"/>
          <w:kern w:val="0"/>
          <w:szCs w:val="22"/>
          <w14:ligatures w14:val="none"/>
        </w:rPr>
        <w:t>endorsement</w:t>
      </w:r>
      <w:r>
        <w:rPr>
          <w:rFonts w:cs="Calibri" w:hint="eastAsia"/>
          <w:kern w:val="0"/>
          <w:szCs w:val="22"/>
          <w14:ligatures w14:val="none"/>
        </w:rPr>
        <w:t xml:space="preserve"> and </w:t>
      </w:r>
      <w:r w:rsidRPr="00981D94">
        <w:rPr>
          <w:rFonts w:cs="Calibri"/>
          <w:kern w:val="0"/>
          <w:szCs w:val="22"/>
          <w14:ligatures w14:val="none"/>
        </w:rPr>
        <w:t>multiple reaffirmations from top to down</w:t>
      </w:r>
      <w:r>
        <w:rPr>
          <w:rFonts w:cs="Calibri" w:hint="eastAsia"/>
          <w:kern w:val="0"/>
          <w:szCs w:val="22"/>
          <w14:ligatures w14:val="none"/>
        </w:rPr>
        <w:t xml:space="preserve"> </w:t>
      </w:r>
      <w:r w:rsidRPr="00981D94">
        <w:rPr>
          <w:rFonts w:cs="Calibri"/>
          <w:kern w:val="0"/>
          <w:szCs w:val="22"/>
          <w14:ligatures w14:val="none"/>
        </w:rPr>
        <w:t>is more credible</w:t>
      </w:r>
      <w:r>
        <w:rPr>
          <w:rFonts w:cs="Calibri" w:hint="eastAsia"/>
          <w:kern w:val="0"/>
          <w:szCs w:val="22"/>
          <w14:ligatures w14:val="none"/>
        </w:rPr>
        <w:t xml:space="preserve">. </w:t>
      </w:r>
    </w:p>
    <w:p w14:paraId="77EB3E69" w14:textId="77777777" w:rsidR="00D57345" w:rsidRPr="00610296" w:rsidRDefault="00D57345" w:rsidP="00D57345">
      <w:pPr>
        <w:pStyle w:val="ListParagraph"/>
        <w:ind w:left="360"/>
        <w:jc w:val="center"/>
        <w:rPr>
          <w:rFonts w:cs="Calibri"/>
          <w:color w:val="FF0000"/>
          <w:szCs w:val="22"/>
        </w:rPr>
      </w:pPr>
      <w:r w:rsidRPr="00610296">
        <w:rPr>
          <w:rFonts w:cs="Calibri"/>
          <w:noProof/>
          <w:color w:val="FF0000"/>
          <w:szCs w:val="22"/>
        </w:rPr>
        <w:drawing>
          <wp:inline distT="0" distB="0" distL="0" distR="0" wp14:anchorId="7D77AF32" wp14:editId="67354941">
            <wp:extent cx="5907561" cy="3237230"/>
            <wp:effectExtent l="0" t="0" r="0" b="0"/>
            <wp:docPr id="2125905460" name="Picture 2" descr="A diagram of a climate poli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05460" name="Picture 2" descr="A diagram of a climate polic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0170" cy="3238660"/>
                    </a:xfrm>
                    <a:prstGeom prst="rect">
                      <a:avLst/>
                    </a:prstGeom>
                    <a:noFill/>
                  </pic:spPr>
                </pic:pic>
              </a:graphicData>
            </a:graphic>
          </wp:inline>
        </w:drawing>
      </w:r>
    </w:p>
    <w:p w14:paraId="16C64785" w14:textId="57A83F50" w:rsidR="00D57345" w:rsidRDefault="00B632EE" w:rsidP="00D57345">
      <w:pPr>
        <w:pStyle w:val="ListParagraph"/>
        <w:ind w:left="360"/>
        <w:rPr>
          <w:rFonts w:cs="Calibri"/>
          <w:color w:val="000000" w:themeColor="text1"/>
          <w:kern w:val="0"/>
          <w:sz w:val="20"/>
          <w:szCs w:val="20"/>
          <w14:ligatures w14:val="none"/>
        </w:rPr>
      </w:pPr>
      <w:r>
        <w:rPr>
          <w:rFonts w:cs="Calibri" w:hint="eastAsia"/>
          <w:color w:val="000000" w:themeColor="text1"/>
          <w:kern w:val="0"/>
          <w:sz w:val="20"/>
          <w:szCs w:val="20"/>
          <w14:ligatures w14:val="none"/>
        </w:rPr>
        <w:t xml:space="preserve">SI </w:t>
      </w:r>
      <w:r w:rsidR="00D57345" w:rsidRPr="007B0245">
        <w:rPr>
          <w:rFonts w:cs="Calibri"/>
          <w:color w:val="000000" w:themeColor="text1"/>
          <w:kern w:val="0"/>
          <w:sz w:val="20"/>
          <w:szCs w:val="20"/>
          <w14:ligatures w14:val="none"/>
        </w:rPr>
        <w:t xml:space="preserve">Figure </w:t>
      </w:r>
      <w:r w:rsidR="000264E6">
        <w:rPr>
          <w:rFonts w:cs="Calibri"/>
          <w:color w:val="000000" w:themeColor="text1"/>
          <w:kern w:val="0"/>
          <w:sz w:val="20"/>
          <w:szCs w:val="20"/>
          <w14:ligatures w14:val="none"/>
        </w:rPr>
        <w:t xml:space="preserve">1. </w:t>
      </w:r>
      <w:r w:rsidR="00D57345" w:rsidRPr="007B0245">
        <w:rPr>
          <w:rFonts w:cs="Calibri"/>
          <w:color w:val="000000" w:themeColor="text1"/>
          <w:kern w:val="0"/>
          <w:sz w:val="20"/>
          <w:szCs w:val="20"/>
          <w14:ligatures w14:val="none"/>
        </w:rPr>
        <w:t xml:space="preserve"> Overview of China’s climate governance framework led by the central government, adapted based on Teng and Wang</w:t>
      </w:r>
      <w:r w:rsidR="00D57345" w:rsidRPr="007B0245">
        <w:rPr>
          <w:rFonts w:cs="Calibri"/>
          <w:color w:val="000000" w:themeColor="text1"/>
          <w:kern w:val="0"/>
          <w:sz w:val="20"/>
          <w:szCs w:val="20"/>
          <w14:ligatures w14:val="none"/>
        </w:rPr>
        <w:fldChar w:fldCharType="begin"/>
      </w:r>
      <w:r w:rsidR="006B2721">
        <w:rPr>
          <w:rFonts w:cs="Calibri"/>
          <w:color w:val="000000" w:themeColor="text1"/>
          <w:kern w:val="0"/>
          <w:sz w:val="20"/>
          <w:szCs w:val="20"/>
          <w14:ligatures w14:val="none"/>
        </w:rPr>
        <w:instrText xml:space="preserve"> ADDIN ZOTERO_ITEM CSL_CITATION {"citationID":"a2osk6u223j","properties":{"formattedCitation":"\\super 12\\nosupersub{}","plainCitation":"12","noteIndex":0},"citationItems":[{"id":3426,"uris":["http://zotero.org/users/10504693/items/CB42WCSZ"],"itemData":{"id":3426,"type":"article-journal","abstract":"Understanding the underlying forces of China’s climate governance, and asses­ sing the effectiveness of China’s climate institutions, are critical to the global climate governance architecture. This paper reviews the evolution of China’s climate governance system over the past three decades, and examines how factors such as socioeconomic transitions, cognitive shifts associated with climate change, as well as international climate politics have influenced China’s climate institutions. We argue that the evolution of climate governance is influenced by the varying dynamics between climate change and Chinese state’s quest for performance legitimacy. The positive co-benefits between climate change, energy conservation and environment quality triggered the creation of a dedicated climate agency, which then become an anchor to China’s Five-Year Plan and a centerpiece of climate policy communities. The announcement of a climate neutrality target marked a new moment for China as climate change become a new source of performance legitimacy.","container-title":"Environmental Politics","DOI":"10.1080/09644016.2021.1985221","ISSN":"0964-4016, 1743-8934","issue":"sup1","journalAbbreviation":"Environmental Politics","language":"en","page":"141-161","source":"DOI.org (Crossref)","title":"The evolution of climate governance in China: drivers, features, and effectiveness","title-short":"The evolution of climate governance in China","volume":"30","author":[{"family":"Teng","given":"Fei"},{"family":"Wang","given":"Pu"}],"issued":{"date-parts":[["2021",10,20]]}}}],"schema":"https://github.com/citation-style-language/schema/raw/master/csl-citation.json"} </w:instrText>
      </w:r>
      <w:r w:rsidR="00D57345" w:rsidRPr="007B0245">
        <w:rPr>
          <w:rFonts w:cs="Calibri"/>
          <w:color w:val="000000" w:themeColor="text1"/>
          <w:kern w:val="0"/>
          <w:sz w:val="20"/>
          <w:szCs w:val="20"/>
          <w14:ligatures w14:val="none"/>
        </w:rPr>
        <w:fldChar w:fldCharType="separate"/>
      </w:r>
      <w:r w:rsidR="00693E69" w:rsidRPr="00693E69">
        <w:rPr>
          <w:rFonts w:cs="Calibri"/>
          <w:kern w:val="0"/>
          <w:sz w:val="20"/>
          <w:vertAlign w:val="superscript"/>
        </w:rPr>
        <w:t>12</w:t>
      </w:r>
      <w:r w:rsidR="00D57345" w:rsidRPr="007B0245">
        <w:rPr>
          <w:rFonts w:cs="Calibri"/>
          <w:color w:val="000000" w:themeColor="text1"/>
          <w:kern w:val="0"/>
          <w:sz w:val="20"/>
          <w:szCs w:val="20"/>
          <w14:ligatures w14:val="none"/>
        </w:rPr>
        <w:fldChar w:fldCharType="end"/>
      </w:r>
      <w:r w:rsidR="00D57345" w:rsidRPr="007B0245">
        <w:rPr>
          <w:rFonts w:cs="Calibri"/>
          <w:color w:val="000000" w:themeColor="text1"/>
          <w:kern w:val="0"/>
          <w:sz w:val="20"/>
          <w:szCs w:val="20"/>
          <w14:ligatures w14:val="none"/>
        </w:rPr>
        <w:t>, Li et al.</w:t>
      </w:r>
      <w:r w:rsidR="00D57345" w:rsidRPr="007B0245">
        <w:rPr>
          <w:rFonts w:cs="Calibri"/>
          <w:color w:val="000000" w:themeColor="text1"/>
          <w:kern w:val="0"/>
          <w:sz w:val="20"/>
          <w:szCs w:val="20"/>
          <w14:ligatures w14:val="none"/>
        </w:rPr>
        <w:fldChar w:fldCharType="begin"/>
      </w:r>
      <w:r w:rsidR="006B2721">
        <w:rPr>
          <w:rFonts w:cs="Calibri"/>
          <w:color w:val="000000" w:themeColor="text1"/>
          <w:kern w:val="0"/>
          <w:sz w:val="20"/>
          <w:szCs w:val="20"/>
          <w14:ligatures w14:val="none"/>
        </w:rPr>
        <w:instrText xml:space="preserve"> ADDIN ZOTERO_ITEM CSL_CITATION {"citationID":"aisn6u6sjd","properties":{"formattedCitation":"\\super 16\\nosupersub{}","plainCitation":"16","noteIndex":0},"citationItems":[{"id":3802,"uris":["http://zotero.org/users/10504693/items/V4NSS3CR"],"itemData":{"id":3802,"type":"article-journal","container-title":"Climate Policy","DOI":"10.1080/14693062.2023.2260352","ISSN":"1469-3062","issue":"3","note":"publisher: Taylor &amp; Francis","page":"378-395","source":"tandfonline.com (Atypon)","title":"China’s climate governance from 2009 to 2019: motivations, instruments, actors, and geopolitics","title-short":"China’s climate governance from 2009 to 2019","volume":"24","author":[{"family":"Li","given":"Xiaoran"},{"family":"Pattberg","given":"Philipp"},{"family":"Widerberg","given":"Oscar"}],"issued":{"date-parts":[["2024",3,15]]}}}],"schema":"https://github.com/citation-style-language/schema/raw/master/csl-citation.json"} </w:instrText>
      </w:r>
      <w:r w:rsidR="00D57345" w:rsidRPr="007B0245">
        <w:rPr>
          <w:rFonts w:cs="Calibri"/>
          <w:color w:val="000000" w:themeColor="text1"/>
          <w:kern w:val="0"/>
          <w:sz w:val="20"/>
          <w:szCs w:val="20"/>
          <w14:ligatures w14:val="none"/>
        </w:rPr>
        <w:fldChar w:fldCharType="separate"/>
      </w:r>
      <w:r w:rsidR="00693E69" w:rsidRPr="00693E69">
        <w:rPr>
          <w:rFonts w:cs="Calibri"/>
          <w:kern w:val="0"/>
          <w:sz w:val="20"/>
          <w:vertAlign w:val="superscript"/>
        </w:rPr>
        <w:t>16</w:t>
      </w:r>
      <w:r w:rsidR="00D57345" w:rsidRPr="007B0245">
        <w:rPr>
          <w:rFonts w:cs="Calibri"/>
          <w:color w:val="000000" w:themeColor="text1"/>
          <w:kern w:val="0"/>
          <w:sz w:val="20"/>
          <w:szCs w:val="20"/>
          <w14:ligatures w14:val="none"/>
        </w:rPr>
        <w:fldChar w:fldCharType="end"/>
      </w:r>
      <w:r w:rsidR="00D57345" w:rsidRPr="007B0245">
        <w:rPr>
          <w:rFonts w:cs="Calibri"/>
          <w:color w:val="000000" w:themeColor="text1"/>
          <w:kern w:val="0"/>
          <w:sz w:val="20"/>
          <w:szCs w:val="20"/>
          <w14:ligatures w14:val="none"/>
        </w:rPr>
        <w:t xml:space="preserve"> </w:t>
      </w:r>
    </w:p>
    <w:p w14:paraId="4FB27914" w14:textId="77777777" w:rsidR="00D57345" w:rsidRPr="00E77D72" w:rsidRDefault="00D57345" w:rsidP="00D57345">
      <w:pPr>
        <w:pStyle w:val="ListParagraph"/>
        <w:ind w:left="360"/>
        <w:rPr>
          <w:rFonts w:cs="Calibri"/>
          <w:color w:val="000000" w:themeColor="text1"/>
          <w:szCs w:val="22"/>
        </w:rPr>
      </w:pPr>
      <w:r w:rsidRPr="007B0245">
        <w:rPr>
          <w:rFonts w:cs="Calibri"/>
          <w:color w:val="000000" w:themeColor="text1"/>
          <w:kern w:val="0"/>
          <w:sz w:val="20"/>
          <w:szCs w:val="20"/>
          <w14:ligatures w14:val="none"/>
        </w:rPr>
        <w:t xml:space="preserve">  </w:t>
      </w:r>
    </w:p>
    <w:p w14:paraId="0CDBE436" w14:textId="3B26B2D9" w:rsidR="00D57345" w:rsidRPr="00275E04" w:rsidRDefault="00D57345" w:rsidP="00D57345">
      <w:pPr>
        <w:rPr>
          <w:rFonts w:cs="Calibri"/>
          <w:b/>
          <w:bCs/>
          <w:szCs w:val="22"/>
        </w:rPr>
      </w:pPr>
      <w:r w:rsidRPr="00275E04">
        <w:rPr>
          <w:rFonts w:cs="Calibri"/>
          <w:b/>
          <w:bCs/>
          <w:szCs w:val="22"/>
        </w:rPr>
        <w:t>Clearly stated in a five-year plan:</w:t>
      </w:r>
      <w:r w:rsidRPr="00275E04">
        <w:rPr>
          <w:rFonts w:cs="Calibri"/>
          <w:szCs w:val="22"/>
        </w:rPr>
        <w:t xml:space="preserve"> </w:t>
      </w:r>
    </w:p>
    <w:p w14:paraId="6ACEAD54" w14:textId="0D864B69" w:rsidR="00D57345" w:rsidRPr="002A16C9" w:rsidRDefault="00D57345" w:rsidP="00D57345">
      <w:pPr>
        <w:rPr>
          <w:rFonts w:cs="Calibri"/>
          <w:szCs w:val="22"/>
        </w:rPr>
      </w:pPr>
      <w:r w:rsidRPr="00275E04">
        <w:rPr>
          <w:rFonts w:cs="Calibri"/>
          <w:szCs w:val="22"/>
        </w:rPr>
        <w:t xml:space="preserve">The 14th Five-Year Plan (FYP) (2020–2025) plays a pivotal role in China’s climate governance by setting clear targets, defining strategic initiatives, and embedding environmental objectives into the nation’s overall development agenda. By integrating climate objectives into the broader economic planning </w:t>
      </w:r>
      <w:r w:rsidRPr="00275E04">
        <w:rPr>
          <w:rFonts w:cs="Calibri"/>
          <w:szCs w:val="22"/>
        </w:rPr>
        <w:lastRenderedPageBreak/>
        <w:t>framework, the FYP ensures that climate governance aligns with the country’s development priorities, fosters coordinated action across various levels of government and sectors and outlines specific strategies for achieving the dual-carbon targets, such as promoting renewable energy and advancing low-carbon technologies</w:t>
      </w:r>
      <w:r w:rsidRPr="00275E04">
        <w:rPr>
          <w:rFonts w:cs="Calibri"/>
          <w:szCs w:val="22"/>
        </w:rPr>
        <w:fldChar w:fldCharType="begin"/>
      </w:r>
      <w:r w:rsidR="006B2721">
        <w:rPr>
          <w:rFonts w:cs="Calibri"/>
          <w:szCs w:val="22"/>
        </w:rPr>
        <w:instrText xml:space="preserve"> ADDIN ZOTERO_ITEM CSL_CITATION {"citationID":"a2kl43i65rt","properties":{"formattedCitation":"\\super 17\\nosupersub{}","plainCitation":"17","noteIndex":0},"citationItems":[{"id":3817,"uris":["http://zotero.org/users/10504693/items/MP4ZJK5L"],"itemData":{"id":3817,"type":"document","title":"Looking back and looking ahead: AN ANALYSIS OF PROVINCIAL TH FIVE-YEAR PLANS (2021-2025)","author":[{"family":"Dai","given":"Anni"},{"family":"Gordon","given":"Jessica"},{"family":"Zhu","given":"RIxin"}],"issued":{"date-parts":[["2024"]]}}}],"schema":"https://github.com/citation-style-language/schema/raw/master/csl-citation.json"} </w:instrText>
      </w:r>
      <w:r w:rsidRPr="00275E04">
        <w:rPr>
          <w:rFonts w:cs="Calibri"/>
          <w:szCs w:val="22"/>
        </w:rPr>
        <w:fldChar w:fldCharType="separate"/>
      </w:r>
      <w:r w:rsidR="00693E69" w:rsidRPr="00693E69">
        <w:rPr>
          <w:rFonts w:cs="Calibri"/>
          <w:kern w:val="0"/>
          <w:vertAlign w:val="superscript"/>
        </w:rPr>
        <w:t>17</w:t>
      </w:r>
      <w:r w:rsidRPr="00275E04">
        <w:rPr>
          <w:rFonts w:cs="Calibri"/>
          <w:szCs w:val="22"/>
        </w:rPr>
        <w:fldChar w:fldCharType="end"/>
      </w:r>
      <w:r w:rsidRPr="00275E04">
        <w:rPr>
          <w:rFonts w:cs="Calibri"/>
          <w:szCs w:val="22"/>
        </w:rPr>
        <w:t>.</w:t>
      </w:r>
      <w:r w:rsidRPr="00275E04">
        <w:rPr>
          <w:rFonts w:cs="Calibri" w:hint="eastAsia"/>
          <w:szCs w:val="22"/>
        </w:rPr>
        <w:t xml:space="preserve"> </w:t>
      </w:r>
      <w:r w:rsidRPr="00275E04">
        <w:rPr>
          <w:rFonts w:cs="Calibri"/>
          <w:szCs w:val="22"/>
        </w:rPr>
        <w:t xml:space="preserve">Moreover, the targets set in the 14th FYP are typically cautious and realistic, closely tied to government performance evaluations. This connection enhances their executive nature, making them more actionable and subject to </w:t>
      </w:r>
      <w:r w:rsidRPr="00275E04">
        <w:rPr>
          <w:rFonts w:cs="Calibri" w:hint="eastAsia"/>
          <w:szCs w:val="22"/>
        </w:rPr>
        <w:t>evaluation</w:t>
      </w:r>
      <w:r w:rsidRPr="00275E04">
        <w:rPr>
          <w:rFonts w:cs="Calibri"/>
          <w:szCs w:val="22"/>
        </w:rPr>
        <w:t xml:space="preserve"> at the end of the five-year period</w:t>
      </w:r>
      <w:r w:rsidRPr="00275E04">
        <w:rPr>
          <w:rFonts w:cs="Calibri"/>
          <w:szCs w:val="22"/>
        </w:rPr>
        <w:fldChar w:fldCharType="begin"/>
      </w:r>
      <w:r w:rsidR="006B2721">
        <w:rPr>
          <w:rFonts w:cs="Calibri"/>
          <w:szCs w:val="22"/>
        </w:rPr>
        <w:instrText xml:space="preserve"> ADDIN ZOTERO_ITEM CSL_CITATION {"citationID":"amik5dmfnr","properties":{"formattedCitation":"\\super 18\\nosupersub{}","plainCitation":"18","noteIndex":0},"citationItems":[{"id":3818,"uris":["http://zotero.org/users/10504693/items/5N95Z8QN"],"itemData":{"id":3818,"type":"webpage","abstract":"In short, the five year plan’s outline sets a 18% reduction target for “CO2 intensity” and 13.5% target for “energy intensity” from 2021 to 2025.","container-title":"Carbon Brief","language":"en","title":"What does China’s 14th ‘five year plan’ mean for climate change?","title-short":"Q&amp;A","URL":"https://www.carbonbrief.org/qa-what-does-chinas-14th-five-year-plan-mean-for-climate-change/","author":[{"family":"Carbon Brief","given":""}],"accessed":{"date-parts":[["2025",1,25]]},"issued":{"date-parts":[["2021",3,12]]}}}],"schema":"https://github.com/citation-style-language/schema/raw/master/csl-citation.json"} </w:instrText>
      </w:r>
      <w:r w:rsidRPr="00275E04">
        <w:rPr>
          <w:rFonts w:cs="Calibri"/>
          <w:szCs w:val="22"/>
        </w:rPr>
        <w:fldChar w:fldCharType="separate"/>
      </w:r>
      <w:r w:rsidR="00693E69" w:rsidRPr="00693E69">
        <w:rPr>
          <w:rFonts w:cs="Calibri"/>
          <w:kern w:val="0"/>
          <w:vertAlign w:val="superscript"/>
        </w:rPr>
        <w:t>18</w:t>
      </w:r>
      <w:r w:rsidRPr="00275E04">
        <w:rPr>
          <w:rFonts w:cs="Calibri"/>
          <w:szCs w:val="22"/>
        </w:rPr>
        <w:fldChar w:fldCharType="end"/>
      </w:r>
      <w:r w:rsidRPr="00275E04">
        <w:rPr>
          <w:rFonts w:cs="Calibri"/>
          <w:szCs w:val="22"/>
        </w:rPr>
        <w:t>. Such</w:t>
      </w:r>
      <w:r w:rsidRPr="00275E04">
        <w:rPr>
          <w:rFonts w:cs="Calibri" w:hint="eastAsia"/>
          <w:szCs w:val="22"/>
        </w:rPr>
        <w:t xml:space="preserve"> evaluation and report</w:t>
      </w:r>
      <w:r w:rsidRPr="00275E04">
        <w:rPr>
          <w:rFonts w:cs="Calibri"/>
          <w:szCs w:val="22"/>
        </w:rPr>
        <w:t xml:space="preserve"> provide mechanisms for accountability and progress monitoring.</w:t>
      </w:r>
      <w:r w:rsidRPr="00275E04">
        <w:rPr>
          <w:rFonts w:cs="Calibri" w:hint="eastAsia"/>
          <w:szCs w:val="22"/>
        </w:rPr>
        <w:t xml:space="preserve"> </w:t>
      </w:r>
      <w:r w:rsidRPr="00275E04">
        <w:rPr>
          <w:rFonts w:cs="Calibri"/>
          <w:szCs w:val="22"/>
        </w:rPr>
        <w:t>Therefore, we</w:t>
      </w:r>
      <w:r w:rsidRPr="00275E04">
        <w:rPr>
          <w:rFonts w:cs="Calibri" w:hint="eastAsia"/>
          <w:szCs w:val="22"/>
        </w:rPr>
        <w:t xml:space="preserve"> assume</w:t>
      </w:r>
      <w:r w:rsidRPr="00275E04">
        <w:rPr>
          <w:rFonts w:cs="Calibri"/>
          <w:szCs w:val="22"/>
        </w:rPr>
        <w:t xml:space="preserve"> that climate targets </w:t>
      </w:r>
      <w:r w:rsidRPr="00275E04">
        <w:rPr>
          <w:rFonts w:cs="Calibri" w:hint="eastAsia"/>
          <w:szCs w:val="22"/>
        </w:rPr>
        <w:t>clearly</w:t>
      </w:r>
      <w:r w:rsidRPr="00275E04">
        <w:rPr>
          <w:rFonts w:cs="Calibri"/>
          <w:szCs w:val="22"/>
        </w:rPr>
        <w:t xml:space="preserve"> stated in a Five-Year Plan are more actionable and credible due to their integration into performance evaluations, alignment with broader development priorities, and a pragmatic approach to</w:t>
      </w:r>
      <w:r w:rsidRPr="00275E04">
        <w:rPr>
          <w:rFonts w:cs="Calibri" w:hint="eastAsia"/>
          <w:szCs w:val="22"/>
        </w:rPr>
        <w:t xml:space="preserve"> implementation.</w:t>
      </w:r>
    </w:p>
    <w:p w14:paraId="15DC54D2" w14:textId="3036E9BC" w:rsidR="00D57345" w:rsidRPr="00547B0B" w:rsidRDefault="00D57345" w:rsidP="00D57345">
      <w:pPr>
        <w:rPr>
          <w:rFonts w:cs="Calibri"/>
          <w:szCs w:val="22"/>
        </w:rPr>
      </w:pPr>
      <w:r w:rsidRPr="00547B0B">
        <w:rPr>
          <w:rFonts w:cs="Calibri"/>
          <w:b/>
          <w:bCs/>
          <w:szCs w:val="22"/>
        </w:rPr>
        <w:t xml:space="preserve">Progress to date: </w:t>
      </w:r>
      <w:r w:rsidRPr="00547B0B">
        <w:rPr>
          <w:rFonts w:cs="Calibri"/>
          <w:szCs w:val="22"/>
        </w:rPr>
        <w:t xml:space="preserve">With China’s 14th Five-Year Plan nearing completion, evaluating the historical progress of climate targets will provide a foundation for developing new policies, plans, and targets for the next five years. </w:t>
      </w:r>
      <w:r w:rsidR="00C53A61" w:rsidRPr="00C53A61">
        <w:rPr>
          <w:rFonts w:cs="Calibri"/>
          <w:szCs w:val="22"/>
        </w:rPr>
        <w:t xml:space="preserve">Given the uncertainties in tracking broad goals like carbon neutrality and peak emissions—as well as the need for further model quantification—our assessment focuses exclusively on quantifiable, trackable, and statistically measurable targets (see SI Table 2). </w:t>
      </w:r>
      <w:r w:rsidR="009B1729" w:rsidRPr="009B1729">
        <w:rPr>
          <w:rFonts w:cs="Calibri"/>
          <w:szCs w:val="22"/>
        </w:rPr>
        <w:t>All evidence sources on progress are provided in the supplementary data.</w:t>
      </w:r>
      <w:r w:rsidR="00C53A61" w:rsidRPr="00C53A61">
        <w:rPr>
          <w:rFonts w:cs="Calibri"/>
          <w:szCs w:val="22"/>
        </w:rPr>
        <w:t xml:space="preserve"> Progress is evaluated based on achievements since the targets were first set, calculated as follows:</w:t>
      </w:r>
      <w:r w:rsidR="006E5228">
        <w:rPr>
          <w:rFonts w:cs="Calibri"/>
          <w:szCs w:val="22"/>
        </w:rPr>
        <w:t xml:space="preserve"> </w:t>
      </w:r>
    </w:p>
    <w:p w14:paraId="40AEC5F2" w14:textId="77777777" w:rsidR="00D57345" w:rsidRPr="00837619" w:rsidRDefault="00D57345" w:rsidP="00D57345">
      <w:pPr>
        <w:spacing w:after="0" w:line="360" w:lineRule="auto"/>
        <w:rPr>
          <w:rFonts w:ascii="Times New Roman" w:eastAsia="Times New Roman" w:hAnsi="Times New Roman" w:cs="Times New Roman"/>
          <w:kern w:val="0"/>
          <w:szCs w:val="22"/>
          <w14:ligatures w14:val="none"/>
        </w:rPr>
      </w:pPr>
      <m:oMathPara>
        <m:oMathParaPr>
          <m:jc m:val="centerGroup"/>
        </m:oMathParaPr>
        <m:oMath>
          <m:r>
            <m:rPr>
              <m:sty m:val="bi"/>
            </m:rPr>
            <w:rPr>
              <w:rFonts w:ascii="Cambria Math" w:hAnsi="Cambria Math"/>
              <w:color w:val="000000"/>
              <w:kern w:val="24"/>
              <w:szCs w:val="22"/>
              <w14:ligatures w14:val="none"/>
            </w:rPr>
            <m:t>Progress to date= </m:t>
          </m:r>
          <m:f>
            <m:fPr>
              <m:ctrlPr>
                <w:rPr>
                  <w:rFonts w:ascii="Cambria Math" w:hAnsi="Cambria Math"/>
                  <w:b/>
                  <w:bCs/>
                  <w:i/>
                  <w:iCs/>
                  <w:color w:val="000000"/>
                  <w:kern w:val="24"/>
                  <w:szCs w:val="22"/>
                  <w14:ligatures w14:val="none"/>
                </w:rPr>
              </m:ctrlPr>
            </m:fPr>
            <m:num>
              <m:sSub>
                <m:sSubPr>
                  <m:ctrlPr>
                    <w:rPr>
                      <w:rFonts w:ascii="Cambria Math" w:hAnsi="Cambria Math"/>
                      <w:b/>
                      <w:bCs/>
                      <w:i/>
                      <w:iCs/>
                      <w:color w:val="000000"/>
                      <w:kern w:val="24"/>
                      <w:szCs w:val="22"/>
                      <w14:ligatures w14:val="none"/>
                    </w:rPr>
                  </m:ctrlPr>
                </m:sSubPr>
                <m:e>
                  <m:r>
                    <m:rPr>
                      <m:sty m:val="bi"/>
                    </m:rPr>
                    <w:rPr>
                      <w:rFonts w:ascii="Cambria Math" w:hAnsi="Cambria Math"/>
                      <w:color w:val="000000"/>
                      <w:kern w:val="24"/>
                      <w:szCs w:val="22"/>
                      <w14:ligatures w14:val="none"/>
                    </w:rPr>
                    <m:t>Indicator </m:t>
                  </m:r>
                </m:e>
                <m:sub>
                  <m:r>
                    <m:rPr>
                      <m:sty m:val="bi"/>
                    </m:rPr>
                    <w:rPr>
                      <w:rFonts w:ascii="Cambria Math" w:hAnsi="Cambria Math"/>
                      <w:color w:val="000000"/>
                      <w:kern w:val="24"/>
                      <w:szCs w:val="22"/>
                      <w14:ligatures w14:val="none"/>
                    </w:rPr>
                    <m:t>current</m:t>
                  </m:r>
                </m:sub>
              </m:sSub>
              <m:r>
                <m:rPr>
                  <m:sty m:val="bi"/>
                </m:rPr>
                <w:rPr>
                  <w:rFonts w:ascii="Cambria Math" w:hAnsi="Cambria Math"/>
                  <w:color w:val="000000"/>
                  <w:kern w:val="24"/>
                  <w:szCs w:val="22"/>
                  <w14:ligatures w14:val="none"/>
                </w:rPr>
                <m:t>-</m:t>
              </m:r>
              <m:sSub>
                <m:sSubPr>
                  <m:ctrlPr>
                    <w:rPr>
                      <w:rFonts w:ascii="Cambria Math" w:hAnsi="Cambria Math"/>
                      <w:b/>
                      <w:bCs/>
                      <w:i/>
                      <w:iCs/>
                      <w:color w:val="000000"/>
                      <w:kern w:val="24"/>
                      <w:szCs w:val="22"/>
                      <w14:ligatures w14:val="none"/>
                    </w:rPr>
                  </m:ctrlPr>
                </m:sSubPr>
                <m:e>
                  <m:r>
                    <m:rPr>
                      <m:sty m:val="bi"/>
                    </m:rPr>
                    <w:rPr>
                      <w:rFonts w:ascii="Cambria Math" w:hAnsi="Cambria Math"/>
                      <w:color w:val="000000"/>
                      <w:kern w:val="24"/>
                      <w:szCs w:val="22"/>
                      <w14:ligatures w14:val="none"/>
                    </w:rPr>
                    <m:t>Indicator </m:t>
                  </m:r>
                </m:e>
                <m:sub>
                  <m:r>
                    <m:rPr>
                      <m:sty m:val="bi"/>
                    </m:rPr>
                    <w:rPr>
                      <w:rFonts w:ascii="Cambria Math" w:hAnsi="Cambria Math"/>
                      <w:color w:val="000000"/>
                      <w:kern w:val="24"/>
                      <w:szCs w:val="22"/>
                      <w14:ligatures w14:val="none"/>
                    </w:rPr>
                    <m:t>base</m:t>
                  </m:r>
                </m:sub>
              </m:sSub>
            </m:num>
            <m:den>
              <m:sSub>
                <m:sSubPr>
                  <m:ctrlPr>
                    <w:rPr>
                      <w:rFonts w:ascii="Cambria Math" w:hAnsi="Cambria Math"/>
                      <w:b/>
                      <w:bCs/>
                      <w:i/>
                      <w:iCs/>
                      <w:color w:val="000000"/>
                      <w:kern w:val="24"/>
                      <w:szCs w:val="22"/>
                      <w14:ligatures w14:val="none"/>
                    </w:rPr>
                  </m:ctrlPr>
                </m:sSubPr>
                <m:e>
                  <m:r>
                    <m:rPr>
                      <m:sty m:val="bi"/>
                    </m:rPr>
                    <w:rPr>
                      <w:rFonts w:ascii="Cambria Math" w:hAnsi="Cambria Math"/>
                      <w:color w:val="000000"/>
                      <w:kern w:val="24"/>
                      <w:szCs w:val="22"/>
                      <w14:ligatures w14:val="none"/>
                    </w:rPr>
                    <m:t>Indicator </m:t>
                  </m:r>
                </m:e>
                <m:sub>
                  <m:r>
                    <m:rPr>
                      <m:sty m:val="bi"/>
                    </m:rPr>
                    <w:rPr>
                      <w:rFonts w:ascii="Cambria Math" w:hAnsi="Cambria Math"/>
                      <w:color w:val="000000"/>
                      <w:kern w:val="24"/>
                      <w:szCs w:val="22"/>
                      <w14:ligatures w14:val="none"/>
                    </w:rPr>
                    <m:t>target</m:t>
                  </m:r>
                </m:sub>
              </m:sSub>
              <m:r>
                <m:rPr>
                  <m:sty m:val="bi"/>
                </m:rPr>
                <w:rPr>
                  <w:rFonts w:ascii="Cambria Math" w:hAnsi="Cambria Math"/>
                  <w:color w:val="000000"/>
                  <w:kern w:val="24"/>
                  <w:szCs w:val="22"/>
                  <w14:ligatures w14:val="none"/>
                </w:rPr>
                <m:t>-</m:t>
              </m:r>
              <m:sSub>
                <m:sSubPr>
                  <m:ctrlPr>
                    <w:rPr>
                      <w:rFonts w:ascii="Cambria Math" w:hAnsi="Cambria Math"/>
                      <w:b/>
                      <w:bCs/>
                      <w:i/>
                      <w:iCs/>
                      <w:color w:val="000000"/>
                      <w:kern w:val="24"/>
                      <w:szCs w:val="22"/>
                      <w14:ligatures w14:val="none"/>
                    </w:rPr>
                  </m:ctrlPr>
                </m:sSubPr>
                <m:e>
                  <m:r>
                    <m:rPr>
                      <m:sty m:val="bi"/>
                    </m:rPr>
                    <w:rPr>
                      <w:rFonts w:ascii="Cambria Math" w:hAnsi="Cambria Math"/>
                      <w:color w:val="000000"/>
                      <w:kern w:val="24"/>
                      <w:szCs w:val="22"/>
                      <w14:ligatures w14:val="none"/>
                    </w:rPr>
                    <m:t>Indicator </m:t>
                  </m:r>
                </m:e>
                <m:sub>
                  <m:r>
                    <m:rPr>
                      <m:sty m:val="bi"/>
                    </m:rPr>
                    <w:rPr>
                      <w:rFonts w:ascii="Cambria Math" w:hAnsi="Cambria Math"/>
                      <w:color w:val="000000"/>
                      <w:kern w:val="24"/>
                      <w:szCs w:val="22"/>
                      <w14:ligatures w14:val="none"/>
                    </w:rPr>
                    <m:t>base</m:t>
                  </m:r>
                </m:sub>
              </m:sSub>
            </m:den>
          </m:f>
          <m:r>
            <m:rPr>
              <m:sty m:val="bi"/>
            </m:rPr>
            <w:rPr>
              <w:rFonts w:ascii="Cambria Math" w:hAnsi="Cambria Math"/>
              <w:color w:val="000000"/>
              <w:kern w:val="24"/>
              <w:szCs w:val="22"/>
              <w14:ligatures w14:val="none"/>
            </w:rPr>
            <m:t>*100%</m:t>
          </m:r>
        </m:oMath>
      </m:oMathPara>
    </w:p>
    <w:p w14:paraId="0F66B167" w14:textId="4A22CF0F" w:rsidR="00D57345" w:rsidRDefault="00D57345" w:rsidP="000347AD">
      <w:pPr>
        <w:rPr>
          <w:rFonts w:cs="Calibri"/>
          <w:szCs w:val="22"/>
        </w:rPr>
      </w:pPr>
      <w:r w:rsidRPr="00D47DF4">
        <w:rPr>
          <w:rFonts w:cs="Calibri"/>
          <w:szCs w:val="22"/>
        </w:rPr>
        <w:t>We assume that targets demonstrating positive progress thus far are more likely to be achieved on time, creating a foundation for setting more ambitious goals in the future.</w:t>
      </w:r>
    </w:p>
    <w:p w14:paraId="05C7EC30" w14:textId="77777777" w:rsidR="000347AD" w:rsidRPr="000347AD" w:rsidRDefault="000347AD" w:rsidP="000347AD">
      <w:pPr>
        <w:rPr>
          <w:rFonts w:cs="Calibri"/>
          <w:szCs w:val="22"/>
        </w:rPr>
      </w:pPr>
    </w:p>
    <w:p w14:paraId="71B08672" w14:textId="77777777" w:rsidR="00D57345" w:rsidRPr="001D7C97" w:rsidRDefault="00D57345" w:rsidP="00D57345">
      <w:pPr>
        <w:rPr>
          <w:rFonts w:eastAsia="Times New Roman" w:cs="Calibri"/>
          <w:kern w:val="0"/>
          <w:szCs w:val="22"/>
          <w14:ligatures w14:val="none"/>
        </w:rPr>
      </w:pPr>
      <w:r w:rsidRPr="001D7C97">
        <w:rPr>
          <w:rFonts w:eastAsia="Times New Roman" w:cs="Calibri"/>
          <w:kern w:val="0"/>
          <w:szCs w:val="22"/>
          <w14:ligatures w14:val="none"/>
        </w:rPr>
        <w:t>The credibility score for each target is calculated based on the three characteristics mentioned earlier. Since progress to date is the most direct criterion for evaluating target achievement, it is assigned the highest weight of 0.5. Governance level is weighted at 0.3, while the target's inclusion in the 14th Five-Year Plan is weighted at 0.2. After normalizing all raw scores and applying the weighted calculations, a final credibility score is determined for each target.</w:t>
      </w:r>
    </w:p>
    <w:p w14:paraId="1C22AEF0" w14:textId="64E1F03C" w:rsidR="00D57345" w:rsidRDefault="00D57345" w:rsidP="00D57345">
      <w:pPr>
        <w:rPr>
          <w:rFonts w:cs="Calibri"/>
          <w:szCs w:val="22"/>
        </w:rPr>
      </w:pPr>
      <w:r w:rsidRPr="00F4253A">
        <w:rPr>
          <w:rFonts w:eastAsia="Times New Roman" w:cs="Calibri"/>
          <w:kern w:val="0"/>
          <w:szCs w:val="22"/>
          <w14:ligatures w14:val="none"/>
        </w:rPr>
        <w:t xml:space="preserve">All targets within the assessment scope are rated, as shown in Figure </w:t>
      </w:r>
      <w:r w:rsidR="0013262A">
        <w:rPr>
          <w:rFonts w:eastAsia="Times New Roman" w:cs="Calibri"/>
          <w:kern w:val="0"/>
          <w:szCs w:val="22"/>
          <w14:ligatures w14:val="none"/>
        </w:rPr>
        <w:t>2</w:t>
      </w:r>
      <w:r w:rsidRPr="00F4253A">
        <w:rPr>
          <w:rFonts w:eastAsia="Times New Roman" w:cs="Calibri"/>
          <w:kern w:val="0"/>
          <w:szCs w:val="22"/>
          <w14:ligatures w14:val="none"/>
        </w:rPr>
        <w:t>. If a target has been achieved ahead of schedule—meaning its progress to date exceeds 100%—it is categorized as "Achieved." For targets still in progress and not yet achieved, they are classified into three categories based on their score distribution: a credibility score of 0.8–1.0 is considered "High," 0.6–0.8 is "Medium," and below 0.6 is "Low."</w:t>
      </w:r>
      <w:r w:rsidRPr="00F4253A">
        <w:rPr>
          <w:rFonts w:cs="Calibri" w:hint="eastAsia"/>
          <w:kern w:val="0"/>
          <w:szCs w:val="22"/>
          <w14:ligatures w14:val="none"/>
        </w:rPr>
        <w:t xml:space="preserve"> </w:t>
      </w:r>
      <w:r w:rsidR="00397961">
        <w:t>An exception is made for targets that fell behind schedule in official mid-term evaluation</w:t>
      </w:r>
      <w:r w:rsidR="00397961">
        <w:fldChar w:fldCharType="begin"/>
      </w:r>
      <w:r w:rsidR="006B2721">
        <w:instrText xml:space="preserve"> ADDIN ZOTERO_ITEM CSL_CITATION {"citationID":"ichHMJ8W","properties":{"formattedCitation":"\\super 19\\nosupersub{}","plainCitation":"19","noteIndex":0},"citationItems":[{"id":3901,"uris":["http://zotero.org/users/10504693/items/22YT97YM"],"itemData":{"id":3901,"type":"webpage","language":"Chinese","title":"Mid-term evaluation report on the implementation of the Outline of the 14th Five-Year Plan for National Economic and Social Development of the People's Republic of China and the Long-Term Objectives for 2035","URL":"https://www.ndrc.gov.cn/fzggw/wld/zsj/zyhd/202312/t20231227_1362958.html","author":[{"family":"NDRC","given":""}],"accessed":{"date-parts":[["2025",4,15]]},"issued":{"date-parts":[["2023"]]}}}],"schema":"https://github.com/citation-style-language/schema/raw/master/csl-citation.json"} </w:instrText>
      </w:r>
      <w:r w:rsidR="00397961">
        <w:fldChar w:fldCharType="separate"/>
      </w:r>
      <w:r w:rsidR="00F433C1" w:rsidRPr="00F433C1">
        <w:rPr>
          <w:rFonts w:cs="Calibri"/>
          <w:kern w:val="0"/>
          <w:vertAlign w:val="superscript"/>
        </w:rPr>
        <w:t>19</w:t>
      </w:r>
      <w:r w:rsidR="00397961">
        <w:fldChar w:fldCharType="end"/>
      </w:r>
      <w:r w:rsidR="00397961">
        <w:t xml:space="preserve"> but were replaced with more conservative versions in 2024 policy updates</w:t>
      </w:r>
      <w:r w:rsidR="00397961">
        <w:fldChar w:fldCharType="begin"/>
      </w:r>
      <w:r w:rsidR="006B2721">
        <w:instrText xml:space="preserve"> ADDIN ZOTERO_ITEM CSL_CITATION {"citationID":"8pEQmmxO","properties":{"formattedCitation":"\\super 20\\nosupersub{}","plainCitation":"20","noteIndex":0},"citationItems":[{"id":3903,"uris":["http://zotero.org/users/10504693/items/I6DWYRU4"],"itemData":{"id":3903,"type":"webpage","title":"China to take action for energy conservation, carbon reduction","URL":"https://english.www.gov.cn/policies/latestreleases/202405/29/content_WS66570ed0c6d0868f4e8e79d0.html","author":[{"family":"State Council","given":""}],"accessed":{"date-parts":[["2025",4,15]]},"issued":{"date-parts":[["2024"]]}}}],"schema":"https://github.com/citation-style-language/schema/raw/master/csl-citation.json"} </w:instrText>
      </w:r>
      <w:r w:rsidR="00397961">
        <w:fldChar w:fldCharType="separate"/>
      </w:r>
      <w:r w:rsidR="00F433C1" w:rsidRPr="00F433C1">
        <w:rPr>
          <w:rFonts w:cs="Calibri"/>
          <w:kern w:val="0"/>
          <w:vertAlign w:val="superscript"/>
        </w:rPr>
        <w:t>20</w:t>
      </w:r>
      <w:r w:rsidR="00397961">
        <w:fldChar w:fldCharType="end"/>
      </w:r>
      <w:r w:rsidR="00397961">
        <w:t xml:space="preserve">. These are rated “Low” regardless of other indicators, reflecting reduced policy robustness. </w:t>
      </w:r>
      <w:r w:rsidR="008432F2" w:rsidRPr="008432F2">
        <w:rPr>
          <w:rFonts w:cs="Calibri"/>
          <w:szCs w:val="22"/>
        </w:rPr>
        <w:t>Specifically, we conducted this credibility assessment by following the steps outlined below:</w:t>
      </w:r>
    </w:p>
    <w:p w14:paraId="1D7A8F7F" w14:textId="7BF4AF42" w:rsidR="00344A6B" w:rsidRDefault="00222CC5" w:rsidP="00222CC5">
      <w:pPr>
        <w:jc w:val="center"/>
        <w:rPr>
          <w:rFonts w:cs="Calibri"/>
          <w:szCs w:val="22"/>
        </w:rPr>
      </w:pPr>
      <w:r>
        <w:rPr>
          <w:rFonts w:cs="Calibri"/>
          <w:noProof/>
          <w:szCs w:val="22"/>
        </w:rPr>
        <w:lastRenderedPageBreak/>
        <w:drawing>
          <wp:inline distT="0" distB="0" distL="0" distR="0" wp14:anchorId="74F4839D" wp14:editId="103EB036">
            <wp:extent cx="3524880" cy="2633211"/>
            <wp:effectExtent l="0" t="0" r="0" b="0"/>
            <wp:docPr id="3069750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75016" name="Graphic 306975016"/>
                    <pic:cNvPicPr/>
                  </pic:nvPicPr>
                  <pic:blipFill>
                    <a:blip r:embed="rId9">
                      <a:extLst>
                        <a:ext uri="{96DAC541-7B7A-43D3-8B79-37D633B846F1}">
                          <asvg:svgBlip xmlns:asvg="http://schemas.microsoft.com/office/drawing/2016/SVG/main" r:embed="rId10"/>
                        </a:ext>
                      </a:extLst>
                    </a:blip>
                    <a:stretch>
                      <a:fillRect/>
                    </a:stretch>
                  </pic:blipFill>
                  <pic:spPr>
                    <a:xfrm>
                      <a:off x="0" y="0"/>
                      <a:ext cx="3529890" cy="2636953"/>
                    </a:xfrm>
                    <a:prstGeom prst="rect">
                      <a:avLst/>
                    </a:prstGeom>
                  </pic:spPr>
                </pic:pic>
              </a:graphicData>
            </a:graphic>
          </wp:inline>
        </w:drawing>
      </w:r>
    </w:p>
    <w:p w14:paraId="2DE26331" w14:textId="71ED6DA8" w:rsidR="00222CC5" w:rsidRPr="00391707" w:rsidRDefault="00222CC5" w:rsidP="00222CC5">
      <w:pPr>
        <w:jc w:val="center"/>
        <w:rPr>
          <w:rFonts w:cs="Calibri"/>
          <w:szCs w:val="22"/>
        </w:rPr>
      </w:pPr>
      <w:r>
        <w:rPr>
          <w:rFonts w:cs="Calibri"/>
          <w:szCs w:val="22"/>
        </w:rPr>
        <w:t xml:space="preserve">SI Figure 2. </w:t>
      </w:r>
      <w:r w:rsidR="008432F2" w:rsidRPr="008432F2">
        <w:rPr>
          <w:rFonts w:cs="Calibri"/>
          <w:szCs w:val="22"/>
        </w:rPr>
        <w:t>Credibility assessment of China’s climate and energy goals across various sectors</w:t>
      </w:r>
    </w:p>
    <w:p w14:paraId="3C867FFA" w14:textId="77777777" w:rsidR="00D57345" w:rsidRPr="00610296" w:rsidRDefault="00D57345" w:rsidP="00D57345">
      <w:pPr>
        <w:pStyle w:val="Heading3"/>
        <w:rPr>
          <w:rFonts w:cs="Calibri"/>
          <w:szCs w:val="22"/>
        </w:rPr>
      </w:pPr>
      <w:r w:rsidRPr="00610296">
        <w:rPr>
          <w:rFonts w:cs="Calibri"/>
          <w:szCs w:val="22"/>
        </w:rPr>
        <w:t>Step 1:  Identifying the scope of climate policies and their associated targets</w:t>
      </w:r>
    </w:p>
    <w:p w14:paraId="0EE86FC4" w14:textId="77777777" w:rsidR="00D57345" w:rsidRPr="00610296" w:rsidRDefault="00D57345" w:rsidP="00D57345">
      <w:pPr>
        <w:rPr>
          <w:rFonts w:eastAsia="DengXian" w:cs="Calibri"/>
          <w:szCs w:val="22"/>
        </w:rPr>
      </w:pPr>
      <w:r w:rsidRPr="00610296">
        <w:rPr>
          <w:rFonts w:eastAsia="DengXian" w:cs="Calibri"/>
          <w:szCs w:val="22"/>
        </w:rPr>
        <w:t>Climate change as a key issue is not only reflected in the NDC and net zero targets but also in the recent five-year plans and other high-level government documents involving energy and emissions governance. The policies reviewed in this study are those issued from 2020 to July 2024 and include:</w:t>
      </w:r>
    </w:p>
    <w:p w14:paraId="061472CC" w14:textId="7B4E0838" w:rsidR="00D57345" w:rsidRPr="00610296" w:rsidRDefault="00D57345" w:rsidP="00D57345">
      <w:pPr>
        <w:pStyle w:val="ListParagraph"/>
        <w:numPr>
          <w:ilvl w:val="0"/>
          <w:numId w:val="1"/>
        </w:numPr>
        <w:rPr>
          <w:rFonts w:eastAsia="DengXian" w:cs="Calibri"/>
          <w:szCs w:val="22"/>
        </w:rPr>
      </w:pPr>
      <w:r w:rsidRPr="00610296">
        <w:rPr>
          <w:rFonts w:eastAsia="DengXian" w:cs="Calibri"/>
          <w:b/>
          <w:bCs/>
          <w:kern w:val="0"/>
          <w:szCs w:val="22"/>
          <w14:ligatures w14:val="none"/>
        </w:rPr>
        <w:t>Policies within the "1+N" climate policy framework:</w:t>
      </w:r>
      <w:r w:rsidRPr="00610296">
        <w:rPr>
          <w:rFonts w:eastAsia="DengXian" w:cs="Calibri"/>
          <w:kern w:val="0"/>
          <w:szCs w:val="22"/>
          <w14:ligatures w14:val="none"/>
        </w:rPr>
        <w:t xml:space="preserve">  The "1+N" climate policy framework is a strategic plan introduced to achieve its goals of carbon peak before 2030 and carbon neutrality before 2060. The "1" refers to the guiding document or the top-level policy guideline that sets the overarching goals and principles for China’s climate actions. The "N" represents a series of specific action plans and measures that will be implemented across different sectors and regions to achieve the goals outlined in the "1" document. </w:t>
      </w:r>
      <w:r w:rsidRPr="00610296">
        <w:rPr>
          <w:rFonts w:eastAsia="DengXian" w:cs="Calibri"/>
          <w:b/>
          <w:bCs/>
          <w:szCs w:val="22"/>
        </w:rPr>
        <w:t>T</w:t>
      </w:r>
      <w:r w:rsidRPr="00610296">
        <w:rPr>
          <w:rFonts w:eastAsia="DengXian" w:cs="Calibri"/>
          <w:kern w:val="0"/>
          <w:szCs w:val="22"/>
          <w14:ligatures w14:val="none"/>
        </w:rPr>
        <w:t xml:space="preserve">he “1” policy </w:t>
      </w:r>
      <w:r w:rsidRPr="00610296">
        <w:rPr>
          <w:rFonts w:eastAsia="DengXian" w:cs="Calibri"/>
          <w:i/>
          <w:iCs/>
          <w:kern w:val="0"/>
          <w:szCs w:val="22"/>
          <w14:ligatures w14:val="none"/>
        </w:rPr>
        <w:t>The Action Plan for Carbon Peaking Before 2030</w:t>
      </w:r>
      <w:r w:rsidRPr="00610296">
        <w:rPr>
          <w:rFonts w:eastAsia="DengXian" w:cs="Calibri"/>
          <w:kern w:val="0"/>
          <w:szCs w:val="22"/>
          <w14:ligatures w14:val="none"/>
        </w:rPr>
        <w:t xml:space="preserve"> explicitly proposes 10 actions to achieve a carbon peak by 2030 (see </w:t>
      </w:r>
      <w:r w:rsidR="00F71912" w:rsidRPr="00EC4626">
        <w:rPr>
          <w:rFonts w:eastAsia="DengXian" w:cs="Calibri"/>
          <w:kern w:val="0"/>
          <w:szCs w:val="22"/>
          <w14:ligatures w14:val="none"/>
        </w:rPr>
        <w:t xml:space="preserve">SI </w:t>
      </w:r>
      <w:r w:rsidRPr="00EC4626">
        <w:rPr>
          <w:rFonts w:eastAsia="DengXian" w:cs="Calibri"/>
          <w:kern w:val="0"/>
          <w:szCs w:val="22"/>
          <w14:ligatures w14:val="none"/>
        </w:rPr>
        <w:t xml:space="preserve">Table </w:t>
      </w:r>
      <w:r w:rsidR="00F71912" w:rsidRPr="00EC4626">
        <w:rPr>
          <w:rFonts w:eastAsia="DengXian" w:cs="Calibri"/>
          <w:kern w:val="0"/>
          <w:szCs w:val="22"/>
          <w14:ligatures w14:val="none"/>
        </w:rPr>
        <w:t>1</w:t>
      </w:r>
      <w:r w:rsidRPr="00EC4626">
        <w:rPr>
          <w:rFonts w:eastAsia="DengXian" w:cs="Calibri"/>
          <w:kern w:val="0"/>
          <w:szCs w:val="22"/>
          <w14:ligatures w14:val="none"/>
        </w:rPr>
        <w:t>).</w:t>
      </w:r>
      <w:r w:rsidRPr="00610296">
        <w:rPr>
          <w:rFonts w:eastAsia="DengXian" w:cs="Calibri"/>
          <w:kern w:val="0"/>
          <w:szCs w:val="22"/>
          <w14:ligatures w14:val="none"/>
        </w:rPr>
        <w:t xml:space="preserve">  However, within the scope of “N”, there is no official definition of </w:t>
      </w:r>
      <w:r w:rsidRPr="00610296">
        <w:rPr>
          <w:rFonts w:eastAsia="DengXian" w:cs="Calibri"/>
          <w:szCs w:val="22"/>
        </w:rPr>
        <w:t>the policies associated with the 10 actions</w:t>
      </w:r>
      <w:r w:rsidRPr="00610296">
        <w:rPr>
          <w:rFonts w:eastAsia="DengXian" w:cs="Calibri"/>
          <w:kern w:val="0"/>
          <w:szCs w:val="22"/>
          <w14:ligatures w14:val="none"/>
        </w:rPr>
        <w:t xml:space="preserve">. Therefore, this analysis starts </w:t>
      </w:r>
      <w:r w:rsidRPr="00610296">
        <w:rPr>
          <w:rFonts w:eastAsia="DengXian" w:cs="Calibri"/>
          <w:szCs w:val="22"/>
        </w:rPr>
        <w:t xml:space="preserve">with </w:t>
      </w:r>
      <w:r w:rsidRPr="00610296">
        <w:rPr>
          <w:rFonts w:eastAsia="DengXian" w:cs="Calibri"/>
          <w:kern w:val="0"/>
          <w:szCs w:val="22"/>
          <w14:ligatures w14:val="none"/>
        </w:rPr>
        <w:t xml:space="preserve">a comprehensive review of China’s climate related policies, according to the 1+N climate policy framework. We dive into the N policies to identify what government </w:t>
      </w:r>
      <w:r w:rsidRPr="00610296">
        <w:rPr>
          <w:rFonts w:eastAsia="DengXian" w:cs="Calibri"/>
          <w:szCs w:val="22"/>
        </w:rPr>
        <w:t xml:space="preserve">actions </w:t>
      </w:r>
      <w:r w:rsidRPr="00610296">
        <w:rPr>
          <w:rFonts w:eastAsia="DengXian" w:cs="Calibri"/>
          <w:kern w:val="0"/>
          <w:szCs w:val="22"/>
          <w14:ligatures w14:val="none"/>
        </w:rPr>
        <w:t xml:space="preserve">belong to this scope. Improving the policy transparency and enhancing the understanding the climate efforts from Chinese government is another contribution from our assessment.  </w:t>
      </w:r>
    </w:p>
    <w:p w14:paraId="59849F40" w14:textId="77777777" w:rsidR="00D57345" w:rsidRPr="00610296" w:rsidRDefault="00D57345" w:rsidP="00D57345">
      <w:pPr>
        <w:pStyle w:val="ListParagraph"/>
        <w:ind w:hanging="360"/>
        <w:rPr>
          <w:rFonts w:eastAsia="DengXian" w:cs="Calibri"/>
          <w:szCs w:val="22"/>
        </w:rPr>
      </w:pPr>
    </w:p>
    <w:p w14:paraId="4FDE3B5B" w14:textId="6CC6EA26" w:rsidR="00D57345" w:rsidRPr="00610296" w:rsidRDefault="00B632EE" w:rsidP="00D57345">
      <w:pPr>
        <w:pStyle w:val="ListParagraph"/>
        <w:spacing w:line="259" w:lineRule="auto"/>
        <w:jc w:val="center"/>
        <w:rPr>
          <w:rFonts w:eastAsia="DengXian" w:cs="Calibri"/>
          <w:color w:val="000000"/>
          <w:szCs w:val="22"/>
        </w:rPr>
      </w:pPr>
      <w:r w:rsidRPr="00EA2278">
        <w:rPr>
          <w:rFonts w:eastAsia="DengXian" w:cs="Calibri" w:hint="eastAsia"/>
          <w:color w:val="000000"/>
          <w:szCs w:val="22"/>
        </w:rPr>
        <w:t xml:space="preserve">SI </w:t>
      </w:r>
      <w:r w:rsidR="00D57345" w:rsidRPr="00EA2278">
        <w:rPr>
          <w:rFonts w:eastAsia="DengXian" w:cs="Calibri"/>
          <w:color w:val="000000"/>
          <w:szCs w:val="22"/>
        </w:rPr>
        <w:t xml:space="preserve">Table </w:t>
      </w:r>
      <w:r w:rsidR="00834615" w:rsidRPr="00EA2278">
        <w:rPr>
          <w:rFonts w:eastAsia="DengXian" w:cs="Calibri"/>
          <w:color w:val="000000"/>
          <w:szCs w:val="22"/>
        </w:rPr>
        <w:t>1</w:t>
      </w:r>
      <w:r w:rsidR="00D57345" w:rsidRPr="00EA2278">
        <w:rPr>
          <w:rFonts w:eastAsia="DengXian" w:cs="Calibri"/>
          <w:color w:val="000000"/>
          <w:szCs w:val="22"/>
        </w:rPr>
        <w:t>.</w:t>
      </w:r>
      <w:r w:rsidR="00D57345" w:rsidRPr="00610296">
        <w:rPr>
          <w:rFonts w:eastAsia="DengXian" w:cs="Calibri"/>
          <w:color w:val="000000"/>
          <w:szCs w:val="22"/>
        </w:rPr>
        <w:t xml:space="preserve"> </w:t>
      </w:r>
      <w:r w:rsidR="00D57345" w:rsidRPr="00610296">
        <w:rPr>
          <w:rFonts w:eastAsia="DengXian" w:cs="Calibri"/>
          <w:szCs w:val="22"/>
        </w:rPr>
        <w:t>The "1+N" climate policy framework</w:t>
      </w:r>
    </w:p>
    <w:tbl>
      <w:tblPr>
        <w:tblStyle w:val="TableGrid"/>
        <w:tblW w:w="0" w:type="auto"/>
        <w:jc w:val="center"/>
        <w:tblLook w:val="04A0" w:firstRow="1" w:lastRow="0" w:firstColumn="1" w:lastColumn="0" w:noHBand="0" w:noVBand="1"/>
      </w:tblPr>
      <w:tblGrid>
        <w:gridCol w:w="4620"/>
        <w:gridCol w:w="4622"/>
      </w:tblGrid>
      <w:tr w:rsidR="00D57345" w:rsidRPr="00610296" w14:paraId="30978D54" w14:textId="77777777" w:rsidTr="0034671A">
        <w:trPr>
          <w:jc w:val="center"/>
        </w:trPr>
        <w:tc>
          <w:tcPr>
            <w:tcW w:w="9242" w:type="dxa"/>
            <w:gridSpan w:val="2"/>
          </w:tcPr>
          <w:p w14:paraId="1B97FB7C" w14:textId="77777777" w:rsidR="00D57345" w:rsidRPr="00610296" w:rsidRDefault="00D57345" w:rsidP="0034671A">
            <w:pPr>
              <w:jc w:val="center"/>
              <w:rPr>
                <w:rFonts w:eastAsia="DengXian" w:cs="Calibri"/>
                <w:b/>
                <w:bCs/>
                <w:color w:val="000000"/>
              </w:rPr>
            </w:pPr>
            <w:r w:rsidRPr="00610296">
              <w:rPr>
                <w:rFonts w:eastAsia="DengXian" w:cs="Calibri"/>
                <w:b/>
                <w:bCs/>
                <w:color w:val="000000"/>
              </w:rPr>
              <w:t>Carbon peak before 2030 and carbon net zero before 2060</w:t>
            </w:r>
          </w:p>
        </w:tc>
      </w:tr>
      <w:tr w:rsidR="00D57345" w:rsidRPr="00610296" w14:paraId="7503B144" w14:textId="77777777" w:rsidTr="0034671A">
        <w:trPr>
          <w:jc w:val="center"/>
        </w:trPr>
        <w:tc>
          <w:tcPr>
            <w:tcW w:w="9242" w:type="dxa"/>
            <w:gridSpan w:val="2"/>
          </w:tcPr>
          <w:p w14:paraId="41159BB8" w14:textId="77777777" w:rsidR="00D57345" w:rsidRPr="00610296" w:rsidRDefault="00D57345" w:rsidP="0034671A">
            <w:pPr>
              <w:jc w:val="center"/>
              <w:rPr>
                <w:rFonts w:eastAsia="DengXian" w:cs="Calibri"/>
                <w:color w:val="000000"/>
              </w:rPr>
            </w:pPr>
            <w:r w:rsidRPr="00610296">
              <w:rPr>
                <w:rFonts w:eastAsia="DengXian" w:cs="Calibri"/>
                <w:color w:val="000000"/>
              </w:rPr>
              <w:t>“1”: Top-level working guidance</w:t>
            </w:r>
          </w:p>
        </w:tc>
      </w:tr>
      <w:tr w:rsidR="00D57345" w:rsidRPr="00610296" w14:paraId="24B0F1B5" w14:textId="77777777" w:rsidTr="0034671A">
        <w:trPr>
          <w:jc w:val="center"/>
        </w:trPr>
        <w:tc>
          <w:tcPr>
            <w:tcW w:w="4620" w:type="dxa"/>
          </w:tcPr>
          <w:p w14:paraId="29B46C39" w14:textId="77777777" w:rsidR="00D57345" w:rsidRPr="00610296" w:rsidRDefault="00D57345" w:rsidP="0034671A">
            <w:pPr>
              <w:rPr>
                <w:rFonts w:eastAsia="DengXian" w:cs="Calibri"/>
                <w:color w:val="000000"/>
              </w:rPr>
            </w:pPr>
            <w:r w:rsidRPr="00610296">
              <w:rPr>
                <w:rFonts w:eastAsia="DengXian" w:cs="Calibri"/>
                <w:color w:val="000000"/>
              </w:rPr>
              <w:t>Working Guidance for Carbon Dioxide Peaking and Carbon Neutrality in Full and Faithful Implementation of the New Development Philosophy</w:t>
            </w:r>
          </w:p>
        </w:tc>
        <w:tc>
          <w:tcPr>
            <w:tcW w:w="4622" w:type="dxa"/>
          </w:tcPr>
          <w:p w14:paraId="09A89D8D" w14:textId="77777777" w:rsidR="00D57345" w:rsidRPr="00610296" w:rsidRDefault="00D57345" w:rsidP="0034671A">
            <w:pPr>
              <w:rPr>
                <w:rFonts w:eastAsia="DengXian" w:cs="Calibri"/>
                <w:color w:val="000000"/>
              </w:rPr>
            </w:pPr>
            <w:r w:rsidRPr="00610296">
              <w:rPr>
                <w:rFonts w:eastAsia="DengXian" w:cs="Calibri"/>
                <w:color w:val="000000"/>
              </w:rPr>
              <w:t>The Action Plan for Carbon Peaking Before 2030 </w:t>
            </w:r>
          </w:p>
        </w:tc>
      </w:tr>
      <w:tr w:rsidR="00D57345" w:rsidRPr="00610296" w14:paraId="235D363A" w14:textId="77777777" w:rsidTr="0034671A">
        <w:trPr>
          <w:jc w:val="center"/>
        </w:trPr>
        <w:tc>
          <w:tcPr>
            <w:tcW w:w="9242" w:type="dxa"/>
            <w:gridSpan w:val="2"/>
          </w:tcPr>
          <w:p w14:paraId="33356B2C" w14:textId="77777777" w:rsidR="00D57345" w:rsidRPr="00610296" w:rsidRDefault="00D57345" w:rsidP="0034671A">
            <w:pPr>
              <w:jc w:val="center"/>
              <w:rPr>
                <w:rFonts w:eastAsia="DengXian" w:cs="Calibri"/>
                <w:color w:val="000000"/>
              </w:rPr>
            </w:pPr>
            <w:r w:rsidRPr="00610296">
              <w:rPr>
                <w:rFonts w:eastAsia="DengXian" w:cs="Calibri"/>
                <w:color w:val="000000"/>
              </w:rPr>
              <w:t>“N”: underpinning 10 key actions</w:t>
            </w:r>
          </w:p>
        </w:tc>
      </w:tr>
      <w:tr w:rsidR="00D57345" w:rsidRPr="00610296" w14:paraId="5D3A6FBD" w14:textId="77777777" w:rsidTr="0034671A">
        <w:trPr>
          <w:jc w:val="center"/>
        </w:trPr>
        <w:tc>
          <w:tcPr>
            <w:tcW w:w="4620" w:type="dxa"/>
          </w:tcPr>
          <w:p w14:paraId="49F60E3C" w14:textId="77777777" w:rsidR="00D57345" w:rsidRPr="00610296" w:rsidRDefault="00D57345" w:rsidP="0034671A">
            <w:pPr>
              <w:rPr>
                <w:rFonts w:eastAsia="DengXian" w:cs="Calibri"/>
                <w:color w:val="000000"/>
              </w:rPr>
            </w:pPr>
            <w:r w:rsidRPr="00610296">
              <w:rPr>
                <w:rFonts w:eastAsia="DengXian" w:cs="Calibri"/>
                <w:color w:val="000000"/>
              </w:rPr>
              <w:t>The action for green and low-carbon energy transition</w:t>
            </w:r>
          </w:p>
        </w:tc>
        <w:tc>
          <w:tcPr>
            <w:tcW w:w="4622" w:type="dxa"/>
          </w:tcPr>
          <w:p w14:paraId="7F8CF25A" w14:textId="77777777" w:rsidR="00D57345" w:rsidRPr="00610296" w:rsidRDefault="00D57345" w:rsidP="0034671A">
            <w:pPr>
              <w:rPr>
                <w:rFonts w:eastAsia="DengXian" w:cs="Calibri"/>
                <w:color w:val="000000"/>
              </w:rPr>
            </w:pPr>
            <w:r w:rsidRPr="00610296">
              <w:rPr>
                <w:rFonts w:eastAsia="DengXian" w:cs="Calibri"/>
                <w:color w:val="000000"/>
              </w:rPr>
              <w:t>The action for promoting circular economy in carbon mitigation purpose</w:t>
            </w:r>
          </w:p>
        </w:tc>
      </w:tr>
      <w:tr w:rsidR="00D57345" w:rsidRPr="00610296" w14:paraId="53BA4FE9" w14:textId="77777777" w:rsidTr="0034671A">
        <w:trPr>
          <w:jc w:val="center"/>
        </w:trPr>
        <w:tc>
          <w:tcPr>
            <w:tcW w:w="4620" w:type="dxa"/>
          </w:tcPr>
          <w:p w14:paraId="25DD880B" w14:textId="23253AA1" w:rsidR="00D57345" w:rsidRPr="00610296" w:rsidRDefault="00D57345" w:rsidP="0034671A">
            <w:pPr>
              <w:rPr>
                <w:rFonts w:eastAsia="DengXian" w:cs="Calibri"/>
                <w:color w:val="000000"/>
              </w:rPr>
            </w:pPr>
            <w:r w:rsidRPr="00610296">
              <w:rPr>
                <w:rFonts w:eastAsia="DengXian" w:cs="Calibri"/>
                <w:color w:val="000000"/>
              </w:rPr>
              <w:t xml:space="preserve">The action for energy </w:t>
            </w:r>
            <w:r w:rsidR="00687D9E" w:rsidRPr="00610296">
              <w:rPr>
                <w:rFonts w:eastAsia="DengXian" w:cs="Calibri"/>
                <w:color w:val="000000"/>
              </w:rPr>
              <w:t>saving</w:t>
            </w:r>
            <w:r w:rsidRPr="00610296">
              <w:rPr>
                <w:rFonts w:eastAsia="DengXian" w:cs="Calibri"/>
                <w:color w:val="000000"/>
              </w:rPr>
              <w:t xml:space="preserve"> carbon emission mitigation and efficiency improvement</w:t>
            </w:r>
          </w:p>
        </w:tc>
        <w:tc>
          <w:tcPr>
            <w:tcW w:w="4622" w:type="dxa"/>
          </w:tcPr>
          <w:p w14:paraId="3EB8D46E" w14:textId="77777777" w:rsidR="00D57345" w:rsidRPr="00610296" w:rsidRDefault="00D57345" w:rsidP="0034671A">
            <w:pPr>
              <w:rPr>
                <w:rFonts w:eastAsia="DengXian" w:cs="Calibri"/>
                <w:color w:val="000000"/>
              </w:rPr>
            </w:pPr>
            <w:r w:rsidRPr="00610296">
              <w:rPr>
                <w:rFonts w:eastAsia="DengXian" w:cs="Calibri"/>
                <w:color w:val="000000"/>
              </w:rPr>
              <w:t>The action for advancing green and low-carbon technology innovation</w:t>
            </w:r>
          </w:p>
        </w:tc>
      </w:tr>
      <w:tr w:rsidR="00D57345" w:rsidRPr="00610296" w14:paraId="7B96C9D6" w14:textId="77777777" w:rsidTr="0034671A">
        <w:trPr>
          <w:jc w:val="center"/>
        </w:trPr>
        <w:tc>
          <w:tcPr>
            <w:tcW w:w="4620" w:type="dxa"/>
          </w:tcPr>
          <w:p w14:paraId="2D987038" w14:textId="77777777" w:rsidR="00D57345" w:rsidRPr="00610296" w:rsidRDefault="00D57345" w:rsidP="0034671A">
            <w:pPr>
              <w:rPr>
                <w:rFonts w:eastAsia="DengXian" w:cs="Calibri"/>
                <w:color w:val="000000"/>
              </w:rPr>
            </w:pPr>
            <w:r w:rsidRPr="00610296">
              <w:rPr>
                <w:rFonts w:eastAsia="DengXian" w:cs="Calibri"/>
                <w:color w:val="000000"/>
              </w:rPr>
              <w:t>The action for peaking carbon dioxide emissions in industry sector</w:t>
            </w:r>
          </w:p>
        </w:tc>
        <w:tc>
          <w:tcPr>
            <w:tcW w:w="4622" w:type="dxa"/>
          </w:tcPr>
          <w:p w14:paraId="4C15CE43" w14:textId="77777777" w:rsidR="00D57345" w:rsidRPr="00610296" w:rsidRDefault="00D57345" w:rsidP="0034671A">
            <w:pPr>
              <w:rPr>
                <w:rFonts w:eastAsia="DengXian" w:cs="Calibri"/>
                <w:color w:val="000000"/>
              </w:rPr>
            </w:pPr>
            <w:r w:rsidRPr="00610296">
              <w:rPr>
                <w:rFonts w:eastAsia="DengXian" w:cs="Calibri"/>
                <w:color w:val="000000"/>
              </w:rPr>
              <w:t>The action for consolidating and enhancing carbon sink</w:t>
            </w:r>
          </w:p>
        </w:tc>
      </w:tr>
      <w:tr w:rsidR="00D57345" w:rsidRPr="00610296" w14:paraId="4ECD28BF" w14:textId="77777777" w:rsidTr="0034671A">
        <w:trPr>
          <w:jc w:val="center"/>
        </w:trPr>
        <w:tc>
          <w:tcPr>
            <w:tcW w:w="4620" w:type="dxa"/>
          </w:tcPr>
          <w:p w14:paraId="62CA0D5A" w14:textId="77777777" w:rsidR="00D57345" w:rsidRPr="00610296" w:rsidRDefault="00D57345" w:rsidP="0034671A">
            <w:pPr>
              <w:rPr>
                <w:rFonts w:eastAsia="DengXian" w:cs="Calibri"/>
                <w:color w:val="000000"/>
              </w:rPr>
            </w:pPr>
            <w:r w:rsidRPr="00610296">
              <w:rPr>
                <w:rFonts w:eastAsia="DengXian" w:cs="Calibri"/>
                <w:color w:val="000000"/>
              </w:rPr>
              <w:t>The action for peaking carbon dioxide emissions in urban-rural development area</w:t>
            </w:r>
          </w:p>
        </w:tc>
        <w:tc>
          <w:tcPr>
            <w:tcW w:w="4622" w:type="dxa"/>
          </w:tcPr>
          <w:p w14:paraId="7C6F2436" w14:textId="77777777" w:rsidR="00D57345" w:rsidRPr="00610296" w:rsidRDefault="00D57345" w:rsidP="0034671A">
            <w:pPr>
              <w:rPr>
                <w:rFonts w:eastAsia="DengXian" w:cs="Calibri"/>
                <w:color w:val="000000"/>
              </w:rPr>
            </w:pPr>
            <w:r w:rsidRPr="00610296">
              <w:rPr>
                <w:rFonts w:eastAsia="DengXian" w:cs="Calibri"/>
                <w:color w:val="000000"/>
              </w:rPr>
              <w:t>The action for green and low-carbon society</w:t>
            </w:r>
          </w:p>
        </w:tc>
      </w:tr>
      <w:tr w:rsidR="00D57345" w:rsidRPr="00610296" w14:paraId="75D5222B" w14:textId="77777777" w:rsidTr="0034671A">
        <w:trPr>
          <w:trHeight w:val="367"/>
          <w:jc w:val="center"/>
        </w:trPr>
        <w:tc>
          <w:tcPr>
            <w:tcW w:w="4620" w:type="dxa"/>
          </w:tcPr>
          <w:p w14:paraId="2FA10E6A" w14:textId="77777777" w:rsidR="00D57345" w:rsidRPr="00610296" w:rsidRDefault="00D57345" w:rsidP="0034671A">
            <w:pPr>
              <w:rPr>
                <w:rFonts w:eastAsia="DengXian" w:cs="Calibri"/>
                <w:color w:val="000000"/>
              </w:rPr>
            </w:pPr>
            <w:r w:rsidRPr="00610296">
              <w:rPr>
                <w:rFonts w:eastAsia="DengXian" w:cs="Calibri"/>
                <w:color w:val="000000"/>
              </w:rPr>
              <w:t>The action for promoting green and low-carbon transportation</w:t>
            </w:r>
          </w:p>
        </w:tc>
        <w:tc>
          <w:tcPr>
            <w:tcW w:w="4622" w:type="dxa"/>
          </w:tcPr>
          <w:p w14:paraId="50B2C8FB" w14:textId="77777777" w:rsidR="00D57345" w:rsidRPr="00610296" w:rsidRDefault="00D57345" w:rsidP="0034671A">
            <w:pPr>
              <w:rPr>
                <w:rFonts w:eastAsia="DengXian" w:cs="Calibri"/>
                <w:color w:val="000000"/>
              </w:rPr>
            </w:pPr>
            <w:r w:rsidRPr="00610296">
              <w:rPr>
                <w:rFonts w:eastAsia="DengXian" w:cs="Calibri"/>
                <w:color w:val="000000"/>
              </w:rPr>
              <w:t>The action for promoting all regions to peak carbon dioxide emissions hierarchically and orderly</w:t>
            </w:r>
          </w:p>
        </w:tc>
      </w:tr>
    </w:tbl>
    <w:p w14:paraId="0C8CB56C" w14:textId="77777777" w:rsidR="00D57345" w:rsidRPr="00610296" w:rsidRDefault="00D57345" w:rsidP="00D57345">
      <w:pPr>
        <w:pStyle w:val="ListParagraph"/>
        <w:rPr>
          <w:rFonts w:eastAsia="DengXian" w:cs="Calibri"/>
          <w:kern w:val="0"/>
          <w:szCs w:val="22"/>
          <w14:ligatures w14:val="none"/>
        </w:rPr>
      </w:pPr>
    </w:p>
    <w:p w14:paraId="0D18B5FF" w14:textId="38E0EACB" w:rsidR="00D57345" w:rsidRPr="00610296" w:rsidRDefault="00D57345" w:rsidP="00D57345">
      <w:pPr>
        <w:pStyle w:val="ListParagraph"/>
        <w:numPr>
          <w:ilvl w:val="0"/>
          <w:numId w:val="1"/>
        </w:numPr>
        <w:spacing w:line="259" w:lineRule="auto"/>
        <w:rPr>
          <w:rFonts w:eastAsia="DengXian" w:cs="Calibri"/>
          <w:kern w:val="0"/>
          <w:szCs w:val="22"/>
          <w14:ligatures w14:val="none"/>
        </w:rPr>
      </w:pPr>
      <w:r w:rsidRPr="00610296">
        <w:rPr>
          <w:rFonts w:eastAsia="DengXian" w:cs="Calibri"/>
          <w:b/>
          <w:bCs/>
          <w:kern w:val="0"/>
          <w:szCs w:val="22"/>
          <w14:ligatures w14:val="none"/>
        </w:rPr>
        <w:t>Energy and emission policies within 14</w:t>
      </w:r>
      <w:r w:rsidRPr="00610296">
        <w:rPr>
          <w:rFonts w:eastAsia="DengXian" w:cs="Calibri"/>
          <w:b/>
          <w:bCs/>
          <w:kern w:val="0"/>
          <w:szCs w:val="22"/>
          <w:vertAlign w:val="superscript"/>
          <w14:ligatures w14:val="none"/>
        </w:rPr>
        <w:t>th</w:t>
      </w:r>
      <w:r w:rsidRPr="00610296">
        <w:rPr>
          <w:rFonts w:eastAsia="DengXian" w:cs="Calibri"/>
          <w:b/>
          <w:bCs/>
          <w:kern w:val="0"/>
          <w:szCs w:val="22"/>
          <w14:ligatures w14:val="none"/>
        </w:rPr>
        <w:t xml:space="preserve"> Five-Year Plan:</w:t>
      </w:r>
      <w:r w:rsidRPr="00610296">
        <w:rPr>
          <w:rFonts w:eastAsia="DengXian" w:cs="Calibri"/>
          <w:kern w:val="0"/>
          <w:szCs w:val="22"/>
          <w14:ligatures w14:val="none"/>
        </w:rPr>
        <w:t xml:space="preserve"> The 14th Five-Year Plan refers to the national development strategy and economic plan covering the years 2021 to 2025, focusing on economy growth, technological innovation, and sustainability. Since China submitted its NDC target, green and low-carbon development has also been incorporated into the overall plans for national economic and social development </w:t>
      </w:r>
      <w:r w:rsidRPr="00610296">
        <w:rPr>
          <w:rFonts w:eastAsia="DengXian" w:cs="Calibri"/>
          <w:kern w:val="0"/>
          <w:szCs w:val="22"/>
          <w14:ligatures w14:val="none"/>
        </w:rPr>
        <w:fldChar w:fldCharType="begin"/>
      </w:r>
      <w:r w:rsidR="006B2721">
        <w:rPr>
          <w:rFonts w:eastAsia="DengXian" w:cs="Calibri"/>
          <w:kern w:val="0"/>
          <w:szCs w:val="22"/>
          <w14:ligatures w14:val="none"/>
        </w:rPr>
        <w:instrText xml:space="preserve"> ADDIN ZOTERO_ITEM CSL_CITATION {"citationID":"uICLqMxh","properties":{"formattedCitation":"\\super 21\\nosupersub{}","plainCitation":"21","noteIndex":0},"citationItems":[{"id":3683,"uris":["http://zotero.org/users/10504693/items/TRHAJWB9"],"itemData":{"id":3683,"type":"document","title":"Progress on the Implementation of China’s Nationally Determined Contributions (2022)","URL":"https://www.mee.gov.cn/ywgz/ydqhbh/qhbhlf/202211/W020221111760730462299.pdf","author":[{"family":"Ministry of Ecology and Environment","given":""}],"issued":{"date-parts":[["2022"]]}}}],"schema":"https://github.com/citation-style-language/schema/raw/master/csl-citation.json"} </w:instrText>
      </w:r>
      <w:r w:rsidRPr="00610296">
        <w:rPr>
          <w:rFonts w:eastAsia="DengXian" w:cs="Calibri"/>
          <w:kern w:val="0"/>
          <w:szCs w:val="22"/>
          <w14:ligatures w14:val="none"/>
        </w:rPr>
        <w:fldChar w:fldCharType="separate"/>
      </w:r>
      <w:r w:rsidR="00F433C1" w:rsidRPr="00F433C1">
        <w:rPr>
          <w:rFonts w:cs="Calibri"/>
          <w:kern w:val="0"/>
          <w:vertAlign w:val="superscript"/>
        </w:rPr>
        <w:t>21</w:t>
      </w:r>
      <w:r w:rsidRPr="00610296">
        <w:rPr>
          <w:rFonts w:eastAsia="DengXian" w:cs="Calibri"/>
          <w:kern w:val="0"/>
          <w:szCs w:val="22"/>
          <w14:ligatures w14:val="none"/>
        </w:rPr>
        <w:fldChar w:fldCharType="end"/>
      </w:r>
      <w:r w:rsidRPr="00610296">
        <w:rPr>
          <w:rFonts w:eastAsia="DengXian" w:cs="Calibri"/>
          <w:kern w:val="0"/>
          <w:szCs w:val="22"/>
          <w14:ligatures w14:val="none"/>
        </w:rPr>
        <w:t xml:space="preserve">. Some of the policies in national five-year plan are also supportive of ‘1+N’ climate policy. Therefore, we integrated them into the subcategory of 1+N framework. </w:t>
      </w:r>
    </w:p>
    <w:p w14:paraId="080AAF3D" w14:textId="74BD80E8" w:rsidR="00D57345" w:rsidRPr="00610296" w:rsidRDefault="00D57345" w:rsidP="00D57345">
      <w:pPr>
        <w:pStyle w:val="ListParagraph"/>
        <w:numPr>
          <w:ilvl w:val="0"/>
          <w:numId w:val="1"/>
        </w:numPr>
        <w:spacing w:line="259" w:lineRule="auto"/>
        <w:rPr>
          <w:rFonts w:eastAsia="DengXian" w:cs="Calibri"/>
          <w:szCs w:val="22"/>
        </w:rPr>
      </w:pPr>
      <w:r w:rsidRPr="00610296">
        <w:rPr>
          <w:rFonts w:eastAsia="DengXian" w:cs="Calibri"/>
          <w:b/>
          <w:bCs/>
          <w:kern w:val="0"/>
          <w:szCs w:val="22"/>
          <w14:ligatures w14:val="none"/>
        </w:rPr>
        <w:t>Ad-hoc energy policies, planning, and standards for different sectors</w:t>
      </w:r>
      <w:r w:rsidRPr="00610296">
        <w:rPr>
          <w:rFonts w:eastAsia="DengXian" w:cs="Calibri"/>
          <w:kern w:val="0"/>
          <w:szCs w:val="22"/>
          <w14:ligatures w14:val="none"/>
        </w:rPr>
        <w:t>, including buildings, transport, power, and industry. To ensure comprehensive coverage, we also reviewed the IEA policy dataset and Climate action tracker (CAT) and integrated them into the ten actions under 1+N climate policy framework (see supplementary</w:t>
      </w:r>
      <w:r w:rsidR="00896207">
        <w:rPr>
          <w:rFonts w:eastAsia="DengXian" w:cs="Calibri"/>
          <w:kern w:val="0"/>
          <w:szCs w:val="22"/>
          <w14:ligatures w14:val="none"/>
        </w:rPr>
        <w:t xml:space="preserve"> data</w:t>
      </w:r>
      <w:r w:rsidRPr="00610296">
        <w:rPr>
          <w:rFonts w:eastAsia="DengXian" w:cs="Calibri"/>
          <w:kern w:val="0"/>
          <w:szCs w:val="22"/>
          <w14:ligatures w14:val="none"/>
        </w:rPr>
        <w:t xml:space="preserve">). </w:t>
      </w:r>
    </w:p>
    <w:p w14:paraId="1CF16219" w14:textId="77777777" w:rsidR="00D57345" w:rsidRPr="00610296" w:rsidRDefault="00D57345" w:rsidP="00D57345">
      <w:pPr>
        <w:pStyle w:val="Heading3"/>
        <w:rPr>
          <w:rFonts w:eastAsiaTheme="minorEastAsia" w:cs="Calibri"/>
          <w:color w:val="auto"/>
          <w:kern w:val="0"/>
          <w:szCs w:val="22"/>
        </w:rPr>
      </w:pPr>
      <w:r w:rsidRPr="00610296">
        <w:rPr>
          <w:rFonts w:cs="Calibri"/>
          <w:szCs w:val="22"/>
        </w:rPr>
        <w:lastRenderedPageBreak/>
        <w:t>Step 2:  Estimating credibility ratings across different policy targets</w:t>
      </w:r>
    </w:p>
    <w:p w14:paraId="734D0FA1" w14:textId="77777777" w:rsidR="00D57345" w:rsidRPr="00610296" w:rsidRDefault="00D57345" w:rsidP="00D57345">
      <w:pPr>
        <w:spacing w:line="259" w:lineRule="auto"/>
        <w:rPr>
          <w:rFonts w:eastAsia="DengXian" w:cs="Calibri"/>
          <w:szCs w:val="22"/>
        </w:rPr>
      </w:pPr>
      <w:r w:rsidRPr="00610296">
        <w:rPr>
          <w:rFonts w:eastAsia="DengXian" w:cs="Calibri"/>
          <w:szCs w:val="22"/>
        </w:rPr>
        <w:t>To ensure that the targets we reviewed are quantifiable using TIAM, we excluded three types of targets before conducting the credibility assessment:</w:t>
      </w:r>
    </w:p>
    <w:p w14:paraId="6E5D7651" w14:textId="77777777" w:rsidR="00D57345" w:rsidRPr="007B0245" w:rsidRDefault="00D57345" w:rsidP="00D57345">
      <w:pPr>
        <w:pStyle w:val="ListParagraph"/>
        <w:numPr>
          <w:ilvl w:val="0"/>
          <w:numId w:val="4"/>
        </w:numPr>
        <w:spacing w:line="259" w:lineRule="auto"/>
        <w:rPr>
          <w:rFonts w:eastAsia="DengXian" w:cs="Calibri"/>
          <w:szCs w:val="22"/>
        </w:rPr>
      </w:pPr>
      <w:r w:rsidRPr="007B0245">
        <w:rPr>
          <w:rFonts w:eastAsia="DengXian" w:cs="Calibri"/>
          <w:szCs w:val="22"/>
        </w:rPr>
        <w:t>Targets that cannot be applied due to the limited commodities and technologies available in TIAM, such as "by 2025, the forest coverage rate will reach approximately 25%, and the forest stock volume will reach 19 billion cubic meters."</w:t>
      </w:r>
    </w:p>
    <w:p w14:paraId="1290F1BF" w14:textId="77777777" w:rsidR="00D57345" w:rsidRPr="0072359A" w:rsidRDefault="00D57345" w:rsidP="00D57345">
      <w:pPr>
        <w:pStyle w:val="ListParagraph"/>
        <w:numPr>
          <w:ilvl w:val="0"/>
          <w:numId w:val="4"/>
        </w:numPr>
        <w:spacing w:line="259" w:lineRule="auto"/>
        <w:rPr>
          <w:rFonts w:eastAsia="DengXian" w:cs="Calibri"/>
          <w:szCs w:val="22"/>
        </w:rPr>
      </w:pPr>
      <w:r w:rsidRPr="0072359A">
        <w:rPr>
          <w:rFonts w:eastAsia="DengXian" w:cs="Calibri"/>
          <w:szCs w:val="22"/>
        </w:rPr>
        <w:t>Targets where the mentioned indicators lack a clear definition, such as "by 2025, the energy efficiency level of newly constructed residential buildings in urban areas will improve by 30%."</w:t>
      </w:r>
    </w:p>
    <w:p w14:paraId="5D96EAA7" w14:textId="77777777" w:rsidR="00D57345" w:rsidRPr="0072359A" w:rsidRDefault="00D57345" w:rsidP="00D57345">
      <w:pPr>
        <w:pStyle w:val="ListParagraph"/>
        <w:numPr>
          <w:ilvl w:val="0"/>
          <w:numId w:val="4"/>
        </w:numPr>
        <w:spacing w:line="259" w:lineRule="auto"/>
        <w:rPr>
          <w:rFonts w:eastAsia="DengXian" w:cs="Calibri"/>
          <w:szCs w:val="22"/>
        </w:rPr>
      </w:pPr>
      <w:r w:rsidRPr="0072359A">
        <w:rPr>
          <w:rFonts w:eastAsia="DengXian" w:cs="Calibri"/>
          <w:szCs w:val="22"/>
        </w:rPr>
        <w:t xml:space="preserve">Targets where the impact is at a regional level or is vague, such as "by 2025, coal consumption will decrease by 10% in the Beijing-Tianjin-Hebei region and by 5% in the Yangtze River Delta." Finally, the credibility of each numerical target is rated as the table shows: </w:t>
      </w:r>
    </w:p>
    <w:p w14:paraId="01B4E057" w14:textId="77777777" w:rsidR="00D57345" w:rsidRPr="00610296" w:rsidRDefault="00D57345" w:rsidP="00D57345">
      <w:pPr>
        <w:spacing w:line="259" w:lineRule="auto"/>
        <w:jc w:val="both"/>
        <w:rPr>
          <w:rFonts w:eastAsia="DengXian" w:cs="Calibri"/>
          <w:b/>
          <w:bCs/>
          <w:szCs w:val="22"/>
        </w:rPr>
        <w:sectPr w:rsidR="00D57345" w:rsidRPr="00610296" w:rsidSect="00725FA1">
          <w:pgSz w:w="16838" w:h="11906" w:orient="landscape"/>
          <w:pgMar w:top="1440" w:right="1440" w:bottom="1440" w:left="1440" w:header="709" w:footer="709" w:gutter="0"/>
          <w:lnNumType w:countBy="1" w:restart="continuous"/>
          <w:cols w:space="708"/>
          <w:docGrid w:linePitch="360"/>
        </w:sectPr>
      </w:pPr>
    </w:p>
    <w:p w14:paraId="130F0AA7" w14:textId="77777777" w:rsidR="00D57345" w:rsidRPr="00610296" w:rsidRDefault="00D57345" w:rsidP="00D57345">
      <w:pPr>
        <w:spacing w:line="259" w:lineRule="auto"/>
        <w:rPr>
          <w:rFonts w:eastAsia="DengXian" w:cs="Calibri"/>
          <w:b/>
          <w:bCs/>
          <w:szCs w:val="22"/>
        </w:rPr>
      </w:pPr>
    </w:p>
    <w:p w14:paraId="4318601E" w14:textId="68F7DDC3" w:rsidR="00D57345" w:rsidRPr="00610296" w:rsidRDefault="00B632EE" w:rsidP="00D57345">
      <w:pPr>
        <w:tabs>
          <w:tab w:val="left" w:pos="1369"/>
        </w:tabs>
        <w:rPr>
          <w:rFonts w:cs="Calibri"/>
          <w:szCs w:val="22"/>
        </w:rPr>
      </w:pPr>
      <w:r>
        <w:rPr>
          <w:rFonts w:eastAsia="DengXian" w:cs="Calibri" w:hint="eastAsia"/>
          <w:b/>
          <w:bCs/>
          <w:szCs w:val="22"/>
        </w:rPr>
        <w:t xml:space="preserve">SI </w:t>
      </w:r>
      <w:r w:rsidR="00D57345" w:rsidRPr="00610296">
        <w:rPr>
          <w:rFonts w:eastAsia="DengXian" w:cs="Calibri"/>
          <w:b/>
          <w:bCs/>
          <w:szCs w:val="22"/>
        </w:rPr>
        <w:t xml:space="preserve">Table </w:t>
      </w:r>
      <w:r w:rsidR="00834615">
        <w:rPr>
          <w:rFonts w:eastAsia="DengXian" w:cs="Calibri"/>
          <w:b/>
          <w:bCs/>
          <w:szCs w:val="22"/>
        </w:rPr>
        <w:t>2</w:t>
      </w:r>
      <w:r w:rsidR="00245ACE">
        <w:rPr>
          <w:rFonts w:eastAsia="DengXian" w:cs="Calibri"/>
          <w:b/>
          <w:bCs/>
          <w:szCs w:val="22"/>
        </w:rPr>
        <w:t>.</w:t>
      </w:r>
      <w:r w:rsidR="00D57345" w:rsidRPr="00610296">
        <w:rPr>
          <w:rFonts w:eastAsia="DengXian" w:cs="Calibri"/>
          <w:b/>
          <w:bCs/>
          <w:szCs w:val="22"/>
        </w:rPr>
        <w:t xml:space="preserve"> Overview of China’s quantifiable climate targets and the key characteristics underlying the confidence assessment for their realisation</w:t>
      </w:r>
    </w:p>
    <w:tbl>
      <w:tblPr>
        <w:tblW w:w="15701" w:type="dxa"/>
        <w:tblInd w:w="-964" w:type="dxa"/>
        <w:tblLayout w:type="fixed"/>
        <w:tblLook w:val="04A0" w:firstRow="1" w:lastRow="0" w:firstColumn="1" w:lastColumn="0" w:noHBand="0" w:noVBand="1"/>
      </w:tblPr>
      <w:tblGrid>
        <w:gridCol w:w="750"/>
        <w:gridCol w:w="1485"/>
        <w:gridCol w:w="1134"/>
        <w:gridCol w:w="2268"/>
        <w:gridCol w:w="1418"/>
        <w:gridCol w:w="1984"/>
        <w:gridCol w:w="1276"/>
        <w:gridCol w:w="1417"/>
        <w:gridCol w:w="1134"/>
        <w:gridCol w:w="1134"/>
        <w:gridCol w:w="1701"/>
      </w:tblGrid>
      <w:tr w:rsidR="00D57345" w:rsidRPr="00610296" w14:paraId="31733353" w14:textId="77777777" w:rsidTr="0034671A">
        <w:trPr>
          <w:trHeight w:val="828"/>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C3944"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eastAsia="Times New Roman" w:cs="Calibri"/>
                <w:b/>
                <w:bCs/>
                <w:kern w:val="0"/>
                <w:szCs w:val="22"/>
                <w14:ligatures w14:val="none"/>
              </w:rPr>
              <w:t>Target year</w:t>
            </w:r>
          </w:p>
        </w:tc>
        <w:tc>
          <w:tcPr>
            <w:tcW w:w="1485" w:type="dxa"/>
            <w:tcBorders>
              <w:top w:val="single" w:sz="4" w:space="0" w:color="auto"/>
              <w:left w:val="nil"/>
              <w:bottom w:val="single" w:sz="4" w:space="0" w:color="auto"/>
              <w:right w:val="single" w:sz="4" w:space="0" w:color="auto"/>
            </w:tcBorders>
            <w:shd w:val="clear" w:color="auto" w:fill="auto"/>
            <w:vAlign w:val="center"/>
            <w:hideMark/>
          </w:tcPr>
          <w:p w14:paraId="509D9B6D"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eastAsia="Times New Roman" w:cs="Calibri"/>
                <w:b/>
                <w:bCs/>
                <w:kern w:val="0"/>
                <w:szCs w:val="22"/>
                <w14:ligatures w14:val="none"/>
              </w:rPr>
              <w:t>Target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9608781"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eastAsia="Times New Roman" w:cs="Calibri"/>
                <w:b/>
                <w:bCs/>
                <w:kern w:val="0"/>
                <w:szCs w:val="22"/>
                <w14:ligatures w14:val="none"/>
              </w:rPr>
              <w:t>Impacting scope</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173B30B7"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eastAsia="Times New Roman" w:cs="Calibri"/>
                <w:b/>
                <w:bCs/>
                <w:kern w:val="0"/>
                <w:szCs w:val="22"/>
                <w14:ligatures w14:val="none"/>
              </w:rPr>
              <w:t>Policy coverage frequency</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4C88F95" w14:textId="77777777" w:rsidR="00D57345" w:rsidRPr="00610296" w:rsidRDefault="00D57345" w:rsidP="0034671A">
            <w:pPr>
              <w:spacing w:after="0" w:line="240" w:lineRule="auto"/>
              <w:jc w:val="center"/>
              <w:rPr>
                <w:rFonts w:eastAsia="Times New Roman" w:cs="Calibri"/>
                <w:b/>
                <w:bCs/>
                <w:kern w:val="0"/>
                <w:szCs w:val="22"/>
                <w14:ligatures w14:val="none"/>
              </w:rPr>
            </w:pPr>
            <w:r w:rsidRPr="00610296">
              <w:rPr>
                <w:rFonts w:eastAsia="Times New Roman" w:cs="Calibri"/>
                <w:b/>
                <w:bCs/>
                <w:kern w:val="0"/>
                <w:szCs w:val="22"/>
                <w14:ligatures w14:val="none"/>
              </w:rPr>
              <w:t>Policy-making authority</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D391C53"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eastAsia="Times New Roman" w:cs="Calibri"/>
                <w:b/>
                <w:bCs/>
                <w:kern w:val="0"/>
                <w:szCs w:val="22"/>
                <w14:ligatures w14:val="none"/>
              </w:rPr>
              <w:t>Current progress (By 2023/2024)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0063CA" w14:textId="77777777" w:rsidR="00D57345" w:rsidRPr="00610296" w:rsidRDefault="00D57345" w:rsidP="0034671A">
            <w:pPr>
              <w:spacing w:after="0" w:line="240" w:lineRule="auto"/>
              <w:jc w:val="center"/>
              <w:rPr>
                <w:rFonts w:cs="Calibri"/>
                <w:b/>
                <w:bCs/>
                <w:kern w:val="0"/>
                <w:szCs w:val="22"/>
                <w14:ligatures w14:val="none"/>
              </w:rPr>
            </w:pPr>
            <w:r w:rsidRPr="00610296">
              <w:rPr>
                <w:rFonts w:eastAsia="Times New Roman" w:cs="Calibri"/>
                <w:b/>
                <w:bCs/>
                <w:kern w:val="0"/>
                <w:szCs w:val="22"/>
                <w14:ligatures w14:val="none"/>
              </w:rPr>
              <w:t xml:space="preserve">Progress to date </w:t>
            </w:r>
            <w:r w:rsidRPr="00610296">
              <w:rPr>
                <w:rFonts w:cs="Calibri"/>
                <w:b/>
                <w:bCs/>
                <w:kern w:val="0"/>
                <w:szCs w:val="22"/>
                <w14:ligatures w14:val="none"/>
              </w:rPr>
              <w:t>(weight=0.5)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00E25F" w14:textId="6F6016FA" w:rsidR="00D57345" w:rsidRPr="00610296" w:rsidRDefault="00D57345" w:rsidP="0034671A">
            <w:pPr>
              <w:spacing w:after="0" w:line="240" w:lineRule="auto"/>
              <w:rPr>
                <w:rFonts w:cs="Calibri"/>
                <w:b/>
                <w:bCs/>
                <w:kern w:val="0"/>
                <w:szCs w:val="22"/>
                <w14:ligatures w14:val="none"/>
              </w:rPr>
            </w:pPr>
            <w:r w:rsidRPr="00610296">
              <w:rPr>
                <w:rFonts w:cs="Calibri"/>
                <w:b/>
                <w:bCs/>
                <w:kern w:val="0"/>
                <w:szCs w:val="22"/>
                <w14:ligatures w14:val="none"/>
              </w:rPr>
              <w:t>G</w:t>
            </w:r>
            <w:r w:rsidRPr="00610296">
              <w:rPr>
                <w:rFonts w:eastAsia="Times New Roman" w:cs="Calibri"/>
                <w:b/>
                <w:bCs/>
                <w:kern w:val="0"/>
                <w:szCs w:val="22"/>
                <w14:ligatures w14:val="none"/>
              </w:rPr>
              <w:t xml:space="preserve">overnance </w:t>
            </w:r>
            <w:r w:rsidR="00201DC1" w:rsidRPr="00610296">
              <w:rPr>
                <w:rFonts w:eastAsia="Times New Roman" w:cs="Calibri"/>
                <w:b/>
                <w:bCs/>
                <w:kern w:val="0"/>
                <w:szCs w:val="22"/>
                <w14:ligatures w14:val="none"/>
              </w:rPr>
              <w:t>level</w:t>
            </w:r>
            <w:r w:rsidR="00201DC1" w:rsidRPr="00610296">
              <w:rPr>
                <w:rFonts w:cs="Calibri"/>
                <w:b/>
                <w:bCs/>
                <w:kern w:val="0"/>
                <w:szCs w:val="22"/>
                <w14:ligatures w14:val="none"/>
              </w:rPr>
              <w:t xml:space="preserve"> (</w:t>
            </w:r>
            <w:r w:rsidRPr="00610296">
              <w:rPr>
                <w:rFonts w:cs="Calibri"/>
                <w:b/>
                <w:bCs/>
                <w:kern w:val="0"/>
                <w:szCs w:val="22"/>
                <w14:ligatures w14:val="none"/>
              </w:rPr>
              <w:t>weight= 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F933E0" w14:textId="124AAC22" w:rsidR="00D57345" w:rsidRPr="00610296" w:rsidRDefault="00D57345" w:rsidP="0034671A">
            <w:pPr>
              <w:spacing w:after="0" w:line="240" w:lineRule="auto"/>
              <w:rPr>
                <w:rFonts w:cs="Calibri"/>
                <w:b/>
                <w:bCs/>
                <w:kern w:val="0"/>
                <w:szCs w:val="22"/>
                <w14:ligatures w14:val="none"/>
              </w:rPr>
            </w:pPr>
            <w:r w:rsidRPr="00610296">
              <w:rPr>
                <w:rFonts w:eastAsia="Times New Roman" w:cs="Calibri"/>
                <w:b/>
                <w:bCs/>
                <w:kern w:val="0"/>
                <w:szCs w:val="22"/>
                <w14:ligatures w14:val="none"/>
              </w:rPr>
              <w:t>Clearly stated in a five-year plan</w:t>
            </w:r>
            <w:r w:rsidRPr="00610296">
              <w:rPr>
                <w:rFonts w:cs="Calibri"/>
                <w:b/>
                <w:bCs/>
                <w:kern w:val="0"/>
                <w:szCs w:val="22"/>
                <w14:ligatures w14:val="none"/>
              </w:rPr>
              <w:t xml:space="preserve"> (weight=0.2)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847EF4B" w14:textId="77777777" w:rsidR="00D57345" w:rsidRPr="00610296" w:rsidRDefault="00D57345" w:rsidP="0034671A">
            <w:pPr>
              <w:spacing w:after="0" w:line="240" w:lineRule="auto"/>
              <w:jc w:val="center"/>
              <w:rPr>
                <w:rFonts w:eastAsia="Times New Roman" w:cs="Calibri"/>
                <w:b/>
                <w:bCs/>
                <w:kern w:val="0"/>
                <w:szCs w:val="22"/>
                <w14:ligatures w14:val="none"/>
              </w:rPr>
            </w:pPr>
            <w:r w:rsidRPr="00610296">
              <w:rPr>
                <w:rFonts w:cs="Calibri"/>
                <w:b/>
                <w:bCs/>
                <w:kern w:val="0"/>
                <w:szCs w:val="22"/>
                <w14:ligatures w14:val="none"/>
              </w:rPr>
              <w:t xml:space="preserve">Weighted </w:t>
            </w:r>
            <w:r w:rsidRPr="00610296">
              <w:rPr>
                <w:rFonts w:eastAsia="Times New Roman" w:cs="Calibri"/>
                <w:b/>
                <w:bCs/>
                <w:kern w:val="0"/>
                <w:szCs w:val="22"/>
                <w14:ligatures w14:val="none"/>
              </w:rPr>
              <w:t>Credibility</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AB3DEB3" w14:textId="77777777" w:rsidR="00D57345" w:rsidRPr="00610296" w:rsidRDefault="00D57345" w:rsidP="0034671A">
            <w:pPr>
              <w:spacing w:after="0" w:line="240" w:lineRule="auto"/>
              <w:jc w:val="center"/>
              <w:rPr>
                <w:rFonts w:eastAsia="Times New Roman" w:cs="Calibri"/>
                <w:b/>
                <w:bCs/>
                <w:kern w:val="0"/>
                <w:szCs w:val="22"/>
                <w14:ligatures w14:val="none"/>
              </w:rPr>
            </w:pPr>
            <w:r w:rsidRPr="00610296">
              <w:rPr>
                <w:rFonts w:eastAsia="Times New Roman" w:cs="Calibri"/>
                <w:b/>
                <w:bCs/>
                <w:kern w:val="0"/>
                <w:szCs w:val="22"/>
                <w14:ligatures w14:val="none"/>
              </w:rPr>
              <w:t>Credibility Cluster</w:t>
            </w:r>
          </w:p>
        </w:tc>
      </w:tr>
      <w:tr w:rsidR="00D57345" w:rsidRPr="00610296" w14:paraId="54189EC7" w14:textId="77777777" w:rsidTr="0034671A">
        <w:trPr>
          <w:trHeight w:val="983"/>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2B84B6C5"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1D645F36"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Energy consumption per unit of GDP will be lowered by </w:t>
            </w:r>
            <w:r w:rsidRPr="00610296">
              <w:rPr>
                <w:rFonts w:eastAsia="Times New Roman" w:cs="Calibri"/>
                <w:b/>
                <w:bCs/>
                <w:color w:val="000000" w:themeColor="text1"/>
                <w:kern w:val="0"/>
                <w:szCs w:val="22"/>
                <w14:ligatures w14:val="none"/>
              </w:rPr>
              <w:t>13.5%</w:t>
            </w:r>
            <w:r w:rsidRPr="00610296">
              <w:rPr>
                <w:rFonts w:eastAsia="Times New Roman" w:cs="Calibri"/>
                <w:color w:val="000000" w:themeColor="text1"/>
                <w:kern w:val="0"/>
                <w:szCs w:val="22"/>
                <w14:ligatures w14:val="none"/>
              </w:rPr>
              <w:t xml:space="preserve"> from the 2020 level</w:t>
            </w:r>
          </w:p>
        </w:tc>
        <w:tc>
          <w:tcPr>
            <w:tcW w:w="1134" w:type="dxa"/>
            <w:tcBorders>
              <w:top w:val="nil"/>
              <w:left w:val="nil"/>
              <w:bottom w:val="single" w:sz="4" w:space="0" w:color="auto"/>
              <w:right w:val="single" w:sz="4" w:space="0" w:color="auto"/>
            </w:tcBorders>
            <w:shd w:val="clear" w:color="auto" w:fill="auto"/>
            <w:noWrap/>
            <w:vAlign w:val="center"/>
            <w:hideMark/>
          </w:tcPr>
          <w:p w14:paraId="2EA56493"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1A101998"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Working Guidance for Carbon Dioxide Peaking and Carbon Neutrality in Full and Faithful Implementation of the New Development Philosophy</w:t>
            </w:r>
            <w:r w:rsidRPr="00610296">
              <w:rPr>
                <w:rFonts w:eastAsia="Times New Roman" w:cs="Calibri"/>
                <w:color w:val="000000" w:themeColor="text1"/>
                <w:kern w:val="0"/>
                <w:szCs w:val="22"/>
                <w14:ligatures w14:val="none"/>
              </w:rPr>
              <w:br/>
              <w:t>The</w:t>
            </w:r>
            <w:r w:rsidRPr="00610296">
              <w:rPr>
                <w:rFonts w:eastAsia="Times New Roman" w:cs="Calibri"/>
                <w:color w:val="000000" w:themeColor="text1"/>
                <w:kern w:val="0"/>
                <w:szCs w:val="22"/>
                <w14:ligatures w14:val="none"/>
              </w:rPr>
              <w:t> </w:t>
            </w:r>
            <w:r w:rsidRPr="00610296">
              <w:rPr>
                <w:rFonts w:eastAsia="Times New Roman" w:cs="Calibri"/>
                <w:color w:val="000000" w:themeColor="text1"/>
                <w:kern w:val="0"/>
                <w:szCs w:val="22"/>
                <w14:ligatures w14:val="none"/>
              </w:rPr>
              <w:t>Action Plan for Carbon Peaking Before 2030 </w:t>
            </w:r>
            <w:r w:rsidRPr="00610296">
              <w:rPr>
                <w:rFonts w:eastAsia="Times New Roman" w:cs="Calibri"/>
                <w:color w:val="000000" w:themeColor="text1"/>
                <w:kern w:val="0"/>
                <w:szCs w:val="22"/>
                <w14:ligatures w14:val="none"/>
              </w:rPr>
              <w:br/>
              <w:t>14th Five-Year Plan on Modern Energy System Planning</w:t>
            </w:r>
            <w:r w:rsidRPr="00610296">
              <w:rPr>
                <w:rFonts w:eastAsia="Times New Roman" w:cs="Calibri"/>
                <w:color w:val="000000" w:themeColor="text1"/>
                <w:kern w:val="0"/>
                <w:szCs w:val="22"/>
                <w14:ligatures w14:val="none"/>
              </w:rPr>
              <w:br/>
              <w:t>The "14th Five-Year Plan" Comprehensive Work Plan for Energy Conservation and Emission Reduction</w:t>
            </w:r>
            <w:r w:rsidRPr="00610296">
              <w:rPr>
                <w:rFonts w:eastAsia="Times New Roman" w:cs="Calibri"/>
                <w:color w:val="000000" w:themeColor="text1"/>
                <w:kern w:val="0"/>
                <w:szCs w:val="22"/>
                <w14:ligatures w14:val="none"/>
              </w:rPr>
              <w:br/>
              <w:t>14th Five-Year Plan for Circular Economy Development</w:t>
            </w:r>
          </w:p>
        </w:tc>
        <w:tc>
          <w:tcPr>
            <w:tcW w:w="1418" w:type="dxa"/>
            <w:tcBorders>
              <w:top w:val="nil"/>
              <w:left w:val="nil"/>
              <w:bottom w:val="single" w:sz="4" w:space="0" w:color="auto"/>
              <w:right w:val="single" w:sz="4" w:space="0" w:color="auto"/>
            </w:tcBorders>
            <w:shd w:val="clear" w:color="auto" w:fill="auto"/>
            <w:vAlign w:val="center"/>
            <w:hideMark/>
          </w:tcPr>
          <w:p w14:paraId="76B2ACEA"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C</w:t>
            </w:r>
            <w:r w:rsidRPr="00610296">
              <w:rPr>
                <w:rFonts w:cs="Calibri"/>
                <w:color w:val="000000" w:themeColor="text1"/>
                <w:kern w:val="0"/>
                <w:szCs w:val="22"/>
                <w14:ligatures w14:val="none"/>
              </w:rPr>
              <w:t>CP</w:t>
            </w:r>
            <w:r w:rsidRPr="00610296">
              <w:rPr>
                <w:rFonts w:eastAsia="Times New Roman" w:cs="Calibri"/>
                <w:color w:val="000000" w:themeColor="text1"/>
                <w:kern w:val="0"/>
                <w:szCs w:val="22"/>
                <w14:ligatures w14:val="none"/>
              </w:rPr>
              <w:t xml:space="preserve"> Central Committee State council </w:t>
            </w:r>
          </w:p>
        </w:tc>
        <w:tc>
          <w:tcPr>
            <w:tcW w:w="1984" w:type="dxa"/>
            <w:tcBorders>
              <w:top w:val="nil"/>
              <w:left w:val="nil"/>
              <w:bottom w:val="single" w:sz="4" w:space="0" w:color="auto"/>
              <w:right w:val="single" w:sz="4" w:space="0" w:color="auto"/>
            </w:tcBorders>
            <w:shd w:val="clear" w:color="auto" w:fill="auto"/>
            <w:vAlign w:val="center"/>
            <w:hideMark/>
          </w:tcPr>
          <w:p w14:paraId="3FA07EE6" w14:textId="463772E9" w:rsidR="00D57345" w:rsidRPr="00610296" w:rsidRDefault="008008DB" w:rsidP="0034671A">
            <w:pPr>
              <w:spacing w:after="0" w:line="240" w:lineRule="auto"/>
              <w:rPr>
                <w:rFonts w:eastAsia="Times New Roman" w:cs="Calibri"/>
                <w:color w:val="000000" w:themeColor="text1"/>
                <w:kern w:val="0"/>
                <w:szCs w:val="22"/>
                <w14:ligatures w14:val="none"/>
              </w:rPr>
            </w:pPr>
            <w:r w:rsidRPr="008008DB">
              <w:rPr>
                <w:rFonts w:eastAsia="Times New Roman" w:cs="Calibri"/>
                <w:color w:val="000000" w:themeColor="text1"/>
                <w:kern w:val="0"/>
                <w:szCs w:val="22"/>
                <w14:ligatures w14:val="none"/>
              </w:rPr>
              <w:t>By 2023, energy intensity had reduced by 7.6% from the 2020 level, based on data published by the National Bureau of Statistics of China.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B311AFE"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color w:val="000000"/>
                <w:szCs w:val="22"/>
              </w:rPr>
              <w:t>56.30%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5E54927"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783456EC"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7A262"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0.78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D4CD0" w14:textId="77777777" w:rsidR="00D57345" w:rsidRPr="00610296" w:rsidRDefault="00D57345" w:rsidP="0034671A">
            <w:pPr>
              <w:spacing w:after="0" w:line="240" w:lineRule="auto"/>
              <w:jc w:val="center"/>
              <w:rPr>
                <w:rFonts w:cs="Calibri"/>
                <w:b/>
                <w:bCs/>
                <w:color w:val="000000" w:themeColor="text1"/>
                <w:kern w:val="0"/>
                <w:szCs w:val="22"/>
                <w14:ligatures w14:val="none"/>
              </w:rPr>
            </w:pPr>
            <w:r w:rsidRPr="00610296">
              <w:rPr>
                <w:rFonts w:cs="Calibri"/>
                <w:b/>
                <w:bCs/>
                <w:color w:val="000000"/>
                <w:szCs w:val="22"/>
              </w:rPr>
              <w:t>MEDIUM</w:t>
            </w:r>
          </w:p>
        </w:tc>
      </w:tr>
      <w:tr w:rsidR="00D57345" w:rsidRPr="00610296" w14:paraId="7DD1BEF7" w14:textId="77777777" w:rsidTr="0034671A">
        <w:trPr>
          <w:trHeight w:val="3264"/>
        </w:trPr>
        <w:tc>
          <w:tcPr>
            <w:tcW w:w="750" w:type="dxa"/>
            <w:tcBorders>
              <w:top w:val="nil"/>
              <w:left w:val="single" w:sz="4" w:space="0" w:color="auto"/>
              <w:bottom w:val="single" w:sz="4" w:space="0" w:color="auto"/>
              <w:right w:val="single" w:sz="4" w:space="0" w:color="auto"/>
            </w:tcBorders>
            <w:shd w:val="clear" w:color="auto" w:fill="auto"/>
            <w:noWrap/>
            <w:vAlign w:val="center"/>
            <w:hideMark/>
          </w:tcPr>
          <w:p w14:paraId="4F90229E"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678CD792" w14:textId="3918318B" w:rsidR="00D57345" w:rsidRPr="00610296" w:rsidRDefault="00A3071D" w:rsidP="0034671A">
            <w:pPr>
              <w:spacing w:after="0" w:line="240" w:lineRule="auto"/>
              <w:rPr>
                <w:rFonts w:eastAsia="Times New Roman" w:cs="Calibri"/>
                <w:color w:val="000000" w:themeColor="text1"/>
                <w:kern w:val="0"/>
                <w:szCs w:val="22"/>
                <w14:ligatures w14:val="none"/>
              </w:rPr>
            </w:pPr>
            <w:r>
              <w:rPr>
                <w:rFonts w:eastAsia="DengXian" w:cs="Calibri"/>
                <w:color w:val="000000" w:themeColor="text1"/>
                <w:szCs w:val="22"/>
              </w:rPr>
              <w:t>C</w:t>
            </w:r>
            <w:r w:rsidRPr="00A3071D">
              <w:rPr>
                <w:rFonts w:eastAsia="DengXian" w:cs="Calibri"/>
                <w:color w:val="000000" w:themeColor="text1"/>
                <w:szCs w:val="22"/>
              </w:rPr>
              <w:t>arbon dioxide (CO₂) emissions per unit of GDP will be lowered by 18% from the 2020 level.</w:t>
            </w:r>
          </w:p>
        </w:tc>
        <w:tc>
          <w:tcPr>
            <w:tcW w:w="1134" w:type="dxa"/>
            <w:tcBorders>
              <w:top w:val="nil"/>
              <w:left w:val="nil"/>
              <w:bottom w:val="single" w:sz="4" w:space="0" w:color="auto"/>
              <w:right w:val="single" w:sz="4" w:space="0" w:color="auto"/>
            </w:tcBorders>
            <w:shd w:val="clear" w:color="auto" w:fill="auto"/>
            <w:noWrap/>
            <w:vAlign w:val="center"/>
            <w:hideMark/>
          </w:tcPr>
          <w:p w14:paraId="2136E384"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51C312DF"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Working Guidance for Carbon Dioxide Peaking and Carbon Neutrality in Full and Faithful Implementation of the New Development Philosophy</w:t>
            </w:r>
            <w:r w:rsidRPr="00610296">
              <w:rPr>
                <w:rFonts w:eastAsia="Times New Roman" w:cs="Calibri"/>
                <w:color w:val="000000" w:themeColor="text1"/>
                <w:kern w:val="0"/>
                <w:szCs w:val="22"/>
                <w14:ligatures w14:val="none"/>
              </w:rPr>
              <w:br/>
              <w:t>The</w:t>
            </w:r>
            <w:r w:rsidRPr="00610296">
              <w:rPr>
                <w:rFonts w:eastAsia="Times New Roman" w:cs="Calibri"/>
                <w:color w:val="000000" w:themeColor="text1"/>
                <w:kern w:val="0"/>
                <w:szCs w:val="22"/>
                <w14:ligatures w14:val="none"/>
              </w:rPr>
              <w:t> </w:t>
            </w:r>
            <w:r w:rsidRPr="00610296">
              <w:rPr>
                <w:rFonts w:eastAsia="Times New Roman" w:cs="Calibri"/>
                <w:color w:val="000000" w:themeColor="text1"/>
                <w:kern w:val="0"/>
                <w:szCs w:val="22"/>
                <w14:ligatures w14:val="none"/>
              </w:rPr>
              <w:t>Action Plan for Carbon Peaking Before 2030 </w:t>
            </w:r>
            <w:r w:rsidRPr="00610296">
              <w:rPr>
                <w:rFonts w:eastAsia="Times New Roman" w:cs="Calibri"/>
                <w:color w:val="000000" w:themeColor="text1"/>
                <w:kern w:val="0"/>
                <w:szCs w:val="22"/>
                <w14:ligatures w14:val="none"/>
              </w:rPr>
              <w:br/>
              <w:t>14th Five-Year Plan on Modern Energy System Planning</w:t>
            </w:r>
          </w:p>
        </w:tc>
        <w:tc>
          <w:tcPr>
            <w:tcW w:w="1418" w:type="dxa"/>
            <w:tcBorders>
              <w:top w:val="nil"/>
              <w:left w:val="nil"/>
              <w:bottom w:val="single" w:sz="4" w:space="0" w:color="auto"/>
              <w:right w:val="single" w:sz="4" w:space="0" w:color="auto"/>
            </w:tcBorders>
            <w:shd w:val="clear" w:color="auto" w:fill="auto"/>
            <w:vAlign w:val="center"/>
            <w:hideMark/>
          </w:tcPr>
          <w:p w14:paraId="43B7DFA3"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C</w:t>
            </w:r>
            <w:r w:rsidRPr="00610296">
              <w:rPr>
                <w:rFonts w:cs="Calibri"/>
                <w:color w:val="000000" w:themeColor="text1"/>
                <w:kern w:val="0"/>
                <w:szCs w:val="22"/>
                <w14:ligatures w14:val="none"/>
              </w:rPr>
              <w:t xml:space="preserve">CP </w:t>
            </w:r>
            <w:r w:rsidRPr="00610296">
              <w:rPr>
                <w:rFonts w:eastAsia="Times New Roman" w:cs="Calibri"/>
                <w:color w:val="000000" w:themeColor="text1"/>
                <w:kern w:val="0"/>
                <w:szCs w:val="22"/>
                <w14:ligatures w14:val="none"/>
              </w:rPr>
              <w:t xml:space="preserve">Central Committee State council </w:t>
            </w:r>
          </w:p>
        </w:tc>
        <w:tc>
          <w:tcPr>
            <w:tcW w:w="1984" w:type="dxa"/>
            <w:tcBorders>
              <w:top w:val="nil"/>
              <w:left w:val="nil"/>
              <w:bottom w:val="single" w:sz="4" w:space="0" w:color="auto"/>
              <w:right w:val="single" w:sz="4" w:space="0" w:color="auto"/>
            </w:tcBorders>
            <w:shd w:val="clear" w:color="auto" w:fill="auto"/>
            <w:vAlign w:val="center"/>
            <w:hideMark/>
          </w:tcPr>
          <w:p w14:paraId="000B35E7" w14:textId="6B4E594C" w:rsidR="00D57345" w:rsidRPr="00610296" w:rsidRDefault="00D25239" w:rsidP="0034671A">
            <w:pPr>
              <w:spacing w:after="0" w:line="240" w:lineRule="auto"/>
              <w:rPr>
                <w:rFonts w:eastAsia="Times New Roman" w:cs="Calibri"/>
                <w:color w:val="000000" w:themeColor="text1"/>
                <w:kern w:val="0"/>
                <w:szCs w:val="22"/>
                <w14:ligatures w14:val="none"/>
              </w:rPr>
            </w:pPr>
            <w:r w:rsidRPr="00D25239">
              <w:rPr>
                <w:rFonts w:eastAsia="Times New Roman" w:cs="Calibri"/>
                <w:color w:val="000000" w:themeColor="text1"/>
                <w:kern w:val="0"/>
                <w:szCs w:val="22"/>
                <w14:ligatures w14:val="none"/>
              </w:rPr>
              <w:t>By 2023, carbon intensity had reduced by 6.3% from the 2020 level, based on data published by the National Bureau of Statistics of China.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91F8F8C"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color w:val="000000"/>
                <w:szCs w:val="22"/>
              </w:rPr>
              <w:t>35.00%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AD2C347"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629A64F7"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8204054"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b/>
                <w:bCs/>
                <w:color w:val="000000"/>
                <w:szCs w:val="22"/>
              </w:rPr>
              <w:t>0.68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50C63B" w14:textId="77777777" w:rsidR="00D57345" w:rsidRPr="00610296" w:rsidRDefault="00D57345" w:rsidP="0034671A">
            <w:pPr>
              <w:spacing w:after="0" w:line="240" w:lineRule="auto"/>
              <w:jc w:val="center"/>
              <w:rPr>
                <w:rFonts w:cs="Calibri"/>
                <w:b/>
                <w:bCs/>
                <w:color w:val="000000" w:themeColor="text1"/>
                <w:kern w:val="0"/>
                <w:szCs w:val="22"/>
                <w14:ligatures w14:val="none"/>
              </w:rPr>
            </w:pPr>
            <w:r w:rsidRPr="00610296">
              <w:rPr>
                <w:rFonts w:cs="Calibri"/>
                <w:b/>
                <w:bCs/>
                <w:color w:val="000000"/>
                <w:szCs w:val="22"/>
              </w:rPr>
              <w:t>MEDIUM</w:t>
            </w:r>
          </w:p>
        </w:tc>
      </w:tr>
      <w:tr w:rsidR="00D57345" w:rsidRPr="00610296" w14:paraId="64ECD591" w14:textId="77777777" w:rsidTr="0034671A">
        <w:trPr>
          <w:trHeight w:val="5304"/>
        </w:trPr>
        <w:tc>
          <w:tcPr>
            <w:tcW w:w="750" w:type="dxa"/>
            <w:tcBorders>
              <w:top w:val="nil"/>
              <w:left w:val="single" w:sz="4" w:space="0" w:color="auto"/>
              <w:bottom w:val="single" w:sz="4" w:space="0" w:color="auto"/>
              <w:right w:val="single" w:sz="4" w:space="0" w:color="auto"/>
            </w:tcBorders>
            <w:shd w:val="clear" w:color="auto" w:fill="auto"/>
            <w:noWrap/>
            <w:hideMark/>
          </w:tcPr>
          <w:p w14:paraId="7297FB65"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4B9440A9" w14:textId="35B6CEED" w:rsidR="00D57345" w:rsidRPr="00610296" w:rsidRDefault="00673CC6"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T</w:t>
            </w:r>
            <w:r w:rsidRPr="00673CC6">
              <w:rPr>
                <w:rFonts w:eastAsia="Times New Roman" w:cs="Calibri"/>
                <w:color w:val="000000" w:themeColor="text1"/>
                <w:kern w:val="0"/>
                <w:szCs w:val="22"/>
                <w14:ligatures w14:val="none"/>
              </w:rPr>
              <w:t>he share of non-fossil energy consumption will have reached around 20%.</w:t>
            </w:r>
          </w:p>
        </w:tc>
        <w:tc>
          <w:tcPr>
            <w:tcW w:w="1134" w:type="dxa"/>
            <w:tcBorders>
              <w:top w:val="nil"/>
              <w:left w:val="nil"/>
              <w:bottom w:val="single" w:sz="4" w:space="0" w:color="auto"/>
              <w:right w:val="single" w:sz="4" w:space="0" w:color="auto"/>
            </w:tcBorders>
            <w:shd w:val="clear" w:color="auto" w:fill="auto"/>
            <w:noWrap/>
            <w:vAlign w:val="center"/>
            <w:hideMark/>
          </w:tcPr>
          <w:p w14:paraId="11816DB0"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2D59A7B2"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Working Guidance for Carbon Dioxide Peaking and Carbon Neutrality in Full and Faithful Implementation of the New Development Philosophy</w:t>
            </w:r>
            <w:r w:rsidRPr="00610296">
              <w:rPr>
                <w:rFonts w:eastAsia="Times New Roman" w:cs="Calibri"/>
                <w:color w:val="000000" w:themeColor="text1"/>
                <w:kern w:val="0"/>
                <w:szCs w:val="22"/>
                <w14:ligatures w14:val="none"/>
              </w:rPr>
              <w:br/>
              <w:t>The</w:t>
            </w:r>
            <w:r w:rsidRPr="00610296">
              <w:rPr>
                <w:rFonts w:eastAsia="Times New Roman" w:cs="Calibri"/>
                <w:color w:val="000000" w:themeColor="text1"/>
                <w:kern w:val="0"/>
                <w:szCs w:val="22"/>
                <w14:ligatures w14:val="none"/>
              </w:rPr>
              <w:t> </w:t>
            </w:r>
            <w:r w:rsidRPr="00610296">
              <w:rPr>
                <w:rFonts w:eastAsia="Times New Roman" w:cs="Calibri"/>
                <w:color w:val="000000" w:themeColor="text1"/>
                <w:kern w:val="0"/>
                <w:szCs w:val="22"/>
                <w14:ligatures w14:val="none"/>
              </w:rPr>
              <w:t>Action Plan for Carbon Peaking Before 2030 </w:t>
            </w:r>
            <w:r w:rsidRPr="00610296">
              <w:rPr>
                <w:rFonts w:eastAsia="Times New Roman" w:cs="Calibri"/>
                <w:color w:val="000000" w:themeColor="text1"/>
                <w:kern w:val="0"/>
                <w:szCs w:val="22"/>
                <w14:ligatures w14:val="none"/>
              </w:rPr>
              <w:br/>
              <w:t>14th Five-Year Plan on Modern Energy System Planning</w:t>
            </w:r>
            <w:r w:rsidRPr="00610296">
              <w:rPr>
                <w:rFonts w:eastAsia="Times New Roman" w:cs="Calibri"/>
                <w:color w:val="000000" w:themeColor="text1"/>
                <w:kern w:val="0"/>
                <w:szCs w:val="22"/>
                <w14:ligatures w14:val="none"/>
              </w:rPr>
              <w:br/>
              <w:t>The "14th Five-Year Plan" Comprehensive Work Plan for Energy Conservation and Emission Reduction</w:t>
            </w:r>
            <w:r w:rsidRPr="00610296">
              <w:rPr>
                <w:rFonts w:eastAsia="Times New Roman" w:cs="Calibri"/>
                <w:color w:val="000000" w:themeColor="text1"/>
                <w:kern w:val="0"/>
                <w:szCs w:val="22"/>
                <w14:ligatures w14:val="none"/>
              </w:rPr>
              <w:br/>
              <w:t>2024-2025 Energy Conservation and Carbon Reduction Action Plan</w:t>
            </w:r>
          </w:p>
        </w:tc>
        <w:tc>
          <w:tcPr>
            <w:tcW w:w="1418" w:type="dxa"/>
            <w:tcBorders>
              <w:top w:val="nil"/>
              <w:left w:val="nil"/>
              <w:bottom w:val="single" w:sz="4" w:space="0" w:color="auto"/>
              <w:right w:val="single" w:sz="4" w:space="0" w:color="auto"/>
            </w:tcBorders>
            <w:shd w:val="clear" w:color="auto" w:fill="auto"/>
            <w:vAlign w:val="center"/>
            <w:hideMark/>
          </w:tcPr>
          <w:p w14:paraId="63831853"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CPC Central Committee State council </w:t>
            </w:r>
          </w:p>
        </w:tc>
        <w:tc>
          <w:tcPr>
            <w:tcW w:w="1984" w:type="dxa"/>
            <w:tcBorders>
              <w:top w:val="nil"/>
              <w:left w:val="nil"/>
              <w:bottom w:val="single" w:sz="4" w:space="0" w:color="auto"/>
              <w:right w:val="single" w:sz="4" w:space="0" w:color="auto"/>
            </w:tcBorders>
            <w:shd w:val="clear" w:color="auto" w:fill="auto"/>
            <w:vAlign w:val="center"/>
            <w:hideMark/>
          </w:tcPr>
          <w:p w14:paraId="37491EFD" w14:textId="45853C82" w:rsidR="00D57345" w:rsidRPr="00610296" w:rsidRDefault="00673CC6" w:rsidP="0034671A">
            <w:pPr>
              <w:spacing w:after="0" w:line="240" w:lineRule="auto"/>
              <w:rPr>
                <w:rFonts w:cs="Calibri"/>
                <w:color w:val="000000" w:themeColor="text1"/>
                <w:kern w:val="0"/>
                <w:szCs w:val="22"/>
                <w14:ligatures w14:val="none"/>
              </w:rPr>
            </w:pPr>
            <w:r w:rsidRPr="00673CC6">
              <w:rPr>
                <w:rFonts w:eastAsia="Times New Roman" w:cs="Calibri"/>
                <w:color w:val="000000" w:themeColor="text1"/>
                <w:kern w:val="0"/>
                <w:szCs w:val="22"/>
                <w14:ligatures w14:val="none"/>
              </w:rPr>
              <w:t>By 2023, the share of non-fossil fuels in primary energy consumption had increased to 17.5%, according to the mid-term evaluation report of the National Development and Reform Commission (15.3%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B36ACE6"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46.81%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B93B6FD"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7CDFF407"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6A1B4DE"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0.73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4A47A18" w14:textId="77777777" w:rsidR="00D57345" w:rsidRPr="00610296" w:rsidRDefault="00D57345" w:rsidP="0034671A">
            <w:pPr>
              <w:spacing w:after="0" w:line="240" w:lineRule="auto"/>
              <w:jc w:val="center"/>
              <w:rPr>
                <w:rFonts w:cs="Calibri"/>
                <w:b/>
                <w:bCs/>
                <w:color w:val="000000" w:themeColor="text1"/>
                <w:kern w:val="0"/>
                <w:szCs w:val="22"/>
                <w14:ligatures w14:val="none"/>
              </w:rPr>
            </w:pPr>
            <w:r w:rsidRPr="00610296">
              <w:rPr>
                <w:rFonts w:cs="Calibri"/>
                <w:b/>
                <w:bCs/>
                <w:color w:val="000000"/>
                <w:szCs w:val="22"/>
              </w:rPr>
              <w:t>MEDIUM</w:t>
            </w:r>
          </w:p>
        </w:tc>
      </w:tr>
      <w:tr w:rsidR="00D57345" w:rsidRPr="00610296" w14:paraId="0841CCD8" w14:textId="77777777" w:rsidTr="0034671A">
        <w:trPr>
          <w:trHeight w:val="1440"/>
        </w:trPr>
        <w:tc>
          <w:tcPr>
            <w:tcW w:w="750" w:type="dxa"/>
            <w:tcBorders>
              <w:top w:val="nil"/>
              <w:left w:val="single" w:sz="4" w:space="0" w:color="auto"/>
              <w:bottom w:val="single" w:sz="4" w:space="0" w:color="auto"/>
              <w:right w:val="single" w:sz="4" w:space="0" w:color="auto"/>
            </w:tcBorders>
            <w:shd w:val="clear" w:color="auto" w:fill="auto"/>
            <w:noWrap/>
            <w:hideMark/>
          </w:tcPr>
          <w:p w14:paraId="6CC9F669"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1AFF1913" w14:textId="2E9A9BAA" w:rsidR="00D57345" w:rsidRPr="00610296" w:rsidRDefault="00F7567B"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E</w:t>
            </w:r>
            <w:r w:rsidRPr="00F7567B">
              <w:rPr>
                <w:rFonts w:eastAsia="Times New Roman" w:cs="Calibri"/>
                <w:color w:val="000000" w:themeColor="text1"/>
                <w:kern w:val="0"/>
                <w:szCs w:val="22"/>
                <w14:ligatures w14:val="none"/>
              </w:rPr>
              <w:t>lectricity will account for about 30% of end-use energy consumption.</w:t>
            </w:r>
          </w:p>
        </w:tc>
        <w:tc>
          <w:tcPr>
            <w:tcW w:w="1134" w:type="dxa"/>
            <w:tcBorders>
              <w:top w:val="nil"/>
              <w:left w:val="nil"/>
              <w:bottom w:val="single" w:sz="4" w:space="0" w:color="auto"/>
              <w:right w:val="single" w:sz="4" w:space="0" w:color="auto"/>
            </w:tcBorders>
            <w:shd w:val="clear" w:color="auto" w:fill="auto"/>
            <w:noWrap/>
            <w:vAlign w:val="center"/>
            <w:hideMark/>
          </w:tcPr>
          <w:p w14:paraId="4771BC5A"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7153A95A"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on Modern Energy System Planning</w:t>
            </w:r>
          </w:p>
        </w:tc>
        <w:tc>
          <w:tcPr>
            <w:tcW w:w="1418" w:type="dxa"/>
            <w:tcBorders>
              <w:top w:val="nil"/>
              <w:left w:val="nil"/>
              <w:bottom w:val="single" w:sz="4" w:space="0" w:color="auto"/>
              <w:right w:val="single" w:sz="4" w:space="0" w:color="auto"/>
            </w:tcBorders>
            <w:shd w:val="clear" w:color="auto" w:fill="auto"/>
            <w:vAlign w:val="center"/>
            <w:hideMark/>
          </w:tcPr>
          <w:p w14:paraId="3194C7AD"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 NEA</w:t>
            </w:r>
          </w:p>
        </w:tc>
        <w:tc>
          <w:tcPr>
            <w:tcW w:w="1984" w:type="dxa"/>
            <w:tcBorders>
              <w:top w:val="nil"/>
              <w:left w:val="nil"/>
              <w:bottom w:val="single" w:sz="4" w:space="0" w:color="auto"/>
              <w:right w:val="single" w:sz="4" w:space="0" w:color="auto"/>
            </w:tcBorders>
            <w:shd w:val="clear" w:color="auto" w:fill="auto"/>
            <w:vAlign w:val="center"/>
            <w:hideMark/>
          </w:tcPr>
          <w:p w14:paraId="33BCF391" w14:textId="0FF4C286" w:rsidR="00D57345" w:rsidRPr="00610296" w:rsidRDefault="009A379F" w:rsidP="0034671A">
            <w:pPr>
              <w:spacing w:after="0" w:line="240" w:lineRule="auto"/>
              <w:rPr>
                <w:rFonts w:cs="Calibri"/>
                <w:color w:val="000000" w:themeColor="text1"/>
                <w:kern w:val="0"/>
                <w:szCs w:val="22"/>
                <w14:ligatures w14:val="none"/>
              </w:rPr>
            </w:pPr>
            <w:r w:rsidRPr="009A379F">
              <w:rPr>
                <w:rFonts w:eastAsia="Times New Roman" w:cs="Calibri"/>
                <w:color w:val="000000" w:themeColor="text1"/>
                <w:kern w:val="0"/>
                <w:szCs w:val="22"/>
                <w14:ligatures w14:val="none"/>
              </w:rPr>
              <w:t>Both the IEA and the Chinese government estimate that around 28% of final energy consumption was electricity by 2023 (27%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2D8D298"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33.33%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3141805"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34EA229A"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53E3CED"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0.57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B40573" w14:textId="77777777" w:rsidR="00D57345" w:rsidRPr="00610296" w:rsidRDefault="00D57345" w:rsidP="0034671A">
            <w:pPr>
              <w:spacing w:after="0" w:line="240" w:lineRule="auto"/>
              <w:jc w:val="center"/>
              <w:rPr>
                <w:rFonts w:cs="Calibri"/>
                <w:b/>
                <w:bCs/>
                <w:color w:val="000000" w:themeColor="text1"/>
                <w:kern w:val="0"/>
                <w:szCs w:val="22"/>
                <w14:ligatures w14:val="none"/>
              </w:rPr>
            </w:pPr>
            <w:r w:rsidRPr="00610296">
              <w:rPr>
                <w:rFonts w:cs="Calibri"/>
                <w:b/>
                <w:bCs/>
                <w:color w:val="000000"/>
                <w:szCs w:val="22"/>
              </w:rPr>
              <w:t>LOW</w:t>
            </w:r>
          </w:p>
        </w:tc>
      </w:tr>
      <w:tr w:rsidR="00D57345" w:rsidRPr="00610296" w14:paraId="33520CB8" w14:textId="77777777" w:rsidTr="0034671A">
        <w:trPr>
          <w:trHeight w:val="3264"/>
        </w:trPr>
        <w:tc>
          <w:tcPr>
            <w:tcW w:w="750" w:type="dxa"/>
            <w:tcBorders>
              <w:top w:val="nil"/>
              <w:left w:val="single" w:sz="4" w:space="0" w:color="auto"/>
              <w:bottom w:val="single" w:sz="4" w:space="0" w:color="auto"/>
              <w:right w:val="single" w:sz="4" w:space="0" w:color="auto"/>
            </w:tcBorders>
            <w:shd w:val="clear" w:color="auto" w:fill="auto"/>
            <w:noWrap/>
            <w:hideMark/>
          </w:tcPr>
          <w:p w14:paraId="5F5C398F"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7018FA8A" w14:textId="38C2FB93" w:rsidR="00D57345" w:rsidRPr="00610296" w:rsidRDefault="009A379F"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T</w:t>
            </w:r>
            <w:r w:rsidRPr="009A379F">
              <w:rPr>
                <w:rFonts w:eastAsia="Times New Roman" w:cs="Calibri"/>
                <w:color w:val="000000" w:themeColor="text1"/>
                <w:kern w:val="0"/>
                <w:szCs w:val="22"/>
                <w14:ligatures w14:val="none"/>
              </w:rPr>
              <w:t>otal renewable energy consumption will reach about 1 billion tons of standard coal (~29,300 PJ).</w:t>
            </w:r>
          </w:p>
        </w:tc>
        <w:tc>
          <w:tcPr>
            <w:tcW w:w="1134" w:type="dxa"/>
            <w:tcBorders>
              <w:top w:val="nil"/>
              <w:left w:val="nil"/>
              <w:bottom w:val="single" w:sz="4" w:space="0" w:color="auto"/>
              <w:right w:val="single" w:sz="4" w:space="0" w:color="auto"/>
            </w:tcBorders>
            <w:shd w:val="clear" w:color="auto" w:fill="auto"/>
            <w:noWrap/>
            <w:vAlign w:val="center"/>
            <w:hideMark/>
          </w:tcPr>
          <w:p w14:paraId="095066F0"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6C89C0C1"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7BB49576"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59D6B8B1" w14:textId="31115317" w:rsidR="00D57345" w:rsidRPr="00610296" w:rsidRDefault="008B4D57" w:rsidP="0034671A">
            <w:pPr>
              <w:spacing w:after="0" w:line="240" w:lineRule="auto"/>
              <w:rPr>
                <w:rFonts w:eastAsia="Times New Roman" w:cs="Calibri"/>
                <w:color w:val="000000" w:themeColor="text1"/>
                <w:kern w:val="0"/>
                <w:szCs w:val="22"/>
                <w14:ligatures w14:val="none"/>
              </w:rPr>
            </w:pPr>
            <w:r w:rsidRPr="008B4D57">
              <w:rPr>
                <w:rFonts w:eastAsia="Times New Roman" w:cs="Calibri"/>
                <w:color w:val="000000" w:themeColor="text1"/>
                <w:kern w:val="0"/>
                <w:szCs w:val="22"/>
                <w14:ligatures w14:val="none"/>
              </w:rPr>
              <w:t>Total renewable energy consumption increased to 0.75 billion tons of standard coal in 2021, from 0.68 billion tons (19,927 PJ) in 2020 (according to government data). By 2023, renewable energy generation had reached 3 trillion kilowatt-hours. Estimating with an average efficiency of 40%, this would require about 27,000 PJ of renewables.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D783CA3"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92.15%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8BB06FE"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2A080695"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0F14079"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0.86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431A3B" w14:textId="77777777" w:rsidR="00D57345" w:rsidRPr="00610296" w:rsidRDefault="00D57345" w:rsidP="0034671A">
            <w:pPr>
              <w:spacing w:after="0" w:line="240" w:lineRule="auto"/>
              <w:jc w:val="center"/>
              <w:rPr>
                <w:rFonts w:cs="Calibri"/>
                <w:b/>
                <w:bCs/>
                <w:color w:val="000000" w:themeColor="text1"/>
                <w:kern w:val="0"/>
                <w:szCs w:val="22"/>
                <w14:ligatures w14:val="none"/>
              </w:rPr>
            </w:pPr>
            <w:r w:rsidRPr="00610296">
              <w:rPr>
                <w:rFonts w:cs="Calibri"/>
                <w:b/>
                <w:bCs/>
                <w:color w:val="000000"/>
                <w:szCs w:val="22"/>
              </w:rPr>
              <w:t>HIGH</w:t>
            </w:r>
          </w:p>
        </w:tc>
      </w:tr>
      <w:tr w:rsidR="00D57345" w:rsidRPr="00610296" w14:paraId="7C6DE7A1" w14:textId="77777777" w:rsidTr="0034671A">
        <w:trPr>
          <w:trHeight w:val="1692"/>
        </w:trPr>
        <w:tc>
          <w:tcPr>
            <w:tcW w:w="750" w:type="dxa"/>
            <w:tcBorders>
              <w:top w:val="nil"/>
              <w:left w:val="single" w:sz="4" w:space="0" w:color="auto"/>
              <w:bottom w:val="single" w:sz="4" w:space="0" w:color="auto"/>
              <w:right w:val="single" w:sz="4" w:space="0" w:color="auto"/>
            </w:tcBorders>
            <w:shd w:val="clear" w:color="auto" w:fill="auto"/>
            <w:noWrap/>
            <w:hideMark/>
          </w:tcPr>
          <w:p w14:paraId="6DBECD07"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4BCC6BBF" w14:textId="6EA15ED4" w:rsidR="00D57345" w:rsidRPr="00610296" w:rsidRDefault="00F814A9"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T</w:t>
            </w:r>
            <w:r w:rsidRPr="00F814A9">
              <w:rPr>
                <w:rFonts w:eastAsia="Times New Roman" w:cs="Calibri"/>
                <w:color w:val="000000" w:themeColor="text1"/>
                <w:kern w:val="0"/>
                <w:szCs w:val="22"/>
                <w14:ligatures w14:val="none"/>
              </w:rPr>
              <w:t>otal renewable energy consumption will reach about 18% of primary energy consumption.</w:t>
            </w:r>
          </w:p>
        </w:tc>
        <w:tc>
          <w:tcPr>
            <w:tcW w:w="1134" w:type="dxa"/>
            <w:tcBorders>
              <w:top w:val="nil"/>
              <w:left w:val="nil"/>
              <w:bottom w:val="single" w:sz="4" w:space="0" w:color="auto"/>
              <w:right w:val="single" w:sz="4" w:space="0" w:color="auto"/>
            </w:tcBorders>
            <w:shd w:val="clear" w:color="auto" w:fill="auto"/>
            <w:noWrap/>
            <w:vAlign w:val="center"/>
            <w:hideMark/>
          </w:tcPr>
          <w:p w14:paraId="7C4E4EEE"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63370AC7"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51A55A1F"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4F7F2B55" w14:textId="145C2F53" w:rsidR="00D57345" w:rsidRPr="00610296" w:rsidRDefault="0049730C" w:rsidP="0034671A">
            <w:pPr>
              <w:spacing w:after="0" w:line="240" w:lineRule="auto"/>
              <w:rPr>
                <w:rFonts w:cs="Calibri"/>
                <w:color w:val="000000" w:themeColor="text1"/>
                <w:kern w:val="0"/>
                <w:szCs w:val="22"/>
                <w14:ligatures w14:val="none"/>
              </w:rPr>
            </w:pPr>
            <w:r w:rsidRPr="0049730C">
              <w:rPr>
                <w:rFonts w:eastAsia="Times New Roman" w:cs="Calibri"/>
                <w:color w:val="000000" w:themeColor="text1"/>
                <w:kern w:val="0"/>
                <w:szCs w:val="22"/>
                <w14:ligatures w14:val="none"/>
              </w:rPr>
              <w:t>Total renewable energy consumption increased to 17.9% of primary energy consumption in 2023, from 13.6% in 2020 (according to government data).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CAE2E13"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97.73%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12A72B6"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747F617E"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CC1383"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b/>
                <w:bCs/>
                <w:color w:val="000000"/>
                <w:szCs w:val="22"/>
              </w:rPr>
              <w:t>0.89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115626F" w14:textId="77777777" w:rsidR="00D57345" w:rsidRPr="00610296" w:rsidRDefault="00D57345" w:rsidP="0034671A">
            <w:pPr>
              <w:spacing w:after="0" w:line="240" w:lineRule="auto"/>
              <w:jc w:val="center"/>
              <w:rPr>
                <w:rFonts w:eastAsia="Times New Roman" w:cs="Calibri"/>
                <w:b/>
                <w:bCs/>
                <w:color w:val="000000" w:themeColor="text1"/>
                <w:kern w:val="0"/>
                <w:szCs w:val="22"/>
                <w14:ligatures w14:val="none"/>
              </w:rPr>
            </w:pPr>
            <w:r w:rsidRPr="00610296">
              <w:rPr>
                <w:rFonts w:cs="Calibri"/>
                <w:b/>
                <w:bCs/>
                <w:color w:val="000000"/>
                <w:szCs w:val="22"/>
              </w:rPr>
              <w:t>HIGH</w:t>
            </w:r>
          </w:p>
        </w:tc>
      </w:tr>
      <w:tr w:rsidR="00D57345" w:rsidRPr="00610296" w14:paraId="452B4137" w14:textId="77777777" w:rsidTr="0034671A">
        <w:trPr>
          <w:trHeight w:val="1224"/>
        </w:trPr>
        <w:tc>
          <w:tcPr>
            <w:tcW w:w="750" w:type="dxa"/>
            <w:tcBorders>
              <w:top w:val="nil"/>
              <w:left w:val="single" w:sz="4" w:space="0" w:color="auto"/>
              <w:bottom w:val="single" w:sz="4" w:space="0" w:color="auto"/>
              <w:right w:val="single" w:sz="4" w:space="0" w:color="auto"/>
            </w:tcBorders>
            <w:shd w:val="clear" w:color="auto" w:fill="auto"/>
            <w:noWrap/>
            <w:hideMark/>
          </w:tcPr>
          <w:p w14:paraId="1F5C0B3E"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292817D3" w14:textId="6DD9357F" w:rsidR="00D57345" w:rsidRPr="00610296" w:rsidRDefault="0049730C"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R</w:t>
            </w:r>
            <w:r w:rsidRPr="0049730C">
              <w:rPr>
                <w:rFonts w:eastAsia="Times New Roman" w:cs="Calibri"/>
                <w:color w:val="000000" w:themeColor="text1"/>
                <w:kern w:val="0"/>
                <w:szCs w:val="22"/>
                <w14:ligatures w14:val="none"/>
              </w:rPr>
              <w:t>enewable energy will account for more than 50% of the increase in primary energy consumption.</w:t>
            </w:r>
          </w:p>
        </w:tc>
        <w:tc>
          <w:tcPr>
            <w:tcW w:w="1134" w:type="dxa"/>
            <w:tcBorders>
              <w:top w:val="nil"/>
              <w:left w:val="nil"/>
              <w:bottom w:val="single" w:sz="4" w:space="0" w:color="auto"/>
              <w:right w:val="single" w:sz="4" w:space="0" w:color="auto"/>
            </w:tcBorders>
            <w:shd w:val="clear" w:color="auto" w:fill="auto"/>
            <w:noWrap/>
            <w:vAlign w:val="center"/>
            <w:hideMark/>
          </w:tcPr>
          <w:p w14:paraId="0226CC61"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257B46BC"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05555532"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noWrap/>
            <w:vAlign w:val="center"/>
            <w:hideMark/>
          </w:tcPr>
          <w:p w14:paraId="35B220CD" w14:textId="77777777" w:rsidR="00D57345" w:rsidRPr="00610296" w:rsidRDefault="00D57345" w:rsidP="0034671A">
            <w:pPr>
              <w:spacing w:after="0" w:line="240" w:lineRule="auto"/>
              <w:rPr>
                <w:rFonts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No evidence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DA136D0"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CC070F9"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7DBAEF1F"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7748368"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b/>
                <w:bCs/>
                <w:color w:val="000000"/>
                <w:szCs w:val="22"/>
              </w:rPr>
              <w:t>0.65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BE1EC19" w14:textId="77777777" w:rsidR="00D57345" w:rsidRPr="00610296" w:rsidRDefault="00D57345" w:rsidP="0034671A">
            <w:pPr>
              <w:spacing w:after="0" w:line="240" w:lineRule="auto"/>
              <w:jc w:val="center"/>
              <w:rPr>
                <w:rFonts w:cs="Calibri"/>
                <w:b/>
                <w:bCs/>
                <w:color w:val="000000" w:themeColor="text1"/>
                <w:kern w:val="0"/>
                <w:szCs w:val="22"/>
                <w14:ligatures w14:val="none"/>
              </w:rPr>
            </w:pPr>
            <w:r w:rsidRPr="00610296">
              <w:rPr>
                <w:rFonts w:cs="Calibri"/>
                <w:b/>
                <w:bCs/>
                <w:color w:val="000000"/>
                <w:szCs w:val="22"/>
              </w:rPr>
              <w:t>MEDIUM</w:t>
            </w:r>
          </w:p>
        </w:tc>
      </w:tr>
      <w:tr w:rsidR="00D57345" w:rsidRPr="00610296" w14:paraId="06BA6332" w14:textId="77777777" w:rsidTr="0034671A">
        <w:trPr>
          <w:trHeight w:val="2856"/>
        </w:trPr>
        <w:tc>
          <w:tcPr>
            <w:tcW w:w="750" w:type="dxa"/>
            <w:tcBorders>
              <w:top w:val="nil"/>
              <w:left w:val="single" w:sz="4" w:space="0" w:color="auto"/>
              <w:bottom w:val="single" w:sz="4" w:space="0" w:color="auto"/>
              <w:right w:val="single" w:sz="4" w:space="0" w:color="auto"/>
            </w:tcBorders>
            <w:shd w:val="clear" w:color="auto" w:fill="auto"/>
            <w:noWrap/>
            <w:hideMark/>
          </w:tcPr>
          <w:p w14:paraId="2771B56C"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5049ACED" w14:textId="1526AA8A" w:rsidR="00D57345" w:rsidRPr="00610296" w:rsidRDefault="001E4BF5" w:rsidP="0034671A">
            <w:pPr>
              <w:spacing w:after="0" w:line="240" w:lineRule="auto"/>
              <w:rPr>
                <w:rFonts w:eastAsia="Times New Roman" w:cs="Calibri"/>
                <w:color w:val="000000" w:themeColor="text1"/>
                <w:kern w:val="0"/>
                <w:szCs w:val="22"/>
                <w14:ligatures w14:val="none"/>
              </w:rPr>
            </w:pPr>
            <w:r w:rsidRPr="001E4BF5">
              <w:rPr>
                <w:rFonts w:eastAsia="Times New Roman" w:cs="Calibri"/>
                <w:color w:val="000000" w:themeColor="text1"/>
                <w:kern w:val="0"/>
                <w:szCs w:val="22"/>
                <w14:ligatures w14:val="none"/>
              </w:rPr>
              <w:t>The non-electric utilization of renewable energy (including geothermal heating, biomass heating, biomass fuels, and solar thermal utilization) will reach over 60 million tons of standard coal (~1,758 PJ).</w:t>
            </w:r>
          </w:p>
        </w:tc>
        <w:tc>
          <w:tcPr>
            <w:tcW w:w="1134" w:type="dxa"/>
            <w:tcBorders>
              <w:top w:val="nil"/>
              <w:left w:val="nil"/>
              <w:bottom w:val="single" w:sz="4" w:space="0" w:color="auto"/>
              <w:right w:val="single" w:sz="4" w:space="0" w:color="auto"/>
            </w:tcBorders>
            <w:shd w:val="clear" w:color="auto" w:fill="auto"/>
            <w:noWrap/>
            <w:vAlign w:val="center"/>
            <w:hideMark/>
          </w:tcPr>
          <w:p w14:paraId="357BDEE2"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6C225552"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7C302717"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noWrap/>
            <w:vAlign w:val="center"/>
            <w:hideMark/>
          </w:tcPr>
          <w:p w14:paraId="5E58AABE"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No evidence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A9B31F0"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ED781C6"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2C9A94F9"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151DAAA"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b/>
                <w:bCs/>
                <w:color w:val="000000"/>
                <w:szCs w:val="22"/>
              </w:rPr>
              <w:t>0.65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C3E8D29" w14:textId="77777777" w:rsidR="00D57345" w:rsidRPr="00610296" w:rsidRDefault="00D57345" w:rsidP="0034671A">
            <w:pPr>
              <w:spacing w:after="0" w:line="240" w:lineRule="auto"/>
              <w:jc w:val="center"/>
              <w:rPr>
                <w:rFonts w:cs="Calibri"/>
                <w:b/>
                <w:bCs/>
                <w:color w:val="000000" w:themeColor="text1"/>
                <w:kern w:val="0"/>
                <w:szCs w:val="22"/>
                <w14:ligatures w14:val="none"/>
              </w:rPr>
            </w:pPr>
            <w:r w:rsidRPr="00610296">
              <w:rPr>
                <w:rFonts w:cs="Calibri"/>
                <w:b/>
                <w:bCs/>
                <w:color w:val="000000"/>
                <w:szCs w:val="22"/>
              </w:rPr>
              <w:t>MEDIUM</w:t>
            </w:r>
          </w:p>
        </w:tc>
      </w:tr>
      <w:tr w:rsidR="00D57345" w:rsidRPr="00610296" w14:paraId="31453DA4" w14:textId="77777777" w:rsidTr="0034671A">
        <w:trPr>
          <w:trHeight w:val="1632"/>
        </w:trPr>
        <w:tc>
          <w:tcPr>
            <w:tcW w:w="750" w:type="dxa"/>
            <w:tcBorders>
              <w:top w:val="nil"/>
              <w:left w:val="single" w:sz="4" w:space="0" w:color="auto"/>
              <w:bottom w:val="single" w:sz="4" w:space="0" w:color="auto"/>
              <w:right w:val="single" w:sz="4" w:space="0" w:color="auto"/>
            </w:tcBorders>
            <w:shd w:val="clear" w:color="auto" w:fill="auto"/>
            <w:noWrap/>
            <w:hideMark/>
          </w:tcPr>
          <w:p w14:paraId="377C2E09"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31FEE3F1" w14:textId="422419EF" w:rsidR="00D57345" w:rsidRPr="00610296" w:rsidRDefault="001E4BF5"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A</w:t>
            </w:r>
            <w:r w:rsidRPr="001E4BF5">
              <w:rPr>
                <w:rFonts w:eastAsia="Times New Roman" w:cs="Calibri"/>
                <w:color w:val="000000" w:themeColor="text1"/>
                <w:kern w:val="0"/>
                <w:szCs w:val="22"/>
                <w14:ligatures w14:val="none"/>
              </w:rPr>
              <w:t>nnual crude oil production will stabilize at around 200 million tons.</w:t>
            </w:r>
          </w:p>
        </w:tc>
        <w:tc>
          <w:tcPr>
            <w:tcW w:w="1134" w:type="dxa"/>
            <w:tcBorders>
              <w:top w:val="nil"/>
              <w:left w:val="nil"/>
              <w:bottom w:val="single" w:sz="4" w:space="0" w:color="auto"/>
              <w:right w:val="single" w:sz="4" w:space="0" w:color="auto"/>
            </w:tcBorders>
            <w:shd w:val="clear" w:color="auto" w:fill="auto"/>
            <w:noWrap/>
            <w:vAlign w:val="center"/>
            <w:hideMark/>
          </w:tcPr>
          <w:p w14:paraId="1A7B51C5"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Upstream</w:t>
            </w:r>
          </w:p>
        </w:tc>
        <w:tc>
          <w:tcPr>
            <w:tcW w:w="2268" w:type="dxa"/>
            <w:tcBorders>
              <w:top w:val="nil"/>
              <w:left w:val="nil"/>
              <w:bottom w:val="single" w:sz="4" w:space="0" w:color="auto"/>
              <w:right w:val="single" w:sz="4" w:space="0" w:color="auto"/>
            </w:tcBorders>
            <w:shd w:val="clear" w:color="auto" w:fill="auto"/>
            <w:vAlign w:val="center"/>
            <w:hideMark/>
          </w:tcPr>
          <w:p w14:paraId="07FCB568"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on Modern Energy System Planning</w:t>
            </w:r>
            <w:r w:rsidRPr="00610296">
              <w:rPr>
                <w:rFonts w:eastAsia="Times New Roman" w:cs="Calibri"/>
                <w:color w:val="000000" w:themeColor="text1"/>
                <w:kern w:val="0"/>
                <w:szCs w:val="22"/>
                <w14:ligatures w14:val="none"/>
              </w:rPr>
              <w:br/>
              <w:t>Seven-Year Exploration and Production Increase Action Plans</w:t>
            </w:r>
          </w:p>
        </w:tc>
        <w:tc>
          <w:tcPr>
            <w:tcW w:w="1418" w:type="dxa"/>
            <w:tcBorders>
              <w:top w:val="nil"/>
              <w:left w:val="nil"/>
              <w:bottom w:val="single" w:sz="4" w:space="0" w:color="auto"/>
              <w:right w:val="single" w:sz="4" w:space="0" w:color="auto"/>
            </w:tcBorders>
            <w:shd w:val="clear" w:color="auto" w:fill="auto"/>
            <w:vAlign w:val="center"/>
            <w:hideMark/>
          </w:tcPr>
          <w:p w14:paraId="04C80B29"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0960D61A" w14:textId="0427DE22" w:rsidR="00D57345" w:rsidRPr="00610296" w:rsidRDefault="00631916" w:rsidP="0034671A">
            <w:pPr>
              <w:spacing w:after="0" w:line="240" w:lineRule="auto"/>
              <w:rPr>
                <w:rFonts w:eastAsia="Times New Roman" w:cs="Calibri"/>
                <w:color w:val="000000" w:themeColor="text1"/>
                <w:kern w:val="0"/>
                <w:szCs w:val="22"/>
                <w14:ligatures w14:val="none"/>
              </w:rPr>
            </w:pPr>
            <w:r w:rsidRPr="00631916">
              <w:rPr>
                <w:rFonts w:eastAsia="Times New Roman" w:cs="Calibri"/>
                <w:color w:val="000000" w:themeColor="text1"/>
                <w:kern w:val="0"/>
                <w:szCs w:val="22"/>
                <w14:ligatures w14:val="none"/>
              </w:rPr>
              <w:t>In 2023, 208.91 million tons of crude oil were produced, according to the NBSC.</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3024B61"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104.00%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A12C152"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6C8F5502"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1BD0EFC"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b/>
                <w:bCs/>
                <w:color w:val="000000"/>
                <w:szCs w:val="22"/>
              </w:rPr>
              <w:t>0.92</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CF4AAB1" w14:textId="77777777" w:rsidR="00D57345" w:rsidRPr="00610296" w:rsidRDefault="00D57345" w:rsidP="0034671A">
            <w:pPr>
              <w:spacing w:after="0" w:line="240" w:lineRule="auto"/>
              <w:rPr>
                <w:rFonts w:cs="Calibri"/>
                <w:b/>
                <w:bCs/>
                <w:color w:val="000000" w:themeColor="text1"/>
                <w:kern w:val="0"/>
                <w:szCs w:val="22"/>
                <w14:ligatures w14:val="none"/>
              </w:rPr>
            </w:pPr>
            <w:r w:rsidRPr="00610296">
              <w:rPr>
                <w:rFonts w:cs="Calibri"/>
                <w:b/>
                <w:bCs/>
                <w:color w:val="000000"/>
                <w:szCs w:val="22"/>
              </w:rPr>
              <w:t xml:space="preserve">    ACHIEVED</w:t>
            </w:r>
          </w:p>
        </w:tc>
      </w:tr>
      <w:tr w:rsidR="00D57345" w:rsidRPr="00610296" w14:paraId="70A9BE58" w14:textId="77777777" w:rsidTr="0034671A">
        <w:trPr>
          <w:trHeight w:val="1632"/>
        </w:trPr>
        <w:tc>
          <w:tcPr>
            <w:tcW w:w="750" w:type="dxa"/>
            <w:tcBorders>
              <w:top w:val="nil"/>
              <w:left w:val="single" w:sz="4" w:space="0" w:color="auto"/>
              <w:bottom w:val="single" w:sz="4" w:space="0" w:color="auto"/>
              <w:right w:val="single" w:sz="4" w:space="0" w:color="auto"/>
            </w:tcBorders>
            <w:shd w:val="clear" w:color="auto" w:fill="auto"/>
            <w:noWrap/>
            <w:hideMark/>
          </w:tcPr>
          <w:p w14:paraId="485A814A"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531EBD03" w14:textId="5ECAE091" w:rsidR="00D57345" w:rsidRPr="00610296" w:rsidRDefault="00631916"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A</w:t>
            </w:r>
            <w:r w:rsidRPr="00631916">
              <w:rPr>
                <w:rFonts w:eastAsia="Times New Roman" w:cs="Calibri"/>
                <w:color w:val="000000" w:themeColor="text1"/>
                <w:kern w:val="0"/>
                <w:szCs w:val="22"/>
                <w14:ligatures w14:val="none"/>
              </w:rPr>
              <w:t>nnual natural gas production will exceed 230 billion cubic meters.</w:t>
            </w:r>
          </w:p>
        </w:tc>
        <w:tc>
          <w:tcPr>
            <w:tcW w:w="1134" w:type="dxa"/>
            <w:tcBorders>
              <w:top w:val="nil"/>
              <w:left w:val="nil"/>
              <w:bottom w:val="single" w:sz="4" w:space="0" w:color="auto"/>
              <w:right w:val="single" w:sz="4" w:space="0" w:color="auto"/>
            </w:tcBorders>
            <w:shd w:val="clear" w:color="auto" w:fill="auto"/>
            <w:noWrap/>
            <w:vAlign w:val="center"/>
            <w:hideMark/>
          </w:tcPr>
          <w:p w14:paraId="5D4600B8"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Upstream</w:t>
            </w:r>
          </w:p>
        </w:tc>
        <w:tc>
          <w:tcPr>
            <w:tcW w:w="2268" w:type="dxa"/>
            <w:tcBorders>
              <w:top w:val="nil"/>
              <w:left w:val="nil"/>
              <w:bottom w:val="single" w:sz="4" w:space="0" w:color="auto"/>
              <w:right w:val="single" w:sz="4" w:space="0" w:color="auto"/>
            </w:tcBorders>
            <w:shd w:val="clear" w:color="auto" w:fill="auto"/>
            <w:vAlign w:val="center"/>
            <w:hideMark/>
          </w:tcPr>
          <w:p w14:paraId="61966A82"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on Modern Energy System Planning</w:t>
            </w:r>
            <w:r w:rsidRPr="00610296">
              <w:rPr>
                <w:rFonts w:eastAsia="Times New Roman" w:cs="Calibri"/>
                <w:color w:val="000000" w:themeColor="text1"/>
                <w:kern w:val="0"/>
                <w:szCs w:val="22"/>
                <w14:ligatures w14:val="none"/>
              </w:rPr>
              <w:br/>
              <w:t>Seven-Year Exploration and Production Increase Action Plans</w:t>
            </w:r>
          </w:p>
        </w:tc>
        <w:tc>
          <w:tcPr>
            <w:tcW w:w="1418" w:type="dxa"/>
            <w:tcBorders>
              <w:top w:val="nil"/>
              <w:left w:val="nil"/>
              <w:bottom w:val="single" w:sz="4" w:space="0" w:color="auto"/>
              <w:right w:val="single" w:sz="4" w:space="0" w:color="auto"/>
            </w:tcBorders>
            <w:shd w:val="clear" w:color="auto" w:fill="auto"/>
            <w:vAlign w:val="center"/>
            <w:hideMark/>
          </w:tcPr>
          <w:p w14:paraId="6280EAFF"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06C41673" w14:textId="1530C826" w:rsidR="00D57345" w:rsidRPr="00D030FD" w:rsidRDefault="00D57345" w:rsidP="0034671A">
            <w:pPr>
              <w:spacing w:after="0" w:line="240" w:lineRule="auto"/>
              <w:rPr>
                <w:rFonts w:eastAsia="Times New Roman" w:cs="Calibri"/>
                <w:color w:val="000000" w:themeColor="text1"/>
                <w:kern w:val="0"/>
                <w:szCs w:val="22"/>
                <w14:ligatures w14:val="none"/>
              </w:rPr>
            </w:pPr>
            <w:r w:rsidRPr="00D030FD">
              <w:rPr>
                <w:rFonts w:eastAsia="Times New Roman" w:cs="Calibri"/>
                <w:color w:val="000000" w:themeColor="text1"/>
                <w:kern w:val="0"/>
                <w:szCs w:val="22"/>
                <w14:ligatures w14:val="none"/>
              </w:rPr>
              <w:t xml:space="preserve">In 2023, </w:t>
            </w:r>
            <w:r w:rsidR="00D030FD" w:rsidRPr="00D030FD">
              <w:rPr>
                <w:rFonts w:eastAsia="Times New Roman" w:cs="Calibri"/>
                <w:color w:val="000000" w:themeColor="text1"/>
                <w:kern w:val="0"/>
                <w:szCs w:val="22"/>
                <w14:ligatures w14:val="none"/>
              </w:rPr>
              <w:t>232 billion cubic meters (</w:t>
            </w:r>
            <w:proofErr w:type="spellStart"/>
            <w:r w:rsidR="00D030FD" w:rsidRPr="00D030FD">
              <w:rPr>
                <w:rFonts w:eastAsia="Times New Roman" w:cs="Calibri"/>
                <w:color w:val="000000" w:themeColor="text1"/>
                <w:kern w:val="0"/>
                <w:szCs w:val="22"/>
                <w14:ligatures w14:val="none"/>
              </w:rPr>
              <w:t>bcm</w:t>
            </w:r>
            <w:proofErr w:type="spellEnd"/>
            <w:r w:rsidR="00D030FD" w:rsidRPr="00D030FD">
              <w:rPr>
                <w:rFonts w:eastAsia="Times New Roman" w:cs="Calibri"/>
                <w:color w:val="000000" w:themeColor="text1"/>
                <w:kern w:val="0"/>
                <w:szCs w:val="22"/>
                <w14:ligatures w14:val="none"/>
              </w:rPr>
              <w:t>) of gas were produced domestically, according to the NBSC.</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B9DFD24"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101%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7050CDE"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47CB82BB"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56310DB"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0.90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48A81FE" w14:textId="77777777" w:rsidR="00D57345" w:rsidRPr="00610296" w:rsidRDefault="00D57345" w:rsidP="0034671A">
            <w:pPr>
              <w:spacing w:after="0" w:line="240" w:lineRule="auto"/>
              <w:rPr>
                <w:rFonts w:cs="Calibri"/>
                <w:b/>
                <w:bCs/>
                <w:color w:val="000000" w:themeColor="text1"/>
                <w:kern w:val="0"/>
                <w:szCs w:val="22"/>
                <w14:ligatures w14:val="none"/>
              </w:rPr>
            </w:pPr>
            <w:r w:rsidRPr="00610296">
              <w:rPr>
                <w:rFonts w:cs="Calibri"/>
                <w:b/>
                <w:bCs/>
                <w:color w:val="000000"/>
                <w:szCs w:val="22"/>
              </w:rPr>
              <w:t>ACHIEVED</w:t>
            </w:r>
          </w:p>
        </w:tc>
      </w:tr>
      <w:tr w:rsidR="00D57345" w:rsidRPr="00610296" w14:paraId="1388D993" w14:textId="77777777" w:rsidTr="0034671A">
        <w:trPr>
          <w:trHeight w:val="3060"/>
        </w:trPr>
        <w:tc>
          <w:tcPr>
            <w:tcW w:w="750" w:type="dxa"/>
            <w:tcBorders>
              <w:top w:val="nil"/>
              <w:left w:val="single" w:sz="4" w:space="0" w:color="auto"/>
              <w:bottom w:val="single" w:sz="4" w:space="0" w:color="auto"/>
              <w:right w:val="single" w:sz="4" w:space="0" w:color="auto"/>
            </w:tcBorders>
            <w:shd w:val="clear" w:color="auto" w:fill="auto"/>
            <w:noWrap/>
            <w:hideMark/>
          </w:tcPr>
          <w:p w14:paraId="3AF82457"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5C96E682" w14:textId="2112CC29" w:rsidR="00D57345" w:rsidRPr="00610296" w:rsidRDefault="00D030FD" w:rsidP="0034671A">
            <w:pPr>
              <w:spacing w:after="0" w:line="240" w:lineRule="auto"/>
              <w:rPr>
                <w:rFonts w:eastAsia="Times New Roman" w:cs="Calibri"/>
                <w:color w:val="000000" w:themeColor="text1"/>
                <w:kern w:val="0"/>
                <w:szCs w:val="22"/>
                <w14:ligatures w14:val="none"/>
              </w:rPr>
            </w:pPr>
            <w:r w:rsidRPr="00D030FD">
              <w:rPr>
                <w:rFonts w:eastAsia="Times New Roman" w:cs="Calibri"/>
                <w:color w:val="000000" w:themeColor="text1"/>
                <w:kern w:val="0"/>
                <w:szCs w:val="22"/>
                <w14:ligatures w14:val="none"/>
              </w:rPr>
              <w:t>100,000 to 200,000 tons of hydrogen will be produced from renewable energy annually.</w:t>
            </w:r>
          </w:p>
        </w:tc>
        <w:tc>
          <w:tcPr>
            <w:tcW w:w="1134" w:type="dxa"/>
            <w:tcBorders>
              <w:top w:val="nil"/>
              <w:left w:val="nil"/>
              <w:bottom w:val="single" w:sz="4" w:space="0" w:color="auto"/>
              <w:right w:val="single" w:sz="4" w:space="0" w:color="auto"/>
            </w:tcBorders>
            <w:shd w:val="clear" w:color="auto" w:fill="auto"/>
            <w:noWrap/>
            <w:vAlign w:val="center"/>
            <w:hideMark/>
          </w:tcPr>
          <w:p w14:paraId="2415FF51"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Upstream</w:t>
            </w:r>
          </w:p>
        </w:tc>
        <w:tc>
          <w:tcPr>
            <w:tcW w:w="2268" w:type="dxa"/>
            <w:tcBorders>
              <w:top w:val="nil"/>
              <w:left w:val="nil"/>
              <w:bottom w:val="single" w:sz="4" w:space="0" w:color="auto"/>
              <w:right w:val="single" w:sz="4" w:space="0" w:color="auto"/>
            </w:tcBorders>
            <w:shd w:val="clear" w:color="auto" w:fill="auto"/>
            <w:vAlign w:val="center"/>
            <w:hideMark/>
          </w:tcPr>
          <w:p w14:paraId="7AF08417"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Medium- and long-term plan for the development of the hydrogen energy industry (2021-2035)</w:t>
            </w:r>
          </w:p>
        </w:tc>
        <w:tc>
          <w:tcPr>
            <w:tcW w:w="1418" w:type="dxa"/>
            <w:tcBorders>
              <w:top w:val="nil"/>
              <w:left w:val="nil"/>
              <w:bottom w:val="single" w:sz="4" w:space="0" w:color="auto"/>
              <w:right w:val="single" w:sz="4" w:space="0" w:color="auto"/>
            </w:tcBorders>
            <w:shd w:val="clear" w:color="auto" w:fill="auto"/>
            <w:vAlign w:val="center"/>
            <w:hideMark/>
          </w:tcPr>
          <w:p w14:paraId="78085300"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72650F86" w14:textId="51726232" w:rsidR="00D57345" w:rsidRPr="00610296" w:rsidRDefault="00814F88" w:rsidP="0034671A">
            <w:pPr>
              <w:spacing w:after="0" w:line="240" w:lineRule="auto"/>
              <w:rPr>
                <w:rFonts w:eastAsia="Times New Roman" w:cs="Calibri"/>
                <w:color w:val="000000" w:themeColor="text1"/>
                <w:kern w:val="0"/>
                <w:szCs w:val="22"/>
                <w14:ligatures w14:val="none"/>
              </w:rPr>
            </w:pPr>
            <w:r w:rsidRPr="00814F88">
              <w:rPr>
                <w:rFonts w:eastAsia="Times New Roman" w:cs="Calibri"/>
                <w:color w:val="000000" w:themeColor="text1"/>
                <w:kern w:val="0"/>
                <w:szCs w:val="22"/>
                <w14:ligatures w14:val="none"/>
              </w:rPr>
              <w:t>China installed a cumulative 1 GW of electrolyser capacity in 2023. Rystad Energy projected the installation of approximately 2.5 gigawatts (GW) of hydrogen electrolyser capacity by the end of 2024. This capacity is expected to produce 220,000 tonnes per annum (</w:t>
            </w:r>
            <w:proofErr w:type="spellStart"/>
            <w:r w:rsidRPr="00814F88">
              <w:rPr>
                <w:rFonts w:eastAsia="Times New Roman" w:cs="Calibri"/>
                <w:color w:val="000000" w:themeColor="text1"/>
                <w:kern w:val="0"/>
                <w:szCs w:val="22"/>
                <w14:ligatures w14:val="none"/>
              </w:rPr>
              <w:t>tpa</w:t>
            </w:r>
            <w:proofErr w:type="spellEnd"/>
            <w:r w:rsidRPr="00814F88">
              <w:rPr>
                <w:rFonts w:eastAsia="Times New Roman" w:cs="Calibri"/>
                <w:color w:val="000000" w:themeColor="text1"/>
                <w:kern w:val="0"/>
                <w:szCs w:val="22"/>
                <w14:ligatures w14:val="none"/>
              </w:rPr>
              <w:t>) of green hydrogen.</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A117082"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color w:val="000000"/>
                <w:szCs w:val="22"/>
              </w:rPr>
              <w:t>110.00%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A15E332"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34B9E94E"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381DCA"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DBC107" w14:textId="77777777" w:rsidR="00D57345" w:rsidRPr="00610296" w:rsidRDefault="00D57345" w:rsidP="0034671A">
            <w:pPr>
              <w:spacing w:after="0" w:line="240" w:lineRule="auto"/>
              <w:rPr>
                <w:rFonts w:eastAsia="Times New Roman" w:cs="Calibri"/>
                <w:b/>
                <w:bCs/>
                <w:color w:val="000000" w:themeColor="text1"/>
                <w:kern w:val="0"/>
                <w:szCs w:val="22"/>
                <w14:ligatures w14:val="none"/>
              </w:rPr>
            </w:pPr>
            <w:r w:rsidRPr="00610296">
              <w:rPr>
                <w:rFonts w:cs="Calibri"/>
                <w:b/>
                <w:bCs/>
                <w:color w:val="000000"/>
                <w:szCs w:val="22"/>
              </w:rPr>
              <w:t>ACHIEVED</w:t>
            </w:r>
          </w:p>
        </w:tc>
      </w:tr>
      <w:tr w:rsidR="00D57345" w:rsidRPr="00610296" w14:paraId="75254938" w14:textId="77777777" w:rsidTr="0034671A">
        <w:trPr>
          <w:trHeight w:val="2880"/>
        </w:trPr>
        <w:tc>
          <w:tcPr>
            <w:tcW w:w="750" w:type="dxa"/>
            <w:tcBorders>
              <w:top w:val="nil"/>
              <w:left w:val="single" w:sz="4" w:space="0" w:color="auto"/>
              <w:bottom w:val="single" w:sz="4" w:space="0" w:color="auto"/>
              <w:right w:val="single" w:sz="4" w:space="0" w:color="auto"/>
            </w:tcBorders>
            <w:shd w:val="clear" w:color="auto" w:fill="auto"/>
            <w:noWrap/>
            <w:hideMark/>
          </w:tcPr>
          <w:p w14:paraId="040FA071"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668ABFD4" w14:textId="763BA10A" w:rsidR="00D57345" w:rsidRPr="00610296" w:rsidRDefault="00E1053A"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T</w:t>
            </w:r>
            <w:r w:rsidRPr="00E1053A">
              <w:rPr>
                <w:rFonts w:eastAsia="Times New Roman" w:cs="Calibri"/>
                <w:color w:val="000000" w:themeColor="text1"/>
                <w:kern w:val="0"/>
                <w:szCs w:val="22"/>
                <w14:ligatures w14:val="none"/>
              </w:rPr>
              <w:t>otal installed power generation capacity will reach approximately 3,000 gigawatts (GW).</w:t>
            </w:r>
          </w:p>
        </w:tc>
        <w:tc>
          <w:tcPr>
            <w:tcW w:w="1134" w:type="dxa"/>
            <w:tcBorders>
              <w:top w:val="nil"/>
              <w:left w:val="nil"/>
              <w:bottom w:val="single" w:sz="4" w:space="0" w:color="auto"/>
              <w:right w:val="single" w:sz="4" w:space="0" w:color="auto"/>
            </w:tcBorders>
            <w:shd w:val="clear" w:color="auto" w:fill="auto"/>
            <w:noWrap/>
            <w:vAlign w:val="center"/>
            <w:hideMark/>
          </w:tcPr>
          <w:p w14:paraId="73EE0B5E"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Power sector </w:t>
            </w:r>
          </w:p>
        </w:tc>
        <w:tc>
          <w:tcPr>
            <w:tcW w:w="2268" w:type="dxa"/>
            <w:tcBorders>
              <w:top w:val="nil"/>
              <w:left w:val="nil"/>
              <w:bottom w:val="single" w:sz="4" w:space="0" w:color="auto"/>
              <w:right w:val="single" w:sz="4" w:space="0" w:color="auto"/>
            </w:tcBorders>
            <w:shd w:val="clear" w:color="auto" w:fill="auto"/>
            <w:vAlign w:val="center"/>
            <w:hideMark/>
          </w:tcPr>
          <w:p w14:paraId="0E370FCF"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on Modern Energy System Planning</w:t>
            </w:r>
          </w:p>
        </w:tc>
        <w:tc>
          <w:tcPr>
            <w:tcW w:w="1418" w:type="dxa"/>
            <w:tcBorders>
              <w:top w:val="nil"/>
              <w:left w:val="nil"/>
              <w:bottom w:val="single" w:sz="4" w:space="0" w:color="auto"/>
              <w:right w:val="single" w:sz="4" w:space="0" w:color="auto"/>
            </w:tcBorders>
            <w:shd w:val="clear" w:color="auto" w:fill="auto"/>
            <w:vAlign w:val="center"/>
            <w:hideMark/>
          </w:tcPr>
          <w:p w14:paraId="71663902"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79A6067F" w14:textId="07289B95" w:rsidR="00D57345" w:rsidRPr="00610296" w:rsidRDefault="00E1053A" w:rsidP="0034671A">
            <w:pPr>
              <w:spacing w:after="0" w:line="240" w:lineRule="auto"/>
              <w:rPr>
                <w:rFonts w:cs="Calibri"/>
                <w:color w:val="000000" w:themeColor="text1"/>
                <w:kern w:val="0"/>
                <w:szCs w:val="22"/>
                <w14:ligatures w14:val="none"/>
              </w:rPr>
            </w:pPr>
            <w:r w:rsidRPr="00E1053A">
              <w:rPr>
                <w:rFonts w:eastAsia="Times New Roman" w:cs="Calibri"/>
                <w:color w:val="000000" w:themeColor="text1"/>
                <w:kern w:val="0"/>
                <w:szCs w:val="22"/>
                <w14:ligatures w14:val="none"/>
              </w:rPr>
              <w:t>According to Statista (2024), total installed power generation capacity reached approximately 2,920 gigawatts (GW) by 2023 (2,200 GW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154313E"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90.00%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F20225"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7049318F"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2FF3F46"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0.85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52B31E0" w14:textId="77777777" w:rsidR="00D57345" w:rsidRPr="00610296" w:rsidRDefault="00D57345" w:rsidP="0034671A">
            <w:pPr>
              <w:spacing w:after="0" w:line="240" w:lineRule="auto"/>
              <w:rPr>
                <w:rFonts w:eastAsia="Times New Roman" w:cs="Calibri"/>
                <w:b/>
                <w:bCs/>
                <w:color w:val="000000" w:themeColor="text1"/>
                <w:kern w:val="0"/>
                <w:szCs w:val="22"/>
                <w14:ligatures w14:val="none"/>
              </w:rPr>
            </w:pPr>
            <w:r w:rsidRPr="00610296">
              <w:rPr>
                <w:rFonts w:cs="Calibri"/>
                <w:b/>
                <w:bCs/>
                <w:color w:val="000000"/>
                <w:szCs w:val="22"/>
              </w:rPr>
              <w:t>HIGH</w:t>
            </w:r>
          </w:p>
        </w:tc>
      </w:tr>
      <w:tr w:rsidR="00D57345" w:rsidRPr="00610296" w14:paraId="229A3EC4" w14:textId="77777777" w:rsidTr="0034671A">
        <w:trPr>
          <w:trHeight w:val="1428"/>
        </w:trPr>
        <w:tc>
          <w:tcPr>
            <w:tcW w:w="750" w:type="dxa"/>
            <w:tcBorders>
              <w:top w:val="nil"/>
              <w:left w:val="single" w:sz="4" w:space="0" w:color="auto"/>
              <w:bottom w:val="single" w:sz="4" w:space="0" w:color="auto"/>
              <w:right w:val="single" w:sz="4" w:space="0" w:color="auto"/>
            </w:tcBorders>
            <w:shd w:val="clear" w:color="auto" w:fill="auto"/>
            <w:noWrap/>
            <w:hideMark/>
          </w:tcPr>
          <w:p w14:paraId="3276EA4C"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17073051" w14:textId="5DC5AC99" w:rsidR="00D57345" w:rsidRPr="00610296" w:rsidRDefault="00AF636A"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T</w:t>
            </w:r>
            <w:r w:rsidRPr="00AF636A">
              <w:rPr>
                <w:rFonts w:eastAsia="Times New Roman" w:cs="Calibri"/>
                <w:color w:val="000000" w:themeColor="text1"/>
                <w:kern w:val="0"/>
                <w:szCs w:val="22"/>
                <w14:ligatures w14:val="none"/>
              </w:rPr>
              <w:t>he proportion of non-fossil energy in power generation will reach about 39%.</w:t>
            </w:r>
          </w:p>
        </w:tc>
        <w:tc>
          <w:tcPr>
            <w:tcW w:w="1134" w:type="dxa"/>
            <w:tcBorders>
              <w:top w:val="nil"/>
              <w:left w:val="nil"/>
              <w:bottom w:val="single" w:sz="4" w:space="0" w:color="auto"/>
              <w:right w:val="single" w:sz="4" w:space="0" w:color="auto"/>
            </w:tcBorders>
            <w:shd w:val="clear" w:color="auto" w:fill="auto"/>
            <w:noWrap/>
            <w:vAlign w:val="center"/>
            <w:hideMark/>
          </w:tcPr>
          <w:p w14:paraId="09D54A94"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Power sector </w:t>
            </w:r>
          </w:p>
        </w:tc>
        <w:tc>
          <w:tcPr>
            <w:tcW w:w="2268" w:type="dxa"/>
            <w:tcBorders>
              <w:top w:val="nil"/>
              <w:left w:val="nil"/>
              <w:bottom w:val="single" w:sz="4" w:space="0" w:color="auto"/>
              <w:right w:val="single" w:sz="4" w:space="0" w:color="auto"/>
            </w:tcBorders>
            <w:shd w:val="clear" w:color="auto" w:fill="auto"/>
            <w:vAlign w:val="center"/>
            <w:hideMark/>
          </w:tcPr>
          <w:p w14:paraId="569AB740"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on Modern Energy System Planning</w:t>
            </w:r>
            <w:r w:rsidRPr="00610296">
              <w:rPr>
                <w:rFonts w:eastAsia="Times New Roman" w:cs="Calibri"/>
                <w:color w:val="000000" w:themeColor="text1"/>
                <w:kern w:val="0"/>
                <w:szCs w:val="22"/>
                <w14:ligatures w14:val="none"/>
              </w:rPr>
              <w:br/>
              <w:t>2024-2025 Energy Conservation and Carbon Reduction Action Plan</w:t>
            </w:r>
          </w:p>
        </w:tc>
        <w:tc>
          <w:tcPr>
            <w:tcW w:w="1418" w:type="dxa"/>
            <w:tcBorders>
              <w:top w:val="nil"/>
              <w:left w:val="nil"/>
              <w:bottom w:val="single" w:sz="4" w:space="0" w:color="auto"/>
              <w:right w:val="single" w:sz="4" w:space="0" w:color="auto"/>
            </w:tcBorders>
            <w:shd w:val="clear" w:color="auto" w:fill="auto"/>
            <w:vAlign w:val="center"/>
            <w:hideMark/>
          </w:tcPr>
          <w:p w14:paraId="087507E4"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0CBC700D" w14:textId="571F2A13" w:rsidR="00D57345" w:rsidRPr="00610296" w:rsidRDefault="004050D9" w:rsidP="0034671A">
            <w:pPr>
              <w:spacing w:after="0" w:line="240" w:lineRule="auto"/>
              <w:rPr>
                <w:rFonts w:eastAsia="Times New Roman" w:cs="Calibri"/>
                <w:color w:val="000000" w:themeColor="text1"/>
                <w:kern w:val="0"/>
                <w:szCs w:val="22"/>
                <w14:ligatures w14:val="none"/>
              </w:rPr>
            </w:pPr>
            <w:r w:rsidRPr="004050D9">
              <w:rPr>
                <w:rFonts w:eastAsia="DengXian" w:cs="Calibri"/>
                <w:szCs w:val="22"/>
              </w:rPr>
              <w:t>In 2023, the non-fossil share of power generation increased to 34.46%, up from 32%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4235B5F"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35.14%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B750B46"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643E6C5F"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9D06096"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0.58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A163FCB" w14:textId="77777777" w:rsidR="00D57345" w:rsidRPr="00610296" w:rsidRDefault="00D57345" w:rsidP="0034671A">
            <w:pPr>
              <w:spacing w:after="0" w:line="240" w:lineRule="auto"/>
              <w:rPr>
                <w:rFonts w:cs="Calibri"/>
                <w:b/>
                <w:bCs/>
                <w:color w:val="000000" w:themeColor="text1"/>
                <w:kern w:val="0"/>
                <w:szCs w:val="22"/>
                <w14:ligatures w14:val="none"/>
              </w:rPr>
            </w:pPr>
            <w:r w:rsidRPr="00610296">
              <w:rPr>
                <w:rFonts w:cs="Calibri"/>
                <w:b/>
                <w:bCs/>
                <w:color w:val="000000"/>
                <w:szCs w:val="22"/>
              </w:rPr>
              <w:t>LOW</w:t>
            </w:r>
          </w:p>
        </w:tc>
      </w:tr>
      <w:tr w:rsidR="00D57345" w:rsidRPr="00610296" w14:paraId="40945680" w14:textId="77777777" w:rsidTr="0034671A">
        <w:trPr>
          <w:trHeight w:val="4800"/>
        </w:trPr>
        <w:tc>
          <w:tcPr>
            <w:tcW w:w="750" w:type="dxa"/>
            <w:tcBorders>
              <w:top w:val="nil"/>
              <w:left w:val="single" w:sz="4" w:space="0" w:color="auto"/>
              <w:bottom w:val="single" w:sz="4" w:space="0" w:color="auto"/>
              <w:right w:val="single" w:sz="4" w:space="0" w:color="auto"/>
            </w:tcBorders>
            <w:shd w:val="clear" w:color="auto" w:fill="auto"/>
            <w:noWrap/>
            <w:hideMark/>
          </w:tcPr>
          <w:p w14:paraId="1266ADE3"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0829984A" w14:textId="6340C139" w:rsidR="00D57345" w:rsidRPr="00610296" w:rsidRDefault="004050D9"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T</w:t>
            </w:r>
            <w:r w:rsidRPr="004050D9">
              <w:rPr>
                <w:rFonts w:eastAsia="Times New Roman" w:cs="Calibri"/>
                <w:color w:val="000000" w:themeColor="text1"/>
                <w:kern w:val="0"/>
                <w:szCs w:val="22"/>
                <w14:ligatures w14:val="none"/>
              </w:rPr>
              <w:t>he operational installed capacity of nuclear power will reach approximately 70 GW.</w:t>
            </w:r>
          </w:p>
        </w:tc>
        <w:tc>
          <w:tcPr>
            <w:tcW w:w="1134" w:type="dxa"/>
            <w:tcBorders>
              <w:top w:val="nil"/>
              <w:left w:val="nil"/>
              <w:bottom w:val="single" w:sz="4" w:space="0" w:color="auto"/>
              <w:right w:val="single" w:sz="4" w:space="0" w:color="auto"/>
            </w:tcBorders>
            <w:shd w:val="clear" w:color="auto" w:fill="auto"/>
            <w:noWrap/>
            <w:vAlign w:val="center"/>
            <w:hideMark/>
          </w:tcPr>
          <w:p w14:paraId="3EC3F28D"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Power sector </w:t>
            </w:r>
          </w:p>
        </w:tc>
        <w:tc>
          <w:tcPr>
            <w:tcW w:w="2268" w:type="dxa"/>
            <w:tcBorders>
              <w:top w:val="nil"/>
              <w:left w:val="nil"/>
              <w:bottom w:val="single" w:sz="4" w:space="0" w:color="auto"/>
              <w:right w:val="single" w:sz="4" w:space="0" w:color="auto"/>
            </w:tcBorders>
            <w:shd w:val="clear" w:color="auto" w:fill="auto"/>
            <w:vAlign w:val="center"/>
            <w:hideMark/>
          </w:tcPr>
          <w:p w14:paraId="7E3CD061"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on Modern Energy System Planning</w:t>
            </w:r>
          </w:p>
        </w:tc>
        <w:tc>
          <w:tcPr>
            <w:tcW w:w="1418" w:type="dxa"/>
            <w:tcBorders>
              <w:top w:val="nil"/>
              <w:left w:val="nil"/>
              <w:bottom w:val="single" w:sz="4" w:space="0" w:color="auto"/>
              <w:right w:val="single" w:sz="4" w:space="0" w:color="auto"/>
            </w:tcBorders>
            <w:shd w:val="clear" w:color="auto" w:fill="auto"/>
            <w:vAlign w:val="center"/>
            <w:hideMark/>
          </w:tcPr>
          <w:p w14:paraId="7E130C2D"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3BC70CC4" w14:textId="6B43015F" w:rsidR="00D57345" w:rsidRPr="00610296" w:rsidRDefault="00F7353A" w:rsidP="0034671A">
            <w:pPr>
              <w:spacing w:after="0" w:line="240" w:lineRule="auto"/>
              <w:rPr>
                <w:rFonts w:cs="Calibri"/>
                <w:color w:val="000000" w:themeColor="text1"/>
                <w:kern w:val="0"/>
                <w:szCs w:val="22"/>
                <w14:ligatures w14:val="none"/>
              </w:rPr>
            </w:pPr>
            <w:r w:rsidRPr="00F7353A">
              <w:rPr>
                <w:rFonts w:eastAsia="Times New Roman" w:cs="Calibri"/>
                <w:color w:val="000000" w:themeColor="text1"/>
                <w:kern w:val="0"/>
                <w:szCs w:val="22"/>
                <w14:ligatures w14:val="none"/>
              </w:rPr>
              <w:t>According to the Chinese government and the EIA, the operational installed capacity of nuclear power had reached approximately 53.2 GW by 2024 (50 GW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E417CC4"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16.00%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15C4293"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1B72ACF0"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9613B1F"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b/>
                <w:bCs/>
                <w:color w:val="000000"/>
                <w:szCs w:val="22"/>
              </w:rPr>
              <w:t>0.48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4225D620" w14:textId="77777777" w:rsidR="00D57345" w:rsidRPr="00610296" w:rsidRDefault="00D57345" w:rsidP="0034671A">
            <w:pPr>
              <w:spacing w:after="0" w:line="240" w:lineRule="auto"/>
              <w:rPr>
                <w:rFonts w:cs="Calibri"/>
                <w:b/>
                <w:bCs/>
                <w:color w:val="000000" w:themeColor="text1"/>
                <w:kern w:val="0"/>
                <w:szCs w:val="22"/>
                <w14:ligatures w14:val="none"/>
              </w:rPr>
            </w:pPr>
            <w:r w:rsidRPr="00610296">
              <w:rPr>
                <w:rFonts w:cs="Calibri"/>
                <w:b/>
                <w:bCs/>
                <w:color w:val="000000"/>
                <w:szCs w:val="22"/>
              </w:rPr>
              <w:t>LOW</w:t>
            </w:r>
          </w:p>
        </w:tc>
      </w:tr>
      <w:tr w:rsidR="00D57345" w:rsidRPr="00610296" w14:paraId="4508743E" w14:textId="77777777" w:rsidTr="0034671A">
        <w:trPr>
          <w:trHeight w:val="1200"/>
        </w:trPr>
        <w:tc>
          <w:tcPr>
            <w:tcW w:w="750" w:type="dxa"/>
            <w:tcBorders>
              <w:top w:val="nil"/>
              <w:left w:val="single" w:sz="4" w:space="0" w:color="auto"/>
              <w:bottom w:val="single" w:sz="4" w:space="0" w:color="auto"/>
              <w:right w:val="single" w:sz="4" w:space="0" w:color="auto"/>
            </w:tcBorders>
            <w:shd w:val="clear" w:color="auto" w:fill="auto"/>
            <w:noWrap/>
            <w:hideMark/>
          </w:tcPr>
          <w:p w14:paraId="15C75447"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1AF8F13A" w14:textId="00B44F69" w:rsidR="00D57345" w:rsidRPr="00610296" w:rsidRDefault="0045445F" w:rsidP="0034671A">
            <w:pPr>
              <w:spacing w:after="0" w:line="240" w:lineRule="auto"/>
              <w:rPr>
                <w:rFonts w:eastAsia="Times New Roman" w:cs="Calibri"/>
                <w:color w:val="000000" w:themeColor="text1"/>
                <w:kern w:val="0"/>
                <w:szCs w:val="22"/>
                <w14:ligatures w14:val="none"/>
              </w:rPr>
            </w:pPr>
            <w:r>
              <w:rPr>
                <w:rFonts w:eastAsia="Times New Roman" w:cs="Calibri"/>
                <w:color w:val="000000" w:themeColor="text1"/>
                <w:kern w:val="0"/>
                <w:szCs w:val="22"/>
                <w14:ligatures w14:val="none"/>
              </w:rPr>
              <w:t>P</w:t>
            </w:r>
            <w:r w:rsidRPr="0045445F">
              <w:rPr>
                <w:rFonts w:eastAsia="Times New Roman" w:cs="Calibri"/>
                <w:color w:val="000000" w:themeColor="text1"/>
                <w:kern w:val="0"/>
                <w:szCs w:val="22"/>
                <w14:ligatures w14:val="none"/>
              </w:rPr>
              <w:t>ower generation from renewable energy will reach approximately 3,300 TWh.</w:t>
            </w:r>
          </w:p>
        </w:tc>
        <w:tc>
          <w:tcPr>
            <w:tcW w:w="1134" w:type="dxa"/>
            <w:tcBorders>
              <w:top w:val="nil"/>
              <w:left w:val="nil"/>
              <w:bottom w:val="single" w:sz="4" w:space="0" w:color="auto"/>
              <w:right w:val="single" w:sz="4" w:space="0" w:color="auto"/>
            </w:tcBorders>
            <w:shd w:val="clear" w:color="auto" w:fill="auto"/>
            <w:noWrap/>
            <w:vAlign w:val="center"/>
            <w:hideMark/>
          </w:tcPr>
          <w:p w14:paraId="5B4AF1D8"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Power sector</w:t>
            </w:r>
          </w:p>
        </w:tc>
        <w:tc>
          <w:tcPr>
            <w:tcW w:w="2268" w:type="dxa"/>
            <w:tcBorders>
              <w:top w:val="nil"/>
              <w:left w:val="nil"/>
              <w:bottom w:val="single" w:sz="4" w:space="0" w:color="auto"/>
              <w:right w:val="single" w:sz="4" w:space="0" w:color="auto"/>
            </w:tcBorders>
            <w:shd w:val="clear" w:color="auto" w:fill="auto"/>
            <w:vAlign w:val="center"/>
            <w:hideMark/>
          </w:tcPr>
          <w:p w14:paraId="652CD903"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048E375D"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5EEE9425" w14:textId="2100EE01" w:rsidR="00D57345" w:rsidRPr="00610296" w:rsidRDefault="00062F25" w:rsidP="0034671A">
            <w:pPr>
              <w:spacing w:after="0" w:line="240" w:lineRule="auto"/>
              <w:rPr>
                <w:rFonts w:cs="Calibri"/>
                <w:color w:val="000000" w:themeColor="text1"/>
                <w:kern w:val="0"/>
                <w:szCs w:val="22"/>
                <w14:ligatures w14:val="none"/>
              </w:rPr>
            </w:pPr>
            <w:r w:rsidRPr="00062F25">
              <w:rPr>
                <w:rFonts w:eastAsia="Times New Roman" w:cs="Calibri"/>
                <w:color w:val="000000" w:themeColor="text1"/>
                <w:kern w:val="0"/>
                <w:szCs w:val="22"/>
                <w14:ligatures w14:val="none"/>
              </w:rPr>
              <w:t>By 2023, power generation from renewable energy had reached approximately 2,894 TWh (2,214 TWh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1B6337A"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62.62%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5E16F3D"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74755F89"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DEFC96"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cs="Calibri"/>
                <w:b/>
                <w:bCs/>
                <w:color w:val="000000"/>
                <w:szCs w:val="22"/>
              </w:rPr>
              <w:t>0.71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68CDD08" w14:textId="77777777" w:rsidR="00D57345" w:rsidRPr="00610296" w:rsidRDefault="00D57345" w:rsidP="0034671A">
            <w:pPr>
              <w:spacing w:after="0" w:line="240" w:lineRule="auto"/>
              <w:rPr>
                <w:rFonts w:cs="Calibri"/>
                <w:b/>
                <w:bCs/>
                <w:color w:val="000000" w:themeColor="text1"/>
                <w:kern w:val="0"/>
                <w:szCs w:val="22"/>
                <w14:ligatures w14:val="none"/>
              </w:rPr>
            </w:pPr>
            <w:r w:rsidRPr="00610296">
              <w:rPr>
                <w:rFonts w:cs="Calibri"/>
                <w:b/>
                <w:bCs/>
                <w:color w:val="000000"/>
                <w:szCs w:val="22"/>
              </w:rPr>
              <w:t>MEDIUM</w:t>
            </w:r>
          </w:p>
        </w:tc>
      </w:tr>
      <w:tr w:rsidR="00D57345" w:rsidRPr="00610296" w14:paraId="468B7F79" w14:textId="77777777" w:rsidTr="0034671A">
        <w:trPr>
          <w:trHeight w:val="2652"/>
        </w:trPr>
        <w:tc>
          <w:tcPr>
            <w:tcW w:w="750" w:type="dxa"/>
            <w:tcBorders>
              <w:top w:val="nil"/>
              <w:left w:val="single" w:sz="4" w:space="0" w:color="auto"/>
              <w:bottom w:val="single" w:sz="4" w:space="0" w:color="auto"/>
              <w:right w:val="single" w:sz="4" w:space="0" w:color="auto"/>
            </w:tcBorders>
            <w:shd w:val="clear" w:color="auto" w:fill="auto"/>
            <w:noWrap/>
            <w:hideMark/>
          </w:tcPr>
          <w:p w14:paraId="70603D6C"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37213C57" w14:textId="2C4C74B8" w:rsidR="00D57345" w:rsidRPr="00062F25" w:rsidRDefault="00062F25" w:rsidP="0034671A">
            <w:pPr>
              <w:spacing w:after="0" w:line="240" w:lineRule="auto"/>
              <w:rPr>
                <w:rFonts w:eastAsia="Times New Roman" w:cs="Calibri"/>
                <w:color w:val="000000" w:themeColor="text1"/>
                <w:kern w:val="0"/>
                <w:szCs w:val="22"/>
                <w14:ligatures w14:val="none"/>
              </w:rPr>
            </w:pPr>
            <w:r w:rsidRPr="00062F25">
              <w:rPr>
                <w:rFonts w:eastAsia="Times New Roman" w:cs="Calibri"/>
                <w:color w:val="000000" w:themeColor="text1"/>
                <w:kern w:val="0"/>
                <w:szCs w:val="22"/>
                <w14:ligatures w14:val="none"/>
              </w:rPr>
              <w:t>33% of electricity will be generated from renewables.</w:t>
            </w:r>
          </w:p>
        </w:tc>
        <w:tc>
          <w:tcPr>
            <w:tcW w:w="1134" w:type="dxa"/>
            <w:tcBorders>
              <w:top w:val="nil"/>
              <w:left w:val="nil"/>
              <w:bottom w:val="single" w:sz="4" w:space="0" w:color="auto"/>
              <w:right w:val="single" w:sz="4" w:space="0" w:color="auto"/>
            </w:tcBorders>
            <w:shd w:val="clear" w:color="auto" w:fill="auto"/>
            <w:noWrap/>
            <w:vAlign w:val="center"/>
            <w:hideMark/>
          </w:tcPr>
          <w:p w14:paraId="1114A2DC"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Power sector </w:t>
            </w:r>
          </w:p>
        </w:tc>
        <w:tc>
          <w:tcPr>
            <w:tcW w:w="2268" w:type="dxa"/>
            <w:tcBorders>
              <w:top w:val="nil"/>
              <w:left w:val="nil"/>
              <w:bottom w:val="single" w:sz="4" w:space="0" w:color="auto"/>
              <w:right w:val="single" w:sz="4" w:space="0" w:color="auto"/>
            </w:tcBorders>
            <w:shd w:val="clear" w:color="auto" w:fill="auto"/>
            <w:vAlign w:val="center"/>
            <w:hideMark/>
          </w:tcPr>
          <w:p w14:paraId="5FB88FD0"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4671F9C0"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1D8716C4" w14:textId="2456C1C0" w:rsidR="00D57345" w:rsidRPr="00610296" w:rsidRDefault="003A228C" w:rsidP="0034671A">
            <w:pPr>
              <w:spacing w:after="0" w:line="240" w:lineRule="auto"/>
              <w:rPr>
                <w:rFonts w:cs="Calibri"/>
                <w:color w:val="000000" w:themeColor="text1"/>
                <w:kern w:val="0"/>
                <w:szCs w:val="22"/>
                <w14:ligatures w14:val="none"/>
              </w:rPr>
            </w:pPr>
            <w:r w:rsidRPr="003A228C">
              <w:rPr>
                <w:rFonts w:eastAsia="Times New Roman" w:cs="Calibri"/>
                <w:color w:val="000000" w:themeColor="text1"/>
                <w:kern w:val="0"/>
                <w:szCs w:val="22"/>
                <w14:ligatures w14:val="none"/>
              </w:rPr>
              <w:t>The NEA's evaluation report showed that renewable electricity consumption totalled 2,444.6 terawatt-hours in 2021, accounting for 29.4% of total electricity consumption. Ember reported that China's renewable energy sources generated 35% of the country's electricity in 2023 (28.8%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28112C6"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147.62%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CBA3144"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5E00B06E"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7D44AD"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1.14</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FC07D15" w14:textId="77777777" w:rsidR="00D57345" w:rsidRPr="00610296" w:rsidRDefault="00D57345" w:rsidP="0034671A">
            <w:pPr>
              <w:spacing w:after="0" w:line="240" w:lineRule="auto"/>
              <w:rPr>
                <w:rFonts w:cs="Calibri"/>
                <w:b/>
                <w:bCs/>
                <w:color w:val="000000" w:themeColor="text1"/>
                <w:kern w:val="0"/>
                <w:szCs w:val="22"/>
                <w14:ligatures w14:val="none"/>
              </w:rPr>
            </w:pPr>
            <w:r w:rsidRPr="00610296">
              <w:rPr>
                <w:rFonts w:cs="Calibri"/>
                <w:b/>
                <w:bCs/>
                <w:color w:val="000000"/>
                <w:szCs w:val="22"/>
              </w:rPr>
              <w:t>ACHIEVED</w:t>
            </w:r>
          </w:p>
        </w:tc>
      </w:tr>
      <w:tr w:rsidR="00D57345" w:rsidRPr="00610296" w14:paraId="04B4AED2" w14:textId="77777777" w:rsidTr="0034671A">
        <w:trPr>
          <w:trHeight w:val="1200"/>
        </w:trPr>
        <w:tc>
          <w:tcPr>
            <w:tcW w:w="750" w:type="dxa"/>
            <w:tcBorders>
              <w:top w:val="nil"/>
              <w:left w:val="single" w:sz="4" w:space="0" w:color="auto"/>
              <w:bottom w:val="single" w:sz="4" w:space="0" w:color="auto"/>
              <w:right w:val="single" w:sz="4" w:space="0" w:color="auto"/>
            </w:tcBorders>
            <w:shd w:val="clear" w:color="auto" w:fill="auto"/>
            <w:noWrap/>
            <w:hideMark/>
          </w:tcPr>
          <w:p w14:paraId="70A60DB6"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2D68E745" w14:textId="34568C13" w:rsidR="00D57345" w:rsidRPr="00D845BA" w:rsidRDefault="00D845BA" w:rsidP="0034671A">
            <w:pPr>
              <w:spacing w:after="0" w:line="240" w:lineRule="auto"/>
              <w:rPr>
                <w:rFonts w:eastAsia="Times New Roman" w:cs="Calibri"/>
                <w:color w:val="000000" w:themeColor="text1"/>
                <w:kern w:val="0"/>
                <w:szCs w:val="22"/>
                <w14:ligatures w14:val="none"/>
              </w:rPr>
            </w:pPr>
            <w:r w:rsidRPr="00D845BA">
              <w:rPr>
                <w:rFonts w:eastAsia="Times New Roman" w:cs="Calibri"/>
                <w:color w:val="000000" w:themeColor="text1"/>
                <w:kern w:val="0"/>
                <w:szCs w:val="22"/>
                <w14:ligatures w14:val="none"/>
              </w:rPr>
              <w:t>18% of electricity will come from non-hydropower renewables.</w:t>
            </w:r>
          </w:p>
        </w:tc>
        <w:tc>
          <w:tcPr>
            <w:tcW w:w="1134" w:type="dxa"/>
            <w:tcBorders>
              <w:top w:val="nil"/>
              <w:left w:val="nil"/>
              <w:bottom w:val="single" w:sz="4" w:space="0" w:color="auto"/>
              <w:right w:val="single" w:sz="4" w:space="0" w:color="auto"/>
            </w:tcBorders>
            <w:shd w:val="clear" w:color="auto" w:fill="auto"/>
            <w:noWrap/>
            <w:vAlign w:val="center"/>
            <w:hideMark/>
          </w:tcPr>
          <w:p w14:paraId="2C7D0820"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 xml:space="preserve">Power sector </w:t>
            </w:r>
          </w:p>
        </w:tc>
        <w:tc>
          <w:tcPr>
            <w:tcW w:w="2268" w:type="dxa"/>
            <w:tcBorders>
              <w:top w:val="nil"/>
              <w:left w:val="nil"/>
              <w:bottom w:val="single" w:sz="4" w:space="0" w:color="auto"/>
              <w:right w:val="single" w:sz="4" w:space="0" w:color="auto"/>
            </w:tcBorders>
            <w:shd w:val="clear" w:color="auto" w:fill="auto"/>
            <w:vAlign w:val="center"/>
            <w:hideMark/>
          </w:tcPr>
          <w:p w14:paraId="53AD8718"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43248AE5"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6BF15199" w14:textId="749B6C2C" w:rsidR="00D57345" w:rsidRPr="00610296" w:rsidRDefault="00DF12B4" w:rsidP="0034671A">
            <w:pPr>
              <w:spacing w:after="0" w:line="240" w:lineRule="auto"/>
              <w:rPr>
                <w:rFonts w:cs="Calibri"/>
                <w:color w:val="000000" w:themeColor="text1"/>
                <w:kern w:val="0"/>
                <w:szCs w:val="22"/>
                <w14:ligatures w14:val="none"/>
              </w:rPr>
            </w:pPr>
            <w:r w:rsidRPr="00DF12B4">
              <w:rPr>
                <w:rFonts w:eastAsia="Times New Roman" w:cs="Calibri"/>
                <w:color w:val="000000" w:themeColor="text1"/>
                <w:kern w:val="0"/>
                <w:szCs w:val="22"/>
                <w14:ligatures w14:val="none"/>
              </w:rPr>
              <w:t>In 2023, electricity from non-hydropower renewables had increased to 16.45% (10%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3D455B1"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80.63%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E82B90"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1CDBF900"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DEC25A1"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0.80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76C66E9" w14:textId="77777777" w:rsidR="00D57345" w:rsidRPr="00610296" w:rsidRDefault="00D57345" w:rsidP="0034671A">
            <w:pPr>
              <w:spacing w:after="0" w:line="240" w:lineRule="auto"/>
              <w:rPr>
                <w:rFonts w:eastAsia="Times New Roman" w:cs="Calibri"/>
                <w:b/>
                <w:bCs/>
                <w:color w:val="000000" w:themeColor="text1"/>
                <w:kern w:val="0"/>
                <w:szCs w:val="22"/>
                <w14:ligatures w14:val="none"/>
              </w:rPr>
            </w:pPr>
            <w:r w:rsidRPr="00610296">
              <w:rPr>
                <w:rFonts w:cs="Calibri"/>
                <w:b/>
                <w:bCs/>
                <w:color w:val="000000"/>
                <w:szCs w:val="22"/>
              </w:rPr>
              <w:t>HIGH</w:t>
            </w:r>
          </w:p>
        </w:tc>
      </w:tr>
      <w:tr w:rsidR="00D57345" w:rsidRPr="00610296" w14:paraId="5A754F91" w14:textId="77777777" w:rsidTr="0034671A">
        <w:trPr>
          <w:trHeight w:val="4320"/>
        </w:trPr>
        <w:tc>
          <w:tcPr>
            <w:tcW w:w="750" w:type="dxa"/>
            <w:tcBorders>
              <w:top w:val="nil"/>
              <w:left w:val="single" w:sz="4" w:space="0" w:color="auto"/>
              <w:bottom w:val="single" w:sz="4" w:space="0" w:color="auto"/>
              <w:right w:val="single" w:sz="4" w:space="0" w:color="auto"/>
            </w:tcBorders>
            <w:shd w:val="clear" w:color="auto" w:fill="auto"/>
            <w:noWrap/>
            <w:hideMark/>
          </w:tcPr>
          <w:p w14:paraId="22A36E48"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72CA7846" w14:textId="008172A3" w:rsidR="00D57345" w:rsidRPr="00610296" w:rsidRDefault="00A4425C" w:rsidP="0034671A">
            <w:pPr>
              <w:spacing w:after="0" w:line="240" w:lineRule="auto"/>
              <w:rPr>
                <w:rFonts w:eastAsia="Times New Roman" w:cs="Calibri"/>
                <w:color w:val="000000" w:themeColor="text1"/>
                <w:kern w:val="0"/>
                <w:szCs w:val="22"/>
                <w14:ligatures w14:val="none"/>
              </w:rPr>
            </w:pPr>
            <w:r w:rsidRPr="00A4425C">
              <w:rPr>
                <w:rFonts w:eastAsia="Times New Roman" w:cs="Calibri"/>
                <w:color w:val="000000" w:themeColor="text1"/>
                <w:kern w:val="0"/>
                <w:szCs w:val="22"/>
                <w14:ligatures w14:val="none"/>
              </w:rPr>
              <w:t>approximately 40 gigawatts of additional hydropower capacity will be installed compared to 2020 (360 GW).</w:t>
            </w:r>
          </w:p>
        </w:tc>
        <w:tc>
          <w:tcPr>
            <w:tcW w:w="1134" w:type="dxa"/>
            <w:tcBorders>
              <w:top w:val="nil"/>
              <w:left w:val="nil"/>
              <w:bottom w:val="single" w:sz="4" w:space="0" w:color="auto"/>
              <w:right w:val="single" w:sz="4" w:space="0" w:color="auto"/>
            </w:tcBorders>
            <w:shd w:val="clear" w:color="auto" w:fill="auto"/>
            <w:noWrap/>
            <w:vAlign w:val="center"/>
            <w:hideMark/>
          </w:tcPr>
          <w:p w14:paraId="5C751781"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Power sector</w:t>
            </w:r>
          </w:p>
        </w:tc>
        <w:tc>
          <w:tcPr>
            <w:tcW w:w="2268" w:type="dxa"/>
            <w:tcBorders>
              <w:top w:val="nil"/>
              <w:left w:val="nil"/>
              <w:bottom w:val="single" w:sz="4" w:space="0" w:color="auto"/>
              <w:right w:val="single" w:sz="4" w:space="0" w:color="auto"/>
            </w:tcBorders>
            <w:shd w:val="clear" w:color="auto" w:fill="auto"/>
            <w:vAlign w:val="center"/>
            <w:hideMark/>
          </w:tcPr>
          <w:p w14:paraId="1313964B" w14:textId="77777777" w:rsidR="00D57345" w:rsidRPr="00610296" w:rsidRDefault="00D57345" w:rsidP="0034671A">
            <w:pPr>
              <w:spacing w:after="0" w:line="240" w:lineRule="auto"/>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The</w:t>
            </w:r>
            <w:r w:rsidRPr="00610296">
              <w:rPr>
                <w:rFonts w:eastAsia="Times New Roman" w:cs="Calibri"/>
                <w:color w:val="000000" w:themeColor="text1"/>
                <w:kern w:val="0"/>
                <w:szCs w:val="22"/>
                <w14:ligatures w14:val="none"/>
              </w:rPr>
              <w:t> </w:t>
            </w:r>
            <w:r w:rsidRPr="00610296">
              <w:rPr>
                <w:rFonts w:eastAsia="Times New Roman" w:cs="Calibri"/>
                <w:color w:val="000000" w:themeColor="text1"/>
                <w:kern w:val="0"/>
                <w:szCs w:val="22"/>
                <w14:ligatures w14:val="none"/>
              </w:rPr>
              <w:t>Action Plan for Carbon Peaking Before 2030</w:t>
            </w:r>
          </w:p>
        </w:tc>
        <w:tc>
          <w:tcPr>
            <w:tcW w:w="1418" w:type="dxa"/>
            <w:tcBorders>
              <w:top w:val="nil"/>
              <w:left w:val="nil"/>
              <w:bottom w:val="single" w:sz="4" w:space="0" w:color="auto"/>
              <w:right w:val="single" w:sz="4" w:space="0" w:color="auto"/>
            </w:tcBorders>
            <w:shd w:val="clear" w:color="auto" w:fill="auto"/>
            <w:vAlign w:val="center"/>
            <w:hideMark/>
          </w:tcPr>
          <w:p w14:paraId="71797A55" w14:textId="77777777" w:rsidR="00D57345" w:rsidRPr="00610296" w:rsidRDefault="00D57345" w:rsidP="0034671A">
            <w:pPr>
              <w:spacing w:after="0" w:line="240" w:lineRule="auto"/>
              <w:jc w:val="center"/>
              <w:rPr>
                <w:rFonts w:eastAsia="Times New Roman" w:cs="Calibri"/>
                <w:color w:val="000000" w:themeColor="text1"/>
                <w:kern w:val="0"/>
                <w:szCs w:val="22"/>
                <w14:ligatures w14:val="none"/>
              </w:rPr>
            </w:pPr>
            <w:r w:rsidRPr="00610296">
              <w:rPr>
                <w:rFonts w:eastAsia="Times New Roman" w:cs="Calibri"/>
                <w:color w:val="000000" w:themeColor="text1"/>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5C570CD5" w14:textId="283D6BFF" w:rsidR="00D57345" w:rsidRPr="00610296" w:rsidRDefault="006D7E0F" w:rsidP="0034671A">
            <w:pPr>
              <w:spacing w:after="0" w:line="240" w:lineRule="auto"/>
              <w:rPr>
                <w:rFonts w:eastAsia="Times New Roman" w:cs="Calibri"/>
                <w:color w:val="000000" w:themeColor="text1"/>
                <w:kern w:val="0"/>
                <w:szCs w:val="22"/>
                <w14:ligatures w14:val="none"/>
              </w:rPr>
            </w:pPr>
            <w:r w:rsidRPr="006D7E0F">
              <w:rPr>
                <w:rFonts w:eastAsia="Times New Roman" w:cs="Calibri"/>
                <w:color w:val="000000" w:themeColor="text1"/>
                <w:kern w:val="0"/>
                <w:szCs w:val="22"/>
                <w14:ligatures w14:val="none"/>
              </w:rPr>
              <w:t>Installed hydropower capacity had climbed 18% to 422 million kilowatts (kW) by the end of 2023, from 358 million kW at the end of 2019, according to the National Bureau of Statistics (NBS).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2942E42"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color w:val="000000"/>
                <w:szCs w:val="22"/>
              </w:rPr>
              <w:t>155.00%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9BF5C83"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1D4CF2D2"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0C24FA" w14:textId="77777777" w:rsidR="00D57345" w:rsidRPr="00610296" w:rsidRDefault="00D57345" w:rsidP="0034671A">
            <w:pPr>
              <w:spacing w:after="0" w:line="240" w:lineRule="auto"/>
              <w:jc w:val="center"/>
              <w:rPr>
                <w:rFonts w:cs="Calibri"/>
                <w:color w:val="000000" w:themeColor="text1"/>
                <w:kern w:val="0"/>
                <w:szCs w:val="22"/>
                <w14:ligatures w14:val="none"/>
              </w:rPr>
            </w:pPr>
            <w:r w:rsidRPr="00610296">
              <w:rPr>
                <w:rFonts w:cs="Calibri"/>
                <w:b/>
                <w:bCs/>
                <w:color w:val="000000"/>
                <w:szCs w:val="22"/>
              </w:rPr>
              <w:t>1.18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F3579F" w14:textId="77777777" w:rsidR="00D57345" w:rsidRPr="00610296" w:rsidRDefault="00D57345" w:rsidP="0034671A">
            <w:pPr>
              <w:spacing w:after="0" w:line="240" w:lineRule="auto"/>
              <w:rPr>
                <w:rFonts w:cs="Calibri"/>
                <w:b/>
                <w:bCs/>
                <w:color w:val="000000" w:themeColor="text1"/>
                <w:kern w:val="0"/>
                <w:szCs w:val="22"/>
                <w14:ligatures w14:val="none"/>
              </w:rPr>
            </w:pPr>
            <w:r w:rsidRPr="00610296">
              <w:rPr>
                <w:rFonts w:cs="Calibri"/>
                <w:b/>
                <w:bCs/>
                <w:color w:val="000000"/>
                <w:szCs w:val="22"/>
              </w:rPr>
              <w:t>ACHIEVED</w:t>
            </w:r>
          </w:p>
        </w:tc>
      </w:tr>
      <w:tr w:rsidR="00D57345" w:rsidRPr="00610296" w14:paraId="2B649D06" w14:textId="77777777" w:rsidTr="0034671A">
        <w:trPr>
          <w:trHeight w:val="4284"/>
        </w:trPr>
        <w:tc>
          <w:tcPr>
            <w:tcW w:w="750" w:type="dxa"/>
            <w:tcBorders>
              <w:top w:val="nil"/>
              <w:left w:val="single" w:sz="4" w:space="0" w:color="auto"/>
              <w:bottom w:val="single" w:sz="4" w:space="0" w:color="auto"/>
              <w:right w:val="single" w:sz="4" w:space="0" w:color="auto"/>
            </w:tcBorders>
            <w:shd w:val="clear" w:color="auto" w:fill="auto"/>
            <w:noWrap/>
            <w:hideMark/>
          </w:tcPr>
          <w:p w14:paraId="617A6197"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2EFEB79F" w14:textId="753270DC" w:rsidR="00D57345" w:rsidRPr="00610296" w:rsidRDefault="006D7E0F"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6D7E0F">
              <w:rPr>
                <w:rFonts w:eastAsia="Times New Roman" w:cs="Calibri"/>
                <w:color w:val="000000"/>
                <w:kern w:val="0"/>
                <w:szCs w:val="22"/>
                <w14:ligatures w14:val="none"/>
              </w:rPr>
              <w:t>he proportion of EAF in iron and steel production will increase to 15%.</w:t>
            </w:r>
          </w:p>
        </w:tc>
        <w:tc>
          <w:tcPr>
            <w:tcW w:w="1134" w:type="dxa"/>
            <w:tcBorders>
              <w:top w:val="nil"/>
              <w:left w:val="nil"/>
              <w:bottom w:val="single" w:sz="4" w:space="0" w:color="auto"/>
              <w:right w:val="single" w:sz="4" w:space="0" w:color="auto"/>
            </w:tcBorders>
            <w:shd w:val="clear" w:color="auto" w:fill="auto"/>
            <w:noWrap/>
            <w:vAlign w:val="center"/>
            <w:hideMark/>
          </w:tcPr>
          <w:p w14:paraId="7CD71976"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Industry </w:t>
            </w:r>
          </w:p>
        </w:tc>
        <w:tc>
          <w:tcPr>
            <w:tcW w:w="2268" w:type="dxa"/>
            <w:tcBorders>
              <w:top w:val="nil"/>
              <w:left w:val="nil"/>
              <w:bottom w:val="single" w:sz="4" w:space="0" w:color="auto"/>
              <w:right w:val="single" w:sz="4" w:space="0" w:color="auto"/>
            </w:tcBorders>
            <w:shd w:val="clear" w:color="auto" w:fill="auto"/>
            <w:vAlign w:val="center"/>
            <w:hideMark/>
          </w:tcPr>
          <w:p w14:paraId="62F8C7BD"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Implementation Plan for Synergizing the Reduction of Pollution and Carbon Emission</w:t>
            </w:r>
            <w:r w:rsidRPr="00610296">
              <w:rPr>
                <w:rFonts w:eastAsia="Times New Roman" w:cs="Calibri"/>
                <w:color w:val="000000"/>
                <w:kern w:val="0"/>
                <w:szCs w:val="22"/>
                <w14:ligatures w14:val="none"/>
              </w:rPr>
              <w:br/>
              <w:t>2024-2025 Energy Conservation and Carbon Reduction Action Plan</w:t>
            </w:r>
            <w:r w:rsidRPr="00610296">
              <w:rPr>
                <w:rFonts w:eastAsia="Times New Roman" w:cs="Calibri"/>
                <w:color w:val="000000"/>
                <w:kern w:val="0"/>
                <w:szCs w:val="22"/>
                <w14:ligatures w14:val="none"/>
              </w:rPr>
              <w:br/>
              <w:t>Guideline on promoting the high-quality development of the iron and steel industry</w:t>
            </w:r>
            <w:r w:rsidRPr="00610296">
              <w:rPr>
                <w:rFonts w:eastAsia="Times New Roman" w:cs="Calibri"/>
                <w:color w:val="000000"/>
                <w:kern w:val="0"/>
                <w:szCs w:val="22"/>
                <w14:ligatures w14:val="none"/>
              </w:rPr>
              <w:br/>
              <w:t>The Implementation Plan for Carbon Peaking in the Industrial Sector</w:t>
            </w:r>
          </w:p>
        </w:tc>
        <w:tc>
          <w:tcPr>
            <w:tcW w:w="1418" w:type="dxa"/>
            <w:tcBorders>
              <w:top w:val="nil"/>
              <w:left w:val="nil"/>
              <w:bottom w:val="single" w:sz="4" w:space="0" w:color="auto"/>
              <w:right w:val="single" w:sz="4" w:space="0" w:color="auto"/>
            </w:tcBorders>
            <w:shd w:val="clear" w:color="auto" w:fill="auto"/>
            <w:vAlign w:val="center"/>
            <w:hideMark/>
          </w:tcPr>
          <w:p w14:paraId="7D1391DF"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72D00DA5" w14:textId="2C7EA8C6" w:rsidR="00D57345" w:rsidRPr="00610296" w:rsidRDefault="00912176" w:rsidP="0034671A">
            <w:pPr>
              <w:spacing w:after="0" w:line="240" w:lineRule="auto"/>
              <w:rPr>
                <w:rFonts w:eastAsia="Times New Roman" w:cs="Calibri"/>
                <w:kern w:val="0"/>
                <w:szCs w:val="22"/>
                <w14:ligatures w14:val="none"/>
              </w:rPr>
            </w:pPr>
            <w:r w:rsidRPr="00912176">
              <w:rPr>
                <w:rFonts w:eastAsia="Times New Roman" w:cs="Calibri"/>
                <w:kern w:val="0"/>
                <w:szCs w:val="22"/>
                <w14:ligatures w14:val="none"/>
              </w:rPr>
              <w:t>As of January 2024, China had installed 151 million metric tons per year of operating EAF capacity, exceeding the 143 million metric tons per year needed to achieve the 15% EAF production target, according to a March 19 report by Global Energy Monitor.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2A87A0A"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color w:val="000000"/>
                <w:szCs w:val="22"/>
              </w:rPr>
              <w:t>105.59%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45E984B"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3C0533BD"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E9E9FDF"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0.83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667E90F"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ACHIEVED</w:t>
            </w:r>
          </w:p>
        </w:tc>
      </w:tr>
      <w:tr w:rsidR="00D57345" w:rsidRPr="00610296" w14:paraId="0C6A0864" w14:textId="77777777" w:rsidTr="0034671A">
        <w:trPr>
          <w:trHeight w:val="1920"/>
        </w:trPr>
        <w:tc>
          <w:tcPr>
            <w:tcW w:w="750" w:type="dxa"/>
            <w:tcBorders>
              <w:top w:val="nil"/>
              <w:left w:val="single" w:sz="4" w:space="0" w:color="auto"/>
              <w:bottom w:val="single" w:sz="4" w:space="0" w:color="auto"/>
              <w:right w:val="single" w:sz="4" w:space="0" w:color="auto"/>
            </w:tcBorders>
            <w:shd w:val="clear" w:color="auto" w:fill="auto"/>
            <w:noWrap/>
            <w:hideMark/>
          </w:tcPr>
          <w:p w14:paraId="4DE8A7F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7180EF85" w14:textId="0E59EA9C" w:rsidR="00D57345" w:rsidRPr="00610296" w:rsidRDefault="00912176"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912176">
              <w:rPr>
                <w:rFonts w:eastAsia="Times New Roman" w:cs="Calibri"/>
                <w:color w:val="000000"/>
                <w:kern w:val="0"/>
                <w:szCs w:val="22"/>
                <w14:ligatures w14:val="none"/>
              </w:rPr>
              <w:t>he amount of recycled steel will reach 320 million tons (updated to 300 million metric tons in the newest policy in 2024).</w:t>
            </w:r>
          </w:p>
        </w:tc>
        <w:tc>
          <w:tcPr>
            <w:tcW w:w="1134" w:type="dxa"/>
            <w:tcBorders>
              <w:top w:val="nil"/>
              <w:left w:val="nil"/>
              <w:bottom w:val="single" w:sz="4" w:space="0" w:color="auto"/>
              <w:right w:val="single" w:sz="4" w:space="0" w:color="auto"/>
            </w:tcBorders>
            <w:shd w:val="clear" w:color="auto" w:fill="auto"/>
            <w:noWrap/>
            <w:vAlign w:val="center"/>
            <w:hideMark/>
          </w:tcPr>
          <w:p w14:paraId="7A71A904"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Industry </w:t>
            </w:r>
          </w:p>
        </w:tc>
        <w:tc>
          <w:tcPr>
            <w:tcW w:w="2268" w:type="dxa"/>
            <w:tcBorders>
              <w:top w:val="nil"/>
              <w:left w:val="nil"/>
              <w:bottom w:val="single" w:sz="4" w:space="0" w:color="auto"/>
              <w:right w:val="single" w:sz="4" w:space="0" w:color="auto"/>
            </w:tcBorders>
            <w:shd w:val="clear" w:color="auto" w:fill="auto"/>
            <w:vAlign w:val="center"/>
            <w:hideMark/>
          </w:tcPr>
          <w:p w14:paraId="756DE746" w14:textId="77777777" w:rsidR="00D57345" w:rsidRPr="00610296" w:rsidRDefault="00D57345" w:rsidP="0034671A">
            <w:pPr>
              <w:spacing w:after="0" w:line="240" w:lineRule="auto"/>
              <w:rPr>
                <w:rFonts w:eastAsia="Times New Roman" w:cs="Calibri"/>
                <w:kern w:val="0"/>
                <w:szCs w:val="22"/>
                <w14:ligatures w14:val="none"/>
              </w:rPr>
            </w:pPr>
            <w:r w:rsidRPr="00610296">
              <w:rPr>
                <w:rFonts w:eastAsia="Times New Roman" w:cs="Calibri"/>
                <w:kern w:val="0"/>
                <w:szCs w:val="22"/>
                <w14:ligatures w14:val="none"/>
              </w:rPr>
              <w:t>14th Five-Year Plan for Circular Economy Development</w:t>
            </w:r>
            <w:r w:rsidRPr="00610296">
              <w:rPr>
                <w:rFonts w:eastAsia="Times New Roman" w:cs="Calibri"/>
                <w:kern w:val="0"/>
                <w:szCs w:val="22"/>
                <w14:ligatures w14:val="none"/>
              </w:rPr>
              <w:br/>
              <w:t>2024-2025 Energy Conservation and Carbon Reduction Action Plan</w:t>
            </w:r>
          </w:p>
        </w:tc>
        <w:tc>
          <w:tcPr>
            <w:tcW w:w="1418" w:type="dxa"/>
            <w:tcBorders>
              <w:top w:val="nil"/>
              <w:left w:val="nil"/>
              <w:bottom w:val="single" w:sz="4" w:space="0" w:color="auto"/>
              <w:right w:val="single" w:sz="4" w:space="0" w:color="auto"/>
            </w:tcBorders>
            <w:shd w:val="clear" w:color="auto" w:fill="auto"/>
            <w:vAlign w:val="center"/>
            <w:hideMark/>
          </w:tcPr>
          <w:p w14:paraId="144E6D21"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eastAsia="Times New Roman" w:cs="Calibri"/>
                <w:kern w:val="0"/>
                <w:szCs w:val="22"/>
                <w14:ligatures w14:val="none"/>
              </w:rPr>
              <w:t>NDRC</w:t>
            </w:r>
          </w:p>
        </w:tc>
        <w:tc>
          <w:tcPr>
            <w:tcW w:w="1984" w:type="dxa"/>
            <w:tcBorders>
              <w:top w:val="nil"/>
              <w:left w:val="nil"/>
              <w:bottom w:val="single" w:sz="4" w:space="0" w:color="auto"/>
              <w:right w:val="single" w:sz="4" w:space="0" w:color="auto"/>
            </w:tcBorders>
            <w:shd w:val="clear" w:color="auto" w:fill="auto"/>
            <w:vAlign w:val="center"/>
            <w:hideMark/>
          </w:tcPr>
          <w:p w14:paraId="1FBD58D7" w14:textId="2FC5E974" w:rsidR="00D57345" w:rsidRPr="00610296" w:rsidRDefault="007B5261" w:rsidP="0034671A">
            <w:pPr>
              <w:spacing w:after="0" w:line="240" w:lineRule="auto"/>
              <w:rPr>
                <w:rFonts w:cs="Calibri"/>
                <w:kern w:val="0"/>
                <w:szCs w:val="22"/>
                <w14:ligatures w14:val="none"/>
              </w:rPr>
            </w:pPr>
            <w:r w:rsidRPr="007B5261">
              <w:rPr>
                <w:rFonts w:eastAsia="Times New Roman" w:cs="Calibri"/>
                <w:kern w:val="0"/>
                <w:szCs w:val="22"/>
                <w14:ligatures w14:val="none"/>
              </w:rPr>
              <w:t>China recycled 260 million metric tons (</w:t>
            </w:r>
            <w:proofErr w:type="spellStart"/>
            <w:r w:rsidRPr="007B5261">
              <w:rPr>
                <w:rFonts w:eastAsia="Times New Roman" w:cs="Calibri"/>
                <w:kern w:val="0"/>
                <w:szCs w:val="22"/>
                <w14:ligatures w14:val="none"/>
              </w:rPr>
              <w:t>MMt</w:t>
            </w:r>
            <w:proofErr w:type="spellEnd"/>
            <w:r w:rsidRPr="007B5261">
              <w:rPr>
                <w:rFonts w:eastAsia="Times New Roman" w:cs="Calibri"/>
                <w:kern w:val="0"/>
                <w:szCs w:val="22"/>
                <w14:ligatures w14:val="none"/>
              </w:rPr>
              <w:t xml:space="preserve">) of scrap steel in 2023 (210 </w:t>
            </w:r>
            <w:proofErr w:type="spellStart"/>
            <w:r w:rsidRPr="007B5261">
              <w:rPr>
                <w:rFonts w:eastAsia="Times New Roman" w:cs="Calibri"/>
                <w:kern w:val="0"/>
                <w:szCs w:val="22"/>
                <w14:ligatures w14:val="none"/>
              </w:rPr>
              <w:t>MMt</w:t>
            </w:r>
            <w:proofErr w:type="spellEnd"/>
            <w:r w:rsidRPr="007B5261">
              <w:rPr>
                <w:rFonts w:eastAsia="Times New Roman" w:cs="Calibri"/>
                <w:kern w:val="0"/>
                <w:szCs w:val="22"/>
                <w14:ligatures w14:val="none"/>
              </w:rPr>
              <w:t xml:space="preserve">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E05FF61"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45.45%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7230CD3"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66AFB34C"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7E50BC"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0.63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1EC2C3D"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MEDIUM</w:t>
            </w:r>
          </w:p>
        </w:tc>
      </w:tr>
      <w:tr w:rsidR="00D57345" w:rsidRPr="00610296" w14:paraId="6533E8BC" w14:textId="77777777" w:rsidTr="0034671A">
        <w:trPr>
          <w:trHeight w:val="1020"/>
        </w:trPr>
        <w:tc>
          <w:tcPr>
            <w:tcW w:w="750" w:type="dxa"/>
            <w:tcBorders>
              <w:top w:val="nil"/>
              <w:left w:val="single" w:sz="4" w:space="0" w:color="auto"/>
              <w:bottom w:val="single" w:sz="4" w:space="0" w:color="auto"/>
              <w:right w:val="single" w:sz="4" w:space="0" w:color="auto"/>
            </w:tcBorders>
            <w:shd w:val="clear" w:color="auto" w:fill="auto"/>
            <w:noWrap/>
            <w:hideMark/>
          </w:tcPr>
          <w:p w14:paraId="5AD08AE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0D6E21C1" w14:textId="040F6BA1" w:rsidR="00D57345" w:rsidRPr="00610296" w:rsidRDefault="007B5261" w:rsidP="0034671A">
            <w:pPr>
              <w:spacing w:after="0" w:line="240" w:lineRule="auto"/>
              <w:rPr>
                <w:rFonts w:eastAsia="Times New Roman" w:cs="Calibri"/>
                <w:color w:val="000000"/>
                <w:kern w:val="0"/>
                <w:szCs w:val="22"/>
                <w14:ligatures w14:val="none"/>
              </w:rPr>
            </w:pPr>
            <w:r w:rsidRPr="007B5261">
              <w:rPr>
                <w:rFonts w:eastAsia="Times New Roman" w:cs="Calibri"/>
                <w:color w:val="000000"/>
                <w:kern w:val="0"/>
                <w:szCs w:val="22"/>
                <w14:ligatures w14:val="none"/>
              </w:rPr>
              <w:t>CO₂ emissions per unit of industrial added value will be reduced by 18%.</w:t>
            </w:r>
          </w:p>
        </w:tc>
        <w:tc>
          <w:tcPr>
            <w:tcW w:w="1134" w:type="dxa"/>
            <w:tcBorders>
              <w:top w:val="nil"/>
              <w:left w:val="nil"/>
              <w:bottom w:val="single" w:sz="4" w:space="0" w:color="auto"/>
              <w:right w:val="single" w:sz="4" w:space="0" w:color="auto"/>
            </w:tcBorders>
            <w:shd w:val="clear" w:color="auto" w:fill="auto"/>
            <w:noWrap/>
            <w:vAlign w:val="center"/>
            <w:hideMark/>
          </w:tcPr>
          <w:p w14:paraId="5511AE6C"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Industry</w:t>
            </w:r>
          </w:p>
        </w:tc>
        <w:tc>
          <w:tcPr>
            <w:tcW w:w="2268" w:type="dxa"/>
            <w:tcBorders>
              <w:top w:val="nil"/>
              <w:left w:val="nil"/>
              <w:bottom w:val="single" w:sz="4" w:space="0" w:color="auto"/>
              <w:right w:val="single" w:sz="4" w:space="0" w:color="auto"/>
            </w:tcBorders>
            <w:shd w:val="clear" w:color="auto" w:fill="auto"/>
            <w:vAlign w:val="center"/>
            <w:hideMark/>
          </w:tcPr>
          <w:p w14:paraId="225D3FC0"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14th Five-Year Plan on Industrial Green Development</w:t>
            </w:r>
          </w:p>
        </w:tc>
        <w:tc>
          <w:tcPr>
            <w:tcW w:w="1418" w:type="dxa"/>
            <w:tcBorders>
              <w:top w:val="nil"/>
              <w:left w:val="nil"/>
              <w:bottom w:val="single" w:sz="4" w:space="0" w:color="auto"/>
              <w:right w:val="single" w:sz="4" w:space="0" w:color="auto"/>
            </w:tcBorders>
            <w:shd w:val="clear" w:color="auto" w:fill="auto"/>
            <w:vAlign w:val="center"/>
            <w:hideMark/>
          </w:tcPr>
          <w:p w14:paraId="6E636C68"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Ministries</w:t>
            </w:r>
          </w:p>
        </w:tc>
        <w:tc>
          <w:tcPr>
            <w:tcW w:w="1984" w:type="dxa"/>
            <w:tcBorders>
              <w:top w:val="nil"/>
              <w:left w:val="nil"/>
              <w:bottom w:val="single" w:sz="4" w:space="0" w:color="auto"/>
              <w:right w:val="single" w:sz="4" w:space="0" w:color="auto"/>
            </w:tcBorders>
            <w:shd w:val="clear" w:color="auto" w:fill="auto"/>
            <w:noWrap/>
            <w:vAlign w:val="center"/>
            <w:hideMark/>
          </w:tcPr>
          <w:p w14:paraId="7742D2CE" w14:textId="77777777" w:rsidR="00D57345" w:rsidRPr="00610296" w:rsidRDefault="00D57345" w:rsidP="0034671A">
            <w:pPr>
              <w:spacing w:after="0" w:line="240" w:lineRule="auto"/>
              <w:rPr>
                <w:rFonts w:eastAsia="Times New Roman" w:cs="Calibri"/>
                <w:kern w:val="0"/>
                <w:szCs w:val="22"/>
                <w14:ligatures w14:val="none"/>
              </w:rPr>
            </w:pPr>
            <w:r w:rsidRPr="00610296">
              <w:rPr>
                <w:rFonts w:eastAsia="Times New Roman" w:cs="Calibri"/>
                <w:kern w:val="0"/>
                <w:szCs w:val="22"/>
                <w14:ligatures w14:val="none"/>
              </w:rPr>
              <w:t>No evidence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9E20F2"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62C459"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42135B68"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A66CC9"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0.55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AA84A37"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LOW</w:t>
            </w:r>
          </w:p>
        </w:tc>
      </w:tr>
      <w:tr w:rsidR="00D57345" w:rsidRPr="00610296" w14:paraId="3BD9F302" w14:textId="77777777" w:rsidTr="0034671A">
        <w:trPr>
          <w:trHeight w:val="3468"/>
        </w:trPr>
        <w:tc>
          <w:tcPr>
            <w:tcW w:w="750" w:type="dxa"/>
            <w:tcBorders>
              <w:top w:val="nil"/>
              <w:left w:val="single" w:sz="4" w:space="0" w:color="auto"/>
              <w:bottom w:val="single" w:sz="4" w:space="0" w:color="auto"/>
              <w:right w:val="single" w:sz="4" w:space="0" w:color="auto"/>
            </w:tcBorders>
            <w:shd w:val="clear" w:color="auto" w:fill="auto"/>
            <w:noWrap/>
            <w:hideMark/>
          </w:tcPr>
          <w:p w14:paraId="13745C73"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720B6DAF" w14:textId="2030A643" w:rsidR="00D57345" w:rsidRPr="00610296" w:rsidRDefault="00A76FB8"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D</w:t>
            </w:r>
            <w:r w:rsidRPr="00A76FB8">
              <w:rPr>
                <w:rFonts w:eastAsia="Times New Roman" w:cs="Calibri"/>
                <w:color w:val="000000"/>
                <w:kern w:val="0"/>
                <w:szCs w:val="22"/>
                <w14:ligatures w14:val="none"/>
              </w:rPr>
              <w:t xml:space="preserve">omestic capacity for primary refining of crude oil will be kept below 1 billion metric tons (20 million b/d), and the utilization rate of production capacity for </w:t>
            </w:r>
            <w:r w:rsidRPr="00A76FB8">
              <w:rPr>
                <w:rFonts w:eastAsia="Times New Roman" w:cs="Calibri"/>
                <w:color w:val="000000"/>
                <w:kern w:val="0"/>
                <w:szCs w:val="22"/>
                <w14:ligatures w14:val="none"/>
              </w:rPr>
              <w:lastRenderedPageBreak/>
              <w:t>main products will rise to 80% or more.</w:t>
            </w:r>
          </w:p>
        </w:tc>
        <w:tc>
          <w:tcPr>
            <w:tcW w:w="1134" w:type="dxa"/>
            <w:tcBorders>
              <w:top w:val="nil"/>
              <w:left w:val="nil"/>
              <w:bottom w:val="single" w:sz="4" w:space="0" w:color="auto"/>
              <w:right w:val="single" w:sz="4" w:space="0" w:color="auto"/>
            </w:tcBorders>
            <w:shd w:val="clear" w:color="auto" w:fill="auto"/>
            <w:noWrap/>
            <w:vAlign w:val="center"/>
            <w:hideMark/>
          </w:tcPr>
          <w:p w14:paraId="3B7BBE79"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 xml:space="preserve">Industry </w:t>
            </w:r>
          </w:p>
        </w:tc>
        <w:tc>
          <w:tcPr>
            <w:tcW w:w="2268" w:type="dxa"/>
            <w:tcBorders>
              <w:top w:val="nil"/>
              <w:left w:val="nil"/>
              <w:bottom w:val="single" w:sz="4" w:space="0" w:color="auto"/>
              <w:right w:val="single" w:sz="4" w:space="0" w:color="auto"/>
            </w:tcBorders>
            <w:shd w:val="clear" w:color="auto" w:fill="auto"/>
            <w:vAlign w:val="center"/>
            <w:hideMark/>
          </w:tcPr>
          <w:p w14:paraId="1546F104"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r w:rsidRPr="00610296">
              <w:rPr>
                <w:rFonts w:eastAsia="Times New Roman" w:cs="Calibri"/>
                <w:color w:val="000000"/>
                <w:kern w:val="0"/>
                <w:szCs w:val="22"/>
                <w14:ligatures w14:val="none"/>
              </w:rPr>
              <w:br/>
              <w:t>2024-2025 Energy Conservation and Carbon Reduction Action Plan</w:t>
            </w:r>
            <w:r w:rsidRPr="00610296">
              <w:rPr>
                <w:rFonts w:eastAsia="Times New Roman" w:cs="Calibri"/>
                <w:color w:val="000000"/>
                <w:kern w:val="0"/>
                <w:szCs w:val="22"/>
                <w14:ligatures w14:val="none"/>
              </w:rPr>
              <w:br/>
              <w:t>Special Action Plan for Energy Conservation and Carbon Reduction in the Oil Refining Industry</w:t>
            </w:r>
          </w:p>
        </w:tc>
        <w:tc>
          <w:tcPr>
            <w:tcW w:w="1418" w:type="dxa"/>
            <w:tcBorders>
              <w:top w:val="nil"/>
              <w:left w:val="nil"/>
              <w:bottom w:val="single" w:sz="4" w:space="0" w:color="auto"/>
              <w:right w:val="single" w:sz="4" w:space="0" w:color="auto"/>
            </w:tcBorders>
            <w:shd w:val="clear" w:color="auto" w:fill="auto"/>
            <w:vAlign w:val="center"/>
            <w:hideMark/>
          </w:tcPr>
          <w:p w14:paraId="5D98DDC0"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4C7FEA89" w14:textId="4F454677" w:rsidR="00D57345" w:rsidRPr="00610296" w:rsidRDefault="00A76FB8" w:rsidP="0034671A">
            <w:pPr>
              <w:spacing w:after="0" w:line="240" w:lineRule="auto"/>
              <w:rPr>
                <w:rFonts w:eastAsia="Times New Roman" w:cs="Calibri"/>
                <w:kern w:val="0"/>
                <w:szCs w:val="22"/>
                <w14:ligatures w14:val="none"/>
              </w:rPr>
            </w:pPr>
            <w:r w:rsidRPr="00A76FB8">
              <w:rPr>
                <w:rFonts w:eastAsia="Times New Roman" w:cs="Calibri"/>
                <w:kern w:val="0"/>
                <w:szCs w:val="22"/>
                <w14:ligatures w14:val="none"/>
              </w:rPr>
              <w:t xml:space="preserve">In 2023, the country's refining capacity stood at more than 18.29 million b/d, surging by more than 50% from around 12 million b/d in 2022. Although China still plans to add over 1 million b/d of refining capacity in the future, there is a high possibility that it will manage </w:t>
            </w:r>
            <w:r w:rsidRPr="00A76FB8">
              <w:rPr>
                <w:rFonts w:eastAsia="Times New Roman" w:cs="Calibri"/>
                <w:kern w:val="0"/>
                <w:szCs w:val="22"/>
                <w14:ligatures w14:val="none"/>
              </w:rPr>
              <w:lastRenderedPageBreak/>
              <w:t>its total refining capacity to around 20 million b/d by 2025.</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255772A"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color w:val="000000"/>
                <w:szCs w:val="22"/>
              </w:rPr>
              <w:lastRenderedPageBreak/>
              <w:t>91.45%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3C96798"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6097E3D2"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0BD292"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0.86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699F85D"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HIGH</w:t>
            </w:r>
          </w:p>
        </w:tc>
      </w:tr>
      <w:tr w:rsidR="00D57345" w:rsidRPr="00610296" w14:paraId="5AE7ABC5" w14:textId="77777777" w:rsidTr="0034671A">
        <w:trPr>
          <w:trHeight w:val="3120"/>
        </w:trPr>
        <w:tc>
          <w:tcPr>
            <w:tcW w:w="750" w:type="dxa"/>
            <w:tcBorders>
              <w:top w:val="nil"/>
              <w:left w:val="single" w:sz="4" w:space="0" w:color="auto"/>
              <w:bottom w:val="single" w:sz="4" w:space="0" w:color="auto"/>
              <w:right w:val="single" w:sz="4" w:space="0" w:color="auto"/>
            </w:tcBorders>
            <w:shd w:val="clear" w:color="auto" w:fill="auto"/>
            <w:noWrap/>
            <w:hideMark/>
          </w:tcPr>
          <w:p w14:paraId="334C6ACB"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15A9CA23" w14:textId="7DF8B0AF" w:rsidR="00D57345" w:rsidRPr="00610296" w:rsidRDefault="002D3430"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C</w:t>
            </w:r>
            <w:r w:rsidRPr="002D3430">
              <w:rPr>
                <w:rFonts w:eastAsia="Times New Roman" w:cs="Calibri"/>
                <w:color w:val="000000"/>
                <w:kern w:val="0"/>
                <w:szCs w:val="22"/>
                <w14:ligatures w14:val="none"/>
              </w:rPr>
              <w:t>omprehensive energy consumption per ton of steel will decrease by over 2% compared to 2020 (updated in 2024 to a 2% decrease in energy intensity compared to 2023).</w:t>
            </w:r>
          </w:p>
        </w:tc>
        <w:tc>
          <w:tcPr>
            <w:tcW w:w="1134" w:type="dxa"/>
            <w:tcBorders>
              <w:top w:val="nil"/>
              <w:left w:val="nil"/>
              <w:bottom w:val="single" w:sz="4" w:space="0" w:color="auto"/>
              <w:right w:val="single" w:sz="4" w:space="0" w:color="auto"/>
            </w:tcBorders>
            <w:shd w:val="clear" w:color="auto" w:fill="auto"/>
            <w:noWrap/>
            <w:vAlign w:val="center"/>
            <w:hideMark/>
          </w:tcPr>
          <w:p w14:paraId="2DBC52C5"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Industry</w:t>
            </w:r>
          </w:p>
        </w:tc>
        <w:tc>
          <w:tcPr>
            <w:tcW w:w="2268" w:type="dxa"/>
            <w:tcBorders>
              <w:top w:val="nil"/>
              <w:left w:val="nil"/>
              <w:bottom w:val="single" w:sz="4" w:space="0" w:color="auto"/>
              <w:right w:val="single" w:sz="4" w:space="0" w:color="auto"/>
            </w:tcBorders>
            <w:shd w:val="clear" w:color="auto" w:fill="auto"/>
            <w:vAlign w:val="center"/>
            <w:hideMark/>
          </w:tcPr>
          <w:p w14:paraId="2CC00FEE"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Guideline on promoting the high-quality development of the iron and steel industry</w:t>
            </w:r>
            <w:r w:rsidRPr="00610296">
              <w:rPr>
                <w:rFonts w:eastAsia="Times New Roman" w:cs="Calibri"/>
                <w:color w:val="000000"/>
                <w:kern w:val="0"/>
                <w:szCs w:val="22"/>
                <w14:ligatures w14:val="none"/>
              </w:rPr>
              <w:br/>
              <w:t>14th Five-Year Plan for the Development of the Raw Materials Industry</w:t>
            </w:r>
          </w:p>
        </w:tc>
        <w:tc>
          <w:tcPr>
            <w:tcW w:w="1418" w:type="dxa"/>
            <w:tcBorders>
              <w:top w:val="nil"/>
              <w:left w:val="nil"/>
              <w:bottom w:val="single" w:sz="4" w:space="0" w:color="auto"/>
              <w:right w:val="single" w:sz="4" w:space="0" w:color="auto"/>
            </w:tcBorders>
            <w:shd w:val="clear" w:color="auto" w:fill="auto"/>
            <w:vAlign w:val="center"/>
            <w:hideMark/>
          </w:tcPr>
          <w:p w14:paraId="5F2FF86C"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Ministries </w:t>
            </w:r>
          </w:p>
        </w:tc>
        <w:tc>
          <w:tcPr>
            <w:tcW w:w="1984" w:type="dxa"/>
            <w:tcBorders>
              <w:top w:val="nil"/>
              <w:left w:val="nil"/>
              <w:bottom w:val="single" w:sz="4" w:space="0" w:color="auto"/>
              <w:right w:val="single" w:sz="4" w:space="0" w:color="auto"/>
            </w:tcBorders>
            <w:shd w:val="clear" w:color="auto" w:fill="auto"/>
            <w:vAlign w:val="center"/>
            <w:hideMark/>
          </w:tcPr>
          <w:p w14:paraId="4E5A34B4" w14:textId="0B6FB472" w:rsidR="00D57345" w:rsidRPr="00610296" w:rsidRDefault="00421E6B" w:rsidP="0034671A">
            <w:pPr>
              <w:spacing w:after="0" w:line="240" w:lineRule="auto"/>
              <w:rPr>
                <w:rFonts w:eastAsia="Times New Roman" w:cs="Calibri"/>
                <w:kern w:val="0"/>
                <w:szCs w:val="22"/>
                <w14:ligatures w14:val="none"/>
              </w:rPr>
            </w:pPr>
            <w:r w:rsidRPr="00421E6B">
              <w:rPr>
                <w:rFonts w:eastAsia="Times New Roman" w:cs="Calibri"/>
                <w:kern w:val="0"/>
                <w:szCs w:val="22"/>
                <w14:ligatures w14:val="none"/>
              </w:rPr>
              <w:t>In 2022, the energy intensity of iron and steel increased by 1.7%.</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5A4C5B0"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color w:val="000000"/>
                <w:szCs w:val="22"/>
              </w:rPr>
              <w:t>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D40EB25"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4E89CE2C"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B73EC3"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BEF6AF8"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LOW</w:t>
            </w:r>
          </w:p>
        </w:tc>
      </w:tr>
      <w:tr w:rsidR="00D57345" w:rsidRPr="00610296" w14:paraId="71127BCE" w14:textId="77777777" w:rsidTr="0034671A">
        <w:trPr>
          <w:trHeight w:val="1836"/>
        </w:trPr>
        <w:tc>
          <w:tcPr>
            <w:tcW w:w="750" w:type="dxa"/>
            <w:tcBorders>
              <w:top w:val="nil"/>
              <w:left w:val="single" w:sz="4" w:space="0" w:color="auto"/>
              <w:bottom w:val="single" w:sz="4" w:space="0" w:color="auto"/>
              <w:right w:val="single" w:sz="4" w:space="0" w:color="auto"/>
            </w:tcBorders>
            <w:shd w:val="clear" w:color="auto" w:fill="auto"/>
            <w:noWrap/>
            <w:hideMark/>
          </w:tcPr>
          <w:p w14:paraId="04B59231"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44B60B50" w14:textId="5A0B287A" w:rsidR="00D57345" w:rsidRPr="00610296" w:rsidRDefault="00421E6B"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421E6B">
              <w:rPr>
                <w:rFonts w:eastAsia="Times New Roman" w:cs="Calibri"/>
                <w:color w:val="000000"/>
                <w:kern w:val="0"/>
                <w:szCs w:val="22"/>
                <w14:ligatures w14:val="none"/>
              </w:rPr>
              <w:t>he energy consumption per unit of industrial added value in large-scale industries is expected to decrease by 13.5% compared to 2020.</w:t>
            </w:r>
          </w:p>
        </w:tc>
        <w:tc>
          <w:tcPr>
            <w:tcW w:w="1134" w:type="dxa"/>
            <w:tcBorders>
              <w:top w:val="nil"/>
              <w:left w:val="nil"/>
              <w:bottom w:val="single" w:sz="4" w:space="0" w:color="auto"/>
              <w:right w:val="single" w:sz="4" w:space="0" w:color="auto"/>
            </w:tcBorders>
            <w:shd w:val="clear" w:color="auto" w:fill="auto"/>
            <w:noWrap/>
            <w:vAlign w:val="center"/>
            <w:hideMark/>
          </w:tcPr>
          <w:p w14:paraId="16DCC7AB"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Industry </w:t>
            </w:r>
          </w:p>
        </w:tc>
        <w:tc>
          <w:tcPr>
            <w:tcW w:w="2268" w:type="dxa"/>
            <w:tcBorders>
              <w:top w:val="nil"/>
              <w:left w:val="nil"/>
              <w:bottom w:val="single" w:sz="4" w:space="0" w:color="auto"/>
              <w:right w:val="single" w:sz="4" w:space="0" w:color="auto"/>
            </w:tcBorders>
            <w:shd w:val="clear" w:color="auto" w:fill="auto"/>
            <w:vAlign w:val="center"/>
            <w:hideMark/>
          </w:tcPr>
          <w:p w14:paraId="2EE4A92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Action Plan for Industrial Energy Efficiency Improvement</w:t>
            </w:r>
            <w:r w:rsidRPr="00610296">
              <w:rPr>
                <w:rFonts w:eastAsia="Times New Roman" w:cs="Calibri"/>
                <w:color w:val="000000"/>
                <w:kern w:val="0"/>
                <w:szCs w:val="22"/>
                <w14:ligatures w14:val="none"/>
              </w:rPr>
              <w:br/>
              <w:t>The Implementation Plan for Carbon Peaking in the Industrial Sector</w:t>
            </w:r>
          </w:p>
        </w:tc>
        <w:tc>
          <w:tcPr>
            <w:tcW w:w="1418" w:type="dxa"/>
            <w:tcBorders>
              <w:top w:val="nil"/>
              <w:left w:val="nil"/>
              <w:bottom w:val="single" w:sz="4" w:space="0" w:color="auto"/>
              <w:right w:val="single" w:sz="4" w:space="0" w:color="auto"/>
            </w:tcBorders>
            <w:shd w:val="clear" w:color="auto" w:fill="auto"/>
            <w:vAlign w:val="center"/>
            <w:hideMark/>
          </w:tcPr>
          <w:p w14:paraId="153A7306"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Ministries </w:t>
            </w:r>
          </w:p>
        </w:tc>
        <w:tc>
          <w:tcPr>
            <w:tcW w:w="1984" w:type="dxa"/>
            <w:tcBorders>
              <w:top w:val="nil"/>
              <w:left w:val="nil"/>
              <w:bottom w:val="single" w:sz="4" w:space="0" w:color="auto"/>
              <w:right w:val="single" w:sz="4" w:space="0" w:color="auto"/>
            </w:tcBorders>
            <w:shd w:val="clear" w:color="auto" w:fill="auto"/>
            <w:noWrap/>
            <w:vAlign w:val="center"/>
            <w:hideMark/>
          </w:tcPr>
          <w:p w14:paraId="7E5B5A95" w14:textId="77777777" w:rsidR="00D57345" w:rsidRPr="00610296" w:rsidRDefault="00D57345" w:rsidP="0034671A">
            <w:pPr>
              <w:spacing w:after="0" w:line="240" w:lineRule="auto"/>
              <w:rPr>
                <w:rFonts w:eastAsia="Times New Roman" w:cs="Calibri"/>
                <w:kern w:val="0"/>
                <w:szCs w:val="22"/>
                <w14:ligatures w14:val="none"/>
              </w:rPr>
            </w:pPr>
            <w:r w:rsidRPr="00610296">
              <w:rPr>
                <w:rFonts w:eastAsia="Times New Roman" w:cs="Calibri"/>
                <w:kern w:val="0"/>
                <w:szCs w:val="22"/>
                <w14:ligatures w14:val="none"/>
              </w:rPr>
              <w:t xml:space="preserve">No evidence </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1AF092F"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2FFF7B7"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30CEDE54"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B3414DD"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110C51"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LOW</w:t>
            </w:r>
          </w:p>
        </w:tc>
      </w:tr>
      <w:tr w:rsidR="00D57345" w:rsidRPr="00610296" w14:paraId="288886C2" w14:textId="77777777" w:rsidTr="0034671A">
        <w:trPr>
          <w:trHeight w:val="1920"/>
        </w:trPr>
        <w:tc>
          <w:tcPr>
            <w:tcW w:w="750" w:type="dxa"/>
            <w:tcBorders>
              <w:top w:val="nil"/>
              <w:left w:val="single" w:sz="4" w:space="0" w:color="auto"/>
              <w:bottom w:val="single" w:sz="4" w:space="0" w:color="auto"/>
              <w:right w:val="single" w:sz="4" w:space="0" w:color="auto"/>
            </w:tcBorders>
            <w:shd w:val="clear" w:color="auto" w:fill="auto"/>
            <w:noWrap/>
            <w:hideMark/>
          </w:tcPr>
          <w:p w14:paraId="6D247BC1"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2BAC86F0" w14:textId="67A878BF" w:rsidR="00D57345" w:rsidRPr="00610296" w:rsidRDefault="00FB0D4B"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E</w:t>
            </w:r>
            <w:r w:rsidRPr="00FB0D4B">
              <w:rPr>
                <w:rFonts w:eastAsia="Times New Roman" w:cs="Calibri"/>
                <w:color w:val="000000"/>
                <w:kern w:val="0"/>
                <w:szCs w:val="22"/>
                <w14:ligatures w14:val="none"/>
              </w:rPr>
              <w:t>lectricity is expected to account for approximately 30% of industrial end-use energy consumption.</w:t>
            </w:r>
          </w:p>
        </w:tc>
        <w:tc>
          <w:tcPr>
            <w:tcW w:w="1134" w:type="dxa"/>
            <w:tcBorders>
              <w:top w:val="nil"/>
              <w:left w:val="nil"/>
              <w:bottom w:val="single" w:sz="4" w:space="0" w:color="auto"/>
              <w:right w:val="single" w:sz="4" w:space="0" w:color="auto"/>
            </w:tcBorders>
            <w:shd w:val="clear" w:color="auto" w:fill="auto"/>
            <w:noWrap/>
            <w:vAlign w:val="center"/>
            <w:hideMark/>
          </w:tcPr>
          <w:p w14:paraId="14C1675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Industry</w:t>
            </w:r>
          </w:p>
        </w:tc>
        <w:tc>
          <w:tcPr>
            <w:tcW w:w="2268" w:type="dxa"/>
            <w:tcBorders>
              <w:top w:val="nil"/>
              <w:left w:val="nil"/>
              <w:bottom w:val="single" w:sz="4" w:space="0" w:color="auto"/>
              <w:right w:val="single" w:sz="4" w:space="0" w:color="auto"/>
            </w:tcBorders>
            <w:shd w:val="clear" w:color="auto" w:fill="auto"/>
            <w:vAlign w:val="center"/>
            <w:hideMark/>
          </w:tcPr>
          <w:p w14:paraId="5AA6AA15"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Action Plan for Industrial Energy Efficiency Improvement</w:t>
            </w:r>
          </w:p>
        </w:tc>
        <w:tc>
          <w:tcPr>
            <w:tcW w:w="1418" w:type="dxa"/>
            <w:tcBorders>
              <w:top w:val="nil"/>
              <w:left w:val="nil"/>
              <w:bottom w:val="single" w:sz="4" w:space="0" w:color="auto"/>
              <w:right w:val="single" w:sz="4" w:space="0" w:color="auto"/>
            </w:tcBorders>
            <w:shd w:val="clear" w:color="auto" w:fill="auto"/>
            <w:vAlign w:val="center"/>
            <w:hideMark/>
          </w:tcPr>
          <w:p w14:paraId="46D7BEEC"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Ministries </w:t>
            </w:r>
          </w:p>
        </w:tc>
        <w:tc>
          <w:tcPr>
            <w:tcW w:w="1984" w:type="dxa"/>
            <w:tcBorders>
              <w:top w:val="nil"/>
              <w:left w:val="nil"/>
              <w:bottom w:val="single" w:sz="4" w:space="0" w:color="auto"/>
              <w:right w:val="single" w:sz="4" w:space="0" w:color="auto"/>
            </w:tcBorders>
            <w:shd w:val="clear" w:color="auto" w:fill="auto"/>
            <w:vAlign w:val="center"/>
            <w:hideMark/>
          </w:tcPr>
          <w:p w14:paraId="5DC42EA9" w14:textId="27AE2004" w:rsidR="00D57345" w:rsidRPr="00610296" w:rsidRDefault="00920ACE" w:rsidP="0034671A">
            <w:pPr>
              <w:spacing w:after="0" w:line="240" w:lineRule="auto"/>
              <w:rPr>
                <w:rFonts w:cs="Calibri"/>
                <w:kern w:val="0"/>
                <w:szCs w:val="22"/>
                <w14:ligatures w14:val="none"/>
              </w:rPr>
            </w:pPr>
            <w:r w:rsidRPr="00920ACE">
              <w:rPr>
                <w:rFonts w:eastAsia="Times New Roman" w:cs="Calibri"/>
                <w:kern w:val="0"/>
                <w:szCs w:val="22"/>
                <w14:ligatures w14:val="none"/>
              </w:rPr>
              <w:t>According to IEA data, industrial electrification increased by 2% from 2020 to 2023 (27%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A3EFBCF"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66.67%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D4F1C0C"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0EF3EF20"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F294E5B"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0.53</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EAFC796"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LOW</w:t>
            </w:r>
          </w:p>
        </w:tc>
      </w:tr>
      <w:tr w:rsidR="00D57345" w:rsidRPr="00610296" w14:paraId="7CDC92B9" w14:textId="77777777" w:rsidTr="0034671A">
        <w:trPr>
          <w:trHeight w:val="2244"/>
        </w:trPr>
        <w:tc>
          <w:tcPr>
            <w:tcW w:w="750" w:type="dxa"/>
            <w:tcBorders>
              <w:top w:val="nil"/>
              <w:left w:val="single" w:sz="4" w:space="0" w:color="auto"/>
              <w:bottom w:val="single" w:sz="4" w:space="0" w:color="auto"/>
              <w:right w:val="single" w:sz="4" w:space="0" w:color="auto"/>
            </w:tcBorders>
            <w:shd w:val="clear" w:color="auto" w:fill="auto"/>
            <w:noWrap/>
            <w:hideMark/>
          </w:tcPr>
          <w:p w14:paraId="18A67BF9"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45EEBB79" w14:textId="04EAE8D7" w:rsidR="00D57345" w:rsidRPr="00610296" w:rsidRDefault="00920ACE" w:rsidP="0034671A">
            <w:pPr>
              <w:spacing w:after="0" w:line="240" w:lineRule="auto"/>
              <w:rPr>
                <w:rFonts w:eastAsia="Times New Roman" w:cs="Calibri"/>
                <w:color w:val="000000"/>
                <w:kern w:val="0"/>
                <w:szCs w:val="22"/>
                <w14:ligatures w14:val="none"/>
              </w:rPr>
            </w:pPr>
            <w:r w:rsidRPr="00920ACE">
              <w:rPr>
                <w:rFonts w:eastAsia="Times New Roman" w:cs="Calibri"/>
                <w:color w:val="000000"/>
                <w:kern w:val="0"/>
                <w:szCs w:val="22"/>
                <w14:ligatures w14:val="none"/>
              </w:rPr>
              <w:t>The carbon intensity of transportation will be reduced by 5% compared to 2020.</w:t>
            </w:r>
          </w:p>
        </w:tc>
        <w:tc>
          <w:tcPr>
            <w:tcW w:w="1134" w:type="dxa"/>
            <w:tcBorders>
              <w:top w:val="nil"/>
              <w:left w:val="nil"/>
              <w:bottom w:val="single" w:sz="4" w:space="0" w:color="auto"/>
              <w:right w:val="single" w:sz="4" w:space="0" w:color="auto"/>
            </w:tcBorders>
            <w:shd w:val="clear" w:color="auto" w:fill="auto"/>
            <w:noWrap/>
            <w:vAlign w:val="center"/>
            <w:hideMark/>
          </w:tcPr>
          <w:p w14:paraId="729AFDC0"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3F05A510"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2024-2025 Energy Conservation and Carbon Reduction Action Plan</w:t>
            </w:r>
            <w:r w:rsidRPr="00610296">
              <w:rPr>
                <w:rFonts w:eastAsia="Times New Roman" w:cs="Calibri"/>
                <w:color w:val="000000"/>
                <w:kern w:val="0"/>
                <w:szCs w:val="22"/>
                <w14:ligatures w14:val="none"/>
              </w:rPr>
              <w:br/>
              <w:t>The "14th Five-Year Plan for the Development of Modern Comprehensive Transportation System</w:t>
            </w:r>
          </w:p>
        </w:tc>
        <w:tc>
          <w:tcPr>
            <w:tcW w:w="1418" w:type="dxa"/>
            <w:tcBorders>
              <w:top w:val="nil"/>
              <w:left w:val="nil"/>
              <w:bottom w:val="single" w:sz="4" w:space="0" w:color="auto"/>
              <w:right w:val="single" w:sz="4" w:space="0" w:color="auto"/>
            </w:tcBorders>
            <w:shd w:val="clear" w:color="auto" w:fill="auto"/>
            <w:vAlign w:val="center"/>
            <w:hideMark/>
          </w:tcPr>
          <w:p w14:paraId="569A2975"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noWrap/>
            <w:vAlign w:val="center"/>
            <w:hideMark/>
          </w:tcPr>
          <w:p w14:paraId="733554C1" w14:textId="77777777" w:rsidR="00D57345" w:rsidRPr="00610296" w:rsidRDefault="00D57345" w:rsidP="0034671A">
            <w:pPr>
              <w:spacing w:after="0" w:line="240" w:lineRule="auto"/>
              <w:rPr>
                <w:rFonts w:eastAsia="Times New Roman" w:cs="Calibri"/>
                <w:kern w:val="0"/>
                <w:szCs w:val="22"/>
                <w14:ligatures w14:val="none"/>
              </w:rPr>
            </w:pPr>
            <w:r w:rsidRPr="00610296">
              <w:rPr>
                <w:rFonts w:eastAsia="Times New Roman" w:cs="Calibri"/>
                <w:kern w:val="0"/>
                <w:szCs w:val="22"/>
                <w14:ligatures w14:val="none"/>
              </w:rPr>
              <w:t>No evidence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001557D"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E399379"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71DB547B"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44F67C"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0.75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EB0BA02"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MEDIUM</w:t>
            </w:r>
          </w:p>
        </w:tc>
      </w:tr>
      <w:tr w:rsidR="00D57345" w:rsidRPr="00610296" w14:paraId="3FF193BD" w14:textId="77777777" w:rsidTr="0034671A">
        <w:trPr>
          <w:trHeight w:val="2244"/>
        </w:trPr>
        <w:tc>
          <w:tcPr>
            <w:tcW w:w="750" w:type="dxa"/>
            <w:tcBorders>
              <w:top w:val="nil"/>
              <w:left w:val="single" w:sz="4" w:space="0" w:color="auto"/>
              <w:bottom w:val="single" w:sz="4" w:space="0" w:color="auto"/>
              <w:right w:val="single" w:sz="4" w:space="0" w:color="auto"/>
            </w:tcBorders>
            <w:shd w:val="clear" w:color="auto" w:fill="auto"/>
            <w:noWrap/>
            <w:hideMark/>
          </w:tcPr>
          <w:p w14:paraId="34F5C5A8"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53ACA103" w14:textId="663F35FC" w:rsidR="00D57345" w:rsidRPr="00610296" w:rsidRDefault="000101CB"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A</w:t>
            </w:r>
            <w:r w:rsidRPr="000101CB">
              <w:rPr>
                <w:rFonts w:eastAsia="Times New Roman" w:cs="Calibri" w:hint="eastAsia"/>
                <w:color w:val="000000"/>
                <w:kern w:val="0"/>
                <w:szCs w:val="22"/>
                <w14:ligatures w14:val="none"/>
              </w:rPr>
              <w:t>chieve an average electricity consumption of new passenger BEVs of ≤12.0 kWh/100 km.</w:t>
            </w:r>
          </w:p>
        </w:tc>
        <w:tc>
          <w:tcPr>
            <w:tcW w:w="1134" w:type="dxa"/>
            <w:tcBorders>
              <w:top w:val="nil"/>
              <w:left w:val="nil"/>
              <w:bottom w:val="single" w:sz="4" w:space="0" w:color="auto"/>
              <w:right w:val="single" w:sz="4" w:space="0" w:color="auto"/>
            </w:tcBorders>
            <w:shd w:val="clear" w:color="auto" w:fill="auto"/>
            <w:noWrap/>
            <w:vAlign w:val="center"/>
            <w:hideMark/>
          </w:tcPr>
          <w:p w14:paraId="20A9C7E8"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2C66E4A0"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New Energy Automobile Industry Development Plan (2021-2035)</w:t>
            </w:r>
          </w:p>
        </w:tc>
        <w:tc>
          <w:tcPr>
            <w:tcW w:w="1418" w:type="dxa"/>
            <w:tcBorders>
              <w:top w:val="nil"/>
              <w:left w:val="nil"/>
              <w:bottom w:val="single" w:sz="4" w:space="0" w:color="auto"/>
              <w:right w:val="single" w:sz="4" w:space="0" w:color="auto"/>
            </w:tcBorders>
            <w:shd w:val="clear" w:color="auto" w:fill="auto"/>
            <w:vAlign w:val="center"/>
            <w:hideMark/>
          </w:tcPr>
          <w:p w14:paraId="025DA3B2"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5D5DA7C6" w14:textId="5C214B20" w:rsidR="00D57345" w:rsidRPr="00610296" w:rsidRDefault="005E18CF" w:rsidP="0034671A">
            <w:pPr>
              <w:spacing w:after="0" w:line="240" w:lineRule="auto"/>
              <w:rPr>
                <w:rFonts w:eastAsia="Times New Roman" w:cs="Calibri"/>
                <w:kern w:val="0"/>
                <w:szCs w:val="22"/>
                <w14:ligatures w14:val="none"/>
              </w:rPr>
            </w:pPr>
            <w:r w:rsidRPr="005E18CF">
              <w:rPr>
                <w:rFonts w:eastAsia="Times New Roman" w:cs="Calibri"/>
                <w:kern w:val="0"/>
                <w:szCs w:val="22"/>
                <w14:ligatures w14:val="none"/>
              </w:rPr>
              <w:t>According to an investigation by the International Council on Clean Transportation in 2023, the real-world technology efficiency of BEVs in China ranged from 8.8 to 14.1 kWh/100 km. The target level falls within this range.</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CFA350A"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5D1B6DE"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696154C3"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5FDAF2E"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0.65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0365899"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MEDIUM</w:t>
            </w:r>
          </w:p>
        </w:tc>
      </w:tr>
      <w:tr w:rsidR="00D57345" w:rsidRPr="00610296" w14:paraId="0A78E873" w14:textId="77777777" w:rsidTr="0034671A">
        <w:trPr>
          <w:trHeight w:val="1224"/>
        </w:trPr>
        <w:tc>
          <w:tcPr>
            <w:tcW w:w="750" w:type="dxa"/>
            <w:tcBorders>
              <w:top w:val="nil"/>
              <w:left w:val="single" w:sz="4" w:space="0" w:color="auto"/>
              <w:bottom w:val="single" w:sz="4" w:space="0" w:color="auto"/>
              <w:right w:val="single" w:sz="4" w:space="0" w:color="auto"/>
            </w:tcBorders>
            <w:shd w:val="clear" w:color="auto" w:fill="auto"/>
            <w:noWrap/>
            <w:hideMark/>
          </w:tcPr>
          <w:p w14:paraId="31BD8F4E"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502F7CCD" w14:textId="53014A86" w:rsidR="00D57345" w:rsidRPr="00610296" w:rsidRDefault="005E18CF"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5E18CF">
              <w:rPr>
                <w:rFonts w:eastAsia="Times New Roman" w:cs="Calibri"/>
                <w:color w:val="000000"/>
                <w:kern w:val="0"/>
                <w:szCs w:val="22"/>
                <w14:ligatures w14:val="none"/>
              </w:rPr>
              <w:t>he average fuel consumption of new passenger cars will be reduced to 4.0 litres/100 km.</w:t>
            </w:r>
          </w:p>
        </w:tc>
        <w:tc>
          <w:tcPr>
            <w:tcW w:w="1134" w:type="dxa"/>
            <w:tcBorders>
              <w:top w:val="nil"/>
              <w:left w:val="nil"/>
              <w:bottom w:val="single" w:sz="4" w:space="0" w:color="auto"/>
              <w:right w:val="single" w:sz="4" w:space="0" w:color="auto"/>
            </w:tcBorders>
            <w:shd w:val="clear" w:color="auto" w:fill="auto"/>
            <w:noWrap/>
            <w:vAlign w:val="center"/>
            <w:hideMark/>
          </w:tcPr>
          <w:p w14:paraId="48D399A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78BAFCC0"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Mandatory National Standard: Fuel Consumption Limits for Passenger Cars (GB 19578-2021)</w:t>
            </w:r>
          </w:p>
        </w:tc>
        <w:tc>
          <w:tcPr>
            <w:tcW w:w="1418" w:type="dxa"/>
            <w:tcBorders>
              <w:top w:val="nil"/>
              <w:left w:val="nil"/>
              <w:bottom w:val="single" w:sz="4" w:space="0" w:color="auto"/>
              <w:right w:val="single" w:sz="4" w:space="0" w:color="auto"/>
            </w:tcBorders>
            <w:shd w:val="clear" w:color="auto" w:fill="auto"/>
            <w:vAlign w:val="center"/>
            <w:hideMark/>
          </w:tcPr>
          <w:p w14:paraId="387F4477"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Ministry </w:t>
            </w:r>
          </w:p>
        </w:tc>
        <w:tc>
          <w:tcPr>
            <w:tcW w:w="1984" w:type="dxa"/>
            <w:tcBorders>
              <w:top w:val="nil"/>
              <w:left w:val="nil"/>
              <w:bottom w:val="single" w:sz="4" w:space="0" w:color="auto"/>
              <w:right w:val="single" w:sz="4" w:space="0" w:color="auto"/>
            </w:tcBorders>
            <w:shd w:val="clear" w:color="auto" w:fill="auto"/>
            <w:vAlign w:val="center"/>
            <w:hideMark/>
          </w:tcPr>
          <w:p w14:paraId="057266AC" w14:textId="4FFCE2E3" w:rsidR="00D57345" w:rsidRPr="00610296" w:rsidRDefault="00493F09" w:rsidP="0034671A">
            <w:pPr>
              <w:spacing w:after="0" w:line="240" w:lineRule="auto"/>
              <w:rPr>
                <w:rFonts w:eastAsia="Times New Roman" w:cs="Calibri"/>
                <w:kern w:val="0"/>
                <w:szCs w:val="22"/>
                <w14:ligatures w14:val="none"/>
              </w:rPr>
            </w:pPr>
            <w:r w:rsidRPr="00493F09">
              <w:rPr>
                <w:rFonts w:eastAsia="Times New Roman" w:cs="Calibri"/>
                <w:kern w:val="0"/>
                <w:szCs w:val="22"/>
                <w14:ligatures w14:val="none"/>
              </w:rPr>
              <w:t>As it is a mandatory standard, we assume it will be fully implemented.</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0D97502"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color w:val="000000"/>
                <w:szCs w:val="22"/>
              </w:rPr>
              <w:t>100.00%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16A7AC3"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6CF444AF"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FBD01A"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46B7BCA"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ACHIEVED</w:t>
            </w:r>
          </w:p>
        </w:tc>
      </w:tr>
      <w:tr w:rsidR="00D57345" w:rsidRPr="00610296" w14:paraId="44D46209" w14:textId="77777777" w:rsidTr="0034671A">
        <w:trPr>
          <w:trHeight w:val="1428"/>
        </w:trPr>
        <w:tc>
          <w:tcPr>
            <w:tcW w:w="750" w:type="dxa"/>
            <w:tcBorders>
              <w:top w:val="nil"/>
              <w:left w:val="single" w:sz="4" w:space="0" w:color="auto"/>
              <w:bottom w:val="single" w:sz="4" w:space="0" w:color="auto"/>
              <w:right w:val="single" w:sz="4" w:space="0" w:color="auto"/>
            </w:tcBorders>
            <w:shd w:val="clear" w:color="auto" w:fill="auto"/>
            <w:noWrap/>
            <w:hideMark/>
          </w:tcPr>
          <w:p w14:paraId="5B7A451D"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7CBA525B" w14:textId="22FA7E96" w:rsidR="00D57345" w:rsidRPr="00610296" w:rsidRDefault="00493F09"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N</w:t>
            </w:r>
            <w:r w:rsidRPr="00493F09">
              <w:rPr>
                <w:rFonts w:eastAsia="Times New Roman" w:cs="Calibri"/>
                <w:color w:val="000000"/>
                <w:kern w:val="0"/>
                <w:szCs w:val="22"/>
                <w14:ligatures w14:val="none"/>
              </w:rPr>
              <w:t xml:space="preserve">ew energy buses are expected to account for 72% of all </w:t>
            </w:r>
            <w:proofErr w:type="gramStart"/>
            <w:r w:rsidRPr="00493F09">
              <w:rPr>
                <w:rFonts w:eastAsia="Times New Roman" w:cs="Calibri"/>
                <w:color w:val="000000"/>
                <w:kern w:val="0"/>
                <w:szCs w:val="22"/>
                <w14:ligatures w14:val="none"/>
              </w:rPr>
              <w:t>surface</w:t>
            </w:r>
            <w:proofErr w:type="gramEnd"/>
            <w:r w:rsidRPr="00493F09">
              <w:rPr>
                <w:rFonts w:eastAsia="Times New Roman" w:cs="Calibri"/>
                <w:color w:val="000000"/>
                <w:kern w:val="0"/>
                <w:szCs w:val="22"/>
                <w14:ligatures w14:val="none"/>
              </w:rPr>
              <w:t xml:space="preserve"> public transport vehicles in urban areas.</w:t>
            </w:r>
          </w:p>
        </w:tc>
        <w:tc>
          <w:tcPr>
            <w:tcW w:w="1134" w:type="dxa"/>
            <w:tcBorders>
              <w:top w:val="nil"/>
              <w:left w:val="nil"/>
              <w:bottom w:val="single" w:sz="4" w:space="0" w:color="auto"/>
              <w:right w:val="single" w:sz="4" w:space="0" w:color="auto"/>
            </w:tcBorders>
            <w:shd w:val="clear" w:color="auto" w:fill="auto"/>
            <w:noWrap/>
            <w:vAlign w:val="center"/>
            <w:hideMark/>
          </w:tcPr>
          <w:p w14:paraId="12F671AF"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13740D89"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The "14th Five-Year Plan for the Development of Modern Comprehensive Transportation System</w:t>
            </w:r>
          </w:p>
        </w:tc>
        <w:tc>
          <w:tcPr>
            <w:tcW w:w="1418" w:type="dxa"/>
            <w:tcBorders>
              <w:top w:val="nil"/>
              <w:left w:val="nil"/>
              <w:bottom w:val="single" w:sz="4" w:space="0" w:color="auto"/>
              <w:right w:val="single" w:sz="4" w:space="0" w:color="auto"/>
            </w:tcBorders>
            <w:shd w:val="clear" w:color="auto" w:fill="auto"/>
            <w:vAlign w:val="center"/>
            <w:hideMark/>
          </w:tcPr>
          <w:p w14:paraId="6637F4C5"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0BB605A8" w14:textId="6E95ADC5" w:rsidR="00D57345" w:rsidRPr="00610296" w:rsidRDefault="006E55C3" w:rsidP="0034671A">
            <w:pPr>
              <w:spacing w:after="0" w:line="240" w:lineRule="auto"/>
              <w:rPr>
                <w:rFonts w:eastAsia="Times New Roman" w:cs="Calibri"/>
                <w:kern w:val="0"/>
                <w:szCs w:val="22"/>
                <w14:ligatures w14:val="none"/>
              </w:rPr>
            </w:pPr>
            <w:r w:rsidRPr="006E55C3">
              <w:rPr>
                <w:rFonts w:eastAsia="Times New Roman" w:cs="Calibri"/>
                <w:kern w:val="0"/>
                <w:szCs w:val="22"/>
                <w14:ligatures w14:val="none"/>
              </w:rPr>
              <w:t xml:space="preserve">According to the Ministry of Transport, new energy buses had accounted for 81.9% of all </w:t>
            </w:r>
            <w:proofErr w:type="gramStart"/>
            <w:r w:rsidRPr="006E55C3">
              <w:rPr>
                <w:rFonts w:eastAsia="Times New Roman" w:cs="Calibri"/>
                <w:kern w:val="0"/>
                <w:szCs w:val="22"/>
                <w14:ligatures w14:val="none"/>
              </w:rPr>
              <w:t>surface</w:t>
            </w:r>
            <w:proofErr w:type="gramEnd"/>
            <w:r w:rsidRPr="006E55C3">
              <w:rPr>
                <w:rFonts w:eastAsia="Times New Roman" w:cs="Calibri"/>
                <w:kern w:val="0"/>
                <w:szCs w:val="22"/>
                <w14:ligatures w14:val="none"/>
              </w:rPr>
              <w:t xml:space="preserve"> public transport vehicles in urban areas.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6103BA92"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113.75%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7196A3F"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550DF2B7"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3252BAD"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1.07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409537B"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ACHIEVED</w:t>
            </w:r>
          </w:p>
        </w:tc>
      </w:tr>
      <w:tr w:rsidR="00D57345" w:rsidRPr="00610296" w14:paraId="14489037" w14:textId="77777777" w:rsidTr="0034671A">
        <w:trPr>
          <w:trHeight w:val="3060"/>
        </w:trPr>
        <w:tc>
          <w:tcPr>
            <w:tcW w:w="750" w:type="dxa"/>
            <w:tcBorders>
              <w:top w:val="nil"/>
              <w:left w:val="single" w:sz="4" w:space="0" w:color="auto"/>
              <w:bottom w:val="single" w:sz="4" w:space="0" w:color="auto"/>
              <w:right w:val="single" w:sz="4" w:space="0" w:color="auto"/>
            </w:tcBorders>
            <w:shd w:val="clear" w:color="auto" w:fill="auto"/>
            <w:noWrap/>
            <w:hideMark/>
          </w:tcPr>
          <w:p w14:paraId="22C1D0A2"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006D96C5" w14:textId="4F0F0A0F" w:rsidR="00D57345" w:rsidRPr="00610296" w:rsidRDefault="00AF044B" w:rsidP="0034671A">
            <w:pPr>
              <w:spacing w:after="0" w:line="240" w:lineRule="auto"/>
              <w:rPr>
                <w:rFonts w:eastAsia="Times New Roman" w:cs="Calibri"/>
                <w:color w:val="000000"/>
                <w:kern w:val="0"/>
                <w:szCs w:val="22"/>
                <w14:ligatures w14:val="none"/>
              </w:rPr>
            </w:pPr>
            <w:r w:rsidRPr="00AF044B">
              <w:rPr>
                <w:rFonts w:eastAsia="Times New Roman" w:cs="Calibri"/>
                <w:color w:val="000000"/>
                <w:kern w:val="0"/>
                <w:szCs w:val="22"/>
                <w14:ligatures w14:val="none"/>
              </w:rPr>
              <w:t>sales of new energy vehicles will account for about 20% of total new car sales.</w:t>
            </w:r>
          </w:p>
        </w:tc>
        <w:tc>
          <w:tcPr>
            <w:tcW w:w="1134" w:type="dxa"/>
            <w:tcBorders>
              <w:top w:val="nil"/>
              <w:left w:val="nil"/>
              <w:bottom w:val="single" w:sz="4" w:space="0" w:color="auto"/>
              <w:right w:val="single" w:sz="4" w:space="0" w:color="auto"/>
            </w:tcBorders>
            <w:shd w:val="clear" w:color="auto" w:fill="auto"/>
            <w:noWrap/>
            <w:vAlign w:val="center"/>
            <w:hideMark/>
          </w:tcPr>
          <w:p w14:paraId="073DB4B9"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654AD6AD"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14th Five-Year Plan on Modern Energy System Planning</w:t>
            </w:r>
            <w:r w:rsidRPr="00610296">
              <w:rPr>
                <w:rFonts w:eastAsia="Times New Roman" w:cs="Calibri"/>
                <w:color w:val="000000"/>
                <w:kern w:val="0"/>
                <w:szCs w:val="22"/>
                <w14:ligatures w14:val="none"/>
              </w:rPr>
              <w:br/>
              <w:t>The "14th Five-Year Plan" Comprehensive Work Plan for Energy Conservation and Emission Reduction</w:t>
            </w:r>
            <w:r w:rsidRPr="00610296">
              <w:rPr>
                <w:rFonts w:eastAsia="Times New Roman" w:cs="Calibri"/>
                <w:color w:val="000000"/>
                <w:kern w:val="0"/>
                <w:szCs w:val="22"/>
                <w14:ligatures w14:val="none"/>
              </w:rPr>
              <w:br/>
              <w:t>New Energy Automobile Industry Development Plan (2021-2035)</w:t>
            </w:r>
          </w:p>
        </w:tc>
        <w:tc>
          <w:tcPr>
            <w:tcW w:w="1418" w:type="dxa"/>
            <w:tcBorders>
              <w:top w:val="nil"/>
              <w:left w:val="nil"/>
              <w:bottom w:val="single" w:sz="4" w:space="0" w:color="auto"/>
              <w:right w:val="single" w:sz="4" w:space="0" w:color="auto"/>
            </w:tcBorders>
            <w:shd w:val="clear" w:color="auto" w:fill="auto"/>
            <w:vAlign w:val="center"/>
            <w:hideMark/>
          </w:tcPr>
          <w:p w14:paraId="031A9C68"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NDRC</w:t>
            </w:r>
          </w:p>
        </w:tc>
        <w:tc>
          <w:tcPr>
            <w:tcW w:w="1984" w:type="dxa"/>
            <w:tcBorders>
              <w:top w:val="nil"/>
              <w:left w:val="nil"/>
              <w:bottom w:val="single" w:sz="4" w:space="0" w:color="auto"/>
              <w:right w:val="single" w:sz="4" w:space="0" w:color="auto"/>
            </w:tcBorders>
            <w:shd w:val="clear" w:color="auto" w:fill="auto"/>
            <w:noWrap/>
            <w:vAlign w:val="center"/>
            <w:hideMark/>
          </w:tcPr>
          <w:p w14:paraId="195F6357" w14:textId="77777777" w:rsidR="00E52056" w:rsidRPr="00E52056" w:rsidRDefault="00E52056" w:rsidP="00E52056">
            <w:pPr>
              <w:rPr>
                <w:rFonts w:eastAsia="Times New Roman" w:cs="Calibri"/>
                <w:kern w:val="0"/>
                <w:szCs w:val="22"/>
                <w14:ligatures w14:val="none"/>
              </w:rPr>
            </w:pPr>
            <w:r w:rsidRPr="00E52056">
              <w:rPr>
                <w:rFonts w:eastAsia="Times New Roman" w:cs="Calibri"/>
                <w:kern w:val="0"/>
                <w:szCs w:val="22"/>
                <w14:ligatures w14:val="none"/>
              </w:rPr>
              <w:t>According to IEA data, the sales share was 38% in 2023 (11% in 2020).</w:t>
            </w:r>
          </w:p>
          <w:p w14:paraId="2EEEECA4" w14:textId="22CFCFB0" w:rsidR="00D57345" w:rsidRPr="00610296" w:rsidRDefault="00D57345" w:rsidP="0034671A">
            <w:pPr>
              <w:spacing w:after="0" w:line="240" w:lineRule="auto"/>
              <w:rPr>
                <w:rFonts w:cs="Calibri"/>
                <w:kern w:val="0"/>
                <w:szCs w:val="22"/>
                <w14:ligatures w14:val="none"/>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EF92587"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190.00%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7215D45"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nil"/>
            </w:tcBorders>
            <w:shd w:val="clear" w:color="auto" w:fill="auto"/>
            <w:noWrap/>
            <w:vAlign w:val="center"/>
            <w:hideMark/>
          </w:tcPr>
          <w:p w14:paraId="360406DE"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3885494"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1.20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0219B1E"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ACHIEVED</w:t>
            </w:r>
          </w:p>
        </w:tc>
      </w:tr>
      <w:tr w:rsidR="00D57345" w:rsidRPr="00610296" w14:paraId="47A65C90" w14:textId="77777777" w:rsidTr="0034671A">
        <w:trPr>
          <w:trHeight w:val="1428"/>
        </w:trPr>
        <w:tc>
          <w:tcPr>
            <w:tcW w:w="750" w:type="dxa"/>
            <w:tcBorders>
              <w:top w:val="nil"/>
              <w:left w:val="single" w:sz="4" w:space="0" w:color="auto"/>
              <w:bottom w:val="single" w:sz="4" w:space="0" w:color="auto"/>
              <w:right w:val="single" w:sz="4" w:space="0" w:color="auto"/>
            </w:tcBorders>
            <w:shd w:val="clear" w:color="auto" w:fill="auto"/>
            <w:noWrap/>
            <w:hideMark/>
          </w:tcPr>
          <w:p w14:paraId="3ED137F1"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2025</w:t>
            </w:r>
          </w:p>
        </w:tc>
        <w:tc>
          <w:tcPr>
            <w:tcW w:w="1485" w:type="dxa"/>
            <w:tcBorders>
              <w:top w:val="nil"/>
              <w:left w:val="nil"/>
              <w:bottom w:val="single" w:sz="4" w:space="0" w:color="auto"/>
              <w:right w:val="single" w:sz="4" w:space="0" w:color="auto"/>
            </w:tcBorders>
            <w:shd w:val="clear" w:color="auto" w:fill="auto"/>
            <w:vAlign w:val="center"/>
            <w:hideMark/>
          </w:tcPr>
          <w:p w14:paraId="7B5BE799" w14:textId="5B321A82" w:rsidR="00D57345" w:rsidRPr="00610296" w:rsidRDefault="00E52056"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E52056">
              <w:rPr>
                <w:rFonts w:eastAsia="Times New Roman" w:cs="Calibri"/>
                <w:color w:val="000000"/>
                <w:kern w:val="0"/>
                <w:szCs w:val="22"/>
                <w14:ligatures w14:val="none"/>
              </w:rPr>
              <w:t>he share of electricity consumption in building energy consumption will exceed 55%.</w:t>
            </w:r>
          </w:p>
        </w:tc>
        <w:tc>
          <w:tcPr>
            <w:tcW w:w="1134" w:type="dxa"/>
            <w:tcBorders>
              <w:top w:val="nil"/>
              <w:left w:val="nil"/>
              <w:bottom w:val="single" w:sz="4" w:space="0" w:color="auto"/>
              <w:right w:val="single" w:sz="4" w:space="0" w:color="auto"/>
            </w:tcBorders>
            <w:shd w:val="clear" w:color="auto" w:fill="auto"/>
            <w:noWrap/>
            <w:vAlign w:val="center"/>
            <w:hideMark/>
          </w:tcPr>
          <w:p w14:paraId="0FD0CAA0"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Building </w:t>
            </w:r>
          </w:p>
        </w:tc>
        <w:tc>
          <w:tcPr>
            <w:tcW w:w="2268" w:type="dxa"/>
            <w:tcBorders>
              <w:top w:val="nil"/>
              <w:left w:val="nil"/>
              <w:bottom w:val="single" w:sz="4" w:space="0" w:color="auto"/>
              <w:right w:val="single" w:sz="4" w:space="0" w:color="auto"/>
            </w:tcBorders>
            <w:shd w:val="clear" w:color="auto" w:fill="auto"/>
            <w:vAlign w:val="center"/>
            <w:hideMark/>
          </w:tcPr>
          <w:p w14:paraId="57FA2148"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14th Five-Year Plan for Building Energy Efficiency and Green Building Development</w:t>
            </w:r>
          </w:p>
        </w:tc>
        <w:tc>
          <w:tcPr>
            <w:tcW w:w="1418" w:type="dxa"/>
            <w:tcBorders>
              <w:top w:val="nil"/>
              <w:left w:val="nil"/>
              <w:bottom w:val="single" w:sz="4" w:space="0" w:color="auto"/>
              <w:right w:val="single" w:sz="4" w:space="0" w:color="auto"/>
            </w:tcBorders>
            <w:shd w:val="clear" w:color="auto" w:fill="auto"/>
            <w:vAlign w:val="center"/>
            <w:hideMark/>
          </w:tcPr>
          <w:p w14:paraId="31DBBA19"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Ministries</w:t>
            </w:r>
          </w:p>
        </w:tc>
        <w:tc>
          <w:tcPr>
            <w:tcW w:w="1984" w:type="dxa"/>
            <w:tcBorders>
              <w:top w:val="nil"/>
              <w:left w:val="nil"/>
              <w:bottom w:val="single" w:sz="4" w:space="0" w:color="auto"/>
              <w:right w:val="single" w:sz="4" w:space="0" w:color="auto"/>
            </w:tcBorders>
            <w:shd w:val="clear" w:color="auto" w:fill="auto"/>
            <w:vAlign w:val="center"/>
            <w:hideMark/>
          </w:tcPr>
          <w:p w14:paraId="557F1CFC" w14:textId="788667F0" w:rsidR="00D57345" w:rsidRPr="00610296" w:rsidRDefault="002713C6" w:rsidP="0034671A">
            <w:pPr>
              <w:spacing w:after="0" w:line="240" w:lineRule="auto"/>
              <w:rPr>
                <w:rFonts w:cs="Calibri"/>
                <w:kern w:val="0"/>
                <w:szCs w:val="22"/>
                <w14:ligatures w14:val="none"/>
              </w:rPr>
            </w:pPr>
            <w:r w:rsidRPr="002713C6">
              <w:rPr>
                <w:rFonts w:eastAsia="Times New Roman" w:cs="Calibri"/>
                <w:kern w:val="0"/>
                <w:szCs w:val="22"/>
                <w14:ligatures w14:val="none"/>
              </w:rPr>
              <w:t>According to the 2023 Chinese government evaluation report, the share of electricity consumption in building energy consumption was 48.1% (30%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887C977"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72.00%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C488C82"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66432C7E"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0ED2BD"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0.66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5B764E4"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MEDIUM</w:t>
            </w:r>
          </w:p>
        </w:tc>
      </w:tr>
      <w:tr w:rsidR="00D57345" w:rsidRPr="00610296" w14:paraId="089209AB" w14:textId="77777777" w:rsidTr="0034671A">
        <w:trPr>
          <w:trHeight w:val="3468"/>
        </w:trPr>
        <w:tc>
          <w:tcPr>
            <w:tcW w:w="750" w:type="dxa"/>
            <w:tcBorders>
              <w:top w:val="nil"/>
              <w:left w:val="single" w:sz="4" w:space="0" w:color="auto"/>
              <w:bottom w:val="single" w:sz="4" w:space="0" w:color="auto"/>
              <w:right w:val="single" w:sz="4" w:space="0" w:color="auto"/>
            </w:tcBorders>
            <w:shd w:val="clear" w:color="auto" w:fill="auto"/>
            <w:noWrap/>
            <w:hideMark/>
          </w:tcPr>
          <w:p w14:paraId="5439E311"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2025</w:t>
            </w:r>
          </w:p>
        </w:tc>
        <w:tc>
          <w:tcPr>
            <w:tcW w:w="1485" w:type="dxa"/>
            <w:tcBorders>
              <w:top w:val="nil"/>
              <w:left w:val="nil"/>
              <w:bottom w:val="single" w:sz="4" w:space="0" w:color="auto"/>
              <w:right w:val="single" w:sz="4" w:space="0" w:color="auto"/>
            </w:tcBorders>
            <w:shd w:val="clear" w:color="auto" w:fill="auto"/>
            <w:vAlign w:val="center"/>
            <w:hideMark/>
          </w:tcPr>
          <w:p w14:paraId="4BC8EC73" w14:textId="2E78F963" w:rsidR="00D57345" w:rsidRPr="00610296" w:rsidRDefault="002713C6"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R</w:t>
            </w:r>
            <w:r w:rsidRPr="002713C6">
              <w:rPr>
                <w:rFonts w:eastAsia="Times New Roman" w:cs="Calibri"/>
                <w:color w:val="000000"/>
                <w:kern w:val="0"/>
                <w:szCs w:val="22"/>
                <w14:ligatures w14:val="none"/>
              </w:rPr>
              <w:t>enewable energy use in urban buildings will reach 8%.</w:t>
            </w:r>
          </w:p>
        </w:tc>
        <w:tc>
          <w:tcPr>
            <w:tcW w:w="1134" w:type="dxa"/>
            <w:tcBorders>
              <w:top w:val="nil"/>
              <w:left w:val="nil"/>
              <w:bottom w:val="single" w:sz="4" w:space="0" w:color="auto"/>
              <w:right w:val="single" w:sz="4" w:space="0" w:color="auto"/>
            </w:tcBorders>
            <w:shd w:val="clear" w:color="auto" w:fill="auto"/>
            <w:noWrap/>
            <w:vAlign w:val="center"/>
            <w:hideMark/>
          </w:tcPr>
          <w:p w14:paraId="7623D97B"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Building</w:t>
            </w:r>
          </w:p>
        </w:tc>
        <w:tc>
          <w:tcPr>
            <w:tcW w:w="2268" w:type="dxa"/>
            <w:tcBorders>
              <w:top w:val="nil"/>
              <w:left w:val="nil"/>
              <w:bottom w:val="single" w:sz="4" w:space="0" w:color="auto"/>
              <w:right w:val="single" w:sz="4" w:space="0" w:color="auto"/>
            </w:tcBorders>
            <w:shd w:val="clear" w:color="auto" w:fill="auto"/>
            <w:vAlign w:val="center"/>
            <w:hideMark/>
          </w:tcPr>
          <w:p w14:paraId="585B3E7D"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r w:rsidRPr="00610296">
              <w:rPr>
                <w:rFonts w:eastAsia="Times New Roman" w:cs="Calibri"/>
                <w:color w:val="000000"/>
                <w:kern w:val="0"/>
                <w:szCs w:val="22"/>
                <w14:ligatures w14:val="none"/>
              </w:rPr>
              <w:br/>
              <w:t>2024-2025 Energy Conservation and Carbon Reduction Action Plan</w:t>
            </w:r>
            <w:r w:rsidRPr="00610296">
              <w:rPr>
                <w:rFonts w:eastAsia="Times New Roman" w:cs="Calibri"/>
                <w:color w:val="000000"/>
                <w:kern w:val="0"/>
                <w:szCs w:val="22"/>
                <w14:ligatures w14:val="none"/>
              </w:rPr>
              <w:br/>
              <w:t>14th Five-Year Plan for Building Energy Efficiency and Green Building Development</w:t>
            </w:r>
            <w:r w:rsidRPr="00610296">
              <w:rPr>
                <w:rFonts w:eastAsia="Times New Roman" w:cs="Calibri"/>
                <w:color w:val="000000"/>
                <w:kern w:val="0"/>
                <w:szCs w:val="22"/>
                <w14:ligatures w14:val="none"/>
              </w:rPr>
              <w:br/>
              <w:t>Implementation plan for carbon peaking in urban and rural construction</w:t>
            </w:r>
          </w:p>
        </w:tc>
        <w:tc>
          <w:tcPr>
            <w:tcW w:w="1418" w:type="dxa"/>
            <w:tcBorders>
              <w:top w:val="nil"/>
              <w:left w:val="nil"/>
              <w:bottom w:val="single" w:sz="4" w:space="0" w:color="auto"/>
              <w:right w:val="single" w:sz="4" w:space="0" w:color="auto"/>
            </w:tcBorders>
            <w:shd w:val="clear" w:color="auto" w:fill="auto"/>
            <w:vAlign w:val="center"/>
            <w:hideMark/>
          </w:tcPr>
          <w:p w14:paraId="3F793686"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noWrap/>
            <w:vAlign w:val="center"/>
            <w:hideMark/>
          </w:tcPr>
          <w:p w14:paraId="282D88D9" w14:textId="77777777" w:rsidR="00D57345" w:rsidRPr="00610296" w:rsidRDefault="00D57345" w:rsidP="0034671A">
            <w:pPr>
              <w:spacing w:after="0" w:line="240" w:lineRule="auto"/>
              <w:rPr>
                <w:rFonts w:eastAsia="Times New Roman" w:cs="Calibri"/>
                <w:kern w:val="0"/>
                <w:szCs w:val="22"/>
                <w14:ligatures w14:val="none"/>
              </w:rPr>
            </w:pPr>
            <w:r w:rsidRPr="00610296">
              <w:rPr>
                <w:rFonts w:eastAsia="Times New Roman" w:cs="Calibri"/>
                <w:kern w:val="0"/>
                <w:szCs w:val="22"/>
                <w14:ligatures w14:val="none"/>
              </w:rPr>
              <w:t>No evidence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5E7C252"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716CDA8"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20DC8844"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7645133"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0.75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E8BE9B7"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MEDIUM</w:t>
            </w:r>
          </w:p>
        </w:tc>
      </w:tr>
      <w:tr w:rsidR="00D57345" w:rsidRPr="00610296" w14:paraId="3DB0BF5F" w14:textId="77777777" w:rsidTr="0034671A">
        <w:trPr>
          <w:trHeight w:val="4488"/>
        </w:trPr>
        <w:tc>
          <w:tcPr>
            <w:tcW w:w="750" w:type="dxa"/>
            <w:tcBorders>
              <w:top w:val="nil"/>
              <w:left w:val="single" w:sz="4" w:space="0" w:color="auto"/>
              <w:bottom w:val="single" w:sz="4" w:space="0" w:color="auto"/>
              <w:right w:val="single" w:sz="4" w:space="0" w:color="auto"/>
            </w:tcBorders>
            <w:shd w:val="clear" w:color="auto" w:fill="auto"/>
            <w:noWrap/>
            <w:hideMark/>
          </w:tcPr>
          <w:p w14:paraId="6589A615"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6CB55FF9" w14:textId="033795A9" w:rsidR="00D57345" w:rsidRPr="00610296" w:rsidRDefault="001C6A2E"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L</w:t>
            </w:r>
            <w:r w:rsidRPr="001C6A2E">
              <w:rPr>
                <w:rFonts w:eastAsia="Times New Roman" w:cs="Calibri"/>
                <w:color w:val="000000"/>
                <w:kern w:val="0"/>
                <w:szCs w:val="22"/>
                <w14:ligatures w14:val="none"/>
              </w:rPr>
              <w:t>ower CO₂ emissions per unit of GDP by over 65% from the 2005 level.</w:t>
            </w:r>
          </w:p>
        </w:tc>
        <w:tc>
          <w:tcPr>
            <w:tcW w:w="1134" w:type="dxa"/>
            <w:tcBorders>
              <w:top w:val="nil"/>
              <w:left w:val="nil"/>
              <w:bottom w:val="single" w:sz="4" w:space="0" w:color="auto"/>
              <w:right w:val="single" w:sz="4" w:space="0" w:color="auto"/>
            </w:tcBorders>
            <w:shd w:val="clear" w:color="auto" w:fill="auto"/>
            <w:noWrap/>
            <w:vAlign w:val="center"/>
            <w:hideMark/>
          </w:tcPr>
          <w:p w14:paraId="052FC653"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14D8232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China’s Achievements, New Goals and New Measures for Nationally Determined Contributions</w:t>
            </w:r>
            <w:r w:rsidRPr="00610296">
              <w:rPr>
                <w:rFonts w:eastAsia="Times New Roman" w:cs="Calibri"/>
                <w:color w:val="000000"/>
                <w:kern w:val="0"/>
                <w:szCs w:val="22"/>
                <w14:ligatures w14:val="none"/>
              </w:rPr>
              <w:br/>
              <w:t>Working Guidance for Carbon Dioxide Peaking and Carbon Neutrality in Full and Faithful Implementation of the New Development Philosophy</w:t>
            </w:r>
            <w:r w:rsidRPr="00610296">
              <w:rPr>
                <w:rFonts w:eastAsia="Times New Roman" w:cs="Calibri"/>
                <w:color w:val="000000"/>
                <w:kern w:val="0"/>
                <w:szCs w:val="22"/>
                <w14:ligatures w14:val="none"/>
              </w:rPr>
              <w:b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r w:rsidRPr="00610296">
              <w:rPr>
                <w:rFonts w:eastAsia="Times New Roman" w:cs="Calibri"/>
                <w:color w:val="000000"/>
                <w:kern w:val="0"/>
                <w:szCs w:val="22"/>
                <w14:ligatures w14:val="none"/>
              </w:rPr>
              <w:br/>
              <w:t xml:space="preserve">14th Five-Year Plan on </w:t>
            </w:r>
            <w:r w:rsidRPr="00610296">
              <w:rPr>
                <w:rFonts w:eastAsia="Times New Roman" w:cs="Calibri"/>
                <w:color w:val="000000"/>
                <w:kern w:val="0"/>
                <w:szCs w:val="22"/>
                <w14:ligatures w14:val="none"/>
              </w:rPr>
              <w:lastRenderedPageBreak/>
              <w:t>Modern Energy System Planning</w:t>
            </w:r>
          </w:p>
        </w:tc>
        <w:tc>
          <w:tcPr>
            <w:tcW w:w="1418" w:type="dxa"/>
            <w:tcBorders>
              <w:top w:val="nil"/>
              <w:left w:val="nil"/>
              <w:bottom w:val="single" w:sz="4" w:space="0" w:color="auto"/>
              <w:right w:val="single" w:sz="4" w:space="0" w:color="auto"/>
            </w:tcBorders>
            <w:shd w:val="clear" w:color="auto" w:fill="auto"/>
            <w:vAlign w:val="center"/>
            <w:hideMark/>
          </w:tcPr>
          <w:p w14:paraId="42C9C0E6"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CCP</w:t>
            </w:r>
            <w:r w:rsidRPr="00610296">
              <w:rPr>
                <w:rFonts w:cs="Calibri"/>
                <w:color w:val="000000"/>
                <w:kern w:val="0"/>
                <w:szCs w:val="22"/>
                <w14:ligatures w14:val="none"/>
              </w:rPr>
              <w:t xml:space="preserve"> </w:t>
            </w:r>
            <w:r w:rsidRPr="00610296">
              <w:rPr>
                <w:rFonts w:eastAsia="Times New Roman" w:cs="Calibri"/>
                <w:color w:val="000000"/>
                <w:kern w:val="0"/>
                <w:szCs w:val="22"/>
                <w14:ligatures w14:val="none"/>
              </w:rPr>
              <w:t>&amp;</w:t>
            </w:r>
            <w:r w:rsidRPr="00610296">
              <w:rPr>
                <w:rFonts w:cs="Calibri"/>
                <w:color w:val="000000"/>
                <w:kern w:val="0"/>
                <w:szCs w:val="22"/>
                <w14:ligatures w14:val="none"/>
              </w:rPr>
              <w:t xml:space="preserve"> </w:t>
            </w: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50FA0BB3" w14:textId="613084A8" w:rsidR="00D57345" w:rsidRPr="00610296" w:rsidRDefault="001C6A2E" w:rsidP="0034671A">
            <w:pPr>
              <w:spacing w:after="0" w:line="240" w:lineRule="auto"/>
              <w:rPr>
                <w:rFonts w:cs="Calibri"/>
                <w:kern w:val="0"/>
                <w:szCs w:val="22"/>
                <w14:ligatures w14:val="none"/>
              </w:rPr>
            </w:pPr>
            <w:r w:rsidRPr="001C6A2E">
              <w:rPr>
                <w:rFonts w:eastAsia="Times New Roman" w:cs="Calibri"/>
                <w:kern w:val="0"/>
                <w:szCs w:val="22"/>
                <w14:ligatures w14:val="none"/>
              </w:rPr>
              <w:t>According to IEA data, China’s carbon intensity had been lowered by 50% from the 2005 level by 2023.</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39FAB32"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color w:val="000000"/>
                <w:szCs w:val="22"/>
              </w:rPr>
              <w:t>76.92%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F77567C"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603DAB29"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8DC351D"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0.88</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2EE5E9E"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HIGH</w:t>
            </w:r>
          </w:p>
        </w:tc>
      </w:tr>
      <w:tr w:rsidR="00D57345" w:rsidRPr="00610296" w14:paraId="723B777B" w14:textId="77777777" w:rsidTr="0034671A">
        <w:trPr>
          <w:trHeight w:val="4488"/>
        </w:trPr>
        <w:tc>
          <w:tcPr>
            <w:tcW w:w="750" w:type="dxa"/>
            <w:tcBorders>
              <w:top w:val="nil"/>
              <w:left w:val="single" w:sz="4" w:space="0" w:color="auto"/>
              <w:bottom w:val="single" w:sz="4" w:space="0" w:color="auto"/>
              <w:right w:val="single" w:sz="4" w:space="0" w:color="auto"/>
            </w:tcBorders>
            <w:shd w:val="clear" w:color="auto" w:fill="auto"/>
            <w:noWrap/>
            <w:hideMark/>
          </w:tcPr>
          <w:p w14:paraId="40AA6F9C"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6588942D" w14:textId="3B2D73FB" w:rsidR="00D57345" w:rsidRPr="00610296" w:rsidRDefault="00CE1DB7"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I</w:t>
            </w:r>
            <w:r w:rsidRPr="00CE1DB7">
              <w:rPr>
                <w:rFonts w:eastAsia="Times New Roman" w:cs="Calibri"/>
                <w:color w:val="000000"/>
                <w:kern w:val="0"/>
                <w:szCs w:val="22"/>
                <w14:ligatures w14:val="none"/>
              </w:rPr>
              <w:t>ncrease the share of non-fossil fuels in primary energy consumption to around 25%.</w:t>
            </w:r>
          </w:p>
        </w:tc>
        <w:tc>
          <w:tcPr>
            <w:tcW w:w="1134" w:type="dxa"/>
            <w:tcBorders>
              <w:top w:val="nil"/>
              <w:left w:val="nil"/>
              <w:bottom w:val="single" w:sz="4" w:space="0" w:color="auto"/>
              <w:right w:val="single" w:sz="4" w:space="0" w:color="auto"/>
            </w:tcBorders>
            <w:shd w:val="clear" w:color="auto" w:fill="auto"/>
            <w:noWrap/>
            <w:vAlign w:val="center"/>
            <w:hideMark/>
          </w:tcPr>
          <w:p w14:paraId="43A980C0"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58BD2FFF"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China’s Achievements, New Goals and New Measures for Nationally Determined Contributions</w:t>
            </w:r>
            <w:r w:rsidRPr="00610296">
              <w:rPr>
                <w:rFonts w:eastAsia="Times New Roman" w:cs="Calibri"/>
                <w:color w:val="000000"/>
                <w:kern w:val="0"/>
                <w:szCs w:val="22"/>
                <w14:ligatures w14:val="none"/>
              </w:rPr>
              <w:br/>
              <w:t>Working Guidance for Carbon Dioxide Peaking and Carbon Neutrality in Full and Faithful Implementation of the New Development Philosophy</w:t>
            </w:r>
            <w:r w:rsidRPr="00610296">
              <w:rPr>
                <w:rFonts w:eastAsia="Times New Roman" w:cs="Calibri"/>
                <w:color w:val="000000"/>
                <w:kern w:val="0"/>
                <w:szCs w:val="22"/>
                <w14:ligatures w14:val="none"/>
              </w:rPr>
              <w:b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r w:rsidRPr="00610296">
              <w:rPr>
                <w:rFonts w:eastAsia="Times New Roman" w:cs="Calibri"/>
                <w:color w:val="000000"/>
                <w:kern w:val="0"/>
                <w:szCs w:val="22"/>
                <w14:ligatures w14:val="none"/>
              </w:rPr>
              <w:br/>
            </w:r>
            <w:r w:rsidRPr="00610296">
              <w:rPr>
                <w:rFonts w:eastAsia="Times New Roman" w:cs="Calibri"/>
                <w:color w:val="000000"/>
                <w:kern w:val="0"/>
                <w:szCs w:val="22"/>
                <w14:ligatures w14:val="none"/>
              </w:rPr>
              <w:lastRenderedPageBreak/>
              <w:t>14th Five-Year Plan on Modern Energy System Planning</w:t>
            </w:r>
          </w:p>
        </w:tc>
        <w:tc>
          <w:tcPr>
            <w:tcW w:w="1418" w:type="dxa"/>
            <w:tcBorders>
              <w:top w:val="nil"/>
              <w:left w:val="nil"/>
              <w:bottom w:val="single" w:sz="4" w:space="0" w:color="auto"/>
              <w:right w:val="single" w:sz="4" w:space="0" w:color="auto"/>
            </w:tcBorders>
            <w:shd w:val="clear" w:color="auto" w:fill="auto"/>
            <w:vAlign w:val="center"/>
            <w:hideMark/>
          </w:tcPr>
          <w:p w14:paraId="6CE73934"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CCP</w:t>
            </w:r>
            <w:r w:rsidRPr="00610296">
              <w:rPr>
                <w:rFonts w:cs="Calibri"/>
                <w:color w:val="000000"/>
                <w:kern w:val="0"/>
                <w:szCs w:val="22"/>
                <w14:ligatures w14:val="none"/>
              </w:rPr>
              <w:t xml:space="preserve"> </w:t>
            </w:r>
            <w:r w:rsidRPr="00610296">
              <w:rPr>
                <w:rFonts w:eastAsia="Times New Roman" w:cs="Calibri"/>
                <w:color w:val="000000"/>
                <w:kern w:val="0"/>
                <w:szCs w:val="22"/>
                <w14:ligatures w14:val="none"/>
              </w:rPr>
              <w:t>&amp;State Council</w:t>
            </w:r>
          </w:p>
        </w:tc>
        <w:tc>
          <w:tcPr>
            <w:tcW w:w="1984" w:type="dxa"/>
            <w:tcBorders>
              <w:top w:val="nil"/>
              <w:left w:val="nil"/>
              <w:bottom w:val="single" w:sz="4" w:space="0" w:color="auto"/>
              <w:right w:val="single" w:sz="4" w:space="0" w:color="auto"/>
            </w:tcBorders>
            <w:shd w:val="clear" w:color="auto" w:fill="auto"/>
            <w:vAlign w:val="center"/>
            <w:hideMark/>
          </w:tcPr>
          <w:p w14:paraId="7D8A6B7C" w14:textId="1A0BFBD8" w:rsidR="00D57345" w:rsidRPr="00610296" w:rsidRDefault="007141EE" w:rsidP="0034671A">
            <w:pPr>
              <w:spacing w:after="0" w:line="240" w:lineRule="auto"/>
              <w:rPr>
                <w:rFonts w:cs="Calibri"/>
                <w:kern w:val="0"/>
                <w:szCs w:val="22"/>
                <w14:ligatures w14:val="none"/>
              </w:rPr>
            </w:pPr>
            <w:r w:rsidRPr="007141EE">
              <w:rPr>
                <w:rFonts w:eastAsia="Times New Roman" w:cs="Calibri"/>
                <w:kern w:val="0"/>
                <w:szCs w:val="22"/>
                <w14:ligatures w14:val="none"/>
              </w:rPr>
              <w:t>By 2023, the share of non-fossil fuels in primary energy consumption had increased to 17.5%, according to the mid-term evaluation report of the National Development and Reform Commission (15.9%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24A6DF5"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17.58%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C6917DC"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26C5342E"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66F99B5"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0.59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2689C28"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LOW</w:t>
            </w:r>
          </w:p>
        </w:tc>
      </w:tr>
      <w:tr w:rsidR="00D57345" w:rsidRPr="00610296" w14:paraId="35AC2B86" w14:textId="77777777" w:rsidTr="0034671A">
        <w:trPr>
          <w:trHeight w:val="4320"/>
        </w:trPr>
        <w:tc>
          <w:tcPr>
            <w:tcW w:w="750" w:type="dxa"/>
            <w:tcBorders>
              <w:top w:val="nil"/>
              <w:left w:val="single" w:sz="4" w:space="0" w:color="auto"/>
              <w:bottom w:val="single" w:sz="4" w:space="0" w:color="auto"/>
              <w:right w:val="single" w:sz="4" w:space="0" w:color="auto"/>
            </w:tcBorders>
            <w:shd w:val="clear" w:color="auto" w:fill="auto"/>
            <w:noWrap/>
            <w:hideMark/>
          </w:tcPr>
          <w:p w14:paraId="6E63986D"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7DDB796B" w14:textId="7B7F2E6D" w:rsidR="00D57345" w:rsidRPr="00610296" w:rsidRDefault="007141EE" w:rsidP="0034671A">
            <w:pPr>
              <w:spacing w:after="0" w:line="240" w:lineRule="auto"/>
              <w:rPr>
                <w:rFonts w:cs="Calibri"/>
                <w:color w:val="000000"/>
                <w:kern w:val="0"/>
                <w:szCs w:val="22"/>
                <w14:ligatures w14:val="none"/>
              </w:rPr>
            </w:pPr>
            <w:r>
              <w:rPr>
                <w:rFonts w:eastAsia="Times New Roman" w:cs="Calibri"/>
                <w:color w:val="000000"/>
                <w:kern w:val="0"/>
                <w:szCs w:val="22"/>
                <w14:ligatures w14:val="none"/>
              </w:rPr>
              <w:t>A</w:t>
            </w:r>
            <w:r w:rsidRPr="007141EE">
              <w:rPr>
                <w:rFonts w:eastAsia="Times New Roman" w:cs="Calibri"/>
                <w:color w:val="000000"/>
                <w:kern w:val="0"/>
                <w:szCs w:val="22"/>
                <w14:ligatures w14:val="none"/>
              </w:rPr>
              <w:t>pproximately 40 gigawatts of additional hydropower capacity will be installed from 2025, reaching 440 GW.</w:t>
            </w:r>
          </w:p>
        </w:tc>
        <w:tc>
          <w:tcPr>
            <w:tcW w:w="1134" w:type="dxa"/>
            <w:tcBorders>
              <w:top w:val="nil"/>
              <w:left w:val="nil"/>
              <w:bottom w:val="single" w:sz="4" w:space="0" w:color="auto"/>
              <w:right w:val="single" w:sz="4" w:space="0" w:color="auto"/>
            </w:tcBorders>
            <w:shd w:val="clear" w:color="auto" w:fill="auto"/>
            <w:noWrap/>
            <w:vAlign w:val="center"/>
            <w:hideMark/>
          </w:tcPr>
          <w:p w14:paraId="67CDE665"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Power sector</w:t>
            </w:r>
          </w:p>
        </w:tc>
        <w:tc>
          <w:tcPr>
            <w:tcW w:w="2268" w:type="dxa"/>
            <w:tcBorders>
              <w:top w:val="nil"/>
              <w:left w:val="nil"/>
              <w:bottom w:val="single" w:sz="4" w:space="0" w:color="auto"/>
              <w:right w:val="single" w:sz="4" w:space="0" w:color="auto"/>
            </w:tcBorders>
            <w:shd w:val="clear" w:color="auto" w:fill="auto"/>
            <w:vAlign w:val="center"/>
            <w:hideMark/>
          </w:tcPr>
          <w:p w14:paraId="610C9984"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r w:rsidRPr="00610296">
              <w:rPr>
                <w:rFonts w:eastAsia="Times New Roman" w:cs="Calibri"/>
                <w:color w:val="000000"/>
                <w:kern w:val="0"/>
                <w:szCs w:val="22"/>
                <w14:ligatures w14:val="none"/>
              </w:rPr>
              <w:b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3B6A3B37"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756E73C9" w14:textId="61656CF2" w:rsidR="00D57345" w:rsidRPr="00610296" w:rsidRDefault="00FC4670" w:rsidP="0034671A">
            <w:pPr>
              <w:spacing w:after="0" w:line="240" w:lineRule="auto"/>
              <w:rPr>
                <w:rFonts w:eastAsia="Times New Roman" w:cs="Calibri"/>
                <w:kern w:val="0"/>
                <w:szCs w:val="22"/>
                <w14:ligatures w14:val="none"/>
              </w:rPr>
            </w:pPr>
            <w:r w:rsidRPr="00FC4670">
              <w:rPr>
                <w:rFonts w:eastAsia="Times New Roman" w:cs="Calibri"/>
                <w:kern w:val="0"/>
                <w:szCs w:val="22"/>
                <w14:ligatures w14:val="none"/>
              </w:rPr>
              <w:t>Installed hydropower capacity had climbed 18% to 422 million kilowatts (kW) by the end of 2023, up from 358 million kW at the end of 2019, according to the National Bureau of Statistics (NBS).</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95CD8D0"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77.50%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9F66187"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2C085A33"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792E6B"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0.89</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EF69B2E"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HIGH</w:t>
            </w:r>
          </w:p>
        </w:tc>
      </w:tr>
      <w:tr w:rsidR="00D57345" w:rsidRPr="00610296" w14:paraId="1F595F5B" w14:textId="77777777" w:rsidTr="0034671A">
        <w:trPr>
          <w:trHeight w:val="4488"/>
        </w:trPr>
        <w:tc>
          <w:tcPr>
            <w:tcW w:w="750" w:type="dxa"/>
            <w:tcBorders>
              <w:top w:val="nil"/>
              <w:left w:val="single" w:sz="4" w:space="0" w:color="auto"/>
              <w:bottom w:val="single" w:sz="4" w:space="0" w:color="auto"/>
              <w:right w:val="single" w:sz="4" w:space="0" w:color="auto"/>
            </w:tcBorders>
            <w:shd w:val="clear" w:color="auto" w:fill="auto"/>
            <w:noWrap/>
            <w:hideMark/>
          </w:tcPr>
          <w:p w14:paraId="290E782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2030</w:t>
            </w:r>
          </w:p>
        </w:tc>
        <w:tc>
          <w:tcPr>
            <w:tcW w:w="1485" w:type="dxa"/>
            <w:tcBorders>
              <w:top w:val="nil"/>
              <w:left w:val="nil"/>
              <w:bottom w:val="single" w:sz="4" w:space="0" w:color="auto"/>
              <w:right w:val="single" w:sz="4" w:space="0" w:color="auto"/>
            </w:tcBorders>
            <w:shd w:val="clear" w:color="auto" w:fill="auto"/>
            <w:vAlign w:val="center"/>
            <w:hideMark/>
          </w:tcPr>
          <w:p w14:paraId="2B24BDD9" w14:textId="3EEB6274" w:rsidR="00D57345" w:rsidRPr="00610296" w:rsidRDefault="00D25891"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D25891">
              <w:rPr>
                <w:rFonts w:eastAsia="Times New Roman" w:cs="Calibri"/>
                <w:color w:val="000000"/>
                <w:kern w:val="0"/>
                <w:szCs w:val="22"/>
                <w14:ligatures w14:val="none"/>
              </w:rPr>
              <w:t>he total installed capacity of wind and solar power will increase to over 1.2 billion kilowatts.</w:t>
            </w:r>
          </w:p>
        </w:tc>
        <w:tc>
          <w:tcPr>
            <w:tcW w:w="1134" w:type="dxa"/>
            <w:tcBorders>
              <w:top w:val="nil"/>
              <w:left w:val="nil"/>
              <w:bottom w:val="single" w:sz="4" w:space="0" w:color="auto"/>
              <w:right w:val="single" w:sz="4" w:space="0" w:color="auto"/>
            </w:tcBorders>
            <w:shd w:val="clear" w:color="auto" w:fill="auto"/>
            <w:noWrap/>
            <w:vAlign w:val="center"/>
            <w:hideMark/>
          </w:tcPr>
          <w:p w14:paraId="3B93F876"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Power sector</w:t>
            </w:r>
          </w:p>
        </w:tc>
        <w:tc>
          <w:tcPr>
            <w:tcW w:w="2268" w:type="dxa"/>
            <w:tcBorders>
              <w:top w:val="nil"/>
              <w:left w:val="nil"/>
              <w:bottom w:val="single" w:sz="4" w:space="0" w:color="auto"/>
              <w:right w:val="single" w:sz="4" w:space="0" w:color="auto"/>
            </w:tcBorders>
            <w:shd w:val="clear" w:color="auto" w:fill="auto"/>
            <w:vAlign w:val="center"/>
            <w:hideMark/>
          </w:tcPr>
          <w:p w14:paraId="36AF9D69"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China’s Achievements, New Goals and New Measures for Nationally Determined Contributions</w:t>
            </w:r>
            <w:r w:rsidRPr="00610296">
              <w:rPr>
                <w:rFonts w:eastAsia="Times New Roman" w:cs="Calibri"/>
                <w:color w:val="000000"/>
                <w:kern w:val="0"/>
                <w:szCs w:val="22"/>
                <w14:ligatures w14:val="none"/>
              </w:rPr>
              <w:br/>
              <w:t>Working Guidance for Carbon Dioxide Peaking and Carbon Neutrality in Full and Faithful Implementation of the New Development Philosophy</w:t>
            </w:r>
            <w:r w:rsidRPr="00610296">
              <w:rPr>
                <w:rFonts w:eastAsia="Times New Roman" w:cs="Calibri"/>
                <w:color w:val="000000"/>
                <w:kern w:val="0"/>
                <w:szCs w:val="22"/>
                <w14:ligatures w14:val="none"/>
              </w:rPr>
              <w:b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r w:rsidRPr="00610296">
              <w:rPr>
                <w:rFonts w:eastAsia="Times New Roman" w:cs="Calibri"/>
                <w:color w:val="000000"/>
                <w:kern w:val="0"/>
                <w:szCs w:val="22"/>
                <w14:ligatures w14:val="none"/>
              </w:rPr>
              <w:br/>
              <w:t>14th Five-Year Plan of Renewable Energy</w:t>
            </w:r>
          </w:p>
        </w:tc>
        <w:tc>
          <w:tcPr>
            <w:tcW w:w="1418" w:type="dxa"/>
            <w:tcBorders>
              <w:top w:val="nil"/>
              <w:left w:val="nil"/>
              <w:bottom w:val="single" w:sz="4" w:space="0" w:color="auto"/>
              <w:right w:val="single" w:sz="4" w:space="0" w:color="auto"/>
            </w:tcBorders>
            <w:shd w:val="clear" w:color="auto" w:fill="auto"/>
            <w:vAlign w:val="center"/>
            <w:hideMark/>
          </w:tcPr>
          <w:p w14:paraId="0A36971F"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CCP</w:t>
            </w:r>
            <w:r w:rsidRPr="00610296">
              <w:rPr>
                <w:rFonts w:cs="Calibri"/>
                <w:color w:val="000000"/>
                <w:kern w:val="0"/>
                <w:szCs w:val="22"/>
                <w14:ligatures w14:val="none"/>
              </w:rPr>
              <w:t xml:space="preserve"> </w:t>
            </w:r>
            <w:r w:rsidRPr="00610296">
              <w:rPr>
                <w:rFonts w:eastAsia="Times New Roman" w:cs="Calibri"/>
                <w:color w:val="000000"/>
                <w:kern w:val="0"/>
                <w:szCs w:val="22"/>
                <w14:ligatures w14:val="none"/>
              </w:rPr>
              <w:t>&amp;</w:t>
            </w:r>
            <w:r w:rsidRPr="00610296">
              <w:rPr>
                <w:rFonts w:cs="Calibri"/>
                <w:color w:val="000000"/>
                <w:kern w:val="0"/>
                <w:szCs w:val="22"/>
                <w14:ligatures w14:val="none"/>
              </w:rPr>
              <w:t xml:space="preserve"> </w:t>
            </w: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6B5028CC" w14:textId="2E6BC56D" w:rsidR="00D57345" w:rsidRPr="00610296" w:rsidRDefault="00752760" w:rsidP="0034671A">
            <w:pPr>
              <w:spacing w:after="0" w:line="240" w:lineRule="auto"/>
              <w:rPr>
                <w:rFonts w:eastAsia="Times New Roman" w:cs="Calibri"/>
                <w:kern w:val="0"/>
                <w:szCs w:val="22"/>
                <w14:ligatures w14:val="none"/>
              </w:rPr>
            </w:pPr>
            <w:r w:rsidRPr="00752760">
              <w:rPr>
                <w:rFonts w:eastAsia="Times New Roman" w:cs="Calibri"/>
                <w:kern w:val="0"/>
                <w:szCs w:val="22"/>
                <w14:ligatures w14:val="none"/>
              </w:rPr>
              <w:t>The Guardian reports that China is on track to reach 1,200 GW of installed wind and solar capacity by the end of 2024, six years ahead of the government’s target.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D39FE36"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color w:val="000000"/>
                <w:szCs w:val="22"/>
              </w:rPr>
              <w:t>100.00%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34DA513C"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366B28C3"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07A2FF"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1.00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6804E887"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ACHIEVED</w:t>
            </w:r>
          </w:p>
        </w:tc>
      </w:tr>
      <w:tr w:rsidR="00D57345" w:rsidRPr="00610296" w14:paraId="1752EE10" w14:textId="77777777" w:rsidTr="0034671A">
        <w:trPr>
          <w:trHeight w:val="1836"/>
        </w:trPr>
        <w:tc>
          <w:tcPr>
            <w:tcW w:w="750" w:type="dxa"/>
            <w:tcBorders>
              <w:top w:val="nil"/>
              <w:left w:val="single" w:sz="4" w:space="0" w:color="auto"/>
              <w:bottom w:val="single" w:sz="4" w:space="0" w:color="auto"/>
              <w:right w:val="single" w:sz="4" w:space="0" w:color="auto"/>
            </w:tcBorders>
            <w:shd w:val="clear" w:color="auto" w:fill="auto"/>
            <w:noWrap/>
            <w:hideMark/>
          </w:tcPr>
          <w:p w14:paraId="42ABF781"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5A42FAB6" w14:textId="29AE7B21" w:rsidR="00D57345" w:rsidRPr="00610296" w:rsidRDefault="00752760"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752760">
              <w:rPr>
                <w:rFonts w:eastAsia="Times New Roman" w:cs="Calibri"/>
                <w:color w:val="000000"/>
                <w:kern w:val="0"/>
                <w:szCs w:val="22"/>
                <w14:ligatures w14:val="none"/>
              </w:rPr>
              <w:t xml:space="preserve">he share of incremental vehicles </w:t>
            </w:r>
            <w:proofErr w:type="spellStart"/>
            <w:r w:rsidRPr="00752760">
              <w:rPr>
                <w:rFonts w:eastAsia="Times New Roman" w:cs="Calibri"/>
                <w:color w:val="000000"/>
                <w:kern w:val="0"/>
                <w:szCs w:val="22"/>
                <w14:ligatures w14:val="none"/>
              </w:rPr>
              <w:t>fueled</w:t>
            </w:r>
            <w:proofErr w:type="spellEnd"/>
            <w:r w:rsidRPr="00752760">
              <w:rPr>
                <w:rFonts w:eastAsia="Times New Roman" w:cs="Calibri"/>
                <w:color w:val="000000"/>
                <w:kern w:val="0"/>
                <w:szCs w:val="22"/>
                <w14:ligatures w14:val="none"/>
              </w:rPr>
              <w:t xml:space="preserve"> by new and clean energy will reach around 40%.</w:t>
            </w:r>
          </w:p>
        </w:tc>
        <w:tc>
          <w:tcPr>
            <w:tcW w:w="1134" w:type="dxa"/>
            <w:tcBorders>
              <w:top w:val="nil"/>
              <w:left w:val="nil"/>
              <w:bottom w:val="single" w:sz="4" w:space="0" w:color="auto"/>
              <w:right w:val="single" w:sz="4" w:space="0" w:color="auto"/>
            </w:tcBorders>
            <w:shd w:val="clear" w:color="auto" w:fill="auto"/>
            <w:noWrap/>
            <w:vAlign w:val="center"/>
            <w:hideMark/>
          </w:tcPr>
          <w:p w14:paraId="5698F2B4"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44A3D462"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r w:rsidRPr="00610296">
              <w:rPr>
                <w:rFonts w:eastAsia="Times New Roman" w:cs="Calibri"/>
                <w:color w:val="000000"/>
                <w:kern w:val="0"/>
                <w:szCs w:val="22"/>
                <w14:ligatures w14:val="none"/>
              </w:rPr>
              <w:br/>
              <w:t>Implementation Plan for Synergizing the Reduction of Pollution and Carbon Emission</w:t>
            </w:r>
          </w:p>
        </w:tc>
        <w:tc>
          <w:tcPr>
            <w:tcW w:w="1418" w:type="dxa"/>
            <w:tcBorders>
              <w:top w:val="nil"/>
              <w:left w:val="nil"/>
              <w:bottom w:val="single" w:sz="4" w:space="0" w:color="auto"/>
              <w:right w:val="single" w:sz="4" w:space="0" w:color="auto"/>
            </w:tcBorders>
            <w:shd w:val="clear" w:color="auto" w:fill="auto"/>
            <w:vAlign w:val="center"/>
            <w:hideMark/>
          </w:tcPr>
          <w:p w14:paraId="5C178A24"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noWrap/>
            <w:vAlign w:val="center"/>
            <w:hideMark/>
          </w:tcPr>
          <w:p w14:paraId="0E1B7F6B" w14:textId="473CCFC2" w:rsidR="00D57345" w:rsidRPr="00610296" w:rsidRDefault="00DD0C1A" w:rsidP="0034671A">
            <w:pPr>
              <w:spacing w:after="0" w:line="240" w:lineRule="auto"/>
              <w:rPr>
                <w:rFonts w:eastAsia="Times New Roman" w:cs="Calibri"/>
                <w:kern w:val="0"/>
                <w:szCs w:val="22"/>
                <w14:ligatures w14:val="none"/>
              </w:rPr>
            </w:pPr>
            <w:r w:rsidRPr="00DD0C1A">
              <w:rPr>
                <w:rFonts w:eastAsia="Times New Roman" w:cs="Calibri"/>
                <w:kern w:val="0"/>
                <w:szCs w:val="22"/>
                <w14:ligatures w14:val="none"/>
              </w:rPr>
              <w:t>According to IEA data, the sales share was 38% in 2023 (11% in 2020).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FF3D468"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93.10%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58287DE2"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24723AB8"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D4362BC"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0.87</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D2FA17C"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HIGH</w:t>
            </w:r>
          </w:p>
        </w:tc>
      </w:tr>
      <w:tr w:rsidR="00D57345" w:rsidRPr="00610296" w14:paraId="4BBEBB59" w14:textId="77777777" w:rsidTr="0034671A">
        <w:trPr>
          <w:trHeight w:val="1428"/>
        </w:trPr>
        <w:tc>
          <w:tcPr>
            <w:tcW w:w="750" w:type="dxa"/>
            <w:tcBorders>
              <w:top w:val="nil"/>
              <w:left w:val="single" w:sz="4" w:space="0" w:color="auto"/>
              <w:bottom w:val="single" w:sz="4" w:space="0" w:color="auto"/>
              <w:right w:val="single" w:sz="4" w:space="0" w:color="auto"/>
            </w:tcBorders>
            <w:shd w:val="clear" w:color="auto" w:fill="auto"/>
            <w:noWrap/>
            <w:hideMark/>
          </w:tcPr>
          <w:p w14:paraId="63839162"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496D57EF" w14:textId="785F6EF4" w:rsidR="00D57345" w:rsidRPr="00610296" w:rsidRDefault="002164EE" w:rsidP="0034671A">
            <w:pPr>
              <w:spacing w:after="0" w:line="240" w:lineRule="auto"/>
              <w:rPr>
                <w:rFonts w:eastAsia="Times New Roman" w:cs="Calibri"/>
                <w:color w:val="000000"/>
                <w:kern w:val="0"/>
                <w:szCs w:val="22"/>
                <w14:ligatures w14:val="none"/>
              </w:rPr>
            </w:pPr>
            <w:r w:rsidRPr="002164EE">
              <w:rPr>
                <w:rFonts w:eastAsia="Times New Roman" w:cs="Calibri"/>
                <w:color w:val="000000"/>
                <w:kern w:val="0"/>
                <w:szCs w:val="22"/>
                <w14:ligatures w14:val="none"/>
              </w:rPr>
              <w:t>China will strive to reach a peak in petroleum consumption for land transportatio</w:t>
            </w:r>
            <w:r w:rsidRPr="002164EE">
              <w:rPr>
                <w:rFonts w:eastAsia="Times New Roman" w:cs="Calibri"/>
                <w:color w:val="000000"/>
                <w:kern w:val="0"/>
                <w:szCs w:val="22"/>
                <w14:ligatures w14:val="none"/>
              </w:rPr>
              <w:lastRenderedPageBreak/>
              <w:t>n before 2030.</w:t>
            </w:r>
          </w:p>
        </w:tc>
        <w:tc>
          <w:tcPr>
            <w:tcW w:w="1134" w:type="dxa"/>
            <w:tcBorders>
              <w:top w:val="nil"/>
              <w:left w:val="nil"/>
              <w:bottom w:val="single" w:sz="4" w:space="0" w:color="auto"/>
              <w:right w:val="single" w:sz="4" w:space="0" w:color="auto"/>
            </w:tcBorders>
            <w:shd w:val="clear" w:color="auto" w:fill="auto"/>
            <w:noWrap/>
            <w:vAlign w:val="center"/>
            <w:hideMark/>
          </w:tcPr>
          <w:p w14:paraId="02D344EB"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Transport</w:t>
            </w:r>
          </w:p>
        </w:tc>
        <w:tc>
          <w:tcPr>
            <w:tcW w:w="2268" w:type="dxa"/>
            <w:tcBorders>
              <w:top w:val="nil"/>
              <w:left w:val="nil"/>
              <w:bottom w:val="single" w:sz="4" w:space="0" w:color="auto"/>
              <w:right w:val="single" w:sz="4" w:space="0" w:color="auto"/>
            </w:tcBorders>
            <w:shd w:val="clear" w:color="auto" w:fill="auto"/>
            <w:vAlign w:val="center"/>
            <w:hideMark/>
          </w:tcPr>
          <w:p w14:paraId="7E079DB8"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The</w:t>
            </w:r>
            <w:r w:rsidRPr="00610296">
              <w:rPr>
                <w:rFonts w:eastAsia="Times New Roman" w:cs="Calibri"/>
                <w:color w:val="000000"/>
                <w:kern w:val="0"/>
                <w:szCs w:val="22"/>
                <w14:ligatures w14:val="none"/>
              </w:rPr>
              <w:t> </w:t>
            </w:r>
            <w:r w:rsidRPr="00610296">
              <w:rPr>
                <w:rFonts w:eastAsia="Times New Roman" w:cs="Calibri"/>
                <w:color w:val="000000"/>
                <w:kern w:val="0"/>
                <w:szCs w:val="22"/>
                <w14:ligatures w14:val="none"/>
              </w:rPr>
              <w:t>Action Plan for Carbon Peaking Before 2030 </w:t>
            </w:r>
          </w:p>
        </w:tc>
        <w:tc>
          <w:tcPr>
            <w:tcW w:w="1418" w:type="dxa"/>
            <w:tcBorders>
              <w:top w:val="nil"/>
              <w:left w:val="nil"/>
              <w:bottom w:val="single" w:sz="4" w:space="0" w:color="auto"/>
              <w:right w:val="single" w:sz="4" w:space="0" w:color="auto"/>
            </w:tcBorders>
            <w:shd w:val="clear" w:color="auto" w:fill="auto"/>
            <w:vAlign w:val="center"/>
            <w:hideMark/>
          </w:tcPr>
          <w:p w14:paraId="053A9E73"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noWrap/>
            <w:vAlign w:val="center"/>
            <w:hideMark/>
          </w:tcPr>
          <w:p w14:paraId="34DD5CE6" w14:textId="77777777" w:rsidR="00D57345" w:rsidRPr="00610296" w:rsidRDefault="00D57345" w:rsidP="0034671A">
            <w:pPr>
              <w:spacing w:after="0" w:line="240" w:lineRule="auto"/>
              <w:rPr>
                <w:rFonts w:eastAsia="Times New Roman" w:cs="Calibri"/>
                <w:kern w:val="0"/>
                <w:szCs w:val="22"/>
                <w14:ligatures w14:val="none"/>
              </w:rPr>
            </w:pPr>
            <w:r w:rsidRPr="00610296">
              <w:rPr>
                <w:rFonts w:eastAsia="Times New Roman" w:cs="Calibri"/>
                <w:kern w:val="0"/>
                <w:szCs w:val="22"/>
                <w14:ligatures w14:val="none"/>
              </w:rPr>
              <w:t>No evidence</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B41A318"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01AAAC3"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6A15A28D"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B09DF67"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0.75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24CC46A4"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MEDIUM</w:t>
            </w:r>
          </w:p>
        </w:tc>
      </w:tr>
      <w:tr w:rsidR="00D57345" w:rsidRPr="00610296" w14:paraId="32B6B37C" w14:textId="77777777" w:rsidTr="0034671A">
        <w:trPr>
          <w:trHeight w:val="1224"/>
        </w:trPr>
        <w:tc>
          <w:tcPr>
            <w:tcW w:w="750" w:type="dxa"/>
            <w:tcBorders>
              <w:top w:val="nil"/>
              <w:left w:val="single" w:sz="4" w:space="0" w:color="auto"/>
              <w:bottom w:val="single" w:sz="4" w:space="0" w:color="auto"/>
              <w:right w:val="single" w:sz="4" w:space="0" w:color="auto"/>
            </w:tcBorders>
            <w:shd w:val="clear" w:color="auto" w:fill="auto"/>
            <w:noWrap/>
            <w:hideMark/>
          </w:tcPr>
          <w:p w14:paraId="6F2620E4"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24C8C9AF" w14:textId="55EF801E" w:rsidR="00D57345" w:rsidRPr="00610296" w:rsidRDefault="009421F1"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9421F1">
              <w:rPr>
                <w:rFonts w:eastAsia="Times New Roman" w:cs="Calibri"/>
                <w:color w:val="000000"/>
                <w:kern w:val="0"/>
                <w:szCs w:val="22"/>
                <w14:ligatures w14:val="none"/>
              </w:rPr>
              <w:t>he average fuel consumption of new passenger cars will be reduced to 3.2 litres/100 km.</w:t>
            </w:r>
          </w:p>
        </w:tc>
        <w:tc>
          <w:tcPr>
            <w:tcW w:w="1134" w:type="dxa"/>
            <w:tcBorders>
              <w:top w:val="nil"/>
              <w:left w:val="nil"/>
              <w:bottom w:val="single" w:sz="4" w:space="0" w:color="auto"/>
              <w:right w:val="single" w:sz="4" w:space="0" w:color="auto"/>
            </w:tcBorders>
            <w:shd w:val="clear" w:color="auto" w:fill="auto"/>
            <w:noWrap/>
            <w:vAlign w:val="center"/>
            <w:hideMark/>
          </w:tcPr>
          <w:p w14:paraId="45EE05FB"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57684BFE"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Mandatory National Standard: Fuel Consumption Limits for Passenger Cars (GB 19578-2021)</w:t>
            </w:r>
          </w:p>
        </w:tc>
        <w:tc>
          <w:tcPr>
            <w:tcW w:w="1418" w:type="dxa"/>
            <w:tcBorders>
              <w:top w:val="nil"/>
              <w:left w:val="nil"/>
              <w:bottom w:val="single" w:sz="4" w:space="0" w:color="auto"/>
              <w:right w:val="single" w:sz="4" w:space="0" w:color="auto"/>
            </w:tcBorders>
            <w:shd w:val="clear" w:color="auto" w:fill="auto"/>
            <w:vAlign w:val="center"/>
            <w:hideMark/>
          </w:tcPr>
          <w:p w14:paraId="573838FF"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Ministries</w:t>
            </w:r>
          </w:p>
        </w:tc>
        <w:tc>
          <w:tcPr>
            <w:tcW w:w="1984" w:type="dxa"/>
            <w:tcBorders>
              <w:top w:val="nil"/>
              <w:left w:val="nil"/>
              <w:bottom w:val="single" w:sz="4" w:space="0" w:color="auto"/>
              <w:right w:val="single" w:sz="4" w:space="0" w:color="auto"/>
            </w:tcBorders>
            <w:shd w:val="clear" w:color="auto" w:fill="auto"/>
            <w:noWrap/>
            <w:vAlign w:val="center"/>
            <w:hideMark/>
          </w:tcPr>
          <w:p w14:paraId="22EF73CB" w14:textId="09DA71F6" w:rsidR="00D57345" w:rsidRPr="00610296" w:rsidRDefault="009421F1" w:rsidP="0034671A">
            <w:pPr>
              <w:spacing w:after="0" w:line="240" w:lineRule="auto"/>
              <w:rPr>
                <w:rFonts w:eastAsia="Times New Roman" w:cs="Calibri"/>
                <w:kern w:val="0"/>
                <w:szCs w:val="22"/>
                <w14:ligatures w14:val="none"/>
              </w:rPr>
            </w:pPr>
            <w:r w:rsidRPr="009421F1">
              <w:rPr>
                <w:rFonts w:eastAsia="Times New Roman" w:cs="Calibri"/>
                <w:kern w:val="0"/>
                <w:szCs w:val="22"/>
                <w14:ligatures w14:val="none"/>
              </w:rPr>
              <w:t>As it is a mandatory standard, we assumed it would be fully implemented.</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739EE76"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color w:val="000000"/>
                <w:szCs w:val="22"/>
              </w:rPr>
              <w:t>100.00%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47E1C27"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550AE49A"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DF0B905"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0.70</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6F6BCD3"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ACHIEVED</w:t>
            </w:r>
          </w:p>
        </w:tc>
      </w:tr>
      <w:tr w:rsidR="00D57345" w:rsidRPr="00610296" w14:paraId="6E867C62" w14:textId="77777777" w:rsidTr="0034671A">
        <w:trPr>
          <w:trHeight w:val="2652"/>
        </w:trPr>
        <w:tc>
          <w:tcPr>
            <w:tcW w:w="750" w:type="dxa"/>
            <w:tcBorders>
              <w:top w:val="nil"/>
              <w:left w:val="single" w:sz="4" w:space="0" w:color="auto"/>
              <w:bottom w:val="single" w:sz="4" w:space="0" w:color="auto"/>
              <w:right w:val="single" w:sz="4" w:space="0" w:color="auto"/>
            </w:tcBorders>
            <w:shd w:val="clear" w:color="auto" w:fill="auto"/>
            <w:noWrap/>
            <w:hideMark/>
          </w:tcPr>
          <w:p w14:paraId="261064CE"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5DF7F49F" w14:textId="723DD852" w:rsidR="00D57345" w:rsidRPr="00610296" w:rsidRDefault="00E454D3" w:rsidP="0034671A">
            <w:pPr>
              <w:spacing w:after="0" w:line="240" w:lineRule="auto"/>
              <w:rPr>
                <w:rFonts w:eastAsia="Times New Roman" w:cs="Calibri"/>
                <w:color w:val="000000"/>
                <w:kern w:val="0"/>
                <w:szCs w:val="22"/>
                <w14:ligatures w14:val="none"/>
              </w:rPr>
            </w:pPr>
            <w:r w:rsidRPr="00E454D3">
              <w:rPr>
                <w:rFonts w:eastAsia="Times New Roman" w:cs="Calibri"/>
                <w:color w:val="000000"/>
                <w:kern w:val="0"/>
                <w:szCs w:val="22"/>
                <w14:ligatures w14:val="none"/>
              </w:rPr>
              <w:t>100% of public vehicles will be electrified.</w:t>
            </w:r>
          </w:p>
        </w:tc>
        <w:tc>
          <w:tcPr>
            <w:tcW w:w="1134" w:type="dxa"/>
            <w:tcBorders>
              <w:top w:val="nil"/>
              <w:left w:val="nil"/>
              <w:bottom w:val="single" w:sz="4" w:space="0" w:color="auto"/>
              <w:right w:val="single" w:sz="4" w:space="0" w:color="auto"/>
            </w:tcBorders>
            <w:shd w:val="clear" w:color="auto" w:fill="auto"/>
            <w:noWrap/>
            <w:vAlign w:val="center"/>
            <w:hideMark/>
          </w:tcPr>
          <w:p w14:paraId="0C706409"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Transport</w:t>
            </w:r>
          </w:p>
        </w:tc>
        <w:tc>
          <w:tcPr>
            <w:tcW w:w="2268" w:type="dxa"/>
            <w:tcBorders>
              <w:top w:val="nil"/>
              <w:left w:val="nil"/>
              <w:bottom w:val="single" w:sz="4" w:space="0" w:color="auto"/>
              <w:right w:val="single" w:sz="4" w:space="0" w:color="auto"/>
            </w:tcBorders>
            <w:shd w:val="clear" w:color="auto" w:fill="auto"/>
            <w:vAlign w:val="center"/>
            <w:hideMark/>
          </w:tcPr>
          <w:p w14:paraId="4EBA72CD"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14th Five-Year Plan of Green Transportation Development </w:t>
            </w:r>
            <w:r w:rsidRPr="00610296">
              <w:rPr>
                <w:rFonts w:eastAsia="Times New Roman" w:cs="Calibri"/>
                <w:color w:val="000000"/>
                <w:kern w:val="0"/>
                <w:szCs w:val="22"/>
                <w14:ligatures w14:val="none"/>
              </w:rPr>
              <w:br/>
              <w:t>Action Plan for Continuous Improvement of Air Quality</w:t>
            </w:r>
            <w:r w:rsidRPr="00610296">
              <w:rPr>
                <w:rFonts w:eastAsia="Times New Roman" w:cs="Calibri"/>
                <w:color w:val="000000"/>
                <w:kern w:val="0"/>
                <w:szCs w:val="22"/>
                <w14:ligatures w14:val="none"/>
              </w:rPr>
              <w:br/>
              <w:t>New Energy Automobile Industry Development Plan (2021-2035)</w:t>
            </w:r>
          </w:p>
        </w:tc>
        <w:tc>
          <w:tcPr>
            <w:tcW w:w="1418" w:type="dxa"/>
            <w:tcBorders>
              <w:top w:val="nil"/>
              <w:left w:val="nil"/>
              <w:bottom w:val="single" w:sz="4" w:space="0" w:color="auto"/>
              <w:right w:val="single" w:sz="4" w:space="0" w:color="auto"/>
            </w:tcBorders>
            <w:shd w:val="clear" w:color="auto" w:fill="auto"/>
            <w:vAlign w:val="center"/>
            <w:hideMark/>
          </w:tcPr>
          <w:p w14:paraId="61D311E4"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State Council</w:t>
            </w:r>
          </w:p>
        </w:tc>
        <w:tc>
          <w:tcPr>
            <w:tcW w:w="1984" w:type="dxa"/>
            <w:tcBorders>
              <w:top w:val="nil"/>
              <w:left w:val="nil"/>
              <w:bottom w:val="single" w:sz="4" w:space="0" w:color="auto"/>
              <w:right w:val="single" w:sz="4" w:space="0" w:color="auto"/>
            </w:tcBorders>
            <w:shd w:val="clear" w:color="auto" w:fill="auto"/>
            <w:vAlign w:val="center"/>
            <w:hideMark/>
          </w:tcPr>
          <w:p w14:paraId="7962357C" w14:textId="3C37F85C" w:rsidR="00D57345" w:rsidRPr="00610296" w:rsidRDefault="00E454D3" w:rsidP="0034671A">
            <w:pPr>
              <w:spacing w:after="0" w:line="240" w:lineRule="auto"/>
              <w:rPr>
                <w:rFonts w:cs="Calibri"/>
                <w:kern w:val="0"/>
                <w:szCs w:val="22"/>
                <w14:ligatures w14:val="none"/>
              </w:rPr>
            </w:pPr>
            <w:r w:rsidRPr="00E454D3">
              <w:rPr>
                <w:rFonts w:eastAsia="Times New Roman" w:cs="Calibri"/>
                <w:kern w:val="0"/>
                <w:szCs w:val="22"/>
                <w14:ligatures w14:val="none"/>
              </w:rPr>
              <w:t xml:space="preserve">According to the Ministry of Transport, new energy buses had accounted for 81.9% of all </w:t>
            </w:r>
            <w:proofErr w:type="gramStart"/>
            <w:r w:rsidRPr="00E454D3">
              <w:rPr>
                <w:rFonts w:eastAsia="Times New Roman" w:cs="Calibri"/>
                <w:kern w:val="0"/>
                <w:szCs w:val="22"/>
                <w14:ligatures w14:val="none"/>
              </w:rPr>
              <w:t>surface</w:t>
            </w:r>
            <w:proofErr w:type="gramEnd"/>
            <w:r w:rsidRPr="00E454D3">
              <w:rPr>
                <w:rFonts w:eastAsia="Times New Roman" w:cs="Calibri"/>
                <w:kern w:val="0"/>
                <w:szCs w:val="22"/>
                <w14:ligatures w14:val="none"/>
              </w:rPr>
              <w:t xml:space="preserve"> public transport vehicles in urban areas (70%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7AAD832" w14:textId="77777777" w:rsidR="00D57345" w:rsidRPr="00610296" w:rsidRDefault="00D57345" w:rsidP="0034671A">
            <w:pPr>
              <w:spacing w:after="0" w:line="240" w:lineRule="auto"/>
              <w:jc w:val="center"/>
              <w:rPr>
                <w:rFonts w:cs="Calibri"/>
                <w:kern w:val="0"/>
                <w:szCs w:val="22"/>
                <w:highlight w:val="yellow"/>
                <w14:ligatures w14:val="none"/>
              </w:rPr>
            </w:pPr>
            <w:r w:rsidRPr="00610296">
              <w:rPr>
                <w:rFonts w:cs="Calibri"/>
                <w:color w:val="000000"/>
                <w:szCs w:val="22"/>
              </w:rPr>
              <w:t>81.90%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034E3A3" w14:textId="77777777" w:rsidR="00D57345" w:rsidRPr="00610296" w:rsidRDefault="00D57345" w:rsidP="0034671A">
            <w:pPr>
              <w:spacing w:after="0" w:line="240" w:lineRule="auto"/>
              <w:jc w:val="center"/>
              <w:rPr>
                <w:rFonts w:cs="Calibri"/>
                <w:kern w:val="0"/>
                <w:szCs w:val="22"/>
                <w:highlight w:val="yellow"/>
                <w14:ligatures w14:val="none"/>
              </w:rPr>
            </w:pPr>
            <w:r w:rsidRPr="00610296">
              <w:rPr>
                <w:rFonts w:cs="Calibri"/>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080DA628"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EABFA04"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0.91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6A3371E" w14:textId="77777777" w:rsidR="00D57345" w:rsidRPr="00610296" w:rsidRDefault="00D57345" w:rsidP="0034671A">
            <w:pPr>
              <w:spacing w:after="0" w:line="240" w:lineRule="auto"/>
              <w:rPr>
                <w:rFonts w:cs="Calibri"/>
                <w:b/>
                <w:bCs/>
                <w:kern w:val="0"/>
                <w:szCs w:val="22"/>
                <w14:ligatures w14:val="none"/>
              </w:rPr>
            </w:pPr>
            <w:r w:rsidRPr="00610296">
              <w:rPr>
                <w:rFonts w:cs="Calibri"/>
                <w:b/>
                <w:bCs/>
                <w:color w:val="000000"/>
                <w:szCs w:val="22"/>
              </w:rPr>
              <w:t>HIGH</w:t>
            </w:r>
          </w:p>
        </w:tc>
      </w:tr>
      <w:tr w:rsidR="00D57345" w:rsidRPr="00610296" w14:paraId="25A7A716" w14:textId="77777777" w:rsidTr="0034671A">
        <w:trPr>
          <w:trHeight w:val="2244"/>
        </w:trPr>
        <w:tc>
          <w:tcPr>
            <w:tcW w:w="750" w:type="dxa"/>
            <w:tcBorders>
              <w:top w:val="nil"/>
              <w:left w:val="single" w:sz="4" w:space="0" w:color="auto"/>
              <w:bottom w:val="single" w:sz="4" w:space="0" w:color="auto"/>
              <w:right w:val="single" w:sz="4" w:space="0" w:color="auto"/>
            </w:tcBorders>
            <w:shd w:val="clear" w:color="auto" w:fill="auto"/>
            <w:noWrap/>
            <w:hideMark/>
          </w:tcPr>
          <w:p w14:paraId="385EB536"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2030</w:t>
            </w:r>
          </w:p>
        </w:tc>
        <w:tc>
          <w:tcPr>
            <w:tcW w:w="1485" w:type="dxa"/>
            <w:tcBorders>
              <w:top w:val="nil"/>
              <w:left w:val="nil"/>
              <w:bottom w:val="single" w:sz="4" w:space="0" w:color="auto"/>
              <w:right w:val="single" w:sz="4" w:space="0" w:color="auto"/>
            </w:tcBorders>
            <w:shd w:val="clear" w:color="auto" w:fill="auto"/>
            <w:vAlign w:val="center"/>
            <w:hideMark/>
          </w:tcPr>
          <w:p w14:paraId="245AAAF7" w14:textId="1E45F530" w:rsidR="00D57345" w:rsidRPr="00610296" w:rsidRDefault="00BC0FBE"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BC0FBE">
              <w:rPr>
                <w:rFonts w:eastAsia="Times New Roman" w:cs="Calibri"/>
                <w:color w:val="000000"/>
                <w:kern w:val="0"/>
                <w:szCs w:val="22"/>
                <w14:ligatures w14:val="none"/>
              </w:rPr>
              <w:t>he proportion of EAF in iron and steel production will increase to over 20%.</w:t>
            </w:r>
          </w:p>
        </w:tc>
        <w:tc>
          <w:tcPr>
            <w:tcW w:w="1134" w:type="dxa"/>
            <w:tcBorders>
              <w:top w:val="nil"/>
              <w:left w:val="nil"/>
              <w:bottom w:val="single" w:sz="4" w:space="0" w:color="auto"/>
              <w:right w:val="single" w:sz="4" w:space="0" w:color="auto"/>
            </w:tcBorders>
            <w:shd w:val="clear" w:color="auto" w:fill="auto"/>
            <w:noWrap/>
            <w:vAlign w:val="center"/>
            <w:hideMark/>
          </w:tcPr>
          <w:p w14:paraId="455D911C"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Industry</w:t>
            </w:r>
          </w:p>
        </w:tc>
        <w:tc>
          <w:tcPr>
            <w:tcW w:w="2268" w:type="dxa"/>
            <w:tcBorders>
              <w:top w:val="nil"/>
              <w:left w:val="nil"/>
              <w:bottom w:val="single" w:sz="4" w:space="0" w:color="auto"/>
              <w:right w:val="single" w:sz="4" w:space="0" w:color="auto"/>
            </w:tcBorders>
            <w:shd w:val="clear" w:color="auto" w:fill="auto"/>
            <w:vAlign w:val="center"/>
            <w:hideMark/>
          </w:tcPr>
          <w:p w14:paraId="3194AEAC"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Implementation Plan for Synergizing the Reduction of Pollution and Carbon Emission</w:t>
            </w:r>
            <w:r w:rsidRPr="00610296">
              <w:rPr>
                <w:rFonts w:eastAsia="Times New Roman" w:cs="Calibri"/>
                <w:color w:val="000000"/>
                <w:kern w:val="0"/>
                <w:szCs w:val="22"/>
                <w14:ligatures w14:val="none"/>
              </w:rPr>
              <w:br/>
              <w:t>The Implementation Plan for Carbon Peaking in the Industrial Sector</w:t>
            </w:r>
          </w:p>
        </w:tc>
        <w:tc>
          <w:tcPr>
            <w:tcW w:w="1418" w:type="dxa"/>
            <w:tcBorders>
              <w:top w:val="nil"/>
              <w:left w:val="nil"/>
              <w:bottom w:val="single" w:sz="4" w:space="0" w:color="auto"/>
              <w:right w:val="single" w:sz="4" w:space="0" w:color="auto"/>
            </w:tcBorders>
            <w:shd w:val="clear" w:color="auto" w:fill="auto"/>
            <w:vAlign w:val="center"/>
            <w:hideMark/>
          </w:tcPr>
          <w:p w14:paraId="2FFDCB9C"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Ministries </w:t>
            </w:r>
          </w:p>
        </w:tc>
        <w:tc>
          <w:tcPr>
            <w:tcW w:w="1984" w:type="dxa"/>
            <w:tcBorders>
              <w:top w:val="nil"/>
              <w:left w:val="nil"/>
              <w:bottom w:val="single" w:sz="4" w:space="0" w:color="auto"/>
              <w:right w:val="single" w:sz="4" w:space="0" w:color="auto"/>
            </w:tcBorders>
            <w:shd w:val="clear" w:color="auto" w:fill="auto"/>
            <w:vAlign w:val="center"/>
            <w:hideMark/>
          </w:tcPr>
          <w:p w14:paraId="3678F252" w14:textId="33911AFA" w:rsidR="00D57345" w:rsidRPr="00610296" w:rsidRDefault="00037410" w:rsidP="0034671A">
            <w:pPr>
              <w:spacing w:after="0" w:line="240" w:lineRule="auto"/>
              <w:rPr>
                <w:rFonts w:eastAsia="Times New Roman" w:cs="Calibri"/>
                <w:kern w:val="0"/>
                <w:szCs w:val="22"/>
                <w14:ligatures w14:val="none"/>
              </w:rPr>
            </w:pPr>
            <w:r w:rsidRPr="00037410">
              <w:rPr>
                <w:rFonts w:eastAsia="Times New Roman" w:cs="Calibri"/>
                <w:kern w:val="0"/>
                <w:szCs w:val="22"/>
                <w14:ligatures w14:val="none"/>
              </w:rPr>
              <w:t>As of January 2024, China had installed 151 million metric tons per year of operating EAF capacity, exceeding the 143 million metric tons per year needed to achieve the 15% EAF production target, according to report by Global Energy Monitor.</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8F4F4AD"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50.00%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85B763A"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nil"/>
            </w:tcBorders>
            <w:shd w:val="clear" w:color="auto" w:fill="auto"/>
            <w:noWrap/>
            <w:vAlign w:val="center"/>
            <w:hideMark/>
          </w:tcPr>
          <w:p w14:paraId="77D35FB1"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30AF43A"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0.45</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56481056"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LOW</w:t>
            </w:r>
          </w:p>
        </w:tc>
      </w:tr>
      <w:tr w:rsidR="00D57345" w:rsidRPr="00610296" w14:paraId="15E37FC1" w14:textId="77777777" w:rsidTr="0034671A">
        <w:trPr>
          <w:trHeight w:val="66"/>
        </w:trPr>
        <w:tc>
          <w:tcPr>
            <w:tcW w:w="750" w:type="dxa"/>
            <w:tcBorders>
              <w:top w:val="nil"/>
              <w:left w:val="single" w:sz="4" w:space="0" w:color="auto"/>
              <w:bottom w:val="single" w:sz="4" w:space="0" w:color="auto"/>
              <w:right w:val="single" w:sz="4" w:space="0" w:color="auto"/>
            </w:tcBorders>
            <w:shd w:val="clear" w:color="auto" w:fill="auto"/>
            <w:noWrap/>
            <w:hideMark/>
          </w:tcPr>
          <w:p w14:paraId="2BC1BA6E"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By 2030</w:t>
            </w:r>
          </w:p>
        </w:tc>
        <w:tc>
          <w:tcPr>
            <w:tcW w:w="1485" w:type="dxa"/>
            <w:tcBorders>
              <w:top w:val="nil"/>
              <w:left w:val="nil"/>
              <w:bottom w:val="single" w:sz="4" w:space="0" w:color="auto"/>
              <w:right w:val="single" w:sz="4" w:space="0" w:color="auto"/>
            </w:tcBorders>
            <w:shd w:val="clear" w:color="auto" w:fill="auto"/>
            <w:vAlign w:val="center"/>
            <w:hideMark/>
          </w:tcPr>
          <w:p w14:paraId="4219D3B8" w14:textId="413BBBC9" w:rsidR="00D57345" w:rsidRPr="00610296" w:rsidRDefault="001A4F4C"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T</w:t>
            </w:r>
            <w:r w:rsidRPr="001A4F4C">
              <w:rPr>
                <w:rFonts w:eastAsia="Times New Roman" w:cs="Calibri"/>
                <w:color w:val="000000"/>
                <w:kern w:val="0"/>
                <w:szCs w:val="22"/>
                <w14:ligatures w14:val="none"/>
              </w:rPr>
              <w:t>he proportion of electricity used in building energy consumption is expected to exceed 65%.</w:t>
            </w:r>
          </w:p>
        </w:tc>
        <w:tc>
          <w:tcPr>
            <w:tcW w:w="1134" w:type="dxa"/>
            <w:tcBorders>
              <w:top w:val="nil"/>
              <w:left w:val="nil"/>
              <w:bottom w:val="single" w:sz="4" w:space="0" w:color="auto"/>
              <w:right w:val="single" w:sz="4" w:space="0" w:color="auto"/>
            </w:tcBorders>
            <w:shd w:val="clear" w:color="auto" w:fill="auto"/>
            <w:noWrap/>
            <w:vAlign w:val="center"/>
            <w:hideMark/>
          </w:tcPr>
          <w:p w14:paraId="73DC17CD"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Building </w:t>
            </w:r>
          </w:p>
        </w:tc>
        <w:tc>
          <w:tcPr>
            <w:tcW w:w="2268" w:type="dxa"/>
            <w:tcBorders>
              <w:top w:val="nil"/>
              <w:left w:val="nil"/>
              <w:bottom w:val="single" w:sz="4" w:space="0" w:color="auto"/>
              <w:right w:val="single" w:sz="4" w:space="0" w:color="auto"/>
            </w:tcBorders>
            <w:shd w:val="clear" w:color="auto" w:fill="auto"/>
            <w:vAlign w:val="center"/>
            <w:hideMark/>
          </w:tcPr>
          <w:p w14:paraId="5D8A0B22"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Implementation plan for carbon peaking in urban and rural construction</w:t>
            </w:r>
          </w:p>
        </w:tc>
        <w:tc>
          <w:tcPr>
            <w:tcW w:w="1418" w:type="dxa"/>
            <w:tcBorders>
              <w:top w:val="nil"/>
              <w:left w:val="nil"/>
              <w:bottom w:val="single" w:sz="4" w:space="0" w:color="auto"/>
              <w:right w:val="single" w:sz="4" w:space="0" w:color="auto"/>
            </w:tcBorders>
            <w:shd w:val="clear" w:color="auto" w:fill="auto"/>
            <w:vAlign w:val="center"/>
            <w:hideMark/>
          </w:tcPr>
          <w:p w14:paraId="13D9F457"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 xml:space="preserve">Ministries </w:t>
            </w:r>
          </w:p>
        </w:tc>
        <w:tc>
          <w:tcPr>
            <w:tcW w:w="1984" w:type="dxa"/>
            <w:tcBorders>
              <w:top w:val="nil"/>
              <w:left w:val="nil"/>
              <w:bottom w:val="single" w:sz="4" w:space="0" w:color="auto"/>
              <w:right w:val="single" w:sz="4" w:space="0" w:color="auto"/>
            </w:tcBorders>
            <w:shd w:val="clear" w:color="auto" w:fill="auto"/>
            <w:vAlign w:val="center"/>
            <w:hideMark/>
          </w:tcPr>
          <w:p w14:paraId="2B7F710B" w14:textId="5B81C046" w:rsidR="00D57345" w:rsidRPr="00610296" w:rsidRDefault="00E869D9" w:rsidP="0034671A">
            <w:pPr>
              <w:spacing w:after="0" w:line="240" w:lineRule="auto"/>
              <w:rPr>
                <w:rFonts w:cs="Calibri"/>
                <w:kern w:val="0"/>
                <w:szCs w:val="22"/>
                <w14:ligatures w14:val="none"/>
              </w:rPr>
            </w:pPr>
            <w:r w:rsidRPr="00E869D9">
              <w:rPr>
                <w:rFonts w:eastAsia="Times New Roman" w:cs="Calibri"/>
                <w:kern w:val="0"/>
                <w:szCs w:val="22"/>
                <w14:ligatures w14:val="none"/>
              </w:rPr>
              <w:t>According to the 2023 Chinese government evaluation report, the share of electricity consumption in building energy consumption was 48.1% (30% in 2020).</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32078C1"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51.43%</w:t>
            </w:r>
          </w:p>
        </w:tc>
        <w:tc>
          <w:tcPr>
            <w:tcW w:w="1417" w:type="dxa"/>
            <w:tcBorders>
              <w:top w:val="nil"/>
              <w:left w:val="single" w:sz="4" w:space="0" w:color="auto"/>
              <w:bottom w:val="single" w:sz="4" w:space="0" w:color="auto"/>
              <w:right w:val="single" w:sz="4" w:space="0" w:color="auto"/>
            </w:tcBorders>
            <w:shd w:val="clear" w:color="auto" w:fill="auto"/>
            <w:hideMark/>
          </w:tcPr>
          <w:p w14:paraId="1FC56213" w14:textId="77777777" w:rsidR="00D57345" w:rsidRPr="00610296" w:rsidRDefault="00D57345" w:rsidP="0034671A">
            <w:pPr>
              <w:spacing w:after="0" w:line="240" w:lineRule="auto"/>
              <w:jc w:val="center"/>
              <w:rPr>
                <w:rFonts w:cs="Calibri"/>
                <w:szCs w:val="22"/>
              </w:rPr>
            </w:pPr>
          </w:p>
          <w:p w14:paraId="72504432" w14:textId="77777777" w:rsidR="00D57345" w:rsidRPr="00610296" w:rsidRDefault="00D57345" w:rsidP="0034671A">
            <w:pPr>
              <w:spacing w:after="0" w:line="240" w:lineRule="auto"/>
              <w:rPr>
                <w:rFonts w:cs="Calibri"/>
                <w:kern w:val="0"/>
                <w:szCs w:val="22"/>
                <w14:ligatures w14:val="none"/>
              </w:rPr>
            </w:pPr>
            <w:r w:rsidRPr="00610296">
              <w:rPr>
                <w:rFonts w:cs="Calibri"/>
                <w:szCs w:val="22"/>
              </w:rPr>
              <w:t xml:space="preserve">             1</w:t>
            </w:r>
          </w:p>
        </w:tc>
        <w:tc>
          <w:tcPr>
            <w:tcW w:w="1134" w:type="dxa"/>
            <w:tcBorders>
              <w:top w:val="nil"/>
              <w:left w:val="single" w:sz="4" w:space="0" w:color="auto"/>
              <w:bottom w:val="single" w:sz="4" w:space="0" w:color="auto"/>
              <w:right w:val="nil"/>
            </w:tcBorders>
            <w:shd w:val="clear" w:color="auto" w:fill="auto"/>
            <w:noWrap/>
            <w:vAlign w:val="center"/>
            <w:hideMark/>
          </w:tcPr>
          <w:p w14:paraId="0C553571" w14:textId="77777777" w:rsidR="00D57345" w:rsidRPr="00610296" w:rsidRDefault="00D57345" w:rsidP="0034671A">
            <w:pPr>
              <w:spacing w:after="0" w:line="240" w:lineRule="auto"/>
              <w:jc w:val="center"/>
              <w:rPr>
                <w:rFonts w:cs="Calibri"/>
                <w:kern w:val="0"/>
                <w:szCs w:val="22"/>
                <w14:ligatures w14:val="none"/>
              </w:rPr>
            </w:pPr>
            <w:r w:rsidRPr="00610296">
              <w:rPr>
                <w:rFonts w:cs="Calibri"/>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EFEC85" w14:textId="77777777" w:rsidR="00D57345" w:rsidRPr="00610296" w:rsidRDefault="00D57345" w:rsidP="0034671A">
            <w:pPr>
              <w:spacing w:after="0" w:line="240" w:lineRule="auto"/>
              <w:jc w:val="center"/>
              <w:rPr>
                <w:rFonts w:cs="Calibri"/>
                <w:kern w:val="0"/>
                <w:szCs w:val="22"/>
                <w14:ligatures w14:val="none"/>
              </w:rPr>
            </w:pPr>
            <w:r w:rsidRPr="00610296">
              <w:rPr>
                <w:rFonts w:cs="Calibri"/>
                <w:b/>
                <w:bCs/>
                <w:color w:val="000000"/>
                <w:szCs w:val="22"/>
              </w:rPr>
              <w:t>0.46</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7E517431"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LOW</w:t>
            </w:r>
          </w:p>
        </w:tc>
      </w:tr>
      <w:tr w:rsidR="00D57345" w:rsidRPr="00610296" w14:paraId="0AB42981" w14:textId="77777777" w:rsidTr="0034671A">
        <w:trPr>
          <w:trHeight w:val="3060"/>
        </w:trPr>
        <w:tc>
          <w:tcPr>
            <w:tcW w:w="750" w:type="dxa"/>
            <w:tcBorders>
              <w:top w:val="nil"/>
              <w:left w:val="single" w:sz="4" w:space="0" w:color="auto"/>
              <w:bottom w:val="single" w:sz="4" w:space="0" w:color="auto"/>
              <w:right w:val="single" w:sz="4" w:space="0" w:color="auto"/>
            </w:tcBorders>
            <w:shd w:val="clear" w:color="auto" w:fill="auto"/>
            <w:noWrap/>
            <w:hideMark/>
          </w:tcPr>
          <w:p w14:paraId="53A8BDA5"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lastRenderedPageBreak/>
              <w:t>By 2060</w:t>
            </w:r>
          </w:p>
        </w:tc>
        <w:tc>
          <w:tcPr>
            <w:tcW w:w="1485" w:type="dxa"/>
            <w:tcBorders>
              <w:top w:val="nil"/>
              <w:left w:val="nil"/>
              <w:bottom w:val="single" w:sz="4" w:space="0" w:color="auto"/>
              <w:right w:val="single" w:sz="4" w:space="0" w:color="auto"/>
            </w:tcBorders>
            <w:shd w:val="clear" w:color="auto" w:fill="auto"/>
            <w:vAlign w:val="center"/>
            <w:hideMark/>
          </w:tcPr>
          <w:p w14:paraId="0B803511" w14:textId="15062446" w:rsidR="00D57345" w:rsidRPr="00610296" w:rsidRDefault="00E869D9" w:rsidP="0034671A">
            <w:pPr>
              <w:spacing w:after="0" w:line="240" w:lineRule="auto"/>
              <w:rPr>
                <w:rFonts w:eastAsia="Times New Roman" w:cs="Calibri"/>
                <w:color w:val="000000"/>
                <w:kern w:val="0"/>
                <w:szCs w:val="22"/>
                <w14:ligatures w14:val="none"/>
              </w:rPr>
            </w:pPr>
            <w:r>
              <w:rPr>
                <w:rFonts w:eastAsia="Times New Roman" w:cs="Calibri"/>
                <w:color w:val="000000"/>
                <w:kern w:val="0"/>
                <w:szCs w:val="22"/>
                <w14:ligatures w14:val="none"/>
              </w:rPr>
              <w:t>I</w:t>
            </w:r>
            <w:r w:rsidRPr="00E869D9">
              <w:rPr>
                <w:rFonts w:eastAsia="Times New Roman" w:cs="Calibri"/>
                <w:color w:val="000000"/>
                <w:kern w:val="0"/>
                <w:szCs w:val="22"/>
                <w14:ligatures w14:val="none"/>
              </w:rPr>
              <w:t>mprove the proportion of non-fossil fuels in energy consumption to over 80%.</w:t>
            </w:r>
          </w:p>
        </w:tc>
        <w:tc>
          <w:tcPr>
            <w:tcW w:w="1134" w:type="dxa"/>
            <w:tcBorders>
              <w:top w:val="nil"/>
              <w:left w:val="nil"/>
              <w:bottom w:val="single" w:sz="4" w:space="0" w:color="auto"/>
              <w:right w:val="single" w:sz="4" w:space="0" w:color="auto"/>
            </w:tcBorders>
            <w:shd w:val="clear" w:color="auto" w:fill="auto"/>
            <w:noWrap/>
            <w:vAlign w:val="center"/>
            <w:hideMark/>
          </w:tcPr>
          <w:p w14:paraId="508083A6"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Overall</w:t>
            </w:r>
          </w:p>
        </w:tc>
        <w:tc>
          <w:tcPr>
            <w:tcW w:w="2268" w:type="dxa"/>
            <w:tcBorders>
              <w:top w:val="nil"/>
              <w:left w:val="nil"/>
              <w:bottom w:val="single" w:sz="4" w:space="0" w:color="auto"/>
              <w:right w:val="single" w:sz="4" w:space="0" w:color="auto"/>
            </w:tcBorders>
            <w:shd w:val="clear" w:color="auto" w:fill="auto"/>
            <w:vAlign w:val="center"/>
            <w:hideMark/>
          </w:tcPr>
          <w:p w14:paraId="6D47532A" w14:textId="77777777" w:rsidR="00D57345" w:rsidRPr="00610296" w:rsidRDefault="00D57345" w:rsidP="0034671A">
            <w:pPr>
              <w:spacing w:after="0" w:line="240" w:lineRule="auto"/>
              <w:rPr>
                <w:rFonts w:eastAsia="Times New Roman" w:cs="Calibri"/>
                <w:color w:val="000000"/>
                <w:kern w:val="0"/>
                <w:szCs w:val="22"/>
                <w14:ligatures w14:val="none"/>
              </w:rPr>
            </w:pPr>
            <w:r w:rsidRPr="00610296">
              <w:rPr>
                <w:rFonts w:eastAsia="Times New Roman" w:cs="Calibri"/>
                <w:color w:val="000000"/>
                <w:kern w:val="0"/>
                <w:szCs w:val="22"/>
                <w14:ligatures w14:val="none"/>
              </w:rPr>
              <w:t>China’s Mid-Century Long-Term Low Greenhouse Gas Emission Development Strategy</w:t>
            </w:r>
            <w:r w:rsidRPr="00610296">
              <w:rPr>
                <w:rFonts w:eastAsia="Times New Roman" w:cs="Calibri"/>
                <w:color w:val="000000"/>
                <w:kern w:val="0"/>
                <w:szCs w:val="22"/>
                <w14:ligatures w14:val="none"/>
              </w:rPr>
              <w:br/>
              <w:t>Working Guidance for Carbon Dioxide Peaking and Carbon Neutrality in Full and Faithful Implementation of the New Development Philosophy</w:t>
            </w:r>
          </w:p>
        </w:tc>
        <w:tc>
          <w:tcPr>
            <w:tcW w:w="1418" w:type="dxa"/>
            <w:tcBorders>
              <w:top w:val="nil"/>
              <w:left w:val="nil"/>
              <w:bottom w:val="single" w:sz="4" w:space="0" w:color="auto"/>
              <w:right w:val="single" w:sz="4" w:space="0" w:color="auto"/>
            </w:tcBorders>
            <w:shd w:val="clear" w:color="auto" w:fill="auto"/>
            <w:vAlign w:val="center"/>
            <w:hideMark/>
          </w:tcPr>
          <w:p w14:paraId="644E669F" w14:textId="77777777" w:rsidR="00D57345" w:rsidRPr="00610296" w:rsidRDefault="00D57345" w:rsidP="0034671A">
            <w:pPr>
              <w:spacing w:after="0" w:line="240" w:lineRule="auto"/>
              <w:jc w:val="center"/>
              <w:rPr>
                <w:rFonts w:eastAsia="Times New Roman" w:cs="Calibri"/>
                <w:color w:val="000000"/>
                <w:kern w:val="0"/>
                <w:szCs w:val="22"/>
                <w14:ligatures w14:val="none"/>
              </w:rPr>
            </w:pPr>
            <w:r w:rsidRPr="00610296">
              <w:rPr>
                <w:rFonts w:eastAsia="Times New Roman" w:cs="Calibri"/>
                <w:color w:val="000000"/>
                <w:kern w:val="0"/>
                <w:szCs w:val="22"/>
                <w14:ligatures w14:val="none"/>
              </w:rPr>
              <w:t>CCP</w:t>
            </w:r>
            <w:r w:rsidRPr="00610296">
              <w:rPr>
                <w:rFonts w:cs="Calibri"/>
                <w:color w:val="000000"/>
                <w:kern w:val="0"/>
                <w:szCs w:val="22"/>
                <w14:ligatures w14:val="none"/>
              </w:rPr>
              <w:t xml:space="preserve"> </w:t>
            </w:r>
            <w:r w:rsidRPr="00610296">
              <w:rPr>
                <w:rFonts w:eastAsia="Times New Roman" w:cs="Calibri"/>
                <w:color w:val="000000"/>
                <w:kern w:val="0"/>
                <w:szCs w:val="22"/>
                <w14:ligatures w14:val="none"/>
              </w:rPr>
              <w:t>&amp;State Council</w:t>
            </w:r>
          </w:p>
        </w:tc>
        <w:tc>
          <w:tcPr>
            <w:tcW w:w="1984" w:type="dxa"/>
            <w:tcBorders>
              <w:top w:val="nil"/>
              <w:left w:val="nil"/>
              <w:bottom w:val="single" w:sz="4" w:space="0" w:color="auto"/>
              <w:right w:val="single" w:sz="4" w:space="0" w:color="auto"/>
            </w:tcBorders>
            <w:shd w:val="clear" w:color="auto" w:fill="auto"/>
            <w:noWrap/>
            <w:vAlign w:val="center"/>
            <w:hideMark/>
          </w:tcPr>
          <w:p w14:paraId="26850EAC" w14:textId="6D124A4F" w:rsidR="00D57345" w:rsidRPr="00610296" w:rsidRDefault="00E07AA6" w:rsidP="00E07AA6">
            <w:pPr>
              <w:spacing w:after="0" w:line="240" w:lineRule="auto"/>
              <w:rPr>
                <w:rFonts w:cs="Calibri"/>
                <w:kern w:val="0"/>
                <w:szCs w:val="22"/>
                <w14:ligatures w14:val="none"/>
              </w:rPr>
            </w:pPr>
            <w:r w:rsidRPr="00E07AA6">
              <w:rPr>
                <w:rFonts w:cs="Calibri"/>
                <w:kern w:val="0"/>
                <w:szCs w:val="22"/>
                <w14:ligatures w14:val="none"/>
              </w:rPr>
              <w:t>By 2023, the share of non-fossil fuels in primary energy consumption had increased to 17.5%, according to the mid-term evaluation report of the National Development and Reform Commission (15.9% in 2020).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99091C2"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2.49%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A349EF0"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3</w:t>
            </w:r>
          </w:p>
        </w:tc>
        <w:tc>
          <w:tcPr>
            <w:tcW w:w="1134" w:type="dxa"/>
            <w:tcBorders>
              <w:top w:val="nil"/>
              <w:left w:val="single" w:sz="4" w:space="0" w:color="auto"/>
              <w:bottom w:val="single" w:sz="4" w:space="0" w:color="auto"/>
              <w:right w:val="nil"/>
            </w:tcBorders>
            <w:shd w:val="clear" w:color="auto" w:fill="auto"/>
            <w:noWrap/>
            <w:vAlign w:val="center"/>
            <w:hideMark/>
          </w:tcPr>
          <w:p w14:paraId="6FC22065" w14:textId="77777777" w:rsidR="00D57345" w:rsidRPr="00610296" w:rsidRDefault="00D57345" w:rsidP="0034671A">
            <w:pPr>
              <w:spacing w:after="0" w:line="240" w:lineRule="auto"/>
              <w:jc w:val="center"/>
              <w:rPr>
                <w:rFonts w:cs="Calibri"/>
                <w:kern w:val="0"/>
                <w:szCs w:val="22"/>
                <w14:ligatures w14:val="none"/>
              </w:rPr>
            </w:pPr>
            <w:r w:rsidRPr="00610296">
              <w:rPr>
                <w:rFonts w:cs="Calibri"/>
                <w:color w:val="000000"/>
                <w:szCs w:val="22"/>
              </w:rPr>
              <w:t>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561C046" w14:textId="77777777" w:rsidR="00D57345" w:rsidRPr="00610296" w:rsidRDefault="00D57345" w:rsidP="0034671A">
            <w:pPr>
              <w:spacing w:after="0" w:line="240" w:lineRule="auto"/>
              <w:jc w:val="center"/>
              <w:rPr>
                <w:rFonts w:eastAsia="Times New Roman" w:cs="Calibri"/>
                <w:kern w:val="0"/>
                <w:szCs w:val="22"/>
                <w14:ligatures w14:val="none"/>
              </w:rPr>
            </w:pPr>
            <w:r w:rsidRPr="00610296">
              <w:rPr>
                <w:rFonts w:cs="Calibri"/>
                <w:b/>
                <w:bCs/>
                <w:color w:val="000000"/>
                <w:szCs w:val="22"/>
              </w:rPr>
              <w:t>0.41</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121A0165" w14:textId="77777777" w:rsidR="00D57345" w:rsidRPr="00610296" w:rsidRDefault="00D57345" w:rsidP="0034671A">
            <w:pPr>
              <w:spacing w:after="0" w:line="240" w:lineRule="auto"/>
              <w:rPr>
                <w:rFonts w:eastAsia="Times New Roman" w:cs="Calibri"/>
                <w:b/>
                <w:bCs/>
                <w:kern w:val="0"/>
                <w:szCs w:val="22"/>
                <w14:ligatures w14:val="none"/>
              </w:rPr>
            </w:pPr>
            <w:r w:rsidRPr="00610296">
              <w:rPr>
                <w:rFonts w:cs="Calibri"/>
                <w:b/>
                <w:bCs/>
                <w:color w:val="000000"/>
                <w:szCs w:val="22"/>
              </w:rPr>
              <w:t>LOW</w:t>
            </w:r>
          </w:p>
        </w:tc>
      </w:tr>
    </w:tbl>
    <w:p w14:paraId="3CA8FAFA" w14:textId="77777777" w:rsidR="00D57345" w:rsidRDefault="00D57345" w:rsidP="00D57345">
      <w:pPr>
        <w:spacing w:after="0" w:line="312" w:lineRule="auto"/>
        <w:contextualSpacing/>
        <w:rPr>
          <w:rFonts w:cs="Calibri"/>
          <w:kern w:val="0"/>
          <w:szCs w:val="22"/>
          <w14:ligatures w14:val="none"/>
        </w:rPr>
      </w:pPr>
    </w:p>
    <w:p w14:paraId="14CEC370" w14:textId="77777777" w:rsidR="00C03570" w:rsidRDefault="00C03570" w:rsidP="00D57345">
      <w:pPr>
        <w:spacing w:after="0" w:line="312" w:lineRule="auto"/>
        <w:contextualSpacing/>
        <w:rPr>
          <w:rFonts w:cs="Calibri"/>
          <w:kern w:val="0"/>
          <w:szCs w:val="22"/>
          <w14:ligatures w14:val="none"/>
        </w:rPr>
      </w:pPr>
    </w:p>
    <w:p w14:paraId="4ED5800D" w14:textId="77777777" w:rsidR="00C03570" w:rsidRDefault="00C03570" w:rsidP="00D57345">
      <w:pPr>
        <w:spacing w:after="0" w:line="312" w:lineRule="auto"/>
        <w:contextualSpacing/>
        <w:rPr>
          <w:rFonts w:cs="Calibri"/>
          <w:kern w:val="0"/>
          <w:szCs w:val="22"/>
          <w14:ligatures w14:val="none"/>
        </w:rPr>
      </w:pPr>
    </w:p>
    <w:p w14:paraId="25931181" w14:textId="77777777" w:rsidR="00C03570" w:rsidRDefault="00C03570" w:rsidP="00D57345">
      <w:pPr>
        <w:spacing w:after="0" w:line="312" w:lineRule="auto"/>
        <w:contextualSpacing/>
        <w:rPr>
          <w:rFonts w:cs="Calibri"/>
          <w:kern w:val="0"/>
          <w:szCs w:val="22"/>
          <w14:ligatures w14:val="none"/>
        </w:rPr>
      </w:pPr>
    </w:p>
    <w:p w14:paraId="7F0561D2" w14:textId="77777777" w:rsidR="00C03570" w:rsidRDefault="00C03570" w:rsidP="00D57345">
      <w:pPr>
        <w:spacing w:after="0" w:line="312" w:lineRule="auto"/>
        <w:contextualSpacing/>
        <w:rPr>
          <w:rFonts w:cs="Calibri"/>
          <w:kern w:val="0"/>
          <w:szCs w:val="22"/>
          <w14:ligatures w14:val="none"/>
        </w:rPr>
      </w:pPr>
    </w:p>
    <w:p w14:paraId="23ABDA07" w14:textId="77777777" w:rsidR="00C03570" w:rsidRDefault="00C03570" w:rsidP="00D57345">
      <w:pPr>
        <w:spacing w:after="0" w:line="312" w:lineRule="auto"/>
        <w:contextualSpacing/>
        <w:rPr>
          <w:rFonts w:cs="Calibri"/>
          <w:kern w:val="0"/>
          <w:szCs w:val="22"/>
          <w14:ligatures w14:val="none"/>
        </w:rPr>
      </w:pPr>
    </w:p>
    <w:p w14:paraId="0346C627" w14:textId="77777777" w:rsidR="00C03570" w:rsidRDefault="00C03570" w:rsidP="00D57345">
      <w:pPr>
        <w:spacing w:after="0" w:line="312" w:lineRule="auto"/>
        <w:contextualSpacing/>
        <w:rPr>
          <w:rFonts w:cs="Calibri"/>
          <w:kern w:val="0"/>
          <w:szCs w:val="22"/>
          <w14:ligatures w14:val="none"/>
        </w:rPr>
      </w:pPr>
    </w:p>
    <w:p w14:paraId="3FC78F28" w14:textId="77777777" w:rsidR="00C03570" w:rsidRDefault="00C03570" w:rsidP="00D57345">
      <w:pPr>
        <w:spacing w:after="0" w:line="312" w:lineRule="auto"/>
        <w:contextualSpacing/>
        <w:rPr>
          <w:rFonts w:cs="Calibri"/>
          <w:kern w:val="0"/>
          <w:szCs w:val="22"/>
          <w14:ligatures w14:val="none"/>
        </w:rPr>
      </w:pPr>
    </w:p>
    <w:p w14:paraId="56C4477E" w14:textId="77777777" w:rsidR="00C03570" w:rsidRDefault="00C03570" w:rsidP="00D57345">
      <w:pPr>
        <w:spacing w:after="0" w:line="312" w:lineRule="auto"/>
        <w:contextualSpacing/>
        <w:rPr>
          <w:rFonts w:cs="Calibri"/>
          <w:kern w:val="0"/>
          <w:szCs w:val="22"/>
          <w14:ligatures w14:val="none"/>
        </w:rPr>
      </w:pPr>
    </w:p>
    <w:p w14:paraId="2E753561" w14:textId="77777777" w:rsidR="00C03570" w:rsidRDefault="00C03570" w:rsidP="00D57345">
      <w:pPr>
        <w:spacing w:after="0" w:line="312" w:lineRule="auto"/>
        <w:contextualSpacing/>
        <w:rPr>
          <w:rFonts w:cs="Calibri"/>
          <w:kern w:val="0"/>
          <w:szCs w:val="22"/>
          <w14:ligatures w14:val="none"/>
        </w:rPr>
      </w:pPr>
    </w:p>
    <w:p w14:paraId="0F867FD7" w14:textId="77777777" w:rsidR="00C03570" w:rsidRDefault="00C03570" w:rsidP="00D57345">
      <w:pPr>
        <w:spacing w:after="0" w:line="312" w:lineRule="auto"/>
        <w:contextualSpacing/>
        <w:rPr>
          <w:rFonts w:cs="Calibri"/>
          <w:kern w:val="0"/>
          <w:szCs w:val="22"/>
          <w14:ligatures w14:val="none"/>
        </w:rPr>
      </w:pPr>
    </w:p>
    <w:p w14:paraId="649BE5D0" w14:textId="77777777" w:rsidR="00C03570" w:rsidRDefault="00C03570" w:rsidP="00D57345">
      <w:pPr>
        <w:spacing w:after="0" w:line="312" w:lineRule="auto"/>
        <w:contextualSpacing/>
        <w:rPr>
          <w:rFonts w:cs="Calibri"/>
          <w:kern w:val="0"/>
          <w:szCs w:val="22"/>
          <w14:ligatures w14:val="none"/>
        </w:rPr>
      </w:pPr>
    </w:p>
    <w:p w14:paraId="787D2EFA" w14:textId="77777777" w:rsidR="00C03570" w:rsidRDefault="00C03570" w:rsidP="00D57345">
      <w:pPr>
        <w:spacing w:after="0" w:line="312" w:lineRule="auto"/>
        <w:contextualSpacing/>
        <w:rPr>
          <w:rFonts w:cs="Calibri"/>
          <w:kern w:val="0"/>
          <w:szCs w:val="22"/>
          <w14:ligatures w14:val="none"/>
        </w:rPr>
      </w:pPr>
    </w:p>
    <w:p w14:paraId="51744F1D" w14:textId="77777777" w:rsidR="00C03570" w:rsidRPr="00610296" w:rsidRDefault="00C03570" w:rsidP="00D57345">
      <w:pPr>
        <w:spacing w:after="0" w:line="312" w:lineRule="auto"/>
        <w:contextualSpacing/>
        <w:rPr>
          <w:rFonts w:cs="Calibri"/>
          <w:kern w:val="0"/>
          <w:szCs w:val="22"/>
          <w14:ligatures w14:val="none"/>
        </w:rPr>
      </w:pPr>
    </w:p>
    <w:p w14:paraId="1A1B55F6" w14:textId="4369B3D6" w:rsidR="0030489F" w:rsidRDefault="00A16D17" w:rsidP="00A70402">
      <w:pPr>
        <w:pStyle w:val="Heading2"/>
      </w:pPr>
      <w:r>
        <w:lastRenderedPageBreak/>
        <w:t xml:space="preserve">SI </w:t>
      </w:r>
      <w:r w:rsidR="00D3249E">
        <w:t>S</w:t>
      </w:r>
      <w:r>
        <w:t xml:space="preserve">ection </w:t>
      </w:r>
      <w:r w:rsidR="00D01E6A">
        <w:rPr>
          <w:rFonts w:hint="eastAsia"/>
        </w:rPr>
        <w:t>2</w:t>
      </w:r>
      <w:r>
        <w:t xml:space="preserve">: </w:t>
      </w:r>
      <w:r w:rsidR="00C70B9B">
        <w:t xml:space="preserve">Morphological analysis of </w:t>
      </w:r>
      <w:r w:rsidR="006606C7">
        <w:t>China’s energy</w:t>
      </w:r>
      <w:r w:rsidR="00C70B9B">
        <w:t xml:space="preserve"> transformation</w:t>
      </w:r>
    </w:p>
    <w:p w14:paraId="4206D809" w14:textId="66E59520" w:rsidR="00C03570" w:rsidRPr="00C03570" w:rsidRDefault="00C03570" w:rsidP="00C03570">
      <w:r w:rsidRPr="00C03570">
        <w:t xml:space="preserve">SI Table </w:t>
      </w:r>
      <w:r>
        <w:t>3</w:t>
      </w:r>
      <w:r w:rsidRPr="00C03570">
        <w:t xml:space="preserve">. </w:t>
      </w:r>
      <w:r>
        <w:t xml:space="preserve">Morphological table </w:t>
      </w:r>
      <w:r w:rsidR="00B84D7E">
        <w:t>of scenario</w:t>
      </w:r>
      <w:r>
        <w:t xml:space="preserve"> development</w:t>
      </w:r>
    </w:p>
    <w:tbl>
      <w:tblPr>
        <w:tblStyle w:val="TableGrid"/>
        <w:tblW w:w="16302" w:type="dxa"/>
        <w:tblInd w:w="-1026" w:type="dxa"/>
        <w:tblLayout w:type="fixed"/>
        <w:tblLook w:val="04A0" w:firstRow="1" w:lastRow="0" w:firstColumn="1" w:lastColumn="0" w:noHBand="0" w:noVBand="1"/>
      </w:tblPr>
      <w:tblGrid>
        <w:gridCol w:w="1701"/>
        <w:gridCol w:w="3573"/>
        <w:gridCol w:w="3685"/>
        <w:gridCol w:w="3969"/>
        <w:gridCol w:w="3374"/>
      </w:tblGrid>
      <w:tr w:rsidR="00AE1A24" w:rsidRPr="00D46876" w14:paraId="743C402E" w14:textId="77777777" w:rsidTr="00A77AF1">
        <w:trPr>
          <w:trHeight w:val="3765"/>
        </w:trPr>
        <w:tc>
          <w:tcPr>
            <w:tcW w:w="1701" w:type="dxa"/>
          </w:tcPr>
          <w:p w14:paraId="25341283" w14:textId="77777777" w:rsidR="00770BA9" w:rsidRPr="00D46876" w:rsidRDefault="00770BA9" w:rsidP="00EF47C7">
            <w:pPr>
              <w:rPr>
                <w:rFonts w:cs="Calibri"/>
                <w:b/>
                <w:bCs/>
              </w:rPr>
            </w:pPr>
            <w:r w:rsidRPr="00D46876">
              <w:rPr>
                <w:rFonts w:cs="Calibri"/>
                <w:b/>
                <w:bCs/>
              </w:rPr>
              <w:t xml:space="preserve">Economy development </w:t>
            </w:r>
          </w:p>
        </w:tc>
        <w:tc>
          <w:tcPr>
            <w:tcW w:w="3573" w:type="dxa"/>
          </w:tcPr>
          <w:p w14:paraId="1716482C" w14:textId="77777777" w:rsidR="00ED2C49" w:rsidRDefault="00CE72E7" w:rsidP="00EF47C7">
            <w:pPr>
              <w:rPr>
                <w:rFonts w:cs="Calibri"/>
                <w:b/>
                <w:bCs/>
              </w:rPr>
            </w:pPr>
            <w:r w:rsidRPr="00CE72E7">
              <w:rPr>
                <w:rFonts w:cs="Calibri"/>
                <w:b/>
                <w:bCs/>
              </w:rPr>
              <w:t>Low Growth: Prolonged Stagnation Due to Internal and External Pressures</w:t>
            </w:r>
          </w:p>
          <w:p w14:paraId="23559DA2" w14:textId="2BEBFB59" w:rsidR="00770BA9" w:rsidRPr="00D46876" w:rsidRDefault="00294D69" w:rsidP="00EF47C7">
            <w:pPr>
              <w:rPr>
                <w:rFonts w:cs="Calibri"/>
                <w:b/>
                <w:bCs/>
              </w:rPr>
            </w:pPr>
            <w:r w:rsidRPr="00294D69">
              <w:rPr>
                <w:rFonts w:cs="Calibri"/>
              </w:rPr>
              <w:t>China’s economic growth is constrained by both external and internal challenges. Declining global demand, rising tariffs, high debt levels, restricted investment, and weak domestic consumption collectively hinder economic expansion. Macroeconomic policies fail to effectively mitigate these pressures, resulting in prolonged economic stagnation.</w:t>
            </w:r>
          </w:p>
          <w:p w14:paraId="06CDEDD1" w14:textId="77777777" w:rsidR="00770BA9" w:rsidRPr="00D46876" w:rsidRDefault="00770BA9" w:rsidP="00EF47C7">
            <w:pPr>
              <w:rPr>
                <w:rFonts w:cs="Calibri"/>
                <w:b/>
                <w:bCs/>
              </w:rPr>
            </w:pPr>
          </w:p>
          <w:p w14:paraId="45E68611" w14:textId="77777777" w:rsidR="00770BA9" w:rsidRPr="00D46876" w:rsidRDefault="00770BA9" w:rsidP="00EF47C7">
            <w:pPr>
              <w:rPr>
                <w:rFonts w:cs="Calibri"/>
                <w:b/>
                <w:bCs/>
              </w:rPr>
            </w:pPr>
            <w:r w:rsidRPr="00D46876">
              <w:rPr>
                <w:rFonts w:cs="Calibri"/>
                <w:b/>
                <w:bCs/>
              </w:rPr>
              <w:t>GW</w:t>
            </w:r>
          </w:p>
        </w:tc>
        <w:tc>
          <w:tcPr>
            <w:tcW w:w="3685" w:type="dxa"/>
          </w:tcPr>
          <w:p w14:paraId="74054432" w14:textId="5D4934B4" w:rsidR="00393BAA" w:rsidRDefault="007C027E" w:rsidP="00EF47C7">
            <w:pPr>
              <w:rPr>
                <w:rFonts w:cs="Calibri"/>
                <w:b/>
                <w:bCs/>
              </w:rPr>
            </w:pPr>
            <w:r w:rsidRPr="007C027E">
              <w:rPr>
                <w:rFonts w:cs="Calibri"/>
                <w:b/>
                <w:bCs/>
              </w:rPr>
              <w:t>Moderate Growth: Industrial Support Amid Structural Challenges</w:t>
            </w:r>
          </w:p>
          <w:p w14:paraId="0F7CC90E" w14:textId="564A99EC" w:rsidR="00390F39" w:rsidRDefault="005C130C" w:rsidP="00EF47C7">
            <w:pPr>
              <w:rPr>
                <w:rFonts w:cs="Calibri"/>
                <w:b/>
                <w:bCs/>
                <w:color w:val="156082" w:themeColor="accent1"/>
              </w:rPr>
            </w:pPr>
            <w:r w:rsidRPr="005C130C">
              <w:rPr>
                <w:rFonts w:cs="Calibri"/>
              </w:rPr>
              <w:t xml:space="preserve">China’s role as the "world factory" and the ongoing urbanization continue to support the development of traditional energy-intensive industries, contributing to economic growth. However, the investment-driven growth model is becoming increasingly unsustainable. High debt levels and an overly competitive </w:t>
            </w:r>
            <w:r w:rsidR="00B24675" w:rsidRPr="005C130C">
              <w:rPr>
                <w:rFonts w:cs="Calibri"/>
              </w:rPr>
              <w:t>labour</w:t>
            </w:r>
            <w:r w:rsidRPr="005C130C">
              <w:rPr>
                <w:rFonts w:cs="Calibri"/>
              </w:rPr>
              <w:t xml:space="preserve"> market erode consumer confidence and suppress domestic spending, limiting future growth potential.</w:t>
            </w:r>
          </w:p>
          <w:p w14:paraId="74E882F0" w14:textId="26ABC050" w:rsidR="00770BA9" w:rsidRPr="00D46876" w:rsidRDefault="00770BA9" w:rsidP="00EF47C7">
            <w:pPr>
              <w:rPr>
                <w:rFonts w:cs="Calibri"/>
                <w:b/>
                <w:bCs/>
                <w:color w:val="156082" w:themeColor="accent1"/>
              </w:rPr>
            </w:pPr>
            <w:r w:rsidRPr="00D46876">
              <w:rPr>
                <w:rFonts w:cs="Calibri"/>
                <w:b/>
                <w:bCs/>
                <w:color w:val="156082" w:themeColor="accent1"/>
              </w:rPr>
              <w:t>CS</w:t>
            </w:r>
          </w:p>
        </w:tc>
        <w:tc>
          <w:tcPr>
            <w:tcW w:w="3969" w:type="dxa"/>
          </w:tcPr>
          <w:p w14:paraId="670684E5" w14:textId="4C11B627" w:rsidR="000F06A9" w:rsidRPr="00B43915" w:rsidRDefault="000F06A9" w:rsidP="00EF47C7">
            <w:pPr>
              <w:rPr>
                <w:rStyle w:val="Emphasis"/>
                <w:rFonts w:cs="Calibri"/>
              </w:rPr>
            </w:pPr>
            <w:r w:rsidRPr="00393BAA">
              <w:rPr>
                <w:rStyle w:val="Strong"/>
                <w:rFonts w:cs="Calibri"/>
              </w:rPr>
              <w:t>High Growth</w:t>
            </w:r>
            <w:r w:rsidRPr="00393BAA">
              <w:rPr>
                <w:rStyle w:val="Emphasis"/>
                <w:rFonts w:cs="Calibri"/>
                <w:b/>
                <w:bCs/>
                <w:i w:val="0"/>
                <w:iCs w:val="0"/>
              </w:rPr>
              <w:t xml:space="preserve"> Driven by Real Estate</w:t>
            </w:r>
            <w:r w:rsidR="002B5AF1">
              <w:rPr>
                <w:rStyle w:val="Emphasis"/>
                <w:rFonts w:cs="Calibri"/>
                <w:b/>
                <w:bCs/>
                <w:i w:val="0"/>
                <w:iCs w:val="0"/>
              </w:rPr>
              <w:t xml:space="preserve"> Recovery </w:t>
            </w:r>
            <w:r w:rsidRPr="00393BAA">
              <w:rPr>
                <w:rStyle w:val="Emphasis"/>
                <w:rFonts w:cs="Calibri"/>
                <w:b/>
                <w:bCs/>
                <w:i w:val="0"/>
                <w:iCs w:val="0"/>
              </w:rPr>
              <w:t xml:space="preserve">and </w:t>
            </w:r>
            <w:r w:rsidR="00FA1AB0">
              <w:rPr>
                <w:rStyle w:val="Emphasis"/>
                <w:rFonts w:cs="Calibri"/>
                <w:b/>
                <w:bCs/>
                <w:i w:val="0"/>
                <w:iCs w:val="0"/>
              </w:rPr>
              <w:t>New Urbanisation</w:t>
            </w:r>
          </w:p>
          <w:p w14:paraId="5756B158" w14:textId="55BBFF59" w:rsidR="00E91255" w:rsidRDefault="0006682A" w:rsidP="00EF47C7">
            <w:pPr>
              <w:rPr>
                <w:rFonts w:cs="Calibri"/>
              </w:rPr>
            </w:pPr>
            <w:r w:rsidRPr="0006682A">
              <w:rPr>
                <w:rFonts w:cs="Calibri"/>
              </w:rPr>
              <w:t>To mitigate the crisis in the real estate market, the government lifts previous restrictions on the property sector, encouraging developers to complete ongoing projects. Real estate</w:t>
            </w:r>
            <w:r w:rsidR="00230D61">
              <w:rPr>
                <w:rFonts w:cs="Calibri"/>
              </w:rPr>
              <w:t xml:space="preserve"> recovery and new urbanisation</w:t>
            </w:r>
            <w:r w:rsidR="002E4483">
              <w:rPr>
                <w:rFonts w:cs="Calibri"/>
              </w:rPr>
              <w:t xml:space="preserve"> make</w:t>
            </w:r>
            <w:r w:rsidRPr="0006682A">
              <w:rPr>
                <w:rFonts w:cs="Calibri"/>
              </w:rPr>
              <w:t xml:space="preserve"> energy and resource-intensive industries, remain a critical pillar of the economy, driving robust economic growth.</w:t>
            </w:r>
          </w:p>
          <w:p w14:paraId="3F5F2E2E" w14:textId="77777777" w:rsidR="00050E94" w:rsidRDefault="00050E94" w:rsidP="00EF47C7">
            <w:pPr>
              <w:rPr>
                <w:rFonts w:cs="Calibri"/>
              </w:rPr>
            </w:pPr>
          </w:p>
          <w:p w14:paraId="226E49D3" w14:textId="77777777" w:rsidR="00050E94" w:rsidRPr="00050E94" w:rsidRDefault="00050E94" w:rsidP="00EF47C7">
            <w:pPr>
              <w:rPr>
                <w:rFonts w:cs="Calibri"/>
                <w:color w:val="C00000"/>
              </w:rPr>
            </w:pPr>
          </w:p>
          <w:p w14:paraId="2B19D0D3" w14:textId="77777777" w:rsidR="00B43915" w:rsidRDefault="00B43915" w:rsidP="00EF47C7">
            <w:pPr>
              <w:rPr>
                <w:rFonts w:cs="Calibri"/>
                <w:color w:val="C00000"/>
              </w:rPr>
            </w:pPr>
          </w:p>
          <w:p w14:paraId="5A39CD28" w14:textId="77777777" w:rsidR="00B43915" w:rsidRDefault="00B43915" w:rsidP="00EF47C7">
            <w:pPr>
              <w:rPr>
                <w:rFonts w:cs="Calibri"/>
                <w:color w:val="C00000"/>
              </w:rPr>
            </w:pPr>
          </w:p>
          <w:p w14:paraId="64E56E6C" w14:textId="6257B7FA" w:rsidR="00050E94" w:rsidRPr="0006682A" w:rsidRDefault="00050E94" w:rsidP="00EF47C7">
            <w:pPr>
              <w:rPr>
                <w:rFonts w:cs="Calibri"/>
              </w:rPr>
            </w:pPr>
            <w:r w:rsidRPr="00050E94">
              <w:rPr>
                <w:rFonts w:cs="Calibri" w:hint="eastAsia"/>
                <w:color w:val="C00000"/>
              </w:rPr>
              <w:t>RS</w:t>
            </w:r>
          </w:p>
        </w:tc>
        <w:tc>
          <w:tcPr>
            <w:tcW w:w="3374" w:type="dxa"/>
          </w:tcPr>
          <w:p w14:paraId="2F240B66" w14:textId="6C2DF5FC" w:rsidR="00423590" w:rsidRDefault="00423590" w:rsidP="0074462D">
            <w:pPr>
              <w:rPr>
                <w:rFonts w:cs="Calibri"/>
                <w:b/>
                <w:bCs/>
              </w:rPr>
            </w:pPr>
            <w:r>
              <w:rPr>
                <w:rFonts w:cs="Calibri"/>
                <w:b/>
                <w:bCs/>
              </w:rPr>
              <w:t>High</w:t>
            </w:r>
            <w:r w:rsidRPr="00423590">
              <w:rPr>
                <w:rFonts w:cs="Calibri"/>
                <w:b/>
                <w:bCs/>
              </w:rPr>
              <w:t xml:space="preserve"> Growth</w:t>
            </w:r>
            <w:r w:rsidR="002B5AF1">
              <w:rPr>
                <w:rFonts w:cs="Calibri"/>
                <w:b/>
                <w:bCs/>
              </w:rPr>
              <w:t xml:space="preserve"> Driven by </w:t>
            </w:r>
            <w:r w:rsidR="00FE2892">
              <w:rPr>
                <w:rFonts w:cs="Calibri"/>
                <w:b/>
                <w:bCs/>
              </w:rPr>
              <w:t>Green and High-Tech Manufacturing</w:t>
            </w:r>
          </w:p>
          <w:p w14:paraId="6263C6C0" w14:textId="0F8CFF1F" w:rsidR="00050E94" w:rsidRPr="00393BAA" w:rsidRDefault="00050E94" w:rsidP="0074462D">
            <w:pPr>
              <w:rPr>
                <w:rFonts w:cs="Calibri"/>
              </w:rPr>
            </w:pPr>
            <w:r w:rsidRPr="00050E94">
              <w:rPr>
                <w:rFonts w:cs="Calibri"/>
              </w:rPr>
              <w:t>Economic reforms have strengthened the domestic market by increasing the share of household income in GDP, thereby stimulating consumer spending. Expanding domestic and international consumption drives the growth of green manufacturing, high-tech industries, and the service sector, which collectively replace real estate as the new pillars of sustainable economic development.</w:t>
            </w:r>
          </w:p>
          <w:p w14:paraId="50CA195F" w14:textId="6323759C" w:rsidR="00770BA9" w:rsidRPr="009746D7" w:rsidRDefault="0074462D" w:rsidP="0074462D">
            <w:pPr>
              <w:rPr>
                <w:rFonts w:cs="Calibri"/>
                <w:b/>
                <w:bCs/>
              </w:rPr>
            </w:pPr>
            <w:r w:rsidRPr="00D46876">
              <w:rPr>
                <w:rFonts w:cs="Calibri"/>
                <w:b/>
                <w:bCs/>
                <w:color w:val="4EA72E" w:themeColor="accent6"/>
              </w:rPr>
              <w:t>GL</w:t>
            </w:r>
          </w:p>
        </w:tc>
      </w:tr>
      <w:tr w:rsidR="00AE1A24" w:rsidRPr="00D46876" w14:paraId="39168C18" w14:textId="77777777" w:rsidTr="00A77AF1">
        <w:trPr>
          <w:trHeight w:val="416"/>
        </w:trPr>
        <w:tc>
          <w:tcPr>
            <w:tcW w:w="1701" w:type="dxa"/>
          </w:tcPr>
          <w:p w14:paraId="4677096A" w14:textId="77777777" w:rsidR="00770BA9" w:rsidRPr="00D46876" w:rsidRDefault="00770BA9" w:rsidP="00EF47C7">
            <w:pPr>
              <w:rPr>
                <w:rFonts w:cs="Calibri"/>
                <w:b/>
                <w:bCs/>
              </w:rPr>
            </w:pPr>
            <w:r w:rsidRPr="00D46876">
              <w:rPr>
                <w:rFonts w:cs="Calibri"/>
                <w:b/>
                <w:bCs/>
              </w:rPr>
              <w:t>Demographic changes</w:t>
            </w:r>
          </w:p>
        </w:tc>
        <w:tc>
          <w:tcPr>
            <w:tcW w:w="3573" w:type="dxa"/>
          </w:tcPr>
          <w:p w14:paraId="72F1FB43" w14:textId="43C31E9B" w:rsidR="00161581" w:rsidRDefault="00E251AF" w:rsidP="00AF1928">
            <w:pPr>
              <w:rPr>
                <w:rFonts w:cs="Calibri"/>
                <w:b/>
                <w:bCs/>
                <w:i/>
                <w:iCs/>
              </w:rPr>
            </w:pPr>
            <w:r>
              <w:rPr>
                <w:rFonts w:cs="Calibri"/>
                <w:b/>
                <w:bCs/>
              </w:rPr>
              <w:t>Alleviated decline</w:t>
            </w:r>
            <w:r w:rsidR="00161581" w:rsidRPr="00161581">
              <w:rPr>
                <w:rFonts w:cs="Calibri"/>
                <w:b/>
                <w:bCs/>
              </w:rPr>
              <w:t xml:space="preserve">: </w:t>
            </w:r>
            <w:r w:rsidR="003F096F">
              <w:rPr>
                <w:rFonts w:cs="Calibri" w:hint="eastAsia"/>
                <w:b/>
                <w:bCs/>
              </w:rPr>
              <w:t xml:space="preserve">Social reforms </w:t>
            </w:r>
            <w:r w:rsidR="00161581" w:rsidRPr="00161581">
              <w:rPr>
                <w:rFonts w:cs="Calibri"/>
                <w:b/>
                <w:bCs/>
              </w:rPr>
              <w:t>and Economic Prosperity Drive Family Formation</w:t>
            </w:r>
          </w:p>
          <w:p w14:paraId="7D7CD297" w14:textId="20640E86" w:rsidR="00302E1A" w:rsidRDefault="00302E1A" w:rsidP="00AF1928">
            <w:pPr>
              <w:rPr>
                <w:rFonts w:cs="Calibri"/>
              </w:rPr>
            </w:pPr>
            <w:r w:rsidRPr="00302E1A">
              <w:rPr>
                <w:rFonts w:cs="Calibri"/>
              </w:rPr>
              <w:t xml:space="preserve">The complete abolition of population control policies, coupled with the implementation of </w:t>
            </w:r>
            <w:r w:rsidR="0093392B">
              <w:rPr>
                <w:rFonts w:cs="Calibri" w:hint="eastAsia"/>
              </w:rPr>
              <w:t>hukou system reforms</w:t>
            </w:r>
            <w:r w:rsidRPr="00302E1A">
              <w:rPr>
                <w:rFonts w:cs="Calibri"/>
              </w:rPr>
              <w:t>, could significantly enhance societal willingness to have children. Economic prosperity further boosts the confidence of younger generations in family formation.</w:t>
            </w:r>
          </w:p>
          <w:p w14:paraId="19EF12DC" w14:textId="77777777" w:rsidR="00302E1A" w:rsidRDefault="00302E1A" w:rsidP="00AF1928">
            <w:pPr>
              <w:rPr>
                <w:rFonts w:cs="Calibri"/>
              </w:rPr>
            </w:pPr>
          </w:p>
          <w:p w14:paraId="75CEC9C1" w14:textId="38A7D6FA" w:rsidR="00770BA9" w:rsidRPr="00D46876" w:rsidRDefault="00770BA9" w:rsidP="00AF1928">
            <w:pPr>
              <w:rPr>
                <w:rFonts w:cs="Calibri"/>
                <w:b/>
                <w:bCs/>
                <w:color w:val="C00000"/>
              </w:rPr>
            </w:pPr>
            <w:r w:rsidRPr="00D46876">
              <w:rPr>
                <w:rFonts w:cs="Calibri"/>
                <w:b/>
                <w:bCs/>
                <w:color w:val="C00000"/>
              </w:rPr>
              <w:t>RS</w:t>
            </w:r>
          </w:p>
        </w:tc>
        <w:tc>
          <w:tcPr>
            <w:tcW w:w="3685" w:type="dxa"/>
          </w:tcPr>
          <w:p w14:paraId="6B780555" w14:textId="6686E800" w:rsidR="00F628E0" w:rsidRDefault="00E251AF" w:rsidP="00EF47C7">
            <w:pPr>
              <w:rPr>
                <w:rFonts w:cs="Calibri"/>
                <w:b/>
                <w:bCs/>
              </w:rPr>
            </w:pPr>
            <w:r>
              <w:rPr>
                <w:rFonts w:cs="Calibri"/>
                <w:b/>
                <w:bCs/>
              </w:rPr>
              <w:t>Moderate decline</w:t>
            </w:r>
            <w:r w:rsidR="00F628E0" w:rsidRPr="00F628E0">
              <w:rPr>
                <w:rFonts w:cs="Calibri"/>
                <w:b/>
                <w:bCs/>
              </w:rPr>
              <w:t xml:space="preserve">: </w:t>
            </w:r>
            <w:r w:rsidR="0027304A" w:rsidRPr="0027304A">
              <w:rPr>
                <w:rFonts w:cs="Calibri"/>
                <w:b/>
                <w:bCs/>
              </w:rPr>
              <w:t>Rising Costs and Social Shifts Suppress Fertility</w:t>
            </w:r>
          </w:p>
          <w:p w14:paraId="5D832962" w14:textId="77777777" w:rsidR="00F045B5" w:rsidRDefault="009B4222">
            <w:pPr>
              <w:rPr>
                <w:rFonts w:cs="Calibri"/>
              </w:rPr>
            </w:pPr>
            <w:r w:rsidRPr="009B4222">
              <w:rPr>
                <w:rFonts w:cs="Calibri"/>
              </w:rPr>
              <w:t>With continued economic growth and rising per capita income, the costs of housing, education, healthcare, and childcare have significantly increased, making child-rearing more expensive. Furthermore, greater gender equality and women’s empowerment have led to increased workforce participation, reducing societal pressure to have larger families.</w:t>
            </w:r>
          </w:p>
          <w:p w14:paraId="59DEF38F" w14:textId="0A86BA09" w:rsidR="00770BA9" w:rsidRPr="00D46876" w:rsidRDefault="00A61A4A" w:rsidP="00EF47C7">
            <w:pPr>
              <w:rPr>
                <w:rFonts w:cs="Calibri"/>
                <w:b/>
                <w:bCs/>
                <w:color w:val="156082" w:themeColor="accent1"/>
              </w:rPr>
            </w:pPr>
            <w:r w:rsidRPr="00A61A4A">
              <w:rPr>
                <w:rFonts w:cs="Calibri" w:hint="eastAsia"/>
                <w:b/>
                <w:bCs/>
                <w:color w:val="156082" w:themeColor="accent1"/>
              </w:rPr>
              <w:t>CS</w:t>
            </w:r>
            <w:r w:rsidR="009B4222">
              <w:rPr>
                <w:rFonts w:cs="Calibri"/>
                <w:b/>
                <w:bCs/>
                <w:color w:val="156082" w:themeColor="accent1"/>
              </w:rPr>
              <w:t xml:space="preserve"> </w:t>
            </w:r>
            <w:r w:rsidR="009B4222" w:rsidRPr="00133FC7">
              <w:rPr>
                <w:rFonts w:cs="Calibri"/>
                <w:b/>
                <w:color w:val="4EA72E" w:themeColor="accent6"/>
              </w:rPr>
              <w:t>GL</w:t>
            </w:r>
          </w:p>
        </w:tc>
        <w:tc>
          <w:tcPr>
            <w:tcW w:w="3969" w:type="dxa"/>
          </w:tcPr>
          <w:p w14:paraId="16EF95E1" w14:textId="3DE849D2" w:rsidR="00F628E0" w:rsidRDefault="0080578D" w:rsidP="00EF47C7">
            <w:pPr>
              <w:rPr>
                <w:rFonts w:cs="Calibri"/>
                <w:b/>
                <w:bCs/>
              </w:rPr>
            </w:pPr>
            <w:r>
              <w:rPr>
                <w:rFonts w:cs="Calibri"/>
                <w:b/>
                <w:bCs/>
              </w:rPr>
              <w:t>Accelerated decline</w:t>
            </w:r>
            <w:r w:rsidR="00F628E0" w:rsidRPr="00F628E0">
              <w:rPr>
                <w:rFonts w:cs="Calibri"/>
                <w:b/>
                <w:bCs/>
              </w:rPr>
              <w:t xml:space="preserve">: Economic Instability Undermines </w:t>
            </w:r>
            <w:r w:rsidR="00D80777">
              <w:rPr>
                <w:rFonts w:cs="Calibri"/>
                <w:b/>
                <w:bCs/>
              </w:rPr>
              <w:t>fertility intension</w:t>
            </w:r>
          </w:p>
          <w:p w14:paraId="0B1DEF3D" w14:textId="6BAE408F" w:rsidR="00CF2F6F" w:rsidRPr="00E54145" w:rsidRDefault="00E54145" w:rsidP="00EF47C7">
            <w:pPr>
              <w:rPr>
                <w:rFonts w:cs="Calibri"/>
              </w:rPr>
            </w:pPr>
            <w:r w:rsidRPr="00E54145">
              <w:rPr>
                <w:rFonts w:cs="Calibri"/>
              </w:rPr>
              <w:t xml:space="preserve">Economic downturns </w:t>
            </w:r>
            <w:r w:rsidR="00771740">
              <w:rPr>
                <w:rFonts w:cs="Calibri"/>
              </w:rPr>
              <w:t>lead</w:t>
            </w:r>
            <w:r w:rsidRPr="00E54145">
              <w:rPr>
                <w:rFonts w:cs="Calibri"/>
              </w:rPr>
              <w:t xml:space="preserve"> to a deteriorating employment environment, undermining the confidence of younger generations. Additionally, concerns about healthcare, elderly care, education, and food safety </w:t>
            </w:r>
            <w:r w:rsidR="00771740">
              <w:rPr>
                <w:rFonts w:cs="Calibri"/>
              </w:rPr>
              <w:t xml:space="preserve">make </w:t>
            </w:r>
            <w:r w:rsidR="00771740" w:rsidRPr="00E54145">
              <w:rPr>
                <w:rFonts w:cs="Calibri"/>
              </w:rPr>
              <w:t>young</w:t>
            </w:r>
            <w:r w:rsidRPr="00E54145">
              <w:rPr>
                <w:rFonts w:cs="Calibri"/>
              </w:rPr>
              <w:t xml:space="preserve"> people more cautious in decisions related to marriage and childbearing.</w:t>
            </w:r>
          </w:p>
          <w:p w14:paraId="173EE58B" w14:textId="77777777" w:rsidR="00CF2F6F" w:rsidRDefault="00CF2F6F" w:rsidP="00EF47C7">
            <w:pPr>
              <w:rPr>
                <w:rFonts w:cs="Calibri"/>
                <w:b/>
                <w:bCs/>
              </w:rPr>
            </w:pPr>
          </w:p>
          <w:p w14:paraId="15E282EE" w14:textId="7EB23F9A" w:rsidR="00770BA9" w:rsidRPr="00D46876" w:rsidRDefault="00770BA9" w:rsidP="00EF47C7">
            <w:pPr>
              <w:rPr>
                <w:rFonts w:cs="Calibri"/>
                <w:b/>
                <w:bCs/>
              </w:rPr>
            </w:pPr>
            <w:r w:rsidRPr="00D46876">
              <w:rPr>
                <w:rFonts w:cs="Calibri"/>
                <w:b/>
                <w:bCs/>
              </w:rPr>
              <w:t>GW</w:t>
            </w:r>
          </w:p>
        </w:tc>
        <w:tc>
          <w:tcPr>
            <w:tcW w:w="3374" w:type="dxa"/>
          </w:tcPr>
          <w:p w14:paraId="336EB4B0" w14:textId="1D0F9186" w:rsidR="00770BA9" w:rsidRPr="00D46876" w:rsidRDefault="00770BA9" w:rsidP="00EF47C7">
            <w:pPr>
              <w:rPr>
                <w:rFonts w:cs="Calibri"/>
                <w:b/>
                <w:bCs/>
                <w:color w:val="4EA72E" w:themeColor="accent6"/>
              </w:rPr>
            </w:pPr>
          </w:p>
        </w:tc>
      </w:tr>
      <w:tr w:rsidR="00AE1A24" w:rsidRPr="00D46876" w14:paraId="3D928B2E" w14:textId="77777777" w:rsidTr="00A77AF1">
        <w:trPr>
          <w:trHeight w:val="4243"/>
        </w:trPr>
        <w:tc>
          <w:tcPr>
            <w:tcW w:w="1701" w:type="dxa"/>
          </w:tcPr>
          <w:p w14:paraId="31094B7D" w14:textId="77777777" w:rsidR="00770BA9" w:rsidRPr="00D46876" w:rsidRDefault="00770BA9" w:rsidP="00EF47C7">
            <w:pPr>
              <w:rPr>
                <w:rFonts w:cs="Calibri"/>
                <w:b/>
                <w:bCs/>
              </w:rPr>
            </w:pPr>
            <w:r w:rsidRPr="00D46876">
              <w:rPr>
                <w:rFonts w:cs="Calibri"/>
                <w:b/>
                <w:bCs/>
              </w:rPr>
              <w:lastRenderedPageBreak/>
              <w:t>National Climate Policy</w:t>
            </w:r>
          </w:p>
        </w:tc>
        <w:tc>
          <w:tcPr>
            <w:tcW w:w="3573" w:type="dxa"/>
          </w:tcPr>
          <w:p w14:paraId="687712D8" w14:textId="1200A853" w:rsidR="0043734F" w:rsidRDefault="0043734F" w:rsidP="00EF47C7">
            <w:pPr>
              <w:rPr>
                <w:rFonts w:cs="Calibri"/>
                <w:b/>
                <w:bCs/>
              </w:rPr>
            </w:pPr>
            <w:r w:rsidRPr="0043734F">
              <w:rPr>
                <w:rFonts w:cs="Calibri"/>
                <w:b/>
                <w:bCs/>
              </w:rPr>
              <w:t>Limited Progress Beyond Current Achievements</w:t>
            </w:r>
          </w:p>
          <w:p w14:paraId="3ED2D6D9" w14:textId="37E883A9" w:rsidR="00A77AF1" w:rsidRPr="00A77AF1" w:rsidRDefault="00BE57A6" w:rsidP="00EF47C7">
            <w:pPr>
              <w:rPr>
                <w:rFonts w:cs="Calibri"/>
              </w:rPr>
            </w:pPr>
            <w:r w:rsidRPr="00BE57A6">
              <w:rPr>
                <w:rFonts w:cs="Calibri"/>
              </w:rPr>
              <w:t>China struggles to advance beyond its existing decarbonization accomplishments. While significant progress has been made in renewable energy and electric vehicle deployment, economic downturns and technological constraints in industrial decarbonization hinder further policy implementation. This results in significant uncertainty regarding the achievement of both NDC targets and the 2060 net-zero goal.</w:t>
            </w:r>
          </w:p>
          <w:p w14:paraId="59267C64" w14:textId="5B1E91F9" w:rsidR="00770BA9" w:rsidRPr="00D46876" w:rsidRDefault="00770BA9" w:rsidP="00EF47C7">
            <w:pPr>
              <w:rPr>
                <w:rFonts w:cs="Calibri"/>
                <w:color w:val="000000" w:themeColor="text1"/>
              </w:rPr>
            </w:pPr>
            <w:r w:rsidRPr="00D46876">
              <w:rPr>
                <w:rFonts w:cs="Calibri"/>
                <w:b/>
                <w:bCs/>
                <w:color w:val="000000" w:themeColor="text1"/>
              </w:rPr>
              <w:t>GW</w:t>
            </w:r>
          </w:p>
        </w:tc>
        <w:tc>
          <w:tcPr>
            <w:tcW w:w="3685" w:type="dxa"/>
          </w:tcPr>
          <w:p w14:paraId="1A4ABA89" w14:textId="6CABD9B7" w:rsidR="00BE57A6" w:rsidRDefault="00BE57A6" w:rsidP="00EF47C7">
            <w:pPr>
              <w:rPr>
                <w:rFonts w:cs="Calibri"/>
                <w:b/>
                <w:bCs/>
              </w:rPr>
            </w:pPr>
            <w:r w:rsidRPr="00BE57A6">
              <w:rPr>
                <w:rFonts w:cs="Calibri"/>
                <w:b/>
                <w:bCs/>
              </w:rPr>
              <w:t>NDC Achievable, Net-Zero by 2060 Uncertain</w:t>
            </w:r>
          </w:p>
          <w:p w14:paraId="01092833" w14:textId="0CA5D0DE" w:rsidR="00B900CD" w:rsidRDefault="00B900CD" w:rsidP="00EF47C7">
            <w:pPr>
              <w:rPr>
                <w:rFonts w:cs="Calibri"/>
              </w:rPr>
            </w:pPr>
            <w:r w:rsidRPr="00B900CD">
              <w:rPr>
                <w:rFonts w:cs="Calibri"/>
              </w:rPr>
              <w:t xml:space="preserve">Building on progress in renewables and electric vehicles, rising household consumption drives electrification </w:t>
            </w:r>
            <w:r w:rsidR="00313959">
              <w:rPr>
                <w:rFonts w:cs="Calibri"/>
              </w:rPr>
              <w:t xml:space="preserve">across end use </w:t>
            </w:r>
            <w:r w:rsidRPr="00B900CD">
              <w:rPr>
                <w:rFonts w:cs="Calibri"/>
              </w:rPr>
              <w:t>sector</w:t>
            </w:r>
            <w:r w:rsidR="000E3AB9">
              <w:rPr>
                <w:rFonts w:cs="Calibri"/>
              </w:rPr>
              <w:t>s</w:t>
            </w:r>
            <w:r w:rsidRPr="00B900CD">
              <w:rPr>
                <w:rFonts w:cs="Calibri"/>
              </w:rPr>
              <w:t>, enabling the effective achievement of electricity-related policy goals. However, the economy’s reliance on manufacturing and energy-intensive industries weakens the implementation of industrial emission reduction policies. While achieving the NDC target is feasible, meeting the net-zero target by 2060 remains highly uncertain.</w:t>
            </w:r>
          </w:p>
          <w:p w14:paraId="5981C862" w14:textId="12667E54" w:rsidR="00770BA9" w:rsidRPr="00D46876" w:rsidRDefault="00770BA9" w:rsidP="00EF47C7">
            <w:pPr>
              <w:rPr>
                <w:rFonts w:cs="Calibri"/>
                <w:color w:val="C00000"/>
              </w:rPr>
            </w:pPr>
            <w:r w:rsidRPr="00D46876">
              <w:rPr>
                <w:rFonts w:cs="Calibri"/>
                <w:b/>
                <w:bCs/>
                <w:color w:val="C00000"/>
              </w:rPr>
              <w:t>RS</w:t>
            </w:r>
          </w:p>
        </w:tc>
        <w:tc>
          <w:tcPr>
            <w:tcW w:w="3969" w:type="dxa"/>
          </w:tcPr>
          <w:p w14:paraId="1069521E" w14:textId="77777777" w:rsidR="00DB0F62" w:rsidRPr="00DB0F62" w:rsidRDefault="00DB0F62" w:rsidP="00DB0F62">
            <w:pPr>
              <w:rPr>
                <w:rFonts w:cs="Calibri"/>
                <w:b/>
                <w:bCs/>
              </w:rPr>
            </w:pPr>
            <w:r w:rsidRPr="00DB0F62">
              <w:rPr>
                <w:rFonts w:cs="Calibri"/>
                <w:b/>
                <w:bCs/>
              </w:rPr>
              <w:t>Policy Continuity Secures Climate Targets</w:t>
            </w:r>
          </w:p>
          <w:p w14:paraId="3C20AE21" w14:textId="77777777" w:rsidR="00C23F0F" w:rsidRDefault="00C23F0F" w:rsidP="00DB0F62">
            <w:pPr>
              <w:rPr>
                <w:rFonts w:cs="Calibri"/>
              </w:rPr>
            </w:pPr>
          </w:p>
          <w:p w14:paraId="54C1D9E1" w14:textId="3D2B2B16" w:rsidR="00DB0F62" w:rsidRPr="00DB0F62" w:rsidRDefault="00DB0F62" w:rsidP="00DB0F62">
            <w:pPr>
              <w:rPr>
                <w:rFonts w:cs="Calibri"/>
              </w:rPr>
            </w:pPr>
            <w:r w:rsidRPr="00DB0F62">
              <w:rPr>
                <w:rFonts w:cs="Calibri"/>
              </w:rPr>
              <w:t>All existing climate policies are fully implemented, and sectoral goals are consistently met. China effectively enforces climate policies across sectors through the 2030s and maintains sustained decarbonization efforts beyond 2030. As a result, China successfully reaches its carbon peak by 2030 and achieves carbon neutrality by 2060 as planned.</w:t>
            </w:r>
          </w:p>
          <w:p w14:paraId="10B7458E" w14:textId="77777777" w:rsidR="005E23FD" w:rsidRDefault="005E23FD" w:rsidP="00EF47C7">
            <w:pPr>
              <w:rPr>
                <w:rFonts w:cs="Calibri"/>
                <w:b/>
                <w:bCs/>
                <w:color w:val="156082" w:themeColor="accent1"/>
              </w:rPr>
            </w:pPr>
          </w:p>
          <w:p w14:paraId="6B5B80D3" w14:textId="77777777" w:rsidR="00A77AF1" w:rsidRDefault="00A77AF1" w:rsidP="00EF47C7">
            <w:pPr>
              <w:rPr>
                <w:rFonts w:cs="Calibri"/>
                <w:b/>
                <w:bCs/>
                <w:color w:val="156082" w:themeColor="accent1"/>
              </w:rPr>
            </w:pPr>
          </w:p>
          <w:p w14:paraId="6E96B2B0" w14:textId="77777777" w:rsidR="00A77AF1" w:rsidRDefault="00A77AF1" w:rsidP="00EF47C7">
            <w:pPr>
              <w:rPr>
                <w:rFonts w:cs="Calibri"/>
                <w:b/>
                <w:bCs/>
                <w:color w:val="156082" w:themeColor="accent1"/>
              </w:rPr>
            </w:pPr>
          </w:p>
          <w:p w14:paraId="2401E84B" w14:textId="306A06E1" w:rsidR="00770BA9" w:rsidRPr="00D46876" w:rsidRDefault="00770BA9" w:rsidP="00EF47C7">
            <w:pPr>
              <w:rPr>
                <w:rFonts w:cs="Calibri"/>
                <w:color w:val="156082" w:themeColor="accent1"/>
              </w:rPr>
            </w:pPr>
            <w:r w:rsidRPr="00D46876">
              <w:rPr>
                <w:rFonts w:cs="Calibri"/>
                <w:b/>
                <w:bCs/>
                <w:color w:val="156082" w:themeColor="accent1"/>
              </w:rPr>
              <w:t>CS</w:t>
            </w:r>
          </w:p>
        </w:tc>
        <w:tc>
          <w:tcPr>
            <w:tcW w:w="3374" w:type="dxa"/>
          </w:tcPr>
          <w:p w14:paraId="0703DEB3" w14:textId="77777777" w:rsidR="00DB0F62" w:rsidRDefault="00DB0F62" w:rsidP="00DB0F62">
            <w:pPr>
              <w:rPr>
                <w:rFonts w:cs="Calibri"/>
                <w:b/>
                <w:bCs/>
              </w:rPr>
            </w:pPr>
            <w:r w:rsidRPr="00DB0F62">
              <w:rPr>
                <w:rFonts w:cs="Calibri"/>
                <w:b/>
                <w:bCs/>
              </w:rPr>
              <w:t>Ambitious Policies Drive Early Success</w:t>
            </w:r>
          </w:p>
          <w:p w14:paraId="74B4AB60" w14:textId="77777777" w:rsidR="001678DF" w:rsidRDefault="001678DF" w:rsidP="00DB0F62">
            <w:pPr>
              <w:rPr>
                <w:rFonts w:cs="Calibri"/>
                <w:b/>
                <w:bCs/>
              </w:rPr>
            </w:pPr>
          </w:p>
          <w:p w14:paraId="04C5F6FC" w14:textId="0DB37590" w:rsidR="001119DD" w:rsidRDefault="005F0BAA" w:rsidP="00EF47C7">
            <w:pPr>
              <w:rPr>
                <w:rFonts w:cs="Calibri"/>
              </w:rPr>
            </w:pPr>
            <w:r w:rsidRPr="005F0BAA">
              <w:rPr>
                <w:rFonts w:cs="Calibri"/>
              </w:rPr>
              <w:t>China emerges as a global leader in climate change mitigation, achieving its NDC and net-zero targets ahead of schedule through the implementation of more ambitious and comprehensive policies.</w:t>
            </w:r>
          </w:p>
          <w:p w14:paraId="173D0163" w14:textId="77777777" w:rsidR="005F0BAA" w:rsidRDefault="005F0BAA" w:rsidP="00EF47C7">
            <w:pPr>
              <w:rPr>
                <w:rFonts w:cs="Calibri"/>
              </w:rPr>
            </w:pPr>
          </w:p>
          <w:p w14:paraId="11A453E6" w14:textId="77777777" w:rsidR="005F0BAA" w:rsidRDefault="005F0BAA" w:rsidP="00EF47C7">
            <w:pPr>
              <w:rPr>
                <w:rFonts w:cs="Calibri"/>
              </w:rPr>
            </w:pPr>
          </w:p>
          <w:p w14:paraId="15827BB3" w14:textId="77777777" w:rsidR="005F0BAA" w:rsidRDefault="005F0BAA" w:rsidP="00EF47C7">
            <w:pPr>
              <w:rPr>
                <w:rFonts w:cs="Calibri"/>
              </w:rPr>
            </w:pPr>
          </w:p>
          <w:p w14:paraId="5766FED6" w14:textId="77777777" w:rsidR="005F0BAA" w:rsidRDefault="005F0BAA" w:rsidP="00EF47C7">
            <w:pPr>
              <w:rPr>
                <w:rFonts w:cs="Calibri"/>
                <w:b/>
                <w:bCs/>
                <w:color w:val="4EA72E" w:themeColor="accent6"/>
              </w:rPr>
            </w:pPr>
          </w:p>
          <w:p w14:paraId="31BE1709" w14:textId="77777777" w:rsidR="00A77AF1" w:rsidRDefault="00A77AF1" w:rsidP="00EF47C7">
            <w:pPr>
              <w:rPr>
                <w:rFonts w:cs="Calibri"/>
                <w:b/>
                <w:bCs/>
                <w:color w:val="4EA72E" w:themeColor="accent6"/>
              </w:rPr>
            </w:pPr>
          </w:p>
          <w:p w14:paraId="31E51CE7" w14:textId="2651F8AF" w:rsidR="00770BA9" w:rsidRPr="00D46876" w:rsidRDefault="00770BA9" w:rsidP="00EF47C7">
            <w:pPr>
              <w:rPr>
                <w:rFonts w:cs="Calibri"/>
                <w:color w:val="4EA72E" w:themeColor="accent6"/>
              </w:rPr>
            </w:pPr>
            <w:r w:rsidRPr="00D46876">
              <w:rPr>
                <w:rFonts w:cs="Calibri"/>
                <w:b/>
                <w:bCs/>
                <w:color w:val="4EA72E" w:themeColor="accent6"/>
              </w:rPr>
              <w:t>GL</w:t>
            </w:r>
          </w:p>
        </w:tc>
      </w:tr>
      <w:tr w:rsidR="00010BE4" w:rsidRPr="00D46876" w14:paraId="4D695379" w14:textId="77777777" w:rsidTr="000C54DF">
        <w:trPr>
          <w:trHeight w:val="4101"/>
        </w:trPr>
        <w:tc>
          <w:tcPr>
            <w:tcW w:w="1701" w:type="dxa"/>
          </w:tcPr>
          <w:p w14:paraId="39F24591" w14:textId="4776B422" w:rsidR="00770BA9" w:rsidRPr="00D46876" w:rsidRDefault="003851D0" w:rsidP="00EF47C7">
            <w:pPr>
              <w:rPr>
                <w:rFonts w:cs="Calibri"/>
                <w:b/>
                <w:bCs/>
              </w:rPr>
            </w:pPr>
            <w:r>
              <w:rPr>
                <w:rFonts w:cs="Calibri" w:hint="eastAsia"/>
                <w:b/>
                <w:bCs/>
              </w:rPr>
              <w:t xml:space="preserve">Clean technology </w:t>
            </w:r>
            <w:r w:rsidR="000C54DF">
              <w:rPr>
                <w:rFonts w:cs="Calibri" w:hint="eastAsia"/>
                <w:b/>
                <w:bCs/>
              </w:rPr>
              <w:t xml:space="preserve">deployment </w:t>
            </w:r>
          </w:p>
        </w:tc>
        <w:tc>
          <w:tcPr>
            <w:tcW w:w="3573" w:type="dxa"/>
          </w:tcPr>
          <w:p w14:paraId="23FB8323" w14:textId="22A4A361" w:rsidR="00A84727" w:rsidRDefault="00A84727" w:rsidP="00C6228A">
            <w:pPr>
              <w:rPr>
                <w:rFonts w:cs="Calibri"/>
                <w:b/>
                <w:bCs/>
              </w:rPr>
            </w:pPr>
            <w:r w:rsidRPr="00A84727">
              <w:rPr>
                <w:rFonts w:cs="Calibri"/>
                <w:b/>
                <w:bCs/>
              </w:rPr>
              <w:t>Limited Innovation and Advancement: Slow Economic Growth Hinders Technological Progress</w:t>
            </w:r>
          </w:p>
          <w:p w14:paraId="429D7B23" w14:textId="3949F84C" w:rsidR="001A79C1" w:rsidRDefault="002B22C6" w:rsidP="00EF47C7">
            <w:pPr>
              <w:rPr>
                <w:rFonts w:cs="Calibri"/>
                <w:b/>
                <w:bCs/>
              </w:rPr>
            </w:pPr>
            <w:r w:rsidRPr="002B22C6">
              <w:rPr>
                <w:rFonts w:cs="Calibri"/>
              </w:rPr>
              <w:t xml:space="preserve">Economic slowdown limits investment in research and development, resulting in slow innovation and technological advancement. Cost reductions in low-carbon technologies, such as </w:t>
            </w:r>
            <w:r w:rsidR="00BE1D40">
              <w:rPr>
                <w:rFonts w:cs="Calibri"/>
              </w:rPr>
              <w:t xml:space="preserve">EVs, </w:t>
            </w:r>
            <w:r w:rsidRPr="002B22C6">
              <w:rPr>
                <w:rFonts w:cs="Calibri"/>
              </w:rPr>
              <w:t xml:space="preserve">wind and solar power, progress slowly. </w:t>
            </w:r>
          </w:p>
          <w:p w14:paraId="1E63AE0F" w14:textId="0897CCEE" w:rsidR="00770BA9" w:rsidRPr="00D46876" w:rsidRDefault="00C6228A" w:rsidP="00EF47C7">
            <w:pPr>
              <w:rPr>
                <w:rFonts w:cs="Calibri"/>
                <w:b/>
                <w:bCs/>
              </w:rPr>
            </w:pPr>
            <w:r w:rsidRPr="00C6228A">
              <w:rPr>
                <w:rFonts w:cs="Calibri"/>
                <w:b/>
                <w:bCs/>
              </w:rPr>
              <w:t>GW</w:t>
            </w:r>
          </w:p>
        </w:tc>
        <w:tc>
          <w:tcPr>
            <w:tcW w:w="3685" w:type="dxa"/>
          </w:tcPr>
          <w:p w14:paraId="39660C91" w14:textId="6229EA1C" w:rsidR="00267FE3" w:rsidRDefault="00267FE3" w:rsidP="00C6228A">
            <w:pPr>
              <w:rPr>
                <w:rFonts w:cs="Calibri"/>
                <w:b/>
                <w:bCs/>
              </w:rPr>
            </w:pPr>
            <w:r w:rsidRPr="00267FE3">
              <w:rPr>
                <w:rFonts w:cs="Calibri"/>
                <w:b/>
                <w:bCs/>
              </w:rPr>
              <w:t>Moderate Advancements: Gradual but Steady Technological Progress</w:t>
            </w:r>
          </w:p>
          <w:p w14:paraId="74BA4C0C" w14:textId="06299870" w:rsidR="00C76139" w:rsidRPr="00CF5FF9" w:rsidRDefault="00BE1FC8" w:rsidP="00C6228A">
            <w:pPr>
              <w:rPr>
                <w:rFonts w:cs="Calibri"/>
                <w:b/>
                <w:bCs/>
              </w:rPr>
            </w:pPr>
            <w:r w:rsidRPr="00BE1FC8">
              <w:rPr>
                <w:rFonts w:cs="Calibri"/>
              </w:rPr>
              <w:t>Incremental advancements in low-carbon technologies are driven by economic growth or supported by government climate priorities. While the costs of renewable energy technologies, such as wind, solar, and energy storage, continue to decline steadily</w:t>
            </w:r>
            <w:r w:rsidR="000C54DF">
              <w:rPr>
                <w:rFonts w:cs="Calibri" w:hint="eastAsia"/>
              </w:rPr>
              <w:t xml:space="preserve">. </w:t>
            </w:r>
            <w:r w:rsidRPr="00BE1FC8">
              <w:rPr>
                <w:rFonts w:cs="Calibri"/>
              </w:rPr>
              <w:t>the development and deployment of CCS, BECCS, and DAC technologies face persistent scalability challenges, pushing full commercialization beyond 2040.</w:t>
            </w:r>
          </w:p>
          <w:p w14:paraId="71193BE1" w14:textId="7C904FE0" w:rsidR="00770BA9" w:rsidRPr="007A4940" w:rsidRDefault="00FB5647" w:rsidP="00EF47C7">
            <w:pPr>
              <w:rPr>
                <w:rFonts w:cs="Calibri"/>
                <w:b/>
                <w:bCs/>
                <w:color w:val="156082" w:themeColor="accent1"/>
              </w:rPr>
            </w:pPr>
            <w:r w:rsidRPr="00C6228A">
              <w:rPr>
                <w:rFonts w:cs="Calibri"/>
                <w:b/>
                <w:bCs/>
                <w:color w:val="156082" w:themeColor="accent1"/>
              </w:rPr>
              <w:t>CS</w:t>
            </w:r>
          </w:p>
        </w:tc>
        <w:tc>
          <w:tcPr>
            <w:tcW w:w="3969" w:type="dxa"/>
          </w:tcPr>
          <w:p w14:paraId="01B25B14" w14:textId="07D161E6" w:rsidR="006317A8" w:rsidRDefault="006317A8" w:rsidP="008D512D">
            <w:pPr>
              <w:rPr>
                <w:rFonts w:cs="Calibri"/>
                <w:b/>
                <w:bCs/>
              </w:rPr>
            </w:pPr>
            <w:r w:rsidRPr="006317A8">
              <w:rPr>
                <w:rFonts w:cs="Calibri"/>
                <w:b/>
                <w:bCs/>
              </w:rPr>
              <w:t xml:space="preserve">Breakthrough Innovation: </w:t>
            </w:r>
            <w:r w:rsidR="00EB75D2">
              <w:rPr>
                <w:rFonts w:cs="Calibri" w:hint="eastAsia"/>
                <w:b/>
                <w:bCs/>
              </w:rPr>
              <w:t xml:space="preserve">Economic </w:t>
            </w:r>
            <w:r w:rsidRPr="006317A8">
              <w:rPr>
                <w:rFonts w:cs="Calibri"/>
                <w:b/>
                <w:bCs/>
              </w:rPr>
              <w:t>Growth Accelerates Technological Leadership</w:t>
            </w:r>
          </w:p>
          <w:p w14:paraId="0E7CCE34" w14:textId="32E0C694" w:rsidR="008D512D" w:rsidRDefault="002960FB" w:rsidP="008D512D">
            <w:pPr>
              <w:rPr>
                <w:rFonts w:cs="Calibri"/>
                <w:b/>
                <w:bCs/>
              </w:rPr>
            </w:pPr>
            <w:r>
              <w:rPr>
                <w:rFonts w:cs="Calibri" w:hint="eastAsia"/>
              </w:rPr>
              <w:t xml:space="preserve">Strong </w:t>
            </w:r>
            <w:r w:rsidR="00F07AC1" w:rsidRPr="00F07AC1">
              <w:rPr>
                <w:rFonts w:cs="Calibri"/>
              </w:rPr>
              <w:t xml:space="preserve">economic growth drives significant investment in the research, development, and deployment of low-carbon technologies. Costs of renewable technologies—including wind, solar, and energy storage—decline rapidly. </w:t>
            </w:r>
          </w:p>
          <w:p w14:paraId="4A2838C9" w14:textId="3A0B1373" w:rsidR="008D512D" w:rsidRPr="008D512D" w:rsidRDefault="003851D0" w:rsidP="008D512D">
            <w:pPr>
              <w:rPr>
                <w:rFonts w:cs="Calibri"/>
                <w:b/>
                <w:bCs/>
              </w:rPr>
            </w:pPr>
            <w:r w:rsidRPr="00D126EB">
              <w:rPr>
                <w:rFonts w:cs="Calibri"/>
                <w:b/>
                <w:bCs/>
                <w:color w:val="C00000"/>
              </w:rPr>
              <w:t>RS</w:t>
            </w:r>
            <w:r>
              <w:rPr>
                <w:rFonts w:cs="Calibri" w:hint="eastAsia"/>
                <w:b/>
                <w:bCs/>
                <w:color w:val="C00000"/>
              </w:rPr>
              <w:t xml:space="preserve">, </w:t>
            </w:r>
            <w:r w:rsidR="008D512D" w:rsidRPr="008D512D">
              <w:rPr>
                <w:rFonts w:cs="Calibri"/>
                <w:b/>
                <w:bCs/>
                <w:color w:val="4EA72E" w:themeColor="accent6"/>
              </w:rPr>
              <w:t>GL</w:t>
            </w:r>
          </w:p>
          <w:p w14:paraId="701B1D0C" w14:textId="77777777" w:rsidR="00770BA9" w:rsidRPr="00D46876" w:rsidRDefault="00770BA9" w:rsidP="00EF47C7">
            <w:pPr>
              <w:rPr>
                <w:rFonts w:cs="Calibri"/>
                <w:b/>
                <w:bCs/>
              </w:rPr>
            </w:pPr>
          </w:p>
        </w:tc>
        <w:tc>
          <w:tcPr>
            <w:tcW w:w="3374" w:type="dxa"/>
          </w:tcPr>
          <w:p w14:paraId="5B364E5E" w14:textId="77777777" w:rsidR="00770BA9" w:rsidRPr="00D46876" w:rsidRDefault="00770BA9" w:rsidP="00EF47C7">
            <w:pPr>
              <w:rPr>
                <w:rFonts w:cs="Calibri"/>
                <w:b/>
                <w:bCs/>
              </w:rPr>
            </w:pPr>
          </w:p>
        </w:tc>
      </w:tr>
      <w:tr w:rsidR="00AE1A24" w:rsidRPr="00D46876" w14:paraId="1CDC6DEF" w14:textId="77777777" w:rsidTr="000C54DF">
        <w:trPr>
          <w:trHeight w:val="2127"/>
        </w:trPr>
        <w:tc>
          <w:tcPr>
            <w:tcW w:w="1701" w:type="dxa"/>
          </w:tcPr>
          <w:p w14:paraId="5CB4354D" w14:textId="23586649" w:rsidR="00770BA9" w:rsidRPr="00D46876" w:rsidRDefault="003851D0" w:rsidP="00EF47C7">
            <w:pPr>
              <w:rPr>
                <w:rFonts w:cs="Calibri"/>
                <w:b/>
                <w:bCs/>
              </w:rPr>
            </w:pPr>
            <w:r>
              <w:rPr>
                <w:rFonts w:cs="Calibri" w:hint="eastAsia"/>
                <w:b/>
                <w:bCs/>
              </w:rPr>
              <w:lastRenderedPageBreak/>
              <w:t xml:space="preserve">CCS deployment </w:t>
            </w:r>
          </w:p>
        </w:tc>
        <w:tc>
          <w:tcPr>
            <w:tcW w:w="3573" w:type="dxa"/>
          </w:tcPr>
          <w:p w14:paraId="5C0D043F" w14:textId="77777777" w:rsidR="00840CCC" w:rsidRPr="00840CCC" w:rsidRDefault="00840CCC" w:rsidP="00840CCC">
            <w:pPr>
              <w:rPr>
                <w:rFonts w:cs="Calibri"/>
                <w:b/>
                <w:bCs/>
              </w:rPr>
            </w:pPr>
            <w:r w:rsidRPr="00840CCC">
              <w:rPr>
                <w:rFonts w:cs="Calibri"/>
                <w:b/>
                <w:bCs/>
              </w:rPr>
              <w:t>Low-End Official Estimates Reflect Limited Government Climate Ambition</w:t>
            </w:r>
          </w:p>
          <w:p w14:paraId="7A68BF8C" w14:textId="77777777" w:rsidR="00840CCC" w:rsidRPr="00840CCC" w:rsidRDefault="00840CCC" w:rsidP="00840CCC">
            <w:pPr>
              <w:rPr>
                <w:rFonts w:cs="Calibri"/>
              </w:rPr>
            </w:pPr>
            <w:r w:rsidRPr="00840CCC">
              <w:rPr>
                <w:rFonts w:cs="Calibri"/>
              </w:rPr>
              <w:t>The deployment of Carbon Capture and Storage (CCS), including Bioenergy with CCS (BECCS) and Direct Air Capture (DAC), is significantly delayed in this scenario. Limited policy support and lower climate ambition hinder large-scale investment and adoption, resulting in slow technology development and deployment through mid-century.</w:t>
            </w:r>
          </w:p>
          <w:p w14:paraId="4BF8FE9E" w14:textId="3A77BFF7" w:rsidR="00770BA9" w:rsidRPr="00D46876" w:rsidRDefault="00770BA9" w:rsidP="00EF47C7">
            <w:pPr>
              <w:rPr>
                <w:rFonts w:cs="Calibri"/>
              </w:rPr>
            </w:pPr>
            <w:r w:rsidRPr="00D46876">
              <w:rPr>
                <w:rFonts w:cs="Calibri"/>
                <w:b/>
                <w:bCs/>
                <w:color w:val="000000" w:themeColor="text1"/>
              </w:rPr>
              <w:t>GW</w:t>
            </w:r>
          </w:p>
        </w:tc>
        <w:tc>
          <w:tcPr>
            <w:tcW w:w="3685" w:type="dxa"/>
          </w:tcPr>
          <w:p w14:paraId="7DE2E2DE" w14:textId="77777777" w:rsidR="004E200B" w:rsidRPr="004E200B" w:rsidRDefault="004E200B" w:rsidP="004E200B">
            <w:pPr>
              <w:rPr>
                <w:rFonts w:cs="Calibri"/>
                <w:b/>
                <w:bCs/>
              </w:rPr>
            </w:pPr>
            <w:r w:rsidRPr="004E200B">
              <w:rPr>
                <w:rFonts w:cs="Calibri"/>
                <w:b/>
                <w:bCs/>
              </w:rPr>
              <w:t>Medium Official Estimates Reflect Mixed Drivers of Technological Development</w:t>
            </w:r>
          </w:p>
          <w:p w14:paraId="611D05CA" w14:textId="13A2B1C3" w:rsidR="000C54DF" w:rsidRDefault="004E200B" w:rsidP="00EF47C7">
            <w:pPr>
              <w:rPr>
                <w:rFonts w:cs="Calibri"/>
              </w:rPr>
            </w:pPr>
            <w:r w:rsidRPr="004E200B">
              <w:rPr>
                <w:rFonts w:cs="Calibri"/>
              </w:rPr>
              <w:t xml:space="preserve">The development and deployment of CCS, BECCS, and DAC technologies advance gradually due to a combination of economic stimulus </w:t>
            </w:r>
            <w:r>
              <w:rPr>
                <w:rFonts w:cs="Calibri" w:hint="eastAsia"/>
              </w:rPr>
              <w:t>or</w:t>
            </w:r>
            <w:r w:rsidRPr="004E200B">
              <w:rPr>
                <w:rFonts w:cs="Calibri"/>
              </w:rPr>
              <w:t xml:space="preserve"> government-led innovation efforts. However, persistent challenges in cost, infrastructure, and scalability delay widespread commercialisation until after 2040.</w:t>
            </w:r>
          </w:p>
          <w:p w14:paraId="4BA2A91E" w14:textId="77777777" w:rsidR="000555CB" w:rsidRDefault="000555CB" w:rsidP="00EF47C7">
            <w:pPr>
              <w:rPr>
                <w:rFonts w:cs="Calibri"/>
              </w:rPr>
            </w:pPr>
          </w:p>
          <w:p w14:paraId="0CE51B4A" w14:textId="56359835" w:rsidR="00770BA9" w:rsidRPr="00D46876" w:rsidRDefault="00E9607B" w:rsidP="00EF47C7">
            <w:pPr>
              <w:rPr>
                <w:rFonts w:cs="Calibri"/>
                <w:color w:val="156082" w:themeColor="accent1"/>
              </w:rPr>
            </w:pPr>
            <w:r w:rsidRPr="00D46876">
              <w:rPr>
                <w:rFonts w:cs="Calibri"/>
                <w:b/>
                <w:bCs/>
                <w:color w:val="C00000"/>
              </w:rPr>
              <w:t>RS,</w:t>
            </w:r>
            <w:r w:rsidRPr="00D46876">
              <w:rPr>
                <w:rFonts w:cs="Calibri"/>
                <w:b/>
                <w:bCs/>
                <w:color w:val="000000" w:themeColor="text1"/>
              </w:rPr>
              <w:t xml:space="preserve"> </w:t>
            </w:r>
            <w:r w:rsidR="00770BA9" w:rsidRPr="00D46876">
              <w:rPr>
                <w:rFonts w:cs="Calibri"/>
                <w:b/>
                <w:bCs/>
                <w:color w:val="156082" w:themeColor="accent1"/>
              </w:rPr>
              <w:t>CS</w:t>
            </w:r>
            <w:r w:rsidR="003851D0">
              <w:rPr>
                <w:rFonts w:cs="Calibri" w:hint="eastAsia"/>
                <w:b/>
                <w:bCs/>
                <w:color w:val="156082" w:themeColor="accent1"/>
              </w:rPr>
              <w:t xml:space="preserve"> </w:t>
            </w:r>
          </w:p>
        </w:tc>
        <w:tc>
          <w:tcPr>
            <w:tcW w:w="3969" w:type="dxa"/>
          </w:tcPr>
          <w:p w14:paraId="2E4AC888" w14:textId="6CB66C0E" w:rsidR="000555CB" w:rsidRPr="000555CB" w:rsidRDefault="000555CB" w:rsidP="000555CB">
            <w:pPr>
              <w:rPr>
                <w:rFonts w:cs="Calibri"/>
                <w:b/>
                <w:bCs/>
              </w:rPr>
            </w:pPr>
            <w:r w:rsidRPr="000555CB">
              <w:rPr>
                <w:rFonts w:cs="Calibri"/>
                <w:b/>
                <w:bCs/>
              </w:rPr>
              <w:t>High-End Official Estimates Reflect Strong Government Ambition</w:t>
            </w:r>
            <w:r>
              <w:rPr>
                <w:rFonts w:cs="Calibri" w:hint="eastAsia"/>
                <w:b/>
                <w:bCs/>
              </w:rPr>
              <w:t xml:space="preserve">: </w:t>
            </w:r>
          </w:p>
          <w:p w14:paraId="05FBDB75" w14:textId="77777777" w:rsidR="000555CB" w:rsidRPr="000555CB" w:rsidRDefault="000555CB" w:rsidP="000555CB">
            <w:pPr>
              <w:rPr>
                <w:rFonts w:cs="Calibri"/>
              </w:rPr>
            </w:pPr>
            <w:r w:rsidRPr="000555CB">
              <w:rPr>
                <w:rFonts w:cs="Calibri"/>
              </w:rPr>
              <w:t>CCS achieves full commercialisation by the 2030s, BECCS scales up significantly by 2040, and DAC sees widespread deployment by 2050—enabling large-scale carbon removal and contributing substantially to national emissions reductions.</w:t>
            </w:r>
          </w:p>
          <w:p w14:paraId="437CA414" w14:textId="77777777" w:rsidR="000C54DF" w:rsidRDefault="000C54DF" w:rsidP="00EF47C7">
            <w:pPr>
              <w:rPr>
                <w:rFonts w:cs="Calibri"/>
                <w:b/>
                <w:bCs/>
                <w:color w:val="4EA72E" w:themeColor="accent6"/>
              </w:rPr>
            </w:pPr>
          </w:p>
          <w:p w14:paraId="3A514D71" w14:textId="77777777" w:rsidR="000C54DF" w:rsidRDefault="000C54DF" w:rsidP="00EF47C7">
            <w:pPr>
              <w:rPr>
                <w:rFonts w:cs="Calibri"/>
                <w:b/>
                <w:bCs/>
                <w:color w:val="4EA72E" w:themeColor="accent6"/>
              </w:rPr>
            </w:pPr>
          </w:p>
          <w:p w14:paraId="4ADC02A5" w14:textId="77777777" w:rsidR="000555CB" w:rsidRDefault="000555CB" w:rsidP="00EF47C7">
            <w:pPr>
              <w:rPr>
                <w:rFonts w:cs="Calibri"/>
                <w:b/>
                <w:bCs/>
                <w:color w:val="4EA72E" w:themeColor="accent6"/>
              </w:rPr>
            </w:pPr>
          </w:p>
          <w:p w14:paraId="176E85E4" w14:textId="77777777" w:rsidR="000555CB" w:rsidRDefault="000555CB" w:rsidP="00EF47C7">
            <w:pPr>
              <w:rPr>
                <w:rFonts w:cs="Calibri"/>
                <w:b/>
                <w:bCs/>
                <w:color w:val="4EA72E" w:themeColor="accent6"/>
              </w:rPr>
            </w:pPr>
          </w:p>
          <w:p w14:paraId="7D907041" w14:textId="518A1B97" w:rsidR="00770BA9" w:rsidRPr="00D46876" w:rsidRDefault="00770BA9" w:rsidP="00EF47C7">
            <w:pPr>
              <w:rPr>
                <w:rFonts w:cs="Calibri"/>
                <w:color w:val="4EA72E" w:themeColor="accent6"/>
              </w:rPr>
            </w:pPr>
            <w:r w:rsidRPr="00D46876">
              <w:rPr>
                <w:rFonts w:cs="Calibri"/>
                <w:b/>
                <w:bCs/>
                <w:color w:val="4EA72E" w:themeColor="accent6"/>
              </w:rPr>
              <w:t>GL</w:t>
            </w:r>
          </w:p>
        </w:tc>
        <w:tc>
          <w:tcPr>
            <w:tcW w:w="3374" w:type="dxa"/>
          </w:tcPr>
          <w:p w14:paraId="292F765C" w14:textId="77777777" w:rsidR="00770BA9" w:rsidRPr="00D46876" w:rsidRDefault="00770BA9" w:rsidP="00EF47C7">
            <w:pPr>
              <w:rPr>
                <w:rFonts w:cs="Calibri"/>
              </w:rPr>
            </w:pPr>
          </w:p>
        </w:tc>
      </w:tr>
    </w:tbl>
    <w:p w14:paraId="3B7496E4" w14:textId="77777777" w:rsidR="001F1CDF" w:rsidRDefault="001F1CDF" w:rsidP="001F1CDF"/>
    <w:p w14:paraId="2D4A0FB0" w14:textId="2B891823" w:rsidR="001F1CDF" w:rsidRPr="001F1CDF" w:rsidRDefault="001F1CDF" w:rsidP="001F1CDF">
      <w:pPr>
        <w:pStyle w:val="Heading2"/>
      </w:pPr>
      <w:r w:rsidRPr="001F1CDF">
        <w:t xml:space="preserve">SI Section </w:t>
      </w:r>
      <w:r w:rsidR="00D01E6A">
        <w:rPr>
          <w:rFonts w:hint="eastAsia"/>
        </w:rPr>
        <w:t>3</w:t>
      </w:r>
      <w:r w:rsidRPr="001F1CDF">
        <w:t>: China energy transformation scenarios</w:t>
      </w:r>
    </w:p>
    <w:p w14:paraId="250B173E" w14:textId="77777777" w:rsidR="009D744A" w:rsidRPr="002C482A" w:rsidRDefault="009D744A" w:rsidP="00475AB2">
      <w:pPr>
        <w:pStyle w:val="Heading3"/>
        <w:rPr>
          <w:rFonts w:cs="Calibri"/>
          <w:szCs w:val="24"/>
        </w:rPr>
      </w:pPr>
      <w:r w:rsidRPr="002C482A">
        <w:rPr>
          <w:rFonts w:cs="Calibri"/>
          <w:szCs w:val="24"/>
        </w:rPr>
        <w:t>Green Lights Scenario</w:t>
      </w:r>
    </w:p>
    <w:p w14:paraId="358768A9" w14:textId="07110D4A" w:rsidR="009D744A" w:rsidRPr="005D3524" w:rsidRDefault="009D744A" w:rsidP="009D744A">
      <w:pPr>
        <w:rPr>
          <w:rFonts w:cs="Calibri"/>
          <w:szCs w:val="22"/>
        </w:rPr>
      </w:pPr>
      <w:r w:rsidRPr="005D3524">
        <w:rPr>
          <w:rFonts w:cs="Calibri"/>
          <w:szCs w:val="22"/>
        </w:rPr>
        <w:t>Green Lights</w:t>
      </w:r>
      <w:r w:rsidR="006E5C2B">
        <w:rPr>
          <w:rFonts w:cs="Calibri" w:hint="eastAsia"/>
          <w:szCs w:val="22"/>
        </w:rPr>
        <w:t>(GL)</w:t>
      </w:r>
      <w:r w:rsidRPr="005D3524">
        <w:rPr>
          <w:rFonts w:cs="Calibri"/>
          <w:szCs w:val="22"/>
        </w:rPr>
        <w:t xml:space="preserve"> portrays a future of high economic growth and green development in </w:t>
      </w:r>
      <w:r w:rsidR="00120A03" w:rsidRPr="005D3524">
        <w:rPr>
          <w:rFonts w:cs="Calibri"/>
          <w:szCs w:val="22"/>
        </w:rPr>
        <w:t>China</w:t>
      </w:r>
      <w:r w:rsidR="00C2777E">
        <w:rPr>
          <w:rFonts w:cs="Calibri" w:hint="eastAsia"/>
          <w:szCs w:val="22"/>
        </w:rPr>
        <w:t xml:space="preserve">, mean </w:t>
      </w:r>
      <w:r w:rsidR="00C2777E">
        <w:rPr>
          <w:rFonts w:cs="Calibri"/>
          <w:szCs w:val="22"/>
        </w:rPr>
        <w:t>“</w:t>
      </w:r>
      <w:r w:rsidR="00C2777E">
        <w:rPr>
          <w:rFonts w:cs="Calibri" w:hint="eastAsia"/>
          <w:szCs w:val="22"/>
        </w:rPr>
        <w:t>go, advance and carry on</w:t>
      </w:r>
      <w:r w:rsidR="00C2777E">
        <w:rPr>
          <w:rFonts w:cs="Calibri"/>
          <w:szCs w:val="22"/>
        </w:rPr>
        <w:t>”</w:t>
      </w:r>
      <w:r w:rsidR="004649F3">
        <w:rPr>
          <w:rFonts w:cs="Calibri"/>
          <w:szCs w:val="22"/>
        </w:rPr>
        <w:fldChar w:fldCharType="begin"/>
      </w:r>
      <w:r w:rsidR="006B2721">
        <w:rPr>
          <w:rFonts w:cs="Calibri"/>
          <w:szCs w:val="22"/>
        </w:rPr>
        <w:instrText xml:space="preserve"> ADDIN ZOTERO_ITEM CSL_CITATION {"citationID":"Ldvoj8MN","properties":{"formattedCitation":"\\super 22\\nosupersub{}","plainCitation":"22","noteIndex":0},"citationItems":[{"id":3718,"uris":["http://zotero.org/users/10504693/items/C9MAWUFN"],"itemData":{"id":3718,"type":"book","ISBN":"978-0-593-13913-4","publisher":"Crown","title":"Green Lights","author":[{"family":"McConaughey","given":"Matthew"}],"issued":{"date-parts":[["2020"]]}}}],"schema":"https://github.com/citation-style-language/schema/raw/master/csl-citation.json"} </w:instrText>
      </w:r>
      <w:r w:rsidR="004649F3">
        <w:rPr>
          <w:rFonts w:cs="Calibri"/>
          <w:szCs w:val="22"/>
        </w:rPr>
        <w:fldChar w:fldCharType="separate"/>
      </w:r>
      <w:r w:rsidR="00F433C1" w:rsidRPr="00F433C1">
        <w:rPr>
          <w:rFonts w:cs="Calibri"/>
          <w:kern w:val="0"/>
          <w:vertAlign w:val="superscript"/>
        </w:rPr>
        <w:t>22</w:t>
      </w:r>
      <w:r w:rsidR="004649F3">
        <w:rPr>
          <w:rFonts w:cs="Calibri"/>
          <w:szCs w:val="22"/>
        </w:rPr>
        <w:fldChar w:fldCharType="end"/>
      </w:r>
      <w:r w:rsidR="00EF6C04">
        <w:rPr>
          <w:rFonts w:cs="Calibri" w:hint="eastAsia"/>
          <w:szCs w:val="22"/>
        </w:rPr>
        <w:t xml:space="preserve">. </w:t>
      </w:r>
      <w:r w:rsidR="00EF6C04" w:rsidRPr="00EF6C04">
        <w:rPr>
          <w:rFonts w:cs="Calibri"/>
          <w:szCs w:val="22"/>
        </w:rPr>
        <w:t xml:space="preserve">China emerges as a global model for sustainable development and climate leadership by 2060. Through a strategic blend of economic reform, technological innovation, ambitious climate policies, and active public participation, China successfully meets and surpasses its climate targets. The Green Lights scenario demonstrates that </w:t>
      </w:r>
      <w:r w:rsidR="001678CD" w:rsidRPr="001678CD">
        <w:rPr>
          <w:rFonts w:cs="Calibri"/>
          <w:szCs w:val="22"/>
        </w:rPr>
        <w:t>climate action</w:t>
      </w:r>
      <w:r w:rsidR="00257A13">
        <w:rPr>
          <w:rFonts w:cs="Calibri" w:hint="eastAsia"/>
          <w:szCs w:val="22"/>
        </w:rPr>
        <w:t>s could be well taken</w:t>
      </w:r>
      <w:r w:rsidR="001678CD" w:rsidRPr="001678CD">
        <w:rPr>
          <w:rFonts w:cs="Calibri"/>
          <w:szCs w:val="22"/>
        </w:rPr>
        <w:t xml:space="preserve"> into an economic opportunity</w:t>
      </w:r>
      <w:r w:rsidR="00E3160E">
        <w:rPr>
          <w:rFonts w:cs="Calibri"/>
          <w:szCs w:val="22"/>
        </w:rPr>
        <w:fldChar w:fldCharType="begin"/>
      </w:r>
      <w:r w:rsidR="006B2721">
        <w:rPr>
          <w:rFonts w:cs="Calibri"/>
          <w:szCs w:val="22"/>
        </w:rPr>
        <w:instrText xml:space="preserve"> ADDIN ZOTERO_ITEM CSL_CITATION {"citationID":"xeID2EYL","properties":{"formattedCitation":"\\super 23\\nosupersub{}","plainCitation":"23","noteIndex":0},"citationItems":[{"id":3749,"uris":["http://zotero.org/users/10504693/items/FSFXCNH2"],"itemData":{"id":3749,"type":"webpage","title":"China Country Climate and Development Report","URL":"https://www.worldbank.org/en/country/china/publication/china-country-climate-and-development-report","author":[{"family":"The world bank","given":""}],"accessed":{"date-parts":[["2025",1,20]]},"issued":{"date-parts":[["2023"]]}}}],"schema":"https://github.com/citation-style-language/schema/raw/master/csl-citation.json"} </w:instrText>
      </w:r>
      <w:r w:rsidR="00E3160E">
        <w:rPr>
          <w:rFonts w:cs="Calibri"/>
          <w:szCs w:val="22"/>
        </w:rPr>
        <w:fldChar w:fldCharType="separate"/>
      </w:r>
      <w:r w:rsidR="00F433C1" w:rsidRPr="00F433C1">
        <w:rPr>
          <w:rFonts w:cs="Calibri"/>
          <w:kern w:val="0"/>
          <w:vertAlign w:val="superscript"/>
        </w:rPr>
        <w:t>23</w:t>
      </w:r>
      <w:r w:rsidR="00E3160E">
        <w:rPr>
          <w:rFonts w:cs="Calibri"/>
          <w:szCs w:val="22"/>
        </w:rPr>
        <w:fldChar w:fldCharType="end"/>
      </w:r>
      <w:r w:rsidR="00257A13">
        <w:rPr>
          <w:rFonts w:cs="Calibri" w:hint="eastAsia"/>
          <w:szCs w:val="22"/>
        </w:rPr>
        <w:t xml:space="preserve">, </w:t>
      </w:r>
      <w:r w:rsidR="00EF6C04" w:rsidRPr="00EF6C04">
        <w:rPr>
          <w:rFonts w:cs="Calibri"/>
          <w:szCs w:val="22"/>
        </w:rPr>
        <w:t>highlighting China’s path to a greener, more resilient future where innovation, policy, and societal commitment converge.</w:t>
      </w:r>
      <w:r w:rsidR="00120A03" w:rsidRPr="005D3524">
        <w:rPr>
          <w:rFonts w:cs="Calibri"/>
          <w:szCs w:val="22"/>
        </w:rPr>
        <w:t xml:space="preserve"> </w:t>
      </w:r>
    </w:p>
    <w:p w14:paraId="39941A78" w14:textId="1BEF7951" w:rsidR="00242E60" w:rsidRPr="005D3524" w:rsidRDefault="00BB0B54" w:rsidP="00B61738">
      <w:pPr>
        <w:rPr>
          <w:rFonts w:cs="Calibri"/>
          <w:szCs w:val="22"/>
        </w:rPr>
      </w:pPr>
      <w:r w:rsidRPr="005D3524">
        <w:rPr>
          <w:rFonts w:cs="Calibri"/>
          <w:szCs w:val="22"/>
        </w:rPr>
        <w:t>In the Green Lights scenario, China embarks on a transformative path toward sustainable and inclusive economic growth</w:t>
      </w:r>
      <w:r w:rsidR="00A34E2F" w:rsidRPr="005D3524">
        <w:rPr>
          <w:rFonts w:cs="Calibri"/>
          <w:szCs w:val="22"/>
        </w:rPr>
        <w:t xml:space="preserve"> following its </w:t>
      </w:r>
      <w:r w:rsidR="00A34E2F" w:rsidRPr="00346EF5">
        <w:rPr>
          <w:rFonts w:cs="Calibri"/>
          <w:b/>
          <w:bCs/>
          <w:szCs w:val="22"/>
        </w:rPr>
        <w:t>Dual Circulation Development Paradigm</w:t>
      </w:r>
      <w:r w:rsidR="00E433D7" w:rsidRPr="00346EF5">
        <w:rPr>
          <w:rFonts w:cs="Calibri"/>
          <w:b/>
          <w:bCs/>
          <w:szCs w:val="22"/>
        </w:rPr>
        <w:fldChar w:fldCharType="begin"/>
      </w:r>
      <w:r w:rsidR="006B2721">
        <w:rPr>
          <w:rFonts w:cs="Calibri"/>
          <w:b/>
          <w:bCs/>
          <w:szCs w:val="22"/>
        </w:rPr>
        <w:instrText xml:space="preserve"> ADDIN ZOTERO_ITEM CSL_CITATION {"citationID":"RB6HLsrE","properties":{"formattedCitation":"\\super 24\\nosupersub{}","plainCitation":"24","noteIndex":0},"citationItems":[{"id":3696,"uris":["http://zotero.org/users/10504693/items/TK4272CD"],"itemData":{"id":3696,"type":"webpage","title":"China's new 'dual circulation' development paradigm","URL":"https://english.www.gov.cn/news/topnews/202103/28/content_WS60604adbc6d0719374afba4a.html","author":[{"family":"State Council","given":""}],"accessed":{"date-parts":[["2025",1,19]]},"issued":{"date-parts":[["2021"]]}}}],"schema":"https://github.com/citation-style-language/schema/raw/master/csl-citation.json"} </w:instrText>
      </w:r>
      <w:r w:rsidR="00E433D7" w:rsidRPr="00346EF5">
        <w:rPr>
          <w:rFonts w:cs="Calibri"/>
          <w:b/>
          <w:bCs/>
          <w:szCs w:val="22"/>
        </w:rPr>
        <w:fldChar w:fldCharType="separate"/>
      </w:r>
      <w:r w:rsidR="00F433C1" w:rsidRPr="00F433C1">
        <w:rPr>
          <w:rFonts w:cs="Calibri"/>
          <w:kern w:val="0"/>
          <w:vertAlign w:val="superscript"/>
        </w:rPr>
        <w:t>24</w:t>
      </w:r>
      <w:r w:rsidR="00E433D7" w:rsidRPr="00346EF5">
        <w:rPr>
          <w:rFonts w:cs="Calibri"/>
          <w:b/>
          <w:bCs/>
          <w:szCs w:val="22"/>
        </w:rPr>
        <w:fldChar w:fldCharType="end"/>
      </w:r>
      <w:r w:rsidR="00AA7164" w:rsidRPr="005D3524">
        <w:rPr>
          <w:rFonts w:cs="Calibri"/>
          <w:b/>
          <w:bCs/>
          <w:i/>
          <w:iCs/>
          <w:szCs w:val="22"/>
        </w:rPr>
        <w:t xml:space="preserve"> </w:t>
      </w:r>
      <w:r w:rsidR="006A3E95" w:rsidRPr="005D3524">
        <w:rPr>
          <w:rFonts w:cs="Calibri"/>
          <w:szCs w:val="22"/>
        </w:rPr>
        <w:t>and</w:t>
      </w:r>
      <w:r w:rsidR="00AA7164" w:rsidRPr="005D3524">
        <w:rPr>
          <w:rFonts w:cs="Calibri"/>
          <w:b/>
          <w:bCs/>
          <w:i/>
          <w:iCs/>
          <w:szCs w:val="22"/>
        </w:rPr>
        <w:t xml:space="preserve"> </w:t>
      </w:r>
      <w:r w:rsidR="00AA7164" w:rsidRPr="00346EF5">
        <w:rPr>
          <w:rFonts w:cs="Calibri"/>
          <w:b/>
          <w:bCs/>
          <w:szCs w:val="22"/>
        </w:rPr>
        <w:t>Beautiful China Initiative (BCI)</w:t>
      </w:r>
      <w:r w:rsidR="006A3E95" w:rsidRPr="005D3524">
        <w:rPr>
          <w:rFonts w:cs="Calibri"/>
          <w:b/>
          <w:bCs/>
          <w:i/>
          <w:iCs/>
          <w:szCs w:val="22"/>
        </w:rPr>
        <w:fldChar w:fldCharType="begin"/>
      </w:r>
      <w:r w:rsidR="006B2721">
        <w:rPr>
          <w:rFonts w:cs="Calibri"/>
          <w:b/>
          <w:bCs/>
          <w:i/>
          <w:iCs/>
          <w:szCs w:val="22"/>
        </w:rPr>
        <w:instrText xml:space="preserve"> ADDIN ZOTERO_ITEM CSL_CITATION {"citationID":"Akz5fZWq","properties":{"formattedCitation":"\\super 25\\nosupersub{}","plainCitation":"25","noteIndex":0},"citationItems":[{"id":3710,"uris":["http://zotero.org/users/10504693/items/EXSY2H5G"],"itemData":{"id":3710,"type":"webpage","title":"Strides made in advancing Beautiful China Initiative: official","URL":"https://english.www.gov.cn/news/topnews/202210/21/content_WS63526392c6d0a757729e17e0.html","author":[{"family":"State Council","given":""}],"accessed":{"date-parts":[["2025",1,19]]}}}],"schema":"https://github.com/citation-style-language/schema/raw/master/csl-citation.json"} </w:instrText>
      </w:r>
      <w:r w:rsidR="006A3E95" w:rsidRPr="005D3524">
        <w:rPr>
          <w:rFonts w:cs="Calibri"/>
          <w:b/>
          <w:bCs/>
          <w:i/>
          <w:iCs/>
          <w:szCs w:val="22"/>
        </w:rPr>
        <w:fldChar w:fldCharType="separate"/>
      </w:r>
      <w:r w:rsidR="00F433C1" w:rsidRPr="00F433C1">
        <w:rPr>
          <w:rFonts w:cs="Calibri"/>
          <w:kern w:val="0"/>
          <w:vertAlign w:val="superscript"/>
        </w:rPr>
        <w:t>25</w:t>
      </w:r>
      <w:r w:rsidR="006A3E95" w:rsidRPr="005D3524">
        <w:rPr>
          <w:rFonts w:cs="Calibri"/>
          <w:b/>
          <w:bCs/>
          <w:i/>
          <w:iCs/>
          <w:szCs w:val="22"/>
        </w:rPr>
        <w:fldChar w:fldCharType="end"/>
      </w:r>
      <w:r w:rsidRPr="005D3524">
        <w:rPr>
          <w:rFonts w:cs="Calibri"/>
          <w:szCs w:val="22"/>
        </w:rPr>
        <w:t xml:space="preserve">. </w:t>
      </w:r>
      <w:r w:rsidR="00717BFD" w:rsidRPr="005D3524">
        <w:rPr>
          <w:rFonts w:cs="Calibri"/>
          <w:szCs w:val="22"/>
        </w:rPr>
        <w:t xml:space="preserve">Central to </w:t>
      </w:r>
      <w:r w:rsidR="006550C5" w:rsidRPr="005D3524">
        <w:rPr>
          <w:rFonts w:cs="Calibri"/>
          <w:szCs w:val="22"/>
        </w:rPr>
        <w:t>dual circulation</w:t>
      </w:r>
      <w:r w:rsidR="00717BFD" w:rsidRPr="005D3524">
        <w:rPr>
          <w:rFonts w:cs="Calibri"/>
          <w:szCs w:val="22"/>
        </w:rPr>
        <w:t>, China will “take the domestic circulation as the mainstay</w:t>
      </w:r>
      <w:r w:rsidR="00AF0300" w:rsidRPr="005D3524">
        <w:rPr>
          <w:rFonts w:cs="Calibri"/>
          <w:szCs w:val="22"/>
        </w:rPr>
        <w:t>”,</w:t>
      </w:r>
      <w:r w:rsidR="002409ED" w:rsidRPr="005D3524">
        <w:rPr>
          <w:rFonts w:cs="Calibri"/>
          <w:szCs w:val="22"/>
        </w:rPr>
        <w:t xml:space="preserve"> </w:t>
      </w:r>
      <w:r w:rsidR="00F25CAF" w:rsidRPr="005D3524">
        <w:rPr>
          <w:rFonts w:cs="Calibri"/>
          <w:szCs w:val="22"/>
        </w:rPr>
        <w:t xml:space="preserve">expend domestic expending and reduce </w:t>
      </w:r>
      <w:r w:rsidR="005141D3" w:rsidRPr="005D3524">
        <w:rPr>
          <w:rFonts w:cs="Calibri"/>
          <w:szCs w:val="22"/>
        </w:rPr>
        <w:t xml:space="preserve">reliance </w:t>
      </w:r>
      <w:r w:rsidR="00B6176E" w:rsidRPr="005D3524">
        <w:rPr>
          <w:rFonts w:cs="Calibri"/>
          <w:szCs w:val="22"/>
        </w:rPr>
        <w:t>on</w:t>
      </w:r>
      <w:r w:rsidR="00BC37A8" w:rsidRPr="005D3524">
        <w:rPr>
          <w:rFonts w:cs="Calibri"/>
          <w:szCs w:val="22"/>
        </w:rPr>
        <w:t xml:space="preserve"> investment-led growth</w:t>
      </w:r>
      <w:r w:rsidR="002118F1" w:rsidRPr="005D3524">
        <w:rPr>
          <w:rFonts w:cs="Calibri"/>
          <w:szCs w:val="22"/>
        </w:rPr>
        <w:fldChar w:fldCharType="begin"/>
      </w:r>
      <w:r w:rsidR="006B2721">
        <w:rPr>
          <w:rFonts w:cs="Calibri"/>
          <w:szCs w:val="22"/>
        </w:rPr>
        <w:instrText xml:space="preserve"> ADDIN ZOTERO_ITEM CSL_CITATION {"citationID":"CGTosryP","properties":{"formattedCitation":"\\super 26\\nosupersub{}","plainCitation":"26","noteIndex":0},"citationItems":[{"id":3698,"uris":["http://zotero.org/users/10504693/items/PJ3I2YLY"],"itemData":{"id":3698,"type":"webpage","title":"China pushes 'dual circulation' to power growth in new development stage","URL":"https://english.www.gov.cn/news/topnews/202103/10/content_WS60486347c6d0719374afa854.html","author":[{"family":"State Council","given":""}],"accessed":{"date-parts":[["2025",1,19]]},"issued":{"date-parts":[["2021"]]}}}],"schema":"https://github.com/citation-style-language/schema/raw/master/csl-citation.json"} </w:instrText>
      </w:r>
      <w:r w:rsidR="002118F1" w:rsidRPr="005D3524">
        <w:rPr>
          <w:rFonts w:cs="Calibri"/>
          <w:szCs w:val="22"/>
        </w:rPr>
        <w:fldChar w:fldCharType="separate"/>
      </w:r>
      <w:r w:rsidR="00F433C1" w:rsidRPr="00F433C1">
        <w:rPr>
          <w:rFonts w:cs="Calibri"/>
          <w:kern w:val="0"/>
          <w:vertAlign w:val="superscript"/>
        </w:rPr>
        <w:t>26</w:t>
      </w:r>
      <w:r w:rsidR="002118F1" w:rsidRPr="005D3524">
        <w:rPr>
          <w:rFonts w:cs="Calibri"/>
          <w:szCs w:val="22"/>
        </w:rPr>
        <w:fldChar w:fldCharType="end"/>
      </w:r>
      <w:r w:rsidR="00BC37A8" w:rsidRPr="005D3524">
        <w:rPr>
          <w:rFonts w:cs="Calibri"/>
          <w:szCs w:val="22"/>
        </w:rPr>
        <w:t xml:space="preserve">. </w:t>
      </w:r>
      <w:r w:rsidR="00B04E33" w:rsidRPr="005D3524">
        <w:rPr>
          <w:rFonts w:cs="Calibri"/>
          <w:szCs w:val="22"/>
        </w:rPr>
        <w:t xml:space="preserve">This rebalanced economic model fosters industrial diversification, with green and high-tech manufacturing and service sector becoming the core drivers of growth. </w:t>
      </w:r>
    </w:p>
    <w:p w14:paraId="6F6DC1CA" w14:textId="59CE95B2" w:rsidR="003F3DBB" w:rsidRPr="005D3524" w:rsidRDefault="00C43C36" w:rsidP="00BB0B54">
      <w:pPr>
        <w:rPr>
          <w:rFonts w:cs="Calibri"/>
          <w:szCs w:val="22"/>
          <w:lang w:val="en"/>
        </w:rPr>
      </w:pPr>
      <w:r w:rsidRPr="005D3524">
        <w:rPr>
          <w:rFonts w:cs="Calibri"/>
          <w:szCs w:val="22"/>
        </w:rPr>
        <w:lastRenderedPageBreak/>
        <w:t>As one of the main requirements for achieving a Beautiful China</w:t>
      </w:r>
      <w:r w:rsidR="00B61738" w:rsidRPr="005D3524">
        <w:rPr>
          <w:rFonts w:cs="Calibri"/>
          <w:szCs w:val="22"/>
        </w:rPr>
        <w:t xml:space="preserve">, </w:t>
      </w:r>
      <w:r w:rsidR="00242E60" w:rsidRPr="005D3524">
        <w:rPr>
          <w:rFonts w:cs="Calibri"/>
          <w:szCs w:val="22"/>
        </w:rPr>
        <w:t>China is ‘</w:t>
      </w:r>
      <w:r w:rsidR="00B61738" w:rsidRPr="005D3524">
        <w:rPr>
          <w:rFonts w:cs="Calibri"/>
          <w:szCs w:val="22"/>
          <w:lang w:val="en"/>
        </w:rPr>
        <w:t>actively and steadily promot</w:t>
      </w:r>
      <w:r w:rsidR="00242E60" w:rsidRPr="005D3524">
        <w:rPr>
          <w:rFonts w:cs="Calibri"/>
          <w:szCs w:val="22"/>
          <w:lang w:val="en"/>
        </w:rPr>
        <w:t>ing</w:t>
      </w:r>
      <w:r w:rsidR="00B61738" w:rsidRPr="005D3524">
        <w:rPr>
          <w:rFonts w:cs="Calibri"/>
          <w:szCs w:val="22"/>
          <w:lang w:val="en"/>
        </w:rPr>
        <w:t xml:space="preserve"> carbon peak and carbon neutrality’</w:t>
      </w:r>
      <w:r w:rsidR="00FA2899" w:rsidRPr="005D3524">
        <w:rPr>
          <w:rFonts w:cs="Calibri"/>
          <w:szCs w:val="22"/>
          <w:lang w:val="en"/>
        </w:rPr>
        <w:fldChar w:fldCharType="begin"/>
      </w:r>
      <w:r w:rsidR="006B2721">
        <w:rPr>
          <w:rFonts w:cs="Calibri"/>
          <w:szCs w:val="22"/>
          <w:lang w:val="en"/>
        </w:rPr>
        <w:instrText xml:space="preserve"> ADDIN ZOTERO_ITEM CSL_CITATION {"citationID":"mmSTdheF","properties":{"formattedCitation":"\\super 27\\nosupersub{}","plainCitation":"27","noteIndex":0},"citationItems":[{"id":3712,"uris":["http://zotero.org/users/10504693/items/VSZPFKHX"],"itemData":{"id":3712,"type":"webpage","language":"Chinese","title":"Opinions of the Central Committee of the Communist Party of China and the State Council on Comprehensively Promoting the Construction of a Beautiful China </w:instrText>
      </w:r>
      <w:r w:rsidR="006B2721">
        <w:rPr>
          <w:rFonts w:cs="Calibri" w:hint="eastAsia"/>
          <w:szCs w:val="22"/>
          <w:lang w:val="en"/>
        </w:rPr>
        <w:instrText>中共中央</w:instrText>
      </w:r>
      <w:r w:rsidR="006B2721">
        <w:rPr>
          <w:rFonts w:cs="Calibri"/>
          <w:szCs w:val="22"/>
          <w:lang w:val="en"/>
        </w:rPr>
        <w:instrText> </w:instrText>
      </w:r>
      <w:r w:rsidR="006B2721">
        <w:rPr>
          <w:rFonts w:cs="Calibri" w:hint="eastAsia"/>
          <w:szCs w:val="22"/>
          <w:lang w:val="en"/>
        </w:rPr>
        <w:instrText>国务院关于全面推进美丽中国建设的意见</w:instrText>
      </w:r>
      <w:r w:rsidR="006B2721">
        <w:rPr>
          <w:rFonts w:cs="Calibri"/>
          <w:szCs w:val="22"/>
          <w:lang w:val="en"/>
        </w:rPr>
        <w:instrText>_</w:instrText>
      </w:r>
      <w:r w:rsidR="006B2721">
        <w:rPr>
          <w:rFonts w:cs="Calibri" w:hint="eastAsia"/>
          <w:szCs w:val="22"/>
          <w:lang w:val="en"/>
        </w:rPr>
        <w:instrText>中央有关文件</w:instrText>
      </w:r>
      <w:r w:rsidR="006B2721">
        <w:rPr>
          <w:rFonts w:cs="Calibri"/>
          <w:szCs w:val="22"/>
          <w:lang w:val="en"/>
        </w:rPr>
        <w:instrText>_</w:instrText>
      </w:r>
      <w:r w:rsidR="006B2721">
        <w:rPr>
          <w:rFonts w:cs="Calibri" w:hint="eastAsia"/>
          <w:szCs w:val="22"/>
          <w:lang w:val="en"/>
        </w:rPr>
        <w:instrText>中国政府网</w:instrText>
      </w:r>
      <w:r w:rsidR="006B2721">
        <w:rPr>
          <w:rFonts w:cs="Calibri"/>
          <w:szCs w:val="22"/>
          <w:lang w:val="en"/>
        </w:rPr>
        <w:instrText xml:space="preserve">","URL":"https://www.gov.cn/zhengce/202401/content_6925405.htm","author":[{"family":"Central Committee of the Communist Party","given":""},{"family":"State Council","given":""}],"accessed":{"date-parts":[["2025",1,19]]},"issued":{"date-parts":[["2024"]]}}}],"schema":"https://github.com/citation-style-language/schema/raw/master/csl-citation.json"} </w:instrText>
      </w:r>
      <w:r w:rsidR="00FA2899" w:rsidRPr="005D3524">
        <w:rPr>
          <w:rFonts w:cs="Calibri"/>
          <w:szCs w:val="22"/>
          <w:lang w:val="en"/>
        </w:rPr>
        <w:fldChar w:fldCharType="separate"/>
      </w:r>
      <w:r w:rsidR="00F433C1" w:rsidRPr="00F433C1">
        <w:rPr>
          <w:rFonts w:cs="Calibri"/>
          <w:kern w:val="0"/>
          <w:vertAlign w:val="superscript"/>
        </w:rPr>
        <w:t>27</w:t>
      </w:r>
      <w:r w:rsidR="00FA2899" w:rsidRPr="005D3524">
        <w:rPr>
          <w:rFonts w:cs="Calibri"/>
          <w:szCs w:val="22"/>
          <w:lang w:val="en"/>
        </w:rPr>
        <w:fldChar w:fldCharType="end"/>
      </w:r>
      <w:r w:rsidR="00242E60" w:rsidRPr="005D3524">
        <w:rPr>
          <w:rFonts w:cs="Calibri"/>
          <w:szCs w:val="22"/>
          <w:lang w:val="en"/>
        </w:rPr>
        <w:t xml:space="preserve">. </w:t>
      </w:r>
      <w:r w:rsidR="002639D9" w:rsidRPr="005D3524">
        <w:rPr>
          <w:rFonts w:cs="Calibri"/>
          <w:szCs w:val="22"/>
          <w:lang w:val="en"/>
        </w:rPr>
        <w:t xml:space="preserve">Building on its </w:t>
      </w:r>
      <w:r w:rsidR="002639D9" w:rsidRPr="005D3524">
        <w:rPr>
          <w:rFonts w:cs="Calibri"/>
          <w:b/>
          <w:bCs/>
          <w:szCs w:val="22"/>
          <w:lang w:val="en"/>
        </w:rPr>
        <w:t xml:space="preserve">1+N </w:t>
      </w:r>
      <w:r w:rsidR="00924811">
        <w:rPr>
          <w:rFonts w:cs="Calibri" w:hint="eastAsia"/>
          <w:b/>
          <w:bCs/>
          <w:szCs w:val="22"/>
          <w:lang w:val="en"/>
        </w:rPr>
        <w:t>Climate Policy System</w:t>
      </w:r>
      <w:r w:rsidR="002639D9" w:rsidRPr="005D3524">
        <w:rPr>
          <w:rFonts w:cs="Calibri"/>
          <w:szCs w:val="22"/>
          <w:lang w:val="en"/>
        </w:rPr>
        <w:t xml:space="preserve">, the government enacts even more ambitious and comprehensive climate policies that go beyond its </w:t>
      </w:r>
      <w:r w:rsidR="002639D9" w:rsidRPr="005D3524">
        <w:rPr>
          <w:rFonts w:cs="Calibri"/>
          <w:b/>
          <w:bCs/>
          <w:szCs w:val="22"/>
          <w:lang w:val="en"/>
        </w:rPr>
        <w:t>Nationally Determined Contributions (NDCs)</w:t>
      </w:r>
      <w:r w:rsidR="002639D9" w:rsidRPr="005D3524">
        <w:rPr>
          <w:rFonts w:cs="Calibri"/>
          <w:szCs w:val="22"/>
          <w:lang w:val="en"/>
        </w:rPr>
        <w:t xml:space="preserve"> and enable the country to achieve net-zero emissions by 20</w:t>
      </w:r>
      <w:r w:rsidR="00312B3C">
        <w:rPr>
          <w:rFonts w:cs="Calibri" w:hint="eastAsia"/>
          <w:szCs w:val="22"/>
          <w:lang w:val="en"/>
        </w:rPr>
        <w:t>50</w:t>
      </w:r>
      <w:r w:rsidR="002639D9" w:rsidRPr="005D3524">
        <w:rPr>
          <w:rFonts w:cs="Calibri"/>
          <w:szCs w:val="22"/>
          <w:lang w:val="en"/>
        </w:rPr>
        <w:t>—</w:t>
      </w:r>
      <w:r w:rsidR="00312B3C">
        <w:rPr>
          <w:rFonts w:cs="Calibri" w:hint="eastAsia"/>
          <w:szCs w:val="22"/>
          <w:lang w:val="en"/>
        </w:rPr>
        <w:t>ten</w:t>
      </w:r>
      <w:r w:rsidR="002639D9" w:rsidRPr="005D3524">
        <w:rPr>
          <w:rFonts w:cs="Calibri"/>
          <w:szCs w:val="22"/>
          <w:lang w:val="en"/>
        </w:rPr>
        <w:t xml:space="preserve"> years ahead of schedule.</w:t>
      </w:r>
    </w:p>
    <w:p w14:paraId="3F775CB7" w14:textId="5E915C73" w:rsidR="00B6176E" w:rsidRPr="005D3524" w:rsidRDefault="007315A7" w:rsidP="00BB0B54">
      <w:pPr>
        <w:rPr>
          <w:rFonts w:cs="Calibri"/>
          <w:szCs w:val="22"/>
        </w:rPr>
      </w:pPr>
      <w:r w:rsidRPr="005D3524">
        <w:rPr>
          <w:rFonts w:cs="Calibri"/>
          <w:szCs w:val="22"/>
          <w:lang w:val="en"/>
        </w:rPr>
        <w:t>This policy’s success is underpinned by rapid advancements in low-carbon technologies.</w:t>
      </w:r>
      <w:r w:rsidR="00FD1F27" w:rsidRPr="005D3524">
        <w:rPr>
          <w:rFonts w:cs="Calibri"/>
          <w:szCs w:val="22"/>
          <w:lang w:val="en"/>
        </w:rPr>
        <w:t xml:space="preserve"> </w:t>
      </w:r>
      <w:r w:rsidR="00651F6B" w:rsidRPr="005D3524">
        <w:rPr>
          <w:rFonts w:cs="Calibri"/>
          <w:szCs w:val="22"/>
        </w:rPr>
        <w:t>Driven by</w:t>
      </w:r>
      <w:r w:rsidR="00663649" w:rsidRPr="005D3524">
        <w:rPr>
          <w:rFonts w:cs="Calibri"/>
          <w:szCs w:val="22"/>
        </w:rPr>
        <w:t xml:space="preserve"> </w:t>
      </w:r>
      <w:r w:rsidR="00663649" w:rsidRPr="005D3524">
        <w:rPr>
          <w:rFonts w:cs="Calibri"/>
          <w:b/>
          <w:bCs/>
          <w:szCs w:val="22"/>
        </w:rPr>
        <w:t>Made in China 2025</w:t>
      </w:r>
      <w:r w:rsidR="00663649" w:rsidRPr="005D3524">
        <w:rPr>
          <w:rFonts w:cs="Calibri"/>
          <w:b/>
          <w:bCs/>
          <w:szCs w:val="22"/>
        </w:rPr>
        <w:fldChar w:fldCharType="begin"/>
      </w:r>
      <w:r w:rsidR="006B2721">
        <w:rPr>
          <w:rFonts w:cs="Calibri"/>
          <w:b/>
          <w:bCs/>
          <w:szCs w:val="22"/>
        </w:rPr>
        <w:instrText xml:space="preserve"> ADDIN ZOTERO_ITEM CSL_CITATION {"citationID":"Y0PTjbkG","properties":{"formattedCitation":"\\super 28\\nosupersub{}","plainCitation":"28","noteIndex":0},"citationItems":[{"id":3708,"uris":["http://zotero.org/users/10504693/items/XCVZX4DA"],"itemData":{"id":3708,"type":"webpage","title":"Implementation stressed for manufacturing vision","URL":"https://english.www.gov.cn/policies/latest_releases/2015/05/19/content_281475110703534.htm","author":[{"family":"State Council","given":""}],"accessed":{"date-parts":[["2025",1,19]]}}}],"schema":"https://github.com/citation-style-language/schema/raw/master/csl-citation.json"} </w:instrText>
      </w:r>
      <w:r w:rsidR="00663649" w:rsidRPr="005D3524">
        <w:rPr>
          <w:rFonts w:cs="Calibri"/>
          <w:b/>
          <w:bCs/>
          <w:szCs w:val="22"/>
        </w:rPr>
        <w:fldChar w:fldCharType="separate"/>
      </w:r>
      <w:r w:rsidR="00F433C1" w:rsidRPr="00F433C1">
        <w:rPr>
          <w:rFonts w:cs="Calibri"/>
          <w:kern w:val="0"/>
          <w:vertAlign w:val="superscript"/>
        </w:rPr>
        <w:t>28</w:t>
      </w:r>
      <w:r w:rsidR="00663649" w:rsidRPr="005D3524">
        <w:rPr>
          <w:rFonts w:cs="Calibri"/>
          <w:b/>
          <w:bCs/>
          <w:szCs w:val="22"/>
        </w:rPr>
        <w:fldChar w:fldCharType="end"/>
      </w:r>
      <w:r w:rsidR="00663649" w:rsidRPr="005D3524">
        <w:rPr>
          <w:rFonts w:cs="Calibri"/>
          <w:szCs w:val="22"/>
        </w:rPr>
        <w:t xml:space="preserve">, </w:t>
      </w:r>
      <w:r w:rsidR="00426390" w:rsidRPr="005D3524">
        <w:rPr>
          <w:rFonts w:cs="Calibri"/>
          <w:szCs w:val="22"/>
        </w:rPr>
        <w:t xml:space="preserve">the costs of </w:t>
      </w:r>
      <w:r w:rsidR="00A94BF8" w:rsidRPr="005D3524">
        <w:rPr>
          <w:rFonts w:cs="Calibri"/>
          <w:szCs w:val="22"/>
        </w:rPr>
        <w:t xml:space="preserve">clean </w:t>
      </w:r>
      <w:r w:rsidR="00426390" w:rsidRPr="005D3524">
        <w:rPr>
          <w:rFonts w:cs="Calibri"/>
          <w:szCs w:val="22"/>
        </w:rPr>
        <w:t xml:space="preserve">energy technologies—including </w:t>
      </w:r>
      <w:r w:rsidR="00A94BF8" w:rsidRPr="005D3524">
        <w:rPr>
          <w:rFonts w:cs="Calibri"/>
          <w:szCs w:val="22"/>
        </w:rPr>
        <w:t xml:space="preserve">electric vehicles, </w:t>
      </w:r>
      <w:r w:rsidR="00426390" w:rsidRPr="005D3524">
        <w:rPr>
          <w:rFonts w:cs="Calibri"/>
          <w:szCs w:val="22"/>
        </w:rPr>
        <w:t>wind</w:t>
      </w:r>
      <w:r w:rsidR="00A94BF8" w:rsidRPr="005D3524">
        <w:rPr>
          <w:rFonts w:cs="Calibri"/>
          <w:szCs w:val="22"/>
        </w:rPr>
        <w:t xml:space="preserve"> turbines</w:t>
      </w:r>
      <w:r w:rsidR="00426390" w:rsidRPr="005D3524">
        <w:rPr>
          <w:rFonts w:cs="Calibri"/>
          <w:szCs w:val="22"/>
        </w:rPr>
        <w:t>, solar</w:t>
      </w:r>
      <w:r w:rsidR="00A94BF8" w:rsidRPr="005D3524">
        <w:rPr>
          <w:rFonts w:cs="Calibri"/>
          <w:szCs w:val="22"/>
        </w:rPr>
        <w:t xml:space="preserve"> PVs</w:t>
      </w:r>
      <w:r w:rsidR="00426390" w:rsidRPr="005D3524">
        <w:rPr>
          <w:rFonts w:cs="Calibri"/>
          <w:szCs w:val="22"/>
        </w:rPr>
        <w:t>—decline rapidly</w:t>
      </w:r>
      <w:r w:rsidR="00A94BF8" w:rsidRPr="005D3524">
        <w:rPr>
          <w:rFonts w:cs="Calibri"/>
          <w:szCs w:val="22"/>
        </w:rPr>
        <w:fldChar w:fldCharType="begin"/>
      </w:r>
      <w:r w:rsidR="006B2721">
        <w:rPr>
          <w:rFonts w:cs="Calibri"/>
          <w:szCs w:val="22"/>
        </w:rPr>
        <w:instrText xml:space="preserve"> ADDIN ZOTERO_ITEM CSL_CITATION {"citationID":"xhP9oK6C","properties":{"formattedCitation":"\\super 29\\nosupersub{}","plainCitation":"29","noteIndex":0},"citationItems":[{"id":3714,"uris":["http://zotero.org/users/10504693/items/U79U9F7C"],"itemData":{"id":3714,"type":"article-journal","container-title":"Nature","DOI":"10.1038/d41586-024-03522-y","ISSN":"0028-0836, 1476-4687","journalAbbreviation":"Nature","language":"en","license":"https://www.springernature.com/gp/researchers/text-and-data-mining","page":"d41586-024-03522-y","source":"DOI.org (Crossref)","title":"How ‘Made in China 2025’ helped supercharge scientific development in China’s cities","author":[{"family":"Conroy","given":"Gemma"}],"issued":{"date-parts":[["2024",11,20]]}}}],"schema":"https://github.com/citation-style-language/schema/raw/master/csl-citation.json"} </w:instrText>
      </w:r>
      <w:r w:rsidR="00A94BF8" w:rsidRPr="005D3524">
        <w:rPr>
          <w:rFonts w:cs="Calibri"/>
          <w:szCs w:val="22"/>
        </w:rPr>
        <w:fldChar w:fldCharType="separate"/>
      </w:r>
      <w:r w:rsidR="00F433C1" w:rsidRPr="00F433C1">
        <w:rPr>
          <w:rFonts w:cs="Calibri"/>
          <w:kern w:val="0"/>
          <w:vertAlign w:val="superscript"/>
        </w:rPr>
        <w:t>29</w:t>
      </w:r>
      <w:r w:rsidR="00A94BF8" w:rsidRPr="005D3524">
        <w:rPr>
          <w:rFonts w:cs="Calibri"/>
          <w:szCs w:val="22"/>
        </w:rPr>
        <w:fldChar w:fldCharType="end"/>
      </w:r>
      <w:r w:rsidR="00426390" w:rsidRPr="005D3524">
        <w:rPr>
          <w:rFonts w:cs="Calibri"/>
          <w:szCs w:val="22"/>
        </w:rPr>
        <w:t xml:space="preserve">. </w:t>
      </w:r>
      <w:r w:rsidR="00193920">
        <w:rPr>
          <w:rFonts w:cs="Calibri" w:hint="eastAsia"/>
          <w:szCs w:val="22"/>
        </w:rPr>
        <w:t xml:space="preserve">The strategic </w:t>
      </w:r>
      <w:r w:rsidR="00193920">
        <w:rPr>
          <w:rFonts w:cs="Calibri"/>
          <w:szCs w:val="22"/>
        </w:rPr>
        <w:t>target</w:t>
      </w:r>
      <w:r w:rsidR="00193920">
        <w:rPr>
          <w:rFonts w:cs="Calibri" w:hint="eastAsia"/>
          <w:szCs w:val="22"/>
        </w:rPr>
        <w:t xml:space="preserve"> of </w:t>
      </w:r>
      <w:r w:rsidR="00193920">
        <w:rPr>
          <w:rFonts w:cs="Calibri"/>
          <w:szCs w:val="22"/>
        </w:rPr>
        <w:t>c</w:t>
      </w:r>
      <w:r w:rsidR="00193920">
        <w:rPr>
          <w:rFonts w:cs="Calibri" w:hint="eastAsia"/>
          <w:szCs w:val="22"/>
        </w:rPr>
        <w:t xml:space="preserve">ultivating </w:t>
      </w:r>
      <w:r w:rsidR="00193920" w:rsidRPr="009106B8">
        <w:rPr>
          <w:rFonts w:cs="Calibri"/>
          <w:b/>
          <w:bCs/>
          <w:szCs w:val="22"/>
        </w:rPr>
        <w:t xml:space="preserve">New Quality Productive </w:t>
      </w:r>
      <w:r w:rsidR="009106B8" w:rsidRPr="009106B8">
        <w:rPr>
          <w:rFonts w:cs="Calibri"/>
          <w:b/>
          <w:bCs/>
          <w:szCs w:val="22"/>
        </w:rPr>
        <w:t>Forces (NQPFs)</w:t>
      </w:r>
      <w:r w:rsidR="00193920">
        <w:rPr>
          <w:rFonts w:cs="Calibri" w:hint="eastAsia"/>
          <w:szCs w:val="22"/>
        </w:rPr>
        <w:t xml:space="preserve"> </w:t>
      </w:r>
      <w:r w:rsidR="009106B8">
        <w:rPr>
          <w:rFonts w:cs="Calibri" w:hint="eastAsia"/>
          <w:szCs w:val="22"/>
        </w:rPr>
        <w:t>will drive</w:t>
      </w:r>
      <w:r w:rsidR="00426390" w:rsidRPr="005D3524">
        <w:rPr>
          <w:rFonts w:cs="Calibri"/>
          <w:szCs w:val="22"/>
        </w:rPr>
        <w:t xml:space="preserve"> large-scale investments in research, development, and deployment of innovative </w:t>
      </w:r>
      <w:r w:rsidR="009106B8">
        <w:rPr>
          <w:rFonts w:cs="Calibri" w:hint="eastAsia"/>
          <w:szCs w:val="22"/>
        </w:rPr>
        <w:t>technologies</w:t>
      </w:r>
      <w:r w:rsidR="003505FB">
        <w:rPr>
          <w:rFonts w:cs="Calibri"/>
          <w:szCs w:val="22"/>
        </w:rPr>
        <w:fldChar w:fldCharType="begin"/>
      </w:r>
      <w:r w:rsidR="006B2721">
        <w:rPr>
          <w:rFonts w:cs="Calibri"/>
          <w:szCs w:val="22"/>
        </w:rPr>
        <w:instrText xml:space="preserve"> ADDIN ZOTERO_ITEM CSL_CITATION {"citationID":"Tz0EAcF5","properties":{"formattedCitation":"\\super 30\\nosupersub{}","plainCitation":"30","noteIndex":0},"citationItems":[{"id":3735,"uris":["http://zotero.org/users/10504693/items/6UFC649J"],"itemData":{"id":3735,"type":"webpage","abstract":"Understanding China's shift to an innovation-led economic growth model based on the development of new quality productive forces.","container-title":"China Briefing News","language":"en-US","title":"China’s New Quality Productive Forces: An Explainer","title-short":"China’s New Quality Productive Forces","URL":"https://www.china-briefing.com/news/chinas-new-quality-productive-forces-an-explainer/","author":[{"family":"Arendse","given":"Huld"}],"accessed":{"date-parts":[["2025",1,20]]},"issued":{"date-parts":[["2024",9,2]]}}}],"schema":"https://github.com/citation-style-language/schema/raw/master/csl-citation.json"} </w:instrText>
      </w:r>
      <w:r w:rsidR="003505FB">
        <w:rPr>
          <w:rFonts w:cs="Calibri"/>
          <w:szCs w:val="22"/>
        </w:rPr>
        <w:fldChar w:fldCharType="separate"/>
      </w:r>
      <w:r w:rsidR="00F433C1" w:rsidRPr="00F433C1">
        <w:rPr>
          <w:rFonts w:cs="Calibri"/>
          <w:kern w:val="0"/>
          <w:vertAlign w:val="superscript"/>
        </w:rPr>
        <w:t>30</w:t>
      </w:r>
      <w:r w:rsidR="003505FB">
        <w:rPr>
          <w:rFonts w:cs="Calibri"/>
          <w:szCs w:val="22"/>
        </w:rPr>
        <w:fldChar w:fldCharType="end"/>
      </w:r>
      <w:r w:rsidR="00426390" w:rsidRPr="005D3524">
        <w:rPr>
          <w:rFonts w:cs="Calibri"/>
          <w:szCs w:val="22"/>
        </w:rPr>
        <w:t>.</w:t>
      </w:r>
      <w:r w:rsidR="004B3502" w:rsidRPr="005D3524">
        <w:rPr>
          <w:rFonts w:cs="Calibri"/>
          <w:szCs w:val="22"/>
        </w:rPr>
        <w:t xml:space="preserve"> </w:t>
      </w:r>
      <w:r w:rsidR="004D4BD2" w:rsidRPr="005D3524">
        <w:rPr>
          <w:rFonts w:cs="Calibri"/>
          <w:szCs w:val="22"/>
        </w:rPr>
        <w:t>T</w:t>
      </w:r>
      <w:r w:rsidR="00230288" w:rsidRPr="005D3524">
        <w:rPr>
          <w:rFonts w:cs="Calibri"/>
          <w:szCs w:val="22"/>
        </w:rPr>
        <w:t xml:space="preserve">echnological breakthroughs and commercial operations of </w:t>
      </w:r>
      <w:r w:rsidR="004D4BD2" w:rsidRPr="005D3524">
        <w:rPr>
          <w:rFonts w:cs="Calibri"/>
          <w:szCs w:val="22"/>
        </w:rPr>
        <w:t xml:space="preserve">key carbon removal </w:t>
      </w:r>
      <w:r w:rsidR="0048051B" w:rsidRPr="005D3524">
        <w:rPr>
          <w:rFonts w:cs="Calibri"/>
          <w:szCs w:val="22"/>
        </w:rPr>
        <w:t>technologies are</w:t>
      </w:r>
      <w:r w:rsidR="009B1DA2" w:rsidRPr="005D3524">
        <w:rPr>
          <w:rFonts w:cs="Calibri"/>
          <w:szCs w:val="22"/>
        </w:rPr>
        <w:t xml:space="preserve"> further</w:t>
      </w:r>
      <w:r w:rsidR="0048051B" w:rsidRPr="005D3524">
        <w:rPr>
          <w:rFonts w:cs="Calibri"/>
          <w:szCs w:val="22"/>
        </w:rPr>
        <w:t xml:space="preserve"> supported by government </w:t>
      </w:r>
      <w:r w:rsidR="001A517A" w:rsidRPr="005D3524">
        <w:rPr>
          <w:rFonts w:cs="Calibri"/>
          <w:szCs w:val="22"/>
        </w:rPr>
        <w:t xml:space="preserve">programs </w:t>
      </w:r>
      <w:r w:rsidR="009B1DA2" w:rsidRPr="005D3524">
        <w:rPr>
          <w:rFonts w:cs="Calibri"/>
          <w:szCs w:val="22"/>
        </w:rPr>
        <w:t xml:space="preserve">such as </w:t>
      </w:r>
      <w:r w:rsidR="002118F1">
        <w:rPr>
          <w:rFonts w:cs="Calibri"/>
          <w:szCs w:val="22"/>
        </w:rPr>
        <w:t>“</w:t>
      </w:r>
      <w:r w:rsidR="002118F1" w:rsidRPr="005D3524">
        <w:rPr>
          <w:rFonts w:cs="Calibri"/>
          <w:szCs w:val="22"/>
        </w:rPr>
        <w:t>973 program</w:t>
      </w:r>
      <w:r w:rsidR="002118F1">
        <w:rPr>
          <w:rFonts w:cs="Calibri"/>
          <w:szCs w:val="22"/>
        </w:rPr>
        <w:t xml:space="preserve">” </w:t>
      </w:r>
      <w:r w:rsidR="002118F1" w:rsidRPr="005D3524">
        <w:rPr>
          <w:rFonts w:cs="Calibri"/>
          <w:szCs w:val="22"/>
        </w:rPr>
        <w:t>and</w:t>
      </w:r>
      <w:r w:rsidR="009B1DA2" w:rsidRPr="005D3524">
        <w:rPr>
          <w:rFonts w:cs="Calibri"/>
          <w:szCs w:val="22"/>
        </w:rPr>
        <w:t xml:space="preserve"> </w:t>
      </w:r>
      <w:r w:rsidR="002118F1">
        <w:rPr>
          <w:rFonts w:cs="Calibri"/>
          <w:szCs w:val="22"/>
        </w:rPr>
        <w:t>“</w:t>
      </w:r>
      <w:r w:rsidR="002118F1" w:rsidRPr="005D3524">
        <w:rPr>
          <w:rFonts w:cs="Calibri"/>
          <w:szCs w:val="22"/>
        </w:rPr>
        <w:t>863 program</w:t>
      </w:r>
      <w:r w:rsidR="002118F1">
        <w:rPr>
          <w:rFonts w:cs="Calibri"/>
          <w:szCs w:val="22"/>
        </w:rPr>
        <w:t>”</w:t>
      </w:r>
      <w:r w:rsidR="00B70533" w:rsidRPr="005D3524">
        <w:rPr>
          <w:rFonts w:cs="Calibri"/>
          <w:szCs w:val="22"/>
        </w:rPr>
        <w:fldChar w:fldCharType="begin"/>
      </w:r>
      <w:r w:rsidR="006B2721">
        <w:rPr>
          <w:rFonts w:cs="Calibri"/>
          <w:szCs w:val="22"/>
        </w:rPr>
        <w:instrText xml:space="preserve"> ADDIN ZOTERO_ITEM CSL_CITATION {"citationID":"Kyw6Huzj","properties":{"formattedCitation":"\\super 31\\nosupersub{}","plainCitation":"31","noteIndex":0},"citationItems":[{"id":3448,"uris":["http://zotero.org/users/10504693/items/23N3CP2I"],"itemData":{"id":3448,"type":"article-journal","abstract":"Abstract\n            Nowadays environmental issues have been of great concern to the world, among which the problem of global warming caused by greenhouse gas emissions is particularly prominent. All countries in the Kyoto Protocol and the Paris Agreement have committed to control greenhouse gas emissions, and China, as the largest carbon emitter, has assumed a heavier burden. China has been striving to develop low-carbon technologies such as hydrogen, nuclear, wind, and solar energy, but the most attention should be paid to CCUS, which many scholars have high expectations that CCUS can help China reduce emissions to some extent. Therefore, this paper presents a prediction that CCUS can reduce 3.8% of carbon emissions for China in 2040 when CCUS emission reductions increase at a rate of 30%. The power and chemical industries could reduce carbon emissions by 2.3% and 17.3%, respectively.","container-title":"Scientific Reports","DOI":"10.1038/s41598-023-44893-y","ISSN":"2045-2322","issue":"1","journalAbbreviation":"Sci Rep","language":"en","page":"17811","source":"DOI.org (Crossref)","title":"CCUS development in China and forecast its contribution to emission reduction","volume":"13","author":[{"family":"Wang","given":"Pengchen"},{"family":"Shi","given":"Beibei"},{"family":"Li","given":"Nan"},{"family":"Kang","given":"Rong"},{"family":"Li","given":"Yan"},{"family":"Wang","given":"Guiwen"},{"family":"Yang","given":"Long"}],"issued":{"date-parts":[["2023",10,19]]}}}],"schema":"https://github.com/citation-style-language/schema/raw/master/csl-citation.json"} </w:instrText>
      </w:r>
      <w:r w:rsidR="00B70533" w:rsidRPr="005D3524">
        <w:rPr>
          <w:rFonts w:cs="Calibri"/>
          <w:szCs w:val="22"/>
        </w:rPr>
        <w:fldChar w:fldCharType="separate"/>
      </w:r>
      <w:r w:rsidR="00F433C1" w:rsidRPr="00F433C1">
        <w:rPr>
          <w:rFonts w:cs="Calibri"/>
          <w:kern w:val="0"/>
          <w:vertAlign w:val="superscript"/>
        </w:rPr>
        <w:t>31</w:t>
      </w:r>
      <w:r w:rsidR="00B70533" w:rsidRPr="005D3524">
        <w:rPr>
          <w:rFonts w:cs="Calibri"/>
          <w:szCs w:val="22"/>
        </w:rPr>
        <w:fldChar w:fldCharType="end"/>
      </w:r>
      <w:r w:rsidR="00F82B11" w:rsidRPr="005D3524">
        <w:rPr>
          <w:rFonts w:cs="Calibri"/>
          <w:szCs w:val="22"/>
        </w:rPr>
        <w:t xml:space="preserve"> </w:t>
      </w:r>
      <w:r w:rsidR="009B1DA2" w:rsidRPr="005D3524">
        <w:rPr>
          <w:rFonts w:cs="Calibri"/>
          <w:szCs w:val="22"/>
        </w:rPr>
        <w:t xml:space="preserve">. </w:t>
      </w:r>
      <w:r w:rsidR="008937EB" w:rsidRPr="005D3524">
        <w:rPr>
          <w:rFonts w:cs="Calibri"/>
          <w:szCs w:val="22"/>
        </w:rPr>
        <w:t xml:space="preserve">Significant advancements in carbon removal technologies are achieved: China's CCS emissions reduction </w:t>
      </w:r>
      <w:r w:rsidR="0041736A" w:rsidRPr="005D3524">
        <w:rPr>
          <w:rFonts w:cs="Calibri"/>
          <w:szCs w:val="22"/>
        </w:rPr>
        <w:t xml:space="preserve">(including BECCS and DAC) </w:t>
      </w:r>
      <w:r w:rsidR="008937EB" w:rsidRPr="005D3524">
        <w:rPr>
          <w:rFonts w:cs="Calibri"/>
          <w:szCs w:val="22"/>
        </w:rPr>
        <w:t>reaches 408 million tons by 2030, 1.45 billion tons by 2050, and 1.82 billion tons by 2060</w:t>
      </w:r>
      <w:r w:rsidR="00CC52B1" w:rsidRPr="005D3524">
        <w:rPr>
          <w:rFonts w:cs="Calibri"/>
          <w:szCs w:val="22"/>
        </w:rPr>
        <w:fldChar w:fldCharType="begin"/>
      </w:r>
      <w:r w:rsidR="006B2721">
        <w:rPr>
          <w:rFonts w:cs="Calibri"/>
          <w:szCs w:val="22"/>
        </w:rPr>
        <w:instrText xml:space="preserve"> ADDIN ZOTERO_ITEM CSL_CITATION {"citationID":"42qOolFS","properties":{"formattedCitation":"\\super 32\\nosupersub{}","plainCitation":"32","noteIndex":0},"citationItems":[{"id":3717,"uris":["http://zotero.org/users/10504693/items/3FUZ8NMI"],"itemData":{"i</w:instrText>
      </w:r>
      <w:r w:rsidR="006B2721">
        <w:rPr>
          <w:rFonts w:cs="Calibri" w:hint="eastAsia"/>
          <w:szCs w:val="22"/>
        </w:rPr>
        <w:instrText xml:space="preserve">d":3717,"type":"document","language":"Chinese","title":"China Carbon Dioxide Capture, Utilization and Storage (CCUS) Annual Report (2021)-China CCUS Pathway Research (2021)  </w:instrText>
      </w:r>
      <w:r w:rsidR="006B2721">
        <w:rPr>
          <w:rFonts w:cs="Calibri" w:hint="eastAsia"/>
          <w:szCs w:val="22"/>
        </w:rPr>
        <w:instrText>中国二氧化碳捕集利用与封</w:instrText>
      </w:r>
      <w:r w:rsidR="006B2721">
        <w:rPr>
          <w:rFonts w:cs="Calibri" w:hint="eastAsia"/>
          <w:szCs w:val="22"/>
        </w:rPr>
        <w:instrText xml:space="preserve"> </w:instrText>
      </w:r>
      <w:r w:rsidR="006B2721">
        <w:rPr>
          <w:rFonts w:cs="Calibri" w:hint="eastAsia"/>
          <w:szCs w:val="22"/>
        </w:rPr>
        <w:instrText>存</w:instrText>
      </w:r>
      <w:r w:rsidR="006B2721">
        <w:rPr>
          <w:rFonts w:cs="Calibri" w:hint="eastAsia"/>
          <w:szCs w:val="22"/>
        </w:rPr>
        <w:instrText xml:space="preserve"> (CCUS) </w:instrText>
      </w:r>
      <w:r w:rsidR="006B2721">
        <w:rPr>
          <w:rFonts w:cs="Calibri" w:hint="eastAsia"/>
          <w:szCs w:val="22"/>
        </w:rPr>
        <w:instrText>年度报告</w:instrText>
      </w:r>
      <w:r w:rsidR="006B2721">
        <w:rPr>
          <w:rFonts w:cs="Calibri" w:hint="eastAsia"/>
          <w:szCs w:val="22"/>
        </w:rPr>
        <w:instrText>","author":[{"family":"Ministry of Ecology and Environm</w:instrText>
      </w:r>
      <w:r w:rsidR="006B2721">
        <w:rPr>
          <w:rFonts w:cs="Calibri"/>
          <w:szCs w:val="22"/>
        </w:rPr>
        <w:instrText xml:space="preserve">ent","given":""}],"issued":{"date-parts":[["2021"]]}}}],"schema":"https://github.com/citation-style-language/schema/raw/master/csl-citation.json"} </w:instrText>
      </w:r>
      <w:r w:rsidR="00CC52B1" w:rsidRPr="005D3524">
        <w:rPr>
          <w:rFonts w:cs="Calibri"/>
          <w:szCs w:val="22"/>
        </w:rPr>
        <w:fldChar w:fldCharType="separate"/>
      </w:r>
      <w:r w:rsidR="00F433C1" w:rsidRPr="00F433C1">
        <w:rPr>
          <w:rFonts w:cs="Calibri"/>
          <w:kern w:val="0"/>
          <w:vertAlign w:val="superscript"/>
        </w:rPr>
        <w:t>32</w:t>
      </w:r>
      <w:r w:rsidR="00CC52B1" w:rsidRPr="005D3524">
        <w:rPr>
          <w:rFonts w:cs="Calibri"/>
          <w:szCs w:val="22"/>
        </w:rPr>
        <w:fldChar w:fldCharType="end"/>
      </w:r>
      <w:r w:rsidR="008937EB" w:rsidRPr="005D3524">
        <w:rPr>
          <w:rFonts w:cs="Calibri"/>
          <w:szCs w:val="22"/>
        </w:rPr>
        <w:t xml:space="preserve">. </w:t>
      </w:r>
      <w:r w:rsidR="004F1B10" w:rsidRPr="005D3524">
        <w:rPr>
          <w:rFonts w:cs="Calibri"/>
          <w:szCs w:val="22"/>
        </w:rPr>
        <w:t>Direct Air Carbon Capture is expected to begin industrial demonstration and promotion by 2035</w:t>
      </w:r>
      <w:r w:rsidR="00CC52B1" w:rsidRPr="005D3524">
        <w:rPr>
          <w:rFonts w:cs="Calibri"/>
          <w:szCs w:val="22"/>
        </w:rPr>
        <w:t xml:space="preserve">.  </w:t>
      </w:r>
    </w:p>
    <w:p w14:paraId="2CA1EAFF" w14:textId="1F6EA9CC" w:rsidR="00D030B0" w:rsidRPr="00D030B0" w:rsidRDefault="006235D9" w:rsidP="00D030B0">
      <w:pPr>
        <w:rPr>
          <w:rFonts w:cs="Calibri"/>
          <w:szCs w:val="22"/>
        </w:rPr>
      </w:pPr>
      <w:r w:rsidRPr="006235D9">
        <w:rPr>
          <w:rFonts w:cs="Calibri"/>
          <w:szCs w:val="22"/>
        </w:rPr>
        <w:t>Strong government policies and technological breakthroughs drive significant shifts in public environmental behaviour.</w:t>
      </w:r>
      <w:r>
        <w:rPr>
          <w:rFonts w:cs="Calibri" w:hint="eastAsia"/>
          <w:szCs w:val="22"/>
        </w:rPr>
        <w:t xml:space="preserve"> </w:t>
      </w:r>
      <w:r w:rsidR="00CA7EAC" w:rsidRPr="00CA7EAC">
        <w:rPr>
          <w:rFonts w:cs="Calibri"/>
          <w:szCs w:val="22"/>
        </w:rPr>
        <w:t xml:space="preserve">Sustainable lifestyles become mainstream, driven by demand-side energy reductions, community-led environmental actions, and the adoption of decentralized low-carbon technologies. </w:t>
      </w:r>
      <w:r w:rsidR="00F0497A" w:rsidRPr="00F0497A">
        <w:rPr>
          <w:rFonts w:cs="Calibri"/>
          <w:szCs w:val="22"/>
        </w:rPr>
        <w:t>Programs such as trade-in schemes</w:t>
      </w:r>
      <w:r w:rsidR="00F0497A">
        <w:rPr>
          <w:rFonts w:cs="Calibri"/>
          <w:szCs w:val="22"/>
        </w:rPr>
        <w:fldChar w:fldCharType="begin"/>
      </w:r>
      <w:r w:rsidR="006B2721">
        <w:rPr>
          <w:rFonts w:cs="Calibri"/>
          <w:szCs w:val="22"/>
        </w:rPr>
        <w:instrText xml:space="preserve"> ADDIN ZOTERO_ITEM CSL_CITATION {"citationID":"GDvAHjYa","properties":{"formattedCitation":"\\super 33\\nosupersub{}","plainCitation":"33","noteIndex":0},"citationItems":[{"id":3704,"uris":["http://zotero.org/users/10504693/items/GD8539YI"],"itemData":{"id":3704,"type":"webpage","title":"China's home appliance sales surge in 2024 under trade-in scheme","URL":"https://english.www.gov.cn/archive/statistics/202501/19/content_WS678c38fac6d0868f4e8eef62.html","author":[{"family":"State Council","given":""}],"accessed":{"date-parts":[["2025",1,19]]}}}],"schema":"https://github.com/citation-style-language/schema/raw/master/csl-citation.json"} </w:instrText>
      </w:r>
      <w:r w:rsidR="00F0497A">
        <w:rPr>
          <w:rFonts w:cs="Calibri"/>
          <w:szCs w:val="22"/>
        </w:rPr>
        <w:fldChar w:fldCharType="separate"/>
      </w:r>
      <w:r w:rsidR="00F433C1" w:rsidRPr="00F433C1">
        <w:rPr>
          <w:rFonts w:cs="Calibri"/>
          <w:kern w:val="0"/>
          <w:vertAlign w:val="superscript"/>
        </w:rPr>
        <w:t>33</w:t>
      </w:r>
      <w:r w:rsidR="00F0497A">
        <w:rPr>
          <w:rFonts w:cs="Calibri"/>
          <w:szCs w:val="22"/>
        </w:rPr>
        <w:fldChar w:fldCharType="end"/>
      </w:r>
      <w:r w:rsidR="00F0497A" w:rsidRPr="00F0497A">
        <w:rPr>
          <w:rFonts w:cs="Calibri"/>
          <w:szCs w:val="22"/>
        </w:rPr>
        <w:t xml:space="preserve"> and local government consumption vouchers</w:t>
      </w:r>
      <w:r w:rsidR="001F73C5">
        <w:rPr>
          <w:rFonts w:cs="Calibri"/>
          <w:szCs w:val="22"/>
        </w:rPr>
        <w:fldChar w:fldCharType="begin"/>
      </w:r>
      <w:r w:rsidR="006B2721">
        <w:rPr>
          <w:rFonts w:cs="Calibri"/>
          <w:szCs w:val="22"/>
        </w:rPr>
        <w:instrText xml:space="preserve"> ADDIN ZOTERO_ITEM CSL_CITATION {"citationID":"CQ9LCejb","properties":{"formattedCitation":"\\super 34\\nosupersub{}","plainCitation":"34","noteIndex":0},"citationItems":[{"id":3706,"uris":["http://zotero.org/users/10504693/items/SGMELLWE"],"itemData":{"id":3706,"type":"webpage","title":"Consumption vouchers issued to boost spending in China","URL":"https://english.www.gov.cn/news/202409/26/content_WS66f51bc1c6d0868f4e8eb4af.html","author":[{"family":"State Council","given":""}],"accessed":{"date-parts":[["2025",1,19]]}}}],"schema":"https://github.com/citation-style-language/schema/raw/master/csl-citation.json"} </w:instrText>
      </w:r>
      <w:r w:rsidR="001F73C5">
        <w:rPr>
          <w:rFonts w:cs="Calibri"/>
          <w:szCs w:val="22"/>
        </w:rPr>
        <w:fldChar w:fldCharType="separate"/>
      </w:r>
      <w:r w:rsidR="00F433C1" w:rsidRPr="00F433C1">
        <w:rPr>
          <w:rFonts w:cs="Calibri"/>
          <w:kern w:val="0"/>
          <w:vertAlign w:val="superscript"/>
        </w:rPr>
        <w:t>34</w:t>
      </w:r>
      <w:r w:rsidR="001F73C5">
        <w:rPr>
          <w:rFonts w:cs="Calibri"/>
          <w:szCs w:val="22"/>
        </w:rPr>
        <w:fldChar w:fldCharType="end"/>
      </w:r>
      <w:r w:rsidR="00F0497A" w:rsidRPr="00F0497A">
        <w:rPr>
          <w:rFonts w:cs="Calibri"/>
          <w:szCs w:val="22"/>
        </w:rPr>
        <w:t xml:space="preserve"> further accelerate the widespread adoption of green home appliances, enhancing energy efficiency and reducing household emissions.</w:t>
      </w:r>
      <w:r w:rsidR="00F0497A">
        <w:rPr>
          <w:rFonts w:cs="Calibri" w:hint="eastAsia"/>
          <w:szCs w:val="22"/>
        </w:rPr>
        <w:t xml:space="preserve"> </w:t>
      </w:r>
    </w:p>
    <w:p w14:paraId="5AB3D8DA" w14:textId="0AB6C459" w:rsidR="00AF4F24" w:rsidRDefault="00D030B0" w:rsidP="00D030B0">
      <w:pPr>
        <w:rPr>
          <w:rFonts w:cs="Calibri"/>
          <w:szCs w:val="22"/>
        </w:rPr>
      </w:pPr>
      <w:r w:rsidRPr="00D030B0">
        <w:rPr>
          <w:rFonts w:cs="Calibri"/>
          <w:szCs w:val="22"/>
        </w:rPr>
        <w:t xml:space="preserve">As the share of household spending in GDP increases, it reflects rising incomes and improved living standards, which give young people greater confidence in their future. However, the accompanying rise in living costs—encompassing housing, education, healthcare, and childcare—discourages family formation. Consequently, </w:t>
      </w:r>
      <w:r w:rsidR="00AF4F24" w:rsidRPr="00AF4F24">
        <w:rPr>
          <w:rFonts w:cs="Calibri"/>
          <w:szCs w:val="22"/>
        </w:rPr>
        <w:t>fertility rates continue to decline moderately, following current trends</w:t>
      </w:r>
      <w:r w:rsidR="00AF4F24">
        <w:rPr>
          <w:rFonts w:cs="Calibri" w:hint="eastAsia"/>
          <w:szCs w:val="22"/>
        </w:rPr>
        <w:t xml:space="preserve">. </w:t>
      </w:r>
    </w:p>
    <w:p w14:paraId="077EB90A" w14:textId="72777CEC" w:rsidR="009D744A" w:rsidRPr="002C482A" w:rsidRDefault="009D744A" w:rsidP="00BB0B54">
      <w:pPr>
        <w:pStyle w:val="Heading3"/>
      </w:pPr>
      <w:r w:rsidRPr="002C482A">
        <w:t>Red Sun Scenario</w:t>
      </w:r>
    </w:p>
    <w:p w14:paraId="75EA59A7" w14:textId="4BD3DE1C" w:rsidR="00AF4FEA" w:rsidRDefault="00AF4FEA" w:rsidP="004C5280">
      <w:pPr>
        <w:rPr>
          <w:rFonts w:cs="Calibri"/>
          <w:szCs w:val="22"/>
        </w:rPr>
      </w:pPr>
      <w:r w:rsidRPr="00AF4FEA">
        <w:rPr>
          <w:rFonts w:cs="Calibri"/>
          <w:szCs w:val="22"/>
        </w:rPr>
        <w:t xml:space="preserve">In traditional Chinese culture, the colour red symbolizes celebration and prosperity. The image of a rising red sun evokes a sense of improving living standards and growing happiness among the people. The Red Sun </w:t>
      </w:r>
      <w:r w:rsidR="006E5C2B">
        <w:rPr>
          <w:rFonts w:cs="Calibri" w:hint="eastAsia"/>
          <w:szCs w:val="22"/>
        </w:rPr>
        <w:t xml:space="preserve">(RS) </w:t>
      </w:r>
      <w:r w:rsidRPr="00AF4FEA">
        <w:rPr>
          <w:rFonts w:cs="Calibri"/>
          <w:szCs w:val="22"/>
        </w:rPr>
        <w:t>scenario envisions a vibrant and thriving Chinese economy, with a primary focus on economic development, while achieving climate commitments is not the government's top priority.</w:t>
      </w:r>
      <w:r w:rsidR="00262A75" w:rsidRPr="00262A75">
        <w:t xml:space="preserve"> </w:t>
      </w:r>
      <w:r w:rsidR="00262A75" w:rsidRPr="00262A75">
        <w:rPr>
          <w:rFonts w:cs="Calibri"/>
          <w:szCs w:val="22"/>
        </w:rPr>
        <w:t>By 2060, China remains a global economic leader, but its environmental progress is fragmented. While the country successfully meets its NDC goals by 2030, the reliance on heavy industries and an investment-driven society hampers progress toward the 2060 net-zero goal. Technological advancements contribute modestly to emissions reductions, but the lack of transformative policy measures and limited public engagement in sustainability prevent comprehensive climate action. The Red Sun scenario underscores the risks of prioritizing short-term economic growth over long-term environmental sustainability, leaving China vulnerable to future environmental challenges and economic instability.</w:t>
      </w:r>
    </w:p>
    <w:p w14:paraId="0DFE086F" w14:textId="68050E83" w:rsidR="00C60581" w:rsidRPr="00C60581" w:rsidRDefault="008708D6" w:rsidP="00C60581">
      <w:pPr>
        <w:rPr>
          <w:rFonts w:cs="Calibri"/>
          <w:szCs w:val="22"/>
        </w:rPr>
      </w:pPr>
      <w:r w:rsidRPr="00430F45">
        <w:rPr>
          <w:rFonts w:cs="Calibri"/>
          <w:szCs w:val="22"/>
        </w:rPr>
        <w:lastRenderedPageBreak/>
        <w:t xml:space="preserve">In the Red Sun scenario, China prioritizes economic growth by </w:t>
      </w:r>
      <w:r w:rsidRPr="00916053">
        <w:rPr>
          <w:rFonts w:cs="Calibri"/>
          <w:b/>
          <w:bCs/>
          <w:szCs w:val="22"/>
        </w:rPr>
        <w:t>real estate market recovery</w:t>
      </w:r>
      <w:r>
        <w:rPr>
          <w:rFonts w:cs="Calibri"/>
          <w:b/>
          <w:bCs/>
          <w:szCs w:val="22"/>
        </w:rPr>
        <w:fldChar w:fldCharType="begin"/>
      </w:r>
      <w:r w:rsidR="006B2721">
        <w:rPr>
          <w:rFonts w:cs="Calibri"/>
          <w:b/>
          <w:bCs/>
          <w:szCs w:val="22"/>
        </w:rPr>
        <w:instrText xml:space="preserve"> ADDIN ZOTERO_ITEM CSL_CITATION {"citationID":"iPdvhWW4","properties":{"formattedCitation":"\\super 35\\nosupersub{}","plainCitation":"35","noteIndex":0},"citationItems":[{"id":3730,"uris":["http://zotero.org/users/10504693/items/DTMUQZH8"],"itemData":{"id":3730,"type":"webpage","title":"China's property market shows stronger signs of recovery","URL":"https://english.www.gov.cn/archive/statistics/202412/16/content_WS6760192fc6d0868f4e8ee041.html","author":[{"family":"State Council","given":""}],"accessed":{"date-parts":[["2025",1,20]]},"issued":{"date-parts":[["2024"]]}}}],"schema":"https://github.com/citation-style-language/schema/raw/master/csl-citation.json"} </w:instrText>
      </w:r>
      <w:r>
        <w:rPr>
          <w:rFonts w:cs="Calibri"/>
          <w:b/>
          <w:bCs/>
          <w:szCs w:val="22"/>
        </w:rPr>
        <w:fldChar w:fldCharType="separate"/>
      </w:r>
      <w:r w:rsidR="00F433C1" w:rsidRPr="00F433C1">
        <w:rPr>
          <w:rFonts w:cs="Calibri"/>
          <w:kern w:val="0"/>
          <w:vertAlign w:val="superscript"/>
        </w:rPr>
        <w:t>35</w:t>
      </w:r>
      <w:r>
        <w:rPr>
          <w:rFonts w:cs="Calibri"/>
          <w:b/>
          <w:bCs/>
          <w:szCs w:val="22"/>
        </w:rPr>
        <w:fldChar w:fldCharType="end"/>
      </w:r>
      <w:r w:rsidRPr="00916053">
        <w:rPr>
          <w:rFonts w:cs="Calibri"/>
          <w:szCs w:val="22"/>
        </w:rPr>
        <w:t xml:space="preserve"> </w:t>
      </w:r>
      <w:r>
        <w:rPr>
          <w:rFonts w:cs="Calibri" w:hint="eastAsia"/>
          <w:szCs w:val="22"/>
        </w:rPr>
        <w:t xml:space="preserve">and </w:t>
      </w:r>
      <w:r w:rsidRPr="002B3214">
        <w:rPr>
          <w:rFonts w:cs="Calibri"/>
          <w:b/>
          <w:bCs/>
          <w:szCs w:val="22"/>
        </w:rPr>
        <w:t>people-</w:t>
      </w:r>
      <w:r w:rsidR="00537CC1" w:rsidRPr="002B3214">
        <w:rPr>
          <w:rFonts w:cs="Calibri"/>
          <w:b/>
          <w:bCs/>
          <w:szCs w:val="22"/>
        </w:rPr>
        <w:t>c</w:t>
      </w:r>
      <w:r w:rsidR="00537CC1">
        <w:rPr>
          <w:rFonts w:cs="Calibri"/>
          <w:b/>
          <w:bCs/>
          <w:szCs w:val="22"/>
        </w:rPr>
        <w:t>en</w:t>
      </w:r>
      <w:r w:rsidR="00537CC1" w:rsidRPr="002B3214">
        <w:rPr>
          <w:rFonts w:cs="Calibri"/>
          <w:b/>
          <w:bCs/>
          <w:szCs w:val="22"/>
        </w:rPr>
        <w:t>tred</w:t>
      </w:r>
      <w:r w:rsidRPr="002B3214">
        <w:rPr>
          <w:rFonts w:cs="Calibri"/>
          <w:b/>
          <w:bCs/>
          <w:szCs w:val="22"/>
        </w:rPr>
        <w:t xml:space="preserve"> new urbanization strategy</w:t>
      </w:r>
      <w:r>
        <w:rPr>
          <w:rFonts w:cs="Calibri"/>
          <w:b/>
          <w:bCs/>
          <w:szCs w:val="22"/>
        </w:rPr>
        <w:fldChar w:fldCharType="begin"/>
      </w:r>
      <w:r w:rsidR="006B2721">
        <w:rPr>
          <w:rFonts w:cs="Calibri"/>
          <w:b/>
          <w:bCs/>
          <w:szCs w:val="22"/>
        </w:rPr>
        <w:instrText xml:space="preserve"> ADDIN ZOTERO_ITEM CSL_CITATION {"citationID":"QwXeJNub","properties":{"formattedCitation":"\\super 36\\nosupersub{}","plainCitation":"36","noteIndex":0},"citationItems":[{"id":3723,"uris":["http://zotero.org/users/10504693/items/TBZFIGEP"],"itemData":{"id":3723,"type":"webpage","title":"New urbanization implementation plan approved","URL":"https://english.www.gov.cn/policies/latestreleases/202206/07/content_WS629f170ac6d02e533532bcf7.html","author":[{"family":"State Council","given":""}],"accessed":{"date-parts":[["2025",1,20]]},"issued":{"date-parts":[["2022"]]}}}],"schema":"https://github.com/citation-style-language/schema/raw/master/csl-citation.json"} </w:instrText>
      </w:r>
      <w:r>
        <w:rPr>
          <w:rFonts w:cs="Calibri"/>
          <w:b/>
          <w:bCs/>
          <w:szCs w:val="22"/>
        </w:rPr>
        <w:fldChar w:fldCharType="separate"/>
      </w:r>
      <w:r w:rsidR="00F433C1" w:rsidRPr="00F433C1">
        <w:rPr>
          <w:rFonts w:cs="Calibri"/>
          <w:kern w:val="0"/>
          <w:vertAlign w:val="superscript"/>
        </w:rPr>
        <w:t>36</w:t>
      </w:r>
      <w:r>
        <w:rPr>
          <w:rFonts w:cs="Calibri"/>
          <w:b/>
          <w:bCs/>
          <w:szCs w:val="22"/>
        </w:rPr>
        <w:fldChar w:fldCharType="end"/>
      </w:r>
      <w:r>
        <w:rPr>
          <w:rFonts w:cs="Calibri" w:hint="eastAsia"/>
          <w:szCs w:val="22"/>
        </w:rPr>
        <w:t xml:space="preserve"> </w:t>
      </w:r>
      <w:r w:rsidR="00A77485">
        <w:rPr>
          <w:rFonts w:cs="Calibri" w:hint="eastAsia"/>
          <w:szCs w:val="22"/>
        </w:rPr>
        <w:t xml:space="preserve">To </w:t>
      </w:r>
      <w:r w:rsidR="00A77485" w:rsidRPr="00A77485">
        <w:rPr>
          <w:rFonts w:cs="Calibri"/>
          <w:szCs w:val="22"/>
        </w:rPr>
        <w:t>reverse the downturn of the property market</w:t>
      </w:r>
      <w:r w:rsidRPr="00430F45">
        <w:rPr>
          <w:rFonts w:cs="Calibri"/>
          <w:szCs w:val="22"/>
        </w:rPr>
        <w:t xml:space="preserve">, the government lifts previous restrictions </w:t>
      </w:r>
      <w:r w:rsidR="0039781B">
        <w:rPr>
          <w:rFonts w:cs="Calibri" w:hint="eastAsia"/>
          <w:szCs w:val="22"/>
        </w:rPr>
        <w:t xml:space="preserve">and rolls out </w:t>
      </w:r>
      <w:r w:rsidR="0039781B" w:rsidRPr="0039781B">
        <w:rPr>
          <w:rFonts w:cs="Calibri"/>
          <w:szCs w:val="22"/>
        </w:rPr>
        <w:t>a bundle of pro-housing policies</w:t>
      </w:r>
      <w:r w:rsidR="0039781B">
        <w:rPr>
          <w:rFonts w:cs="Calibri" w:hint="eastAsia"/>
          <w:szCs w:val="22"/>
        </w:rPr>
        <w:t xml:space="preserve"> </w:t>
      </w:r>
      <w:r w:rsidR="002D2DC1">
        <w:rPr>
          <w:rFonts w:cs="Calibri" w:hint="eastAsia"/>
          <w:szCs w:val="22"/>
        </w:rPr>
        <w:t>since 2024</w:t>
      </w:r>
      <w:r w:rsidRPr="00430F45">
        <w:rPr>
          <w:rFonts w:cs="Calibri"/>
          <w:szCs w:val="22"/>
        </w:rPr>
        <w:t>,</w:t>
      </w:r>
      <w:r w:rsidRPr="00430F45">
        <w:rPr>
          <w:szCs w:val="22"/>
        </w:rPr>
        <w:t xml:space="preserve"> </w:t>
      </w:r>
      <w:r w:rsidRPr="00430F45">
        <w:rPr>
          <w:rFonts w:cs="Calibri"/>
          <w:szCs w:val="22"/>
        </w:rPr>
        <w:t>unveils new measures to stabilize housing market encouraging developers to resume and complete stalled projects</w:t>
      </w:r>
      <w:r w:rsidR="00A04D26">
        <w:rPr>
          <w:rFonts w:cs="Calibri"/>
          <w:szCs w:val="22"/>
        </w:rPr>
        <w:fldChar w:fldCharType="begin"/>
      </w:r>
      <w:r w:rsidR="006B2721">
        <w:rPr>
          <w:rFonts w:cs="Calibri"/>
          <w:szCs w:val="22"/>
        </w:rPr>
        <w:instrText xml:space="preserve"> ADDIN ZOTERO_ITEM CSL_CITATION {"citationID":"rmZsAS3K","properties":{"formattedCitation":"\\super 37\\nosupersub{}","plainCitation":"37","noteIndex":0},"citationItems":[{"id":3732,"uris":["http://zotero.org/users/10504693/items/UQ7PIRXJ"],"itemData":{"id":3732,"type":"webpage","title":"China unveils new measures to stabilize housing market","URL":"https://english.www.gov.cn/news/202410/17/content_WS67111067c6d0868f4e8ebfd0.html","author":[{"family":"State Council","given":""}],"accessed":{"date-parts":[["2025",1,20]]},"issued":{"date-parts":[["2024"]]}}}],"schema":"https://github.com/citation-style-language/schema/raw/master/csl-citation.json"} </w:instrText>
      </w:r>
      <w:r w:rsidR="00A04D26">
        <w:rPr>
          <w:rFonts w:cs="Calibri"/>
          <w:szCs w:val="22"/>
        </w:rPr>
        <w:fldChar w:fldCharType="separate"/>
      </w:r>
      <w:r w:rsidR="00F433C1" w:rsidRPr="00F433C1">
        <w:rPr>
          <w:rFonts w:cs="Calibri"/>
          <w:kern w:val="0"/>
          <w:vertAlign w:val="superscript"/>
        </w:rPr>
        <w:t>37</w:t>
      </w:r>
      <w:r w:rsidR="00A04D26">
        <w:rPr>
          <w:rFonts w:cs="Calibri"/>
          <w:szCs w:val="22"/>
        </w:rPr>
        <w:fldChar w:fldCharType="end"/>
      </w:r>
      <w:r w:rsidRPr="00430F45">
        <w:rPr>
          <w:rFonts w:cs="Calibri"/>
          <w:szCs w:val="22"/>
        </w:rPr>
        <w:t xml:space="preserve">. </w:t>
      </w:r>
      <w:r w:rsidR="00C66F15">
        <w:rPr>
          <w:rFonts w:cs="Calibri" w:hint="eastAsia"/>
          <w:szCs w:val="22"/>
        </w:rPr>
        <w:t>U</w:t>
      </w:r>
      <w:r w:rsidR="00C66F15" w:rsidRPr="00C66F15">
        <w:rPr>
          <w:rFonts w:cs="Calibri"/>
          <w:szCs w:val="22"/>
        </w:rPr>
        <w:t xml:space="preserve">rban agglomerations </w:t>
      </w:r>
      <w:r w:rsidR="00C66F15">
        <w:rPr>
          <w:rFonts w:cs="Calibri" w:hint="eastAsia"/>
          <w:szCs w:val="22"/>
        </w:rPr>
        <w:t xml:space="preserve">is </w:t>
      </w:r>
      <w:r w:rsidR="00C66F15">
        <w:rPr>
          <w:rFonts w:cs="Calibri"/>
          <w:szCs w:val="22"/>
        </w:rPr>
        <w:t>consistently</w:t>
      </w:r>
      <w:r w:rsidR="00C66F15">
        <w:rPr>
          <w:rFonts w:cs="Calibri" w:hint="eastAsia"/>
          <w:szCs w:val="22"/>
        </w:rPr>
        <w:t xml:space="preserve"> emph</w:t>
      </w:r>
      <w:r w:rsidR="008958FF">
        <w:rPr>
          <w:rFonts w:cs="Calibri" w:hint="eastAsia"/>
          <w:szCs w:val="22"/>
        </w:rPr>
        <w:t xml:space="preserve">asized as key drivers of economic growth from </w:t>
      </w:r>
      <w:r w:rsidR="00702C46" w:rsidRPr="00430F45">
        <w:rPr>
          <w:rFonts w:cs="Calibri"/>
          <w:szCs w:val="22"/>
        </w:rPr>
        <w:t xml:space="preserve">China’s 11th </w:t>
      </w:r>
      <w:r w:rsidR="002547BE">
        <w:rPr>
          <w:rFonts w:cs="Calibri" w:hint="eastAsia"/>
          <w:szCs w:val="22"/>
        </w:rPr>
        <w:t>Five-year Plans</w:t>
      </w:r>
      <w:r w:rsidR="002547BE">
        <w:rPr>
          <w:rFonts w:cs="Calibri"/>
          <w:szCs w:val="22"/>
        </w:rPr>
        <w:fldChar w:fldCharType="begin"/>
      </w:r>
      <w:r w:rsidR="006B2721">
        <w:rPr>
          <w:rFonts w:cs="Calibri"/>
          <w:szCs w:val="22"/>
        </w:rPr>
        <w:instrText xml:space="preserve"> ADDIN ZOTERO_ITEM CSL_CITATION {"citationID":"HTSBvX1v","properties":{"formattedCitation":"\\super 38,39\\nosupersub{}","plainCitation":"38,39","noteIndex":0},"citationItems":[{"id":3725,"uris":["http://zotero.org/users/10504693/items/IBA87HI2"],"itemData":{"id":3725,"type":"article-journal","abstract":"Urban agglomerations (UAs), which serve as pivotal hubs for economic and innovative convergence, play a crucial role in enhancing internal circulation and strengthening external linkages. This study utilizes the China city-level multi-regional input-output tables, incorporating the Dagum Gini coefficient and kernel density estimation methods, to perform a thorough quantitative analysis. Disparities within the national and global value chains (\"dual value chains\") of Chinese UAs from 2012 to 2017 were assessed. Additionally, the logarithmic mean Divisia index (LMDI) method was applied to disaggregate the drivers of both national and global intermediate inputs (NII and GII). The study’s key findings include the following: (1) The national value chain (NVC) within UAs exhibits robust growth, contrasting with the decline in the global value chain (GVC). (2) The inter-UA disparity contribution rate significantly surpasses the combined rates of intra-UA contribution and super-variation density. (3) Distinct evolutionary peak trends are discerned among various UAs within the \"dual value chains\", highlighting diverse spatial polarization characteristics and expansiveness. (4) The growth of the NVC has transitioned from a negative to a positive impact on NII, while the decline in GVC has substantially counteracted GII growth. Economic and demographic factors notably drive positive improvements in both NII and GII, whereas the efficiency of outflows presents a negative driving effect. Based on these findings, this study offers strategic recommendations to facilitate the effective integration of UAs into the new development paradigm, thereby providing a scientific basis for related decision-making processes.","container-title":"PLOS ONE","DOI":"10.1371/journal.pone.0305594","ISSN":"1932-6203","issue":"6","journalAbbreviation":"PLoS ONE","language":"en","page":"e0305594","source":"DOI.org (Crossref)","title":"From global to national: The role of urban agglomerations in China’s new development paradigm","title-short":"From global to national","volume":"19","author":[{"family":"Gao","given":"Chang-chun"},{"family":"Chang","given":"Si-qi"},{"family":"Wang","given":"Ying-su"}],"editor":[{"family":"Zhuang","given":"Liang"}],"issued":{"date-parts":[["2024",6,17]]}}},{"id":3726,"uris":["http://zotero.org/users/10504693/items/XHUG2T2X"],"itemData":{"id":3726,"type":"article-journal","container-title":"Economic Analysis and Policy","DOI":"10.1016/j.eap.2023.10.014","ISSN":"03135926","journalAbbreviation":"Economic Analysis and Policy","language":"en","page":"1224-1238","source":"DOI.org (Crossref)","title":"How do urban agglomerations drive economic development? A policy implementation and spatial effects perspective","title-short":"How do urban agglomerations drive economic development?","volume":"80","author":[{"family":"Wang","given":"Song"},{"family":"Yang","given":"Canyu"},{"family":"Hou","given":"Dailing"},{"family":"Dai","given":"Liang"}],"issued":{"date-parts":[["2023",12]]}}}],"schema":"https://github.com/citation-style-language/schema/raw/master/csl-citation.json"} </w:instrText>
      </w:r>
      <w:r w:rsidR="002547BE">
        <w:rPr>
          <w:rFonts w:cs="Calibri"/>
          <w:szCs w:val="22"/>
        </w:rPr>
        <w:fldChar w:fldCharType="separate"/>
      </w:r>
      <w:r w:rsidR="00F433C1" w:rsidRPr="00F433C1">
        <w:rPr>
          <w:rFonts w:cs="Calibri"/>
          <w:kern w:val="0"/>
          <w:vertAlign w:val="superscript"/>
        </w:rPr>
        <w:t>38,39</w:t>
      </w:r>
      <w:r w:rsidR="002547BE">
        <w:rPr>
          <w:rFonts w:cs="Calibri"/>
          <w:szCs w:val="22"/>
        </w:rPr>
        <w:fldChar w:fldCharType="end"/>
      </w:r>
      <w:r w:rsidR="002547BE">
        <w:rPr>
          <w:rFonts w:cs="Calibri" w:hint="eastAsia"/>
          <w:szCs w:val="22"/>
        </w:rPr>
        <w:t xml:space="preserve">.  </w:t>
      </w:r>
      <w:r w:rsidR="00943804" w:rsidRPr="00943804">
        <w:rPr>
          <w:rFonts w:cs="Calibri"/>
          <w:szCs w:val="22"/>
        </w:rPr>
        <w:t>As a developing country, China’s urbanization rate reached 66.16% by the end of 2023, leaving considerable room for growth compared to developed nations such as the United States and the United Kingdom, where urbanization levels are around 85%</w:t>
      </w:r>
      <w:r w:rsidR="00C42D61">
        <w:rPr>
          <w:rFonts w:cs="Calibri"/>
          <w:szCs w:val="22"/>
        </w:rPr>
        <w:fldChar w:fldCharType="begin"/>
      </w:r>
      <w:r w:rsidR="006B2721">
        <w:rPr>
          <w:rFonts w:cs="Calibri"/>
          <w:szCs w:val="22"/>
        </w:rPr>
        <w:instrText xml:space="preserve"> ADDIN ZOTERO_ITEM CSL_CITATION {"citationID":"gaAK8WJT","properties":{"formattedCitation":"\\super 40\\nosupersub{}","plainCitation":"40","noteIndex":0},"citationItems":[{"id":3728,"uris":["http://zotero.org/users/10504693/items/L2PNWCEM"],"itemData":{"id":3728,"type":"webpage","title":"World Population Prospects 2024 | Population Division","URL":"https://www.un.org/development/desa/pd/world-population-prospects-2024","author":[{"family":"UN","given":""}],"accessed":{"date-parts":[["2025",1,20]]},"issued":{"date-parts":[["2024"]]}}}],"schema":"https://github.com/citation-style-language/schema/raw/master/csl-citation.json"} </w:instrText>
      </w:r>
      <w:r w:rsidR="00C42D61">
        <w:rPr>
          <w:rFonts w:cs="Calibri"/>
          <w:szCs w:val="22"/>
        </w:rPr>
        <w:fldChar w:fldCharType="separate"/>
      </w:r>
      <w:r w:rsidR="00F433C1" w:rsidRPr="00F433C1">
        <w:rPr>
          <w:rFonts w:cs="Calibri"/>
          <w:kern w:val="0"/>
          <w:vertAlign w:val="superscript"/>
        </w:rPr>
        <w:t>40</w:t>
      </w:r>
      <w:r w:rsidR="00C42D61">
        <w:rPr>
          <w:rFonts w:cs="Calibri"/>
          <w:szCs w:val="22"/>
        </w:rPr>
        <w:fldChar w:fldCharType="end"/>
      </w:r>
      <w:r w:rsidR="00943804" w:rsidRPr="00943804">
        <w:rPr>
          <w:rFonts w:cs="Calibri"/>
          <w:szCs w:val="22"/>
        </w:rPr>
        <w:t>.</w:t>
      </w:r>
      <w:r w:rsidR="00176881">
        <w:rPr>
          <w:rFonts w:cs="Calibri" w:hint="eastAsia"/>
          <w:szCs w:val="22"/>
        </w:rPr>
        <w:t xml:space="preserve"> </w:t>
      </w:r>
      <w:r w:rsidR="003C38DA" w:rsidRPr="003C38DA">
        <w:rPr>
          <w:rFonts w:cs="Calibri"/>
          <w:szCs w:val="22"/>
        </w:rPr>
        <w:t>The people-</w:t>
      </w:r>
      <w:r w:rsidR="00537CC1" w:rsidRPr="003C38DA">
        <w:rPr>
          <w:rFonts w:cs="Calibri"/>
          <w:szCs w:val="22"/>
        </w:rPr>
        <w:t>c</w:t>
      </w:r>
      <w:r w:rsidR="00537CC1">
        <w:rPr>
          <w:rFonts w:cs="Calibri"/>
          <w:szCs w:val="22"/>
        </w:rPr>
        <w:t>en</w:t>
      </w:r>
      <w:r w:rsidR="00537CC1" w:rsidRPr="003C38DA">
        <w:rPr>
          <w:rFonts w:cs="Calibri"/>
          <w:szCs w:val="22"/>
        </w:rPr>
        <w:t>tred</w:t>
      </w:r>
      <w:r w:rsidR="003C38DA" w:rsidRPr="003C38DA">
        <w:rPr>
          <w:rFonts w:cs="Calibri"/>
          <w:szCs w:val="22"/>
        </w:rPr>
        <w:t xml:space="preserve"> new urbanization strategy proposed in the </w:t>
      </w:r>
      <w:r w:rsidR="003C38DA" w:rsidRPr="001A2C16">
        <w:rPr>
          <w:rFonts w:cs="Calibri"/>
          <w:b/>
          <w:bCs/>
          <w:szCs w:val="22"/>
        </w:rPr>
        <w:t>14th Five-Year Plan</w:t>
      </w:r>
      <w:r w:rsidR="003C38DA" w:rsidRPr="003C38DA">
        <w:rPr>
          <w:rFonts w:cs="Calibri"/>
          <w:szCs w:val="22"/>
        </w:rPr>
        <w:t xml:space="preserve"> further emphasizes “promoting the urbanization of the agricultural transfer population as the primary task of new urbanization”</w:t>
      </w:r>
      <w:r w:rsidR="00280AD2">
        <w:rPr>
          <w:rFonts w:cs="Calibri"/>
          <w:szCs w:val="22"/>
        </w:rPr>
        <w:fldChar w:fldCharType="begin"/>
      </w:r>
      <w:r w:rsidR="006B2721">
        <w:rPr>
          <w:rFonts w:cs="Calibri"/>
          <w:szCs w:val="22"/>
        </w:rPr>
        <w:instrText xml:space="preserve"> ADDIN ZOTERO_ITEM CSL_CITATION {"citationID":"HWIaE8IY","properties":{"formattedCitation":"\\super 41\\nosupersub{}","plainCitation":"41","noteIndex":0},"citationItems":[{"id":3734,"uris":["http://zotero.org/users/10504693/items/GZM7H8GD"],"itemData":{"id":3734,"type":"document","title":"Implementation Plan for New Urbanization in the 14th Five-Year Plan","URL":"https://www.ndrc.gov.cn/xxgk/zcfb/tz/202207/P020220712357038234914.pdf","author":[{"family":"NDRC","given":""}],"issued":{"date-parts":[["2022"]]}}}],"schema":"https://github.com/citation-style-language/schema/raw/master/csl-citation.json"} </w:instrText>
      </w:r>
      <w:r w:rsidR="00280AD2">
        <w:rPr>
          <w:rFonts w:cs="Calibri"/>
          <w:szCs w:val="22"/>
        </w:rPr>
        <w:fldChar w:fldCharType="separate"/>
      </w:r>
      <w:r w:rsidR="00F433C1" w:rsidRPr="00F433C1">
        <w:rPr>
          <w:rFonts w:cs="Calibri"/>
          <w:kern w:val="0"/>
          <w:vertAlign w:val="superscript"/>
        </w:rPr>
        <w:t>41</w:t>
      </w:r>
      <w:r w:rsidR="00280AD2">
        <w:rPr>
          <w:rFonts w:cs="Calibri"/>
          <w:szCs w:val="22"/>
        </w:rPr>
        <w:fldChar w:fldCharType="end"/>
      </w:r>
      <w:r w:rsidR="00280AD2">
        <w:rPr>
          <w:rFonts w:cs="Calibri" w:hint="eastAsia"/>
          <w:szCs w:val="22"/>
        </w:rPr>
        <w:t>,</w:t>
      </w:r>
      <w:r w:rsidR="00BC3916" w:rsidRPr="00BC3916">
        <w:rPr>
          <w:rFonts w:cs="Calibri"/>
          <w:szCs w:val="22"/>
        </w:rPr>
        <w:t>which will stimulate substantial investment in municipal and rural infrastructure, public services, and housing, creating substantial new investment opportunities with the potential to drive GDP growth.</w:t>
      </w:r>
      <w:r w:rsidR="00BC3916">
        <w:rPr>
          <w:rFonts w:cs="Calibri" w:hint="eastAsia"/>
          <w:szCs w:val="22"/>
        </w:rPr>
        <w:t xml:space="preserve"> </w:t>
      </w:r>
    </w:p>
    <w:p w14:paraId="5F9E4769" w14:textId="2A59EDC0" w:rsidR="00982007" w:rsidRDefault="00C60581" w:rsidP="00C60581">
      <w:pPr>
        <w:rPr>
          <w:rFonts w:cs="Calibri"/>
          <w:szCs w:val="22"/>
        </w:rPr>
      </w:pPr>
      <w:r w:rsidRPr="00C60581">
        <w:rPr>
          <w:rFonts w:cs="Calibri"/>
          <w:szCs w:val="22"/>
        </w:rPr>
        <w:t xml:space="preserve">Although the new urbanization strategy </w:t>
      </w:r>
      <w:r w:rsidR="008A30CC">
        <w:rPr>
          <w:rFonts w:cs="Calibri" w:hint="eastAsia"/>
          <w:szCs w:val="22"/>
        </w:rPr>
        <w:t xml:space="preserve">also </w:t>
      </w:r>
      <w:r>
        <w:rPr>
          <w:rFonts w:cs="Calibri" w:hint="eastAsia"/>
          <w:szCs w:val="22"/>
        </w:rPr>
        <w:t>mention</w:t>
      </w:r>
      <w:r w:rsidR="008A30CC">
        <w:rPr>
          <w:rFonts w:cs="Calibri" w:hint="eastAsia"/>
          <w:szCs w:val="22"/>
        </w:rPr>
        <w:t>ed</w:t>
      </w:r>
      <w:r w:rsidRPr="00C60581">
        <w:rPr>
          <w:rFonts w:cs="Calibri"/>
          <w:szCs w:val="22"/>
        </w:rPr>
        <w:t xml:space="preserve"> “strengthening ecological restoration and environmental protection” </w:t>
      </w:r>
      <w:r w:rsidR="008A30CC">
        <w:rPr>
          <w:rFonts w:cs="Calibri"/>
          <w:szCs w:val="22"/>
        </w:rPr>
        <w:fldChar w:fldCharType="begin"/>
      </w:r>
      <w:r w:rsidR="006B2721">
        <w:rPr>
          <w:rFonts w:cs="Calibri"/>
          <w:szCs w:val="22"/>
        </w:rPr>
        <w:instrText xml:space="preserve"> ADDIN ZOTERO_ITEM CSL_CITATION {"citationID":"h1Tnd0gx","properties":{"formattedCitation":"\\super 41\\nosupersub{}","plainCitation":"41","noteIndex":0},"citationItems":[{"id":3734,"uris":["http://zotero.org/users/10504693/items/GZM7H8GD"],"itemData":{"id":3734,"type":"document","title":"Implementation Plan for New Urbanization in the 14th Five-Year Plan","URL":"https://www.ndrc.gov.cn/xxgk/zcfb/tz/202207/P020220712357038234914.pdf","author":[{"family":"NDRC","given":""}],"issued":{"date-parts":[["2022"]]}}}],"schema":"https://github.com/citation-style-language/schema/raw/master/csl-citation.json"} </w:instrText>
      </w:r>
      <w:r w:rsidR="008A30CC">
        <w:rPr>
          <w:rFonts w:cs="Calibri"/>
          <w:szCs w:val="22"/>
        </w:rPr>
        <w:fldChar w:fldCharType="separate"/>
      </w:r>
      <w:r w:rsidR="00F433C1" w:rsidRPr="00F433C1">
        <w:rPr>
          <w:rFonts w:cs="Calibri"/>
          <w:kern w:val="0"/>
          <w:vertAlign w:val="superscript"/>
        </w:rPr>
        <w:t>41</w:t>
      </w:r>
      <w:r w:rsidR="008A30CC">
        <w:rPr>
          <w:rFonts w:cs="Calibri"/>
          <w:szCs w:val="22"/>
        </w:rPr>
        <w:fldChar w:fldCharType="end"/>
      </w:r>
      <w:r w:rsidR="00152E92">
        <w:rPr>
          <w:rFonts w:cs="Calibri" w:hint="eastAsia"/>
          <w:szCs w:val="22"/>
        </w:rPr>
        <w:t xml:space="preserve">, </w:t>
      </w:r>
      <w:r w:rsidRPr="00C60581">
        <w:rPr>
          <w:rFonts w:cs="Calibri"/>
          <w:szCs w:val="22"/>
        </w:rPr>
        <w:t>this growth-first approach drives increased industrial production and infrastructure expansion, leaving the government with limited resources to allocate toward industrial decarbonization and technological innovation.</w:t>
      </w:r>
      <w:r>
        <w:rPr>
          <w:rFonts w:cs="Calibri" w:hint="eastAsia"/>
          <w:szCs w:val="22"/>
        </w:rPr>
        <w:t xml:space="preserve"> </w:t>
      </w:r>
      <w:r w:rsidR="00982007" w:rsidRPr="00982007">
        <w:rPr>
          <w:rFonts w:cs="Calibri"/>
          <w:szCs w:val="22"/>
        </w:rPr>
        <w:t>The costs of clean energy technologies, such as electric vehicles, wind, and solar, continue to decline steadily, enabling China to meet its NDC target by 2030. However, the development and deployment of carbon removal technologies—Carbon Capture and Storage (CCS), Bioenergy with Carbon Capture and Storage (BECCS), and Direct Air Capture (DAC)—face persistent scalability and commercialization challenges</w:t>
      </w:r>
      <w:r w:rsidR="00982007" w:rsidRPr="00F566A4">
        <w:rPr>
          <w:rFonts w:cs="Calibri"/>
          <w:szCs w:val="22"/>
        </w:rPr>
        <w:t>.</w:t>
      </w:r>
      <w:r w:rsidR="00982007" w:rsidRPr="00982007">
        <w:rPr>
          <w:rFonts w:cs="Calibri"/>
          <w:szCs w:val="22"/>
        </w:rPr>
        <w:t xml:space="preserve"> Without more aggressive policy incentives, achieving the net-zero target by 2060 remains highly uncertain.</w:t>
      </w:r>
    </w:p>
    <w:p w14:paraId="0A63711B" w14:textId="47E48824" w:rsidR="00961D02" w:rsidRDefault="00961D02" w:rsidP="004C5280">
      <w:pPr>
        <w:rPr>
          <w:rFonts w:cs="Calibri"/>
          <w:szCs w:val="22"/>
        </w:rPr>
      </w:pPr>
      <w:r w:rsidRPr="00961D02">
        <w:rPr>
          <w:rFonts w:cs="Calibri"/>
          <w:szCs w:val="22"/>
        </w:rPr>
        <w:t xml:space="preserve">Demographic trends </w:t>
      </w:r>
      <w:r w:rsidR="00A06D56" w:rsidRPr="00A06D56">
        <w:rPr>
          <w:rFonts w:cs="Calibri"/>
          <w:szCs w:val="22"/>
        </w:rPr>
        <w:t>in the Red Sun scenario</w:t>
      </w:r>
      <w:r w:rsidRPr="00961D02">
        <w:rPr>
          <w:rFonts w:cs="Calibri"/>
          <w:szCs w:val="22"/>
        </w:rPr>
        <w:t xml:space="preserve"> are influenced by a series of government-led social reforms. The continuous decline in fertility rates has been alleviated since the implementation of the three-child policy in 2021</w:t>
      </w:r>
      <w:r w:rsidR="00A54916">
        <w:rPr>
          <w:rFonts w:cs="Calibri"/>
          <w:szCs w:val="22"/>
        </w:rPr>
        <w:fldChar w:fldCharType="begin"/>
      </w:r>
      <w:r w:rsidR="006B2721">
        <w:rPr>
          <w:rFonts w:cs="Calibri"/>
          <w:szCs w:val="22"/>
        </w:rPr>
        <w:instrText xml:space="preserve"> ADDIN ZOTERO_ITEM CSL_CITATION {"citationID":"4pUUPdmu","properties":{"formattedCitation":"\\super 42\\nosupersub{}","plainCitation":"42","noteIndex":0},"citationItems":[{"id":3741,"uris":["http://zotero.org/users/10504693/items/G9X9F6ZX"],"itemData":{"i</w:instrText>
      </w:r>
      <w:r w:rsidR="006B2721">
        <w:rPr>
          <w:rFonts w:cs="Calibri" w:hint="eastAsia"/>
          <w:szCs w:val="22"/>
        </w:rPr>
        <w:instrText>d":3741,"type":"webpage","abstract":"</w:instrText>
      </w:r>
      <w:r w:rsidR="006B2721">
        <w:rPr>
          <w:rFonts w:cs="Calibri" w:hint="eastAsia"/>
          <w:szCs w:val="22"/>
        </w:rPr>
        <w:instrText>人口发展是关系中华民族发展的大事情。为贯彻落实党的十九大和十九届二中、三中、四中、五中全会精神，促进人口长期均衡发展，现就优化生育政策，实施一对夫妻可以生育三个子女政策，并取消社会抚养费等制约措施、清理和废止相关处罚规定，配套实施积极生育支持措施（以下简称实施三孩生育政策及配套支持措施），作出如下决定。</w:instrText>
      </w:r>
      <w:r w:rsidR="006B2721">
        <w:rPr>
          <w:rFonts w:cs="Calibri" w:hint="eastAsia"/>
          <w:szCs w:val="22"/>
        </w:rPr>
        <w:instrText xml:space="preserve">","language":"Chinese","title":"Decision of the Central Committee of the Chinese Communist Party and of the State Council </w:instrText>
      </w:r>
      <w:r w:rsidR="006B2721">
        <w:rPr>
          <w:rFonts w:cs="Calibri" w:hint="eastAsia"/>
          <w:szCs w:val="22"/>
        </w:rPr>
        <w:instrText>中共中央</w:instrText>
      </w:r>
      <w:r w:rsidR="006B2721">
        <w:rPr>
          <w:rFonts w:cs="Calibri" w:hint="eastAsia"/>
          <w:szCs w:val="22"/>
        </w:rPr>
        <w:instrText xml:space="preserve"> </w:instrText>
      </w:r>
      <w:r w:rsidR="006B2721">
        <w:rPr>
          <w:rFonts w:cs="Calibri" w:hint="eastAsia"/>
          <w:szCs w:val="22"/>
        </w:rPr>
        <w:instrText>国务院关于优化生育政策促进人口长期均衡发展的决定</w:instrText>
      </w:r>
      <w:r w:rsidR="006B2721">
        <w:rPr>
          <w:rFonts w:cs="Calibri" w:hint="eastAsia"/>
          <w:szCs w:val="22"/>
        </w:rPr>
        <w:instrText>_</w:instrText>
      </w:r>
      <w:r w:rsidR="006B2721">
        <w:rPr>
          <w:rFonts w:cs="Calibri" w:hint="eastAsia"/>
          <w:szCs w:val="22"/>
        </w:rPr>
        <w:instrText>中央有关文件</w:instrText>
      </w:r>
      <w:r w:rsidR="006B2721">
        <w:rPr>
          <w:rFonts w:cs="Calibri" w:hint="eastAsia"/>
          <w:szCs w:val="22"/>
        </w:rPr>
        <w:instrText>_</w:instrText>
      </w:r>
      <w:r w:rsidR="006B2721">
        <w:rPr>
          <w:rFonts w:cs="Calibri" w:hint="eastAsia"/>
          <w:szCs w:val="22"/>
        </w:rPr>
        <w:instrText>中国政府网</w:instrText>
      </w:r>
      <w:r w:rsidR="006B2721">
        <w:rPr>
          <w:rFonts w:cs="Calibri" w:hint="eastAsia"/>
          <w:szCs w:val="22"/>
        </w:rPr>
        <w:instrText>","URL":"https://www.gov.cn/zhengce/2021-07/20/content_5626190.htm","author":[{"family":"Central Committee of the Chinese Communist Party","given":""},{"fami</w:instrText>
      </w:r>
      <w:r w:rsidR="006B2721">
        <w:rPr>
          <w:rFonts w:cs="Calibri"/>
          <w:szCs w:val="22"/>
        </w:rPr>
        <w:instrText xml:space="preserve">ly":"State Council","given":""}],"accessed":{"date-parts":[["2025",1,20]]}}}],"schema":"https://github.com/citation-style-language/schema/raw/master/csl-citation.json"} </w:instrText>
      </w:r>
      <w:r w:rsidR="00A54916">
        <w:rPr>
          <w:rFonts w:cs="Calibri"/>
          <w:szCs w:val="22"/>
        </w:rPr>
        <w:fldChar w:fldCharType="separate"/>
      </w:r>
      <w:r w:rsidR="00F433C1" w:rsidRPr="00F433C1">
        <w:rPr>
          <w:rFonts w:cs="Calibri"/>
          <w:kern w:val="0"/>
          <w:vertAlign w:val="superscript"/>
        </w:rPr>
        <w:t>42</w:t>
      </w:r>
      <w:r w:rsidR="00A54916">
        <w:rPr>
          <w:rFonts w:cs="Calibri"/>
          <w:szCs w:val="22"/>
        </w:rPr>
        <w:fldChar w:fldCharType="end"/>
      </w:r>
      <w:r w:rsidRPr="00961D02">
        <w:rPr>
          <w:rFonts w:cs="Calibri"/>
          <w:szCs w:val="22"/>
        </w:rPr>
        <w:t xml:space="preserve">. Reforms to the </w:t>
      </w:r>
      <w:r w:rsidRPr="00E05EBE">
        <w:rPr>
          <w:rFonts w:cs="Calibri"/>
          <w:i/>
          <w:iCs/>
          <w:szCs w:val="22"/>
        </w:rPr>
        <w:t>hukou</w:t>
      </w:r>
      <w:r w:rsidRPr="00961D02">
        <w:rPr>
          <w:rFonts w:cs="Calibri"/>
          <w:szCs w:val="22"/>
        </w:rPr>
        <w:t xml:space="preserve"> (household registration) system, including improved guarantees for migrant children and relaxed settlement restrictions in cities</w:t>
      </w:r>
      <w:r w:rsidR="00014594">
        <w:rPr>
          <w:rFonts w:cs="Calibri"/>
          <w:szCs w:val="22"/>
        </w:rPr>
        <w:fldChar w:fldCharType="begin"/>
      </w:r>
      <w:r w:rsidR="006B2721">
        <w:rPr>
          <w:rFonts w:cs="Calibri"/>
          <w:szCs w:val="22"/>
        </w:rPr>
        <w:instrText xml:space="preserve"> ADDIN ZOTERO_ITEM CSL_CITATION {"citationID":"PKgKdorJ","properties":{"formattedCitation":"\\super 43\\nosupersub{}","plainCitation":"43","noteIndex":0},"citationItems":[{"id":3743,"uris":["http://zotero.org/users/10504693/items/6W2XLT4L"],"itemData":{"id":3743,"type":"webpage","title":"Urbanization in China - New Action Plan to Facilitate Urban Migration","URL":"https://www.china-briefing.com/news/urbanization-in-china-action-plan-migration/","author":[{"family":"Arendse","given":"Huld"}],"accessed":{"date-parts":[["2025",1,20]]}}}],"schema":"https://github.com/citation-style-language/schema/raw/master/csl-citation.json"} </w:instrText>
      </w:r>
      <w:r w:rsidR="00014594">
        <w:rPr>
          <w:rFonts w:cs="Calibri"/>
          <w:szCs w:val="22"/>
        </w:rPr>
        <w:fldChar w:fldCharType="separate"/>
      </w:r>
      <w:r w:rsidR="00F433C1" w:rsidRPr="00F433C1">
        <w:rPr>
          <w:rFonts w:cs="Calibri"/>
          <w:kern w:val="0"/>
          <w:vertAlign w:val="superscript"/>
        </w:rPr>
        <w:t>43</w:t>
      </w:r>
      <w:r w:rsidR="00014594">
        <w:rPr>
          <w:rFonts w:cs="Calibri"/>
          <w:szCs w:val="22"/>
        </w:rPr>
        <w:fldChar w:fldCharType="end"/>
      </w:r>
      <w:r w:rsidRPr="00961D02">
        <w:rPr>
          <w:rFonts w:cs="Calibri"/>
          <w:szCs w:val="22"/>
        </w:rPr>
        <w:t>, significantly reduc</w:t>
      </w:r>
      <w:r w:rsidR="00DF0B9E">
        <w:rPr>
          <w:rFonts w:cs="Calibri" w:hint="eastAsia"/>
          <w:szCs w:val="22"/>
        </w:rPr>
        <w:t xml:space="preserve">e </w:t>
      </w:r>
      <w:r w:rsidRPr="00961D02">
        <w:rPr>
          <w:rFonts w:cs="Calibri"/>
          <w:szCs w:val="22"/>
        </w:rPr>
        <w:t xml:space="preserve">childbearing and education costs, enhancing societal </w:t>
      </w:r>
      <w:r w:rsidR="00D42F95">
        <w:rPr>
          <w:rFonts w:cs="Calibri"/>
          <w:szCs w:val="22"/>
        </w:rPr>
        <w:t>fertility</w:t>
      </w:r>
      <w:r w:rsidR="00D42F95">
        <w:rPr>
          <w:rFonts w:cs="Calibri" w:hint="eastAsia"/>
          <w:szCs w:val="22"/>
        </w:rPr>
        <w:t xml:space="preserve"> intension</w:t>
      </w:r>
      <w:r w:rsidRPr="00961D02">
        <w:rPr>
          <w:rFonts w:cs="Calibri"/>
          <w:szCs w:val="22"/>
        </w:rPr>
        <w:t>. Additionally, economic prosperity boosts younger generations' confidence in family formation,</w:t>
      </w:r>
      <w:r w:rsidR="00AF09F3" w:rsidRPr="00AF09F3">
        <w:t xml:space="preserve"> </w:t>
      </w:r>
      <w:r w:rsidR="00AF09F3" w:rsidRPr="00AF09F3">
        <w:rPr>
          <w:rFonts w:cs="Calibri"/>
          <w:szCs w:val="22"/>
        </w:rPr>
        <w:t>further delaying population</w:t>
      </w:r>
      <w:r w:rsidR="00AF09F3">
        <w:rPr>
          <w:rFonts w:cs="Calibri" w:hint="eastAsia"/>
          <w:szCs w:val="22"/>
        </w:rPr>
        <w:t xml:space="preserve"> shrinking.</w:t>
      </w:r>
    </w:p>
    <w:p w14:paraId="2D714BF5" w14:textId="520C24EC" w:rsidR="004C5280" w:rsidRPr="00F02F83" w:rsidRDefault="00CA4CDE" w:rsidP="004C5280">
      <w:pPr>
        <w:rPr>
          <w:rFonts w:cs="Calibri"/>
          <w:szCs w:val="22"/>
        </w:rPr>
      </w:pPr>
      <w:r w:rsidRPr="00CA4CDE">
        <w:rPr>
          <w:rFonts w:cs="Calibri"/>
          <w:szCs w:val="22"/>
        </w:rPr>
        <w:t xml:space="preserve">Consumer behaviour in </w:t>
      </w:r>
      <w:r w:rsidR="00A06D56">
        <w:rPr>
          <w:rFonts w:cs="Calibri" w:hint="eastAsia"/>
          <w:szCs w:val="22"/>
        </w:rPr>
        <w:t xml:space="preserve">this </w:t>
      </w:r>
      <w:r w:rsidRPr="00CA4CDE">
        <w:rPr>
          <w:rFonts w:cs="Calibri"/>
          <w:szCs w:val="22"/>
        </w:rPr>
        <w:t xml:space="preserve">scenario is shaped by rising incomes and an increasing preference for comfort and convenience. Higher disposable income drives increased spending on commercial and entertainment activities, resulting in continuous growth in energy service </w:t>
      </w:r>
      <w:r w:rsidR="003A246D" w:rsidRPr="00CA4CDE">
        <w:rPr>
          <w:rFonts w:cs="Calibri"/>
          <w:szCs w:val="22"/>
        </w:rPr>
        <w:t>demand</w:t>
      </w:r>
      <w:r w:rsidR="003A246D">
        <w:rPr>
          <w:rFonts w:cs="Calibri"/>
          <w:szCs w:val="22"/>
        </w:rPr>
        <w:t xml:space="preserve"> (e.g., tourism</w:t>
      </w:r>
      <w:r w:rsidR="003A246D">
        <w:rPr>
          <w:rFonts w:cs="Calibri" w:hint="eastAsia"/>
          <w:szCs w:val="22"/>
        </w:rPr>
        <w:t>)</w:t>
      </w:r>
      <w:r w:rsidR="003A246D">
        <w:rPr>
          <w:rFonts w:cs="Calibri"/>
          <w:szCs w:val="22"/>
        </w:rPr>
        <w:fldChar w:fldCharType="begin"/>
      </w:r>
      <w:r w:rsidR="006B2721">
        <w:rPr>
          <w:rFonts w:cs="Calibri"/>
          <w:szCs w:val="22"/>
        </w:rPr>
        <w:instrText xml:space="preserve"> ADDIN ZOTERO_ITEM CSL_CITATION {"citationID":"NO2Wyisj","properties":{"formattedCitation":"\\super 44\\nosupersub{}","plainCitation":"44","noteIndex":0},"citationItems":[{"id":3737,"uris":["http://zotero.org/users/10504693/items/DKTBRK86"],"itemData":{"id":3737,"type":"webpage","title":"China Tourism in 2023: Outlook, Trends and Opportunities","URL":"https://www.china-briefing.com/news/chinas-tourism-in-2023-outlook-trends-and-opportunities/","author":[{"family":"Interesse","given":"Giulia"}],"accessed":{"date-parts":[["2025",1,20]]}}}],"schema":"https://github.com/citation-style-language/schema/raw/master/csl-citation.json"} </w:instrText>
      </w:r>
      <w:r w:rsidR="003A246D">
        <w:rPr>
          <w:rFonts w:cs="Calibri"/>
          <w:szCs w:val="22"/>
        </w:rPr>
        <w:fldChar w:fldCharType="separate"/>
      </w:r>
      <w:r w:rsidR="00F433C1" w:rsidRPr="00F433C1">
        <w:rPr>
          <w:rFonts w:cs="Calibri"/>
          <w:kern w:val="0"/>
          <w:vertAlign w:val="superscript"/>
        </w:rPr>
        <w:t>44</w:t>
      </w:r>
      <w:r w:rsidR="003A246D">
        <w:rPr>
          <w:rFonts w:cs="Calibri"/>
          <w:szCs w:val="22"/>
        </w:rPr>
        <w:fldChar w:fldCharType="end"/>
      </w:r>
      <w:r w:rsidRPr="00CA4CDE">
        <w:rPr>
          <w:rFonts w:cs="Calibri"/>
          <w:szCs w:val="22"/>
        </w:rPr>
        <w:t>. While green technologies such as electric vehicles and energy-efficient appliances see widespread adoption, this shift is largely motivated by affordability and government incentives (e.g., trade-in schemes</w:t>
      </w:r>
      <w:r>
        <w:rPr>
          <w:rFonts w:cs="Calibri"/>
          <w:szCs w:val="22"/>
        </w:rPr>
        <w:fldChar w:fldCharType="begin"/>
      </w:r>
      <w:r w:rsidR="006B2721">
        <w:rPr>
          <w:rFonts w:cs="Calibri"/>
          <w:szCs w:val="22"/>
        </w:rPr>
        <w:instrText xml:space="preserve"> ADDIN ZOTERO_ITEM CSL_CITATION {"citationID":"XPgdzRKr","properties":{"formattedCitation":"\\super 33\\nosupersub{}","plainCitation":"33","noteIndex":0},"citationItems":[{"id":3704,"uris":["http://zotero.org/users/10504693/items/GD8539YI"],"itemData":{"id":3704,"type":"webpage","title":"China's home appliance sales surge in 2024 under trade-in scheme","URL":"https://english.www.gov.cn/archive/statistics/202501/19/content_WS678c38fac6d0868f4e8eef62.html","author":[{"family":"State Council","given":""}],"accessed":{"date-parts":[["2025",1,19]]}}}],"schema":"https://github.com/citation-style-language/schema/raw/master/csl-citation.json"} </w:instrText>
      </w:r>
      <w:r>
        <w:rPr>
          <w:rFonts w:cs="Calibri"/>
          <w:szCs w:val="22"/>
        </w:rPr>
        <w:fldChar w:fldCharType="separate"/>
      </w:r>
      <w:r w:rsidR="00F433C1" w:rsidRPr="00F433C1">
        <w:rPr>
          <w:rFonts w:cs="Calibri"/>
          <w:kern w:val="0"/>
          <w:vertAlign w:val="superscript"/>
        </w:rPr>
        <w:t>33</w:t>
      </w:r>
      <w:r>
        <w:rPr>
          <w:rFonts w:cs="Calibri"/>
          <w:szCs w:val="22"/>
        </w:rPr>
        <w:fldChar w:fldCharType="end"/>
      </w:r>
      <w:r w:rsidRPr="00CA4CDE">
        <w:rPr>
          <w:rFonts w:cs="Calibri"/>
          <w:szCs w:val="22"/>
        </w:rPr>
        <w:t xml:space="preserve"> and local government consumption vouchers</w:t>
      </w:r>
      <w:r w:rsidR="00CC06FD">
        <w:rPr>
          <w:rFonts w:cs="Calibri"/>
          <w:szCs w:val="22"/>
        </w:rPr>
        <w:fldChar w:fldCharType="begin"/>
      </w:r>
      <w:r w:rsidR="006B2721">
        <w:rPr>
          <w:rFonts w:cs="Calibri"/>
          <w:szCs w:val="22"/>
        </w:rPr>
        <w:instrText xml:space="preserve"> ADDIN ZOTERO_ITEM CSL_CITATION {"citationID":"PN8PLAlw","properties":{"formattedCitation":"\\super 34\\nosupersub{}","plainCitation":"34","noteIndex":0},"citationItems":[{"id":3706,"uris":["http://zotero.org/users/10504693/items/SGMELLWE"],"itemData":{"id":3706,"type":"webpage","title":"Consumption vouchers issued to boost spending in China","URL":"https://english.www.gov.cn/news/202409/26/content_WS66f51bc1c6d0868f4e8eb4af.html","author":[{"family":"State Council","given":""}],"accessed":{"date-parts":[["2025",1,19]]}}}],"schema":"https://github.com/citation-style-language/schema/raw/master/csl-citation.json"} </w:instrText>
      </w:r>
      <w:r w:rsidR="00CC06FD">
        <w:rPr>
          <w:rFonts w:cs="Calibri"/>
          <w:szCs w:val="22"/>
        </w:rPr>
        <w:fldChar w:fldCharType="separate"/>
      </w:r>
      <w:r w:rsidR="00F433C1" w:rsidRPr="00F433C1">
        <w:rPr>
          <w:rFonts w:cs="Calibri"/>
          <w:kern w:val="0"/>
          <w:vertAlign w:val="superscript"/>
        </w:rPr>
        <w:t>34</w:t>
      </w:r>
      <w:r w:rsidR="00CC06FD">
        <w:rPr>
          <w:rFonts w:cs="Calibri"/>
          <w:szCs w:val="22"/>
        </w:rPr>
        <w:fldChar w:fldCharType="end"/>
      </w:r>
      <w:r w:rsidRPr="00CA4CDE">
        <w:rPr>
          <w:rFonts w:cs="Calibri"/>
          <w:szCs w:val="22"/>
        </w:rPr>
        <w:t xml:space="preserve">) rather than genuine environmental consciousness. </w:t>
      </w:r>
      <w:r w:rsidR="004C5280" w:rsidRPr="00F02F83">
        <w:rPr>
          <w:rFonts w:cs="Calibri"/>
          <w:szCs w:val="22"/>
        </w:rPr>
        <w:t>Environmental awareness remains low, with sustainability taking a backseat to personal comfort and consumption.</w:t>
      </w:r>
    </w:p>
    <w:p w14:paraId="44236A28" w14:textId="77777777" w:rsidR="009D744A" w:rsidRPr="002C482A" w:rsidRDefault="009D744A" w:rsidP="00475AB2">
      <w:pPr>
        <w:pStyle w:val="Heading3"/>
        <w:rPr>
          <w:rFonts w:cs="Calibri"/>
          <w:szCs w:val="24"/>
        </w:rPr>
      </w:pPr>
      <w:r w:rsidRPr="002C482A">
        <w:rPr>
          <w:rFonts w:cs="Calibri"/>
          <w:szCs w:val="24"/>
        </w:rPr>
        <w:t>Calm Sea Scenario</w:t>
      </w:r>
    </w:p>
    <w:p w14:paraId="1EC74AD9" w14:textId="33DA91D7" w:rsidR="00DF6BB7" w:rsidRDefault="009D744A" w:rsidP="000353B4">
      <w:pPr>
        <w:rPr>
          <w:rFonts w:cs="Calibri"/>
          <w:color w:val="000000" w:themeColor="text1"/>
          <w:szCs w:val="22"/>
        </w:rPr>
      </w:pPr>
      <w:r w:rsidRPr="00C24326">
        <w:rPr>
          <w:rFonts w:cs="Calibri"/>
          <w:color w:val="000000" w:themeColor="text1"/>
          <w:szCs w:val="22"/>
        </w:rPr>
        <w:t xml:space="preserve">The Calm Sea </w:t>
      </w:r>
      <w:r w:rsidR="006E5C2B">
        <w:rPr>
          <w:rFonts w:cs="Calibri" w:hint="eastAsia"/>
          <w:color w:val="000000" w:themeColor="text1"/>
          <w:szCs w:val="22"/>
        </w:rPr>
        <w:t>(</w:t>
      </w:r>
      <w:r w:rsidR="000437C6">
        <w:rPr>
          <w:rFonts w:cs="Calibri"/>
          <w:color w:val="000000" w:themeColor="text1"/>
          <w:szCs w:val="22"/>
        </w:rPr>
        <w:t xml:space="preserve">CS) </w:t>
      </w:r>
      <w:r w:rsidR="000437C6">
        <w:rPr>
          <w:rFonts w:cs="Calibri" w:hint="eastAsia"/>
          <w:color w:val="000000" w:themeColor="text1"/>
          <w:szCs w:val="22"/>
        </w:rPr>
        <w:t>s</w:t>
      </w:r>
      <w:r w:rsidR="000437C6">
        <w:rPr>
          <w:rFonts w:cs="Calibri"/>
          <w:color w:val="000000" w:themeColor="text1"/>
          <w:szCs w:val="22"/>
        </w:rPr>
        <w:t>cenario</w:t>
      </w:r>
      <w:r w:rsidRPr="00C24326">
        <w:rPr>
          <w:rFonts w:cs="Calibri"/>
          <w:color w:val="000000" w:themeColor="text1"/>
          <w:szCs w:val="22"/>
        </w:rPr>
        <w:t xml:space="preserve"> offers a </w:t>
      </w:r>
      <w:r w:rsidR="00ED5E04" w:rsidRPr="00C24326">
        <w:rPr>
          <w:rFonts w:cs="Calibri" w:hint="eastAsia"/>
          <w:color w:val="000000" w:themeColor="text1"/>
          <w:szCs w:val="22"/>
        </w:rPr>
        <w:t>middle-of-road</w:t>
      </w:r>
      <w:r w:rsidRPr="00C24326">
        <w:rPr>
          <w:rFonts w:cs="Calibri"/>
          <w:color w:val="000000" w:themeColor="text1"/>
          <w:szCs w:val="22"/>
        </w:rPr>
        <w:t xml:space="preserve"> benchmark for the future, both in terms of socio-economic development and climate ambitions, like a 'sea level.' It explores the potential transition of the Chinese energy system, assuming full implementation of current climate policies and successful </w:t>
      </w:r>
      <w:r w:rsidRPr="00C24326">
        <w:rPr>
          <w:rFonts w:cs="Calibri"/>
          <w:color w:val="000000" w:themeColor="text1"/>
          <w:szCs w:val="22"/>
        </w:rPr>
        <w:lastRenderedPageBreak/>
        <w:t>achievement of climate targets, amidst moderate economic and population changes.</w:t>
      </w:r>
      <w:r w:rsidR="00A35409" w:rsidRPr="00A35409">
        <w:t xml:space="preserve"> </w:t>
      </w:r>
      <w:r w:rsidR="00CA3FDF" w:rsidRPr="00CA3FDF">
        <w:rPr>
          <w:rFonts w:cs="Calibri"/>
          <w:color w:val="000000" w:themeColor="text1"/>
          <w:szCs w:val="22"/>
        </w:rPr>
        <w:t>By 2060, China achieves its core climate objectives, including peaking emissions by 2030 and reaching carbon neutrality by 2060, in alignment with its international commitments. However, the trade-off between economic growth and emissions reduction results in progress being made through steady, incremental advancements rather than transformative change.</w:t>
      </w:r>
    </w:p>
    <w:p w14:paraId="49ACC9BD" w14:textId="12B37BE0" w:rsidR="000C349E" w:rsidRPr="000C349E" w:rsidRDefault="00DF6BB7" w:rsidP="000C349E">
      <w:pPr>
        <w:rPr>
          <w:rFonts w:cs="Calibri"/>
          <w:color w:val="000000" w:themeColor="text1"/>
          <w:szCs w:val="22"/>
        </w:rPr>
      </w:pPr>
      <w:r>
        <w:rPr>
          <w:rFonts w:cs="Calibri" w:hint="eastAsia"/>
          <w:color w:val="000000" w:themeColor="text1"/>
          <w:szCs w:val="22"/>
        </w:rPr>
        <w:t xml:space="preserve">In Calm Sea Scenario, </w:t>
      </w:r>
      <w:r w:rsidR="00484540" w:rsidRPr="00484540">
        <w:rPr>
          <w:rFonts w:cs="Calibri"/>
          <w:color w:val="000000" w:themeColor="text1"/>
          <w:szCs w:val="22"/>
        </w:rPr>
        <w:t>China is pursuing a path toward long-term sustainable economic development, aiming to balance economic growth with its climate commitments. The emerging "new three" industries</w:t>
      </w:r>
      <w:r w:rsidR="0066586D">
        <w:rPr>
          <w:rFonts w:cs="Calibri"/>
          <w:color w:val="000000" w:themeColor="text1"/>
          <w:szCs w:val="22"/>
        </w:rPr>
        <w:fldChar w:fldCharType="begin"/>
      </w:r>
      <w:r w:rsidR="006B2721">
        <w:rPr>
          <w:rFonts w:cs="Calibri"/>
          <w:color w:val="000000" w:themeColor="text1"/>
          <w:szCs w:val="22"/>
        </w:rPr>
        <w:instrText xml:space="preserve"> ADDIN ZOTERO_ITEM CSL_CITATION {"citationID":"j6GSH4sG","properties":{"formattedCitation":"\\super 45\\nosupersub{}","plainCitation":"45","noteIndex":0},"citationItems":[{"id":3770,"uris":["http://zotero.org/users/10504693/items/KXPCWMTY"],"itemData":{"id":3770,"type":"webpage","title":"The \"new three\": How China came to lead solar, battery and EV manufacturing","URL":"https://dialogue.earth/en/business/new-three-china-solar-cell-lithium-battery-ev/","author":[{"family":"You","given":"Xiaoying"}],"accessed":{"date-parts":[["2025",1,21]]},"issued":{"date-parts":[["2023"]]}}}],"schema":"https://github.com/citation-style-language/schema/raw/master/csl-citation.json"} </w:instrText>
      </w:r>
      <w:r w:rsidR="0066586D">
        <w:rPr>
          <w:rFonts w:cs="Calibri"/>
          <w:color w:val="000000" w:themeColor="text1"/>
          <w:szCs w:val="22"/>
        </w:rPr>
        <w:fldChar w:fldCharType="separate"/>
      </w:r>
      <w:r w:rsidR="00F433C1" w:rsidRPr="00F433C1">
        <w:rPr>
          <w:rFonts w:cs="Calibri"/>
          <w:kern w:val="0"/>
          <w:vertAlign w:val="superscript"/>
        </w:rPr>
        <w:t>45</w:t>
      </w:r>
      <w:r w:rsidR="0066586D">
        <w:rPr>
          <w:rFonts w:cs="Calibri"/>
          <w:color w:val="000000" w:themeColor="text1"/>
          <w:szCs w:val="22"/>
        </w:rPr>
        <w:fldChar w:fldCharType="end"/>
      </w:r>
      <w:r w:rsidR="00484540" w:rsidRPr="00484540">
        <w:rPr>
          <w:rFonts w:cs="Calibri"/>
          <w:color w:val="000000" w:themeColor="text1"/>
          <w:szCs w:val="22"/>
        </w:rPr>
        <w:t>—solar power, electric vehicles (EVs), and batteries—have become not only key drivers of China's economy but also significant contributors to its decarbonization objectives</w:t>
      </w:r>
      <w:r w:rsidR="00634888">
        <w:rPr>
          <w:rFonts w:cs="Calibri"/>
          <w:color w:val="000000" w:themeColor="text1"/>
          <w:szCs w:val="22"/>
        </w:rPr>
        <w:fldChar w:fldCharType="begin"/>
      </w:r>
      <w:r w:rsidR="006B2721">
        <w:rPr>
          <w:rFonts w:cs="Calibri"/>
          <w:color w:val="000000" w:themeColor="text1"/>
          <w:szCs w:val="22"/>
        </w:rPr>
        <w:instrText xml:space="preserve"> ADDIN ZOTERO_ITEM CSL_CITATION {"citationID":"dr4qxYTc","properties":{"formattedCitation":"\\super 46\\nosupersub{}","plainCitation":"46","noteIndex":0},"citationItems":[{"id":3667,"uris":["http://zotero.org/users/10504693/items/BRL6AEIE"],"itemData":{"id":3667,"type":"webpage","abstract":"China’s CO2 emissions are set to fall in 2024 and could be facing structural decline, due to record growth in clean energy.","container-title":"Carbon Brief","language":"en","title":"Analysis: China’s emissions set to fall in 2024 after record growth in clean energy","title-short":"Analysis","URL":"https://www.carbonbrief.org/analysis-chinas-emissions-set-to-fall-in-2024-after-record-growth-in-clean-energy/","author":[{"family":"Myllyvirta","given":"Lauri"}],"accessed":{"date-parts":[["2024",9,1]]},"issued":{"date-parts":[["2023"]]}}}],"schema":"https://github.com/citation-style-language/schema/raw/master/csl-citation.json"} </w:instrText>
      </w:r>
      <w:r w:rsidR="00634888">
        <w:rPr>
          <w:rFonts w:cs="Calibri"/>
          <w:color w:val="000000" w:themeColor="text1"/>
          <w:szCs w:val="22"/>
        </w:rPr>
        <w:fldChar w:fldCharType="separate"/>
      </w:r>
      <w:r w:rsidR="00F433C1" w:rsidRPr="00F433C1">
        <w:rPr>
          <w:rFonts w:cs="Calibri"/>
          <w:kern w:val="0"/>
          <w:vertAlign w:val="superscript"/>
        </w:rPr>
        <w:t>46</w:t>
      </w:r>
      <w:r w:rsidR="00634888">
        <w:rPr>
          <w:rFonts w:cs="Calibri"/>
          <w:color w:val="000000" w:themeColor="text1"/>
          <w:szCs w:val="22"/>
        </w:rPr>
        <w:fldChar w:fldCharType="end"/>
      </w:r>
      <w:r w:rsidR="00484540" w:rsidRPr="00484540">
        <w:rPr>
          <w:rFonts w:cs="Calibri"/>
          <w:color w:val="000000" w:themeColor="text1"/>
          <w:szCs w:val="22"/>
        </w:rPr>
        <w:t>. However, the rapid expansion of clean energy investments introduces the risk of overcapacity, exacerbating structural challenges inherent in China’s investment-driven economic model.</w:t>
      </w:r>
      <w:r w:rsidR="00484540" w:rsidRPr="00484540">
        <w:rPr>
          <w:rFonts w:cs="Calibri" w:hint="eastAsia"/>
          <w:color w:val="000000" w:themeColor="text1"/>
          <w:szCs w:val="22"/>
        </w:rPr>
        <w:t xml:space="preserve"> </w:t>
      </w:r>
      <w:r w:rsidR="00AD1ADE" w:rsidRPr="00AD1ADE">
        <w:rPr>
          <w:rFonts w:cs="Calibri"/>
          <w:color w:val="000000" w:themeColor="text1"/>
          <w:szCs w:val="22"/>
        </w:rPr>
        <w:t>To address weak domestic and international demand and the lingering effects of the real estate bubble, the Chinese government has implemented a Dual Circulation Strategy aimed at stimulating domestic consumption and fostering international cooperation. This approach seeks to create new avenues for investment</w:t>
      </w:r>
      <w:r w:rsidR="00107F5F">
        <w:rPr>
          <w:rFonts w:cs="Calibri" w:hint="eastAsia"/>
          <w:color w:val="000000" w:themeColor="text1"/>
          <w:szCs w:val="22"/>
        </w:rPr>
        <w:t xml:space="preserve"> demand</w:t>
      </w:r>
      <w:r w:rsidR="00AD1ADE" w:rsidRPr="00AD1ADE">
        <w:rPr>
          <w:rFonts w:cs="Calibri"/>
          <w:color w:val="000000" w:themeColor="text1"/>
          <w:szCs w:val="22"/>
        </w:rPr>
        <w:t>, mitigate economic slowdowns, and support sustained moderate growth.</w:t>
      </w:r>
    </w:p>
    <w:p w14:paraId="4AA52113" w14:textId="39F5508F" w:rsidR="000C349E" w:rsidRDefault="000C349E" w:rsidP="000C349E">
      <w:pPr>
        <w:rPr>
          <w:rFonts w:cs="Calibri"/>
          <w:color w:val="000000" w:themeColor="text1"/>
          <w:szCs w:val="22"/>
        </w:rPr>
      </w:pPr>
      <w:r w:rsidRPr="000C349E">
        <w:rPr>
          <w:rFonts w:cs="Calibri"/>
          <w:color w:val="000000" w:themeColor="text1"/>
          <w:szCs w:val="22"/>
        </w:rPr>
        <w:t xml:space="preserve">A relatively optimistic economic outlook provides the government with greater flexibility to uphold its climate commitments. However, policy measures lack the boldness necessary to drive more accelerated transitions. China demonstrates policy stability by fully implementing existing climate policies and consistently meeting sectoral targets, enabling the country to peak carbon emissions by 2030 and remain on track to achieve carbon neutrality by 2060. </w:t>
      </w:r>
    </w:p>
    <w:p w14:paraId="0802A221" w14:textId="005EAFD7" w:rsidR="00243D14" w:rsidRDefault="00662E94" w:rsidP="00243D14">
      <w:pPr>
        <w:rPr>
          <w:rFonts w:cs="Calibri"/>
          <w:color w:val="000000" w:themeColor="text1"/>
          <w:szCs w:val="22"/>
        </w:rPr>
      </w:pPr>
      <w:r w:rsidRPr="00662E94">
        <w:rPr>
          <w:rFonts w:cs="Calibri"/>
          <w:szCs w:val="22"/>
        </w:rPr>
        <w:t>Achieving dual carbon targets requires additional technological support, encompassing both low-carbon technologies and carbon removal solutions. The costs of clean energy technologies such as electric vehicles (EVs), wind, solar, and energy storage continue to decline steadily</w:t>
      </w:r>
      <w:r w:rsidR="005F4CF5">
        <w:rPr>
          <w:rFonts w:cs="Calibri" w:hint="eastAsia"/>
          <w:szCs w:val="22"/>
        </w:rPr>
        <w:t xml:space="preserve">, accelerating the </w:t>
      </w:r>
      <w:r w:rsidR="005F4CF5" w:rsidRPr="005F4CF5">
        <w:rPr>
          <w:rFonts w:cs="Calibri"/>
          <w:szCs w:val="22"/>
        </w:rPr>
        <w:t>adoption of green technologies in household</w:t>
      </w:r>
      <w:r w:rsidR="005F4CF5">
        <w:rPr>
          <w:rFonts w:cs="Calibri" w:hint="eastAsia"/>
          <w:szCs w:val="22"/>
        </w:rPr>
        <w:t xml:space="preserve">. </w:t>
      </w:r>
      <w:r w:rsidR="0055472E" w:rsidRPr="0055472E">
        <w:rPr>
          <w:rFonts w:cs="Calibri"/>
          <w:szCs w:val="22"/>
        </w:rPr>
        <w:t>Public behaviours in this scenario reflects passive adaptation to policy-driven changes rather than proactive engagement in sustainability</w:t>
      </w:r>
      <w:r w:rsidR="0018509A">
        <w:rPr>
          <w:rFonts w:cs="Calibri"/>
          <w:szCs w:val="22"/>
        </w:rPr>
        <w:fldChar w:fldCharType="begin"/>
      </w:r>
      <w:r w:rsidR="006B2721">
        <w:rPr>
          <w:rFonts w:cs="Calibri"/>
          <w:szCs w:val="22"/>
        </w:rPr>
        <w:instrText xml:space="preserve"> ADDIN ZOTERO_ITEM CSL_CITATION {"citationID":"NRLB5KzH","properties":{"formattedCitation":"\\super 47\\nosupersub{}","plainCitation":"47","noteIndex":0},"citationItems":[{"id":3772,"uris":["http://zotero.org/users/10504693/items/5M8WU2MK"],"itemData":{"id":3772,"type":"webpage","title":"World Energy Outlook 2024 – Analysis","URL":"https://www.iea.org/reports/world-energy-outlook-2024","author":[{"family":"IEA","given":""}],"accessed":{"date-parts":[["2025",1,21]]},"issued":{"date-parts":[["2024"]]}}}],"schema":"https://github.com/citation-style-language/schema/raw/master/csl-citation.json"} </w:instrText>
      </w:r>
      <w:r w:rsidR="0018509A">
        <w:rPr>
          <w:rFonts w:cs="Calibri"/>
          <w:szCs w:val="22"/>
        </w:rPr>
        <w:fldChar w:fldCharType="separate"/>
      </w:r>
      <w:r w:rsidR="00F433C1" w:rsidRPr="00F433C1">
        <w:rPr>
          <w:rFonts w:cs="Calibri"/>
          <w:kern w:val="0"/>
          <w:vertAlign w:val="superscript"/>
        </w:rPr>
        <w:t>47</w:t>
      </w:r>
      <w:r w:rsidR="0018509A">
        <w:rPr>
          <w:rFonts w:cs="Calibri"/>
          <w:szCs w:val="22"/>
        </w:rPr>
        <w:fldChar w:fldCharType="end"/>
      </w:r>
      <w:r w:rsidR="0055472E" w:rsidRPr="0055472E">
        <w:rPr>
          <w:rFonts w:cs="Calibri"/>
          <w:szCs w:val="22"/>
        </w:rPr>
        <w:t xml:space="preserve">. </w:t>
      </w:r>
      <w:r w:rsidRPr="00662E94">
        <w:rPr>
          <w:rFonts w:cs="Calibri"/>
          <w:szCs w:val="22"/>
        </w:rPr>
        <w:t>According to estimates from the Ministry of Ecology and Environment</w:t>
      </w:r>
      <w:r w:rsidRPr="00662E94">
        <w:rPr>
          <w:rFonts w:cs="Calibri"/>
          <w:b/>
          <w:bCs/>
          <w:szCs w:val="22"/>
        </w:rPr>
        <w:t xml:space="preserve">, </w:t>
      </w:r>
      <w:r w:rsidRPr="00662E94">
        <w:rPr>
          <w:rStyle w:val="Strong"/>
          <w:rFonts w:cs="Calibri"/>
          <w:b w:val="0"/>
          <w:bCs w:val="0"/>
          <w:szCs w:val="22"/>
        </w:rPr>
        <w:t>CCS emissions reduction</w:t>
      </w:r>
      <w:r w:rsidRPr="00662E94">
        <w:rPr>
          <w:rFonts w:cs="Calibri"/>
          <w:szCs w:val="22"/>
        </w:rPr>
        <w:t xml:space="preserve"> (including BECCS and DAC) is expected to reach at least </w:t>
      </w:r>
      <w:r w:rsidRPr="00662E94">
        <w:rPr>
          <w:rStyle w:val="Strong"/>
          <w:rFonts w:cs="Calibri"/>
          <w:b w:val="0"/>
          <w:bCs w:val="0"/>
          <w:szCs w:val="22"/>
        </w:rPr>
        <w:t>20 million tons by 2030</w:t>
      </w:r>
      <w:r w:rsidRPr="00662E94">
        <w:rPr>
          <w:rFonts w:cs="Calibri"/>
          <w:b/>
          <w:bCs/>
          <w:szCs w:val="22"/>
        </w:rPr>
        <w:t xml:space="preserve">, </w:t>
      </w:r>
      <w:r w:rsidRPr="00662E94">
        <w:rPr>
          <w:rStyle w:val="Strong"/>
          <w:rFonts w:cs="Calibri"/>
          <w:b w:val="0"/>
          <w:bCs w:val="0"/>
          <w:szCs w:val="22"/>
        </w:rPr>
        <w:t>600</w:t>
      </w:r>
      <w:r w:rsidRPr="00662E94">
        <w:rPr>
          <w:rStyle w:val="Strong"/>
          <w:rFonts w:cs="Calibri"/>
          <w:szCs w:val="22"/>
        </w:rPr>
        <w:t xml:space="preserve"> </w:t>
      </w:r>
      <w:r w:rsidRPr="00662E94">
        <w:rPr>
          <w:rStyle w:val="Strong"/>
          <w:rFonts w:cs="Calibri"/>
          <w:b w:val="0"/>
          <w:bCs w:val="0"/>
          <w:szCs w:val="22"/>
        </w:rPr>
        <w:t>million tons by 2050</w:t>
      </w:r>
      <w:r w:rsidRPr="00662E94">
        <w:rPr>
          <w:rFonts w:cs="Calibri"/>
          <w:szCs w:val="22"/>
        </w:rPr>
        <w:t xml:space="preserve">, and </w:t>
      </w:r>
      <w:r w:rsidRPr="00662E94">
        <w:rPr>
          <w:rStyle w:val="Strong"/>
          <w:rFonts w:cs="Calibri"/>
          <w:b w:val="0"/>
          <w:bCs w:val="0"/>
          <w:szCs w:val="22"/>
        </w:rPr>
        <w:t>1 billion tons by 2060</w:t>
      </w:r>
      <w:r w:rsidRPr="00662E94">
        <w:rPr>
          <w:rFonts w:cs="Calibri"/>
          <w:b/>
          <w:bCs/>
          <w:szCs w:val="22"/>
        </w:rPr>
        <w:t xml:space="preserve">. </w:t>
      </w:r>
      <w:r w:rsidR="00641D87">
        <w:rPr>
          <w:rStyle w:val="Strong"/>
          <w:rFonts w:cs="Calibri" w:hint="eastAsia"/>
          <w:b w:val="0"/>
          <w:bCs w:val="0"/>
          <w:szCs w:val="22"/>
        </w:rPr>
        <w:t>DAC</w:t>
      </w:r>
      <w:r w:rsidRPr="00662E94">
        <w:rPr>
          <w:rFonts w:cs="Calibri"/>
          <w:szCs w:val="22"/>
        </w:rPr>
        <w:t xml:space="preserve"> is projected to begin industrial demonstration and promotion by </w:t>
      </w:r>
      <w:r w:rsidRPr="00662E94">
        <w:rPr>
          <w:rStyle w:val="Strong"/>
          <w:rFonts w:cs="Calibri"/>
          <w:b w:val="0"/>
          <w:bCs w:val="0"/>
          <w:szCs w:val="22"/>
        </w:rPr>
        <w:t>2040</w:t>
      </w:r>
      <w:r w:rsidRPr="00662E94">
        <w:rPr>
          <w:rFonts w:cs="Calibri"/>
          <w:b/>
          <w:bCs/>
          <w:color w:val="000000" w:themeColor="text1"/>
          <w:szCs w:val="22"/>
        </w:rPr>
        <w:fldChar w:fldCharType="begin"/>
      </w:r>
      <w:r w:rsidR="006B2721">
        <w:rPr>
          <w:rFonts w:cs="Calibri"/>
          <w:b/>
          <w:bCs/>
          <w:color w:val="000000" w:themeColor="text1"/>
          <w:szCs w:val="22"/>
        </w:rPr>
        <w:instrText xml:space="preserve"> ADDIN ZOTERO_ITEM CSL_CITATION {"citationID":"9Zj5Xks3","properties":{"formattedCitation":"\\super 32\\nosupersub{}","plainCitation":"32","noteIndex":0},"citationItems":[{"id":3717,"uris":["http://zotero.org/users/10504693/items/3FUZ8NMI"],"itemData":{"i</w:instrText>
      </w:r>
      <w:r w:rsidR="006B2721">
        <w:rPr>
          <w:rFonts w:cs="Calibri" w:hint="eastAsia"/>
          <w:b/>
          <w:bCs/>
          <w:color w:val="000000" w:themeColor="text1"/>
          <w:szCs w:val="22"/>
        </w:rPr>
        <w:instrText xml:space="preserve">d":3717,"type":"document","language":"Chinese","title":"China Carbon Dioxide Capture, Utilization and Storage (CCUS) Annual Report (2021)-China CCUS Pathway Research (2021)  </w:instrText>
      </w:r>
      <w:r w:rsidR="006B2721">
        <w:rPr>
          <w:rFonts w:cs="Calibri" w:hint="eastAsia"/>
          <w:b/>
          <w:bCs/>
          <w:color w:val="000000" w:themeColor="text1"/>
          <w:szCs w:val="22"/>
        </w:rPr>
        <w:instrText>中国二氧化碳捕集利用与封</w:instrText>
      </w:r>
      <w:r w:rsidR="006B2721">
        <w:rPr>
          <w:rFonts w:cs="Calibri" w:hint="eastAsia"/>
          <w:b/>
          <w:bCs/>
          <w:color w:val="000000" w:themeColor="text1"/>
          <w:szCs w:val="22"/>
        </w:rPr>
        <w:instrText xml:space="preserve"> </w:instrText>
      </w:r>
      <w:r w:rsidR="006B2721">
        <w:rPr>
          <w:rFonts w:cs="Calibri" w:hint="eastAsia"/>
          <w:b/>
          <w:bCs/>
          <w:color w:val="000000" w:themeColor="text1"/>
          <w:szCs w:val="22"/>
        </w:rPr>
        <w:instrText>存</w:instrText>
      </w:r>
      <w:r w:rsidR="006B2721">
        <w:rPr>
          <w:rFonts w:cs="Calibri" w:hint="eastAsia"/>
          <w:b/>
          <w:bCs/>
          <w:color w:val="000000" w:themeColor="text1"/>
          <w:szCs w:val="22"/>
        </w:rPr>
        <w:instrText xml:space="preserve"> (CCUS) </w:instrText>
      </w:r>
      <w:r w:rsidR="006B2721">
        <w:rPr>
          <w:rFonts w:cs="Calibri" w:hint="eastAsia"/>
          <w:b/>
          <w:bCs/>
          <w:color w:val="000000" w:themeColor="text1"/>
          <w:szCs w:val="22"/>
        </w:rPr>
        <w:instrText>年度报告</w:instrText>
      </w:r>
      <w:r w:rsidR="006B2721">
        <w:rPr>
          <w:rFonts w:cs="Calibri" w:hint="eastAsia"/>
          <w:b/>
          <w:bCs/>
          <w:color w:val="000000" w:themeColor="text1"/>
          <w:szCs w:val="22"/>
        </w:rPr>
        <w:instrText>","author":[{"family":"Ministry of Ecology and Environm</w:instrText>
      </w:r>
      <w:r w:rsidR="006B2721">
        <w:rPr>
          <w:rFonts w:cs="Calibri"/>
          <w:b/>
          <w:bCs/>
          <w:color w:val="000000" w:themeColor="text1"/>
          <w:szCs w:val="22"/>
        </w:rPr>
        <w:instrText xml:space="preserve">ent","given":""}],"issued":{"date-parts":[["2021"]]}}}],"schema":"https://github.com/citation-style-language/schema/raw/master/csl-citation.json"} </w:instrText>
      </w:r>
      <w:r w:rsidRPr="00662E94">
        <w:rPr>
          <w:rFonts w:cs="Calibri"/>
          <w:b/>
          <w:bCs/>
          <w:color w:val="000000" w:themeColor="text1"/>
          <w:szCs w:val="22"/>
        </w:rPr>
        <w:fldChar w:fldCharType="separate"/>
      </w:r>
      <w:r w:rsidR="00F433C1" w:rsidRPr="00F433C1">
        <w:rPr>
          <w:rFonts w:cs="Calibri"/>
          <w:kern w:val="0"/>
          <w:vertAlign w:val="superscript"/>
        </w:rPr>
        <w:t>32</w:t>
      </w:r>
      <w:r w:rsidRPr="00662E94">
        <w:rPr>
          <w:rFonts w:cs="Calibri"/>
          <w:b/>
          <w:bCs/>
          <w:color w:val="000000" w:themeColor="text1"/>
          <w:szCs w:val="22"/>
        </w:rPr>
        <w:fldChar w:fldCharType="end"/>
      </w:r>
      <w:r w:rsidRPr="00662E94">
        <w:rPr>
          <w:rFonts w:cs="Calibri"/>
          <w:b/>
          <w:bCs/>
          <w:color w:val="000000" w:themeColor="text1"/>
          <w:szCs w:val="22"/>
        </w:rPr>
        <w:t>.</w:t>
      </w:r>
      <w:r w:rsidR="004D3FF7" w:rsidRPr="00662E94">
        <w:rPr>
          <w:rFonts w:cs="Calibri"/>
          <w:color w:val="000000" w:themeColor="text1"/>
          <w:szCs w:val="22"/>
        </w:rPr>
        <w:t xml:space="preserve"> </w:t>
      </w:r>
    </w:p>
    <w:p w14:paraId="30807346" w14:textId="77777777" w:rsidR="009718C9" w:rsidRPr="002C482A" w:rsidRDefault="009718C9" w:rsidP="009718C9">
      <w:pPr>
        <w:pStyle w:val="Heading3"/>
        <w:rPr>
          <w:rFonts w:cs="Calibri"/>
          <w:szCs w:val="24"/>
        </w:rPr>
      </w:pPr>
      <w:r w:rsidRPr="002C482A">
        <w:rPr>
          <w:rFonts w:cs="Calibri"/>
          <w:szCs w:val="24"/>
        </w:rPr>
        <w:t xml:space="preserve">Great Wall Scenario </w:t>
      </w:r>
    </w:p>
    <w:p w14:paraId="19D6D52E" w14:textId="6D758B6F" w:rsidR="00CA0F95" w:rsidRPr="00CA0F95" w:rsidRDefault="00CA0F95" w:rsidP="00CA0F95">
      <w:pPr>
        <w:rPr>
          <w:rFonts w:cs="Calibri"/>
          <w:szCs w:val="22"/>
        </w:rPr>
      </w:pPr>
      <w:r w:rsidRPr="00CA0F95">
        <w:rPr>
          <w:rFonts w:cs="Calibri"/>
          <w:szCs w:val="22"/>
        </w:rPr>
        <w:t>Historically, the Great Wall symbolized China's military defence during times of danger. In the Great Wall</w:t>
      </w:r>
      <w:r w:rsidR="00F2598E">
        <w:rPr>
          <w:rFonts w:cs="Calibri" w:hint="eastAsia"/>
          <w:szCs w:val="22"/>
        </w:rPr>
        <w:t xml:space="preserve"> (GW)</w:t>
      </w:r>
      <w:r w:rsidRPr="00CA0F95">
        <w:rPr>
          <w:rFonts w:cs="Calibri"/>
          <w:szCs w:val="22"/>
        </w:rPr>
        <w:t xml:space="preserve"> scenario, it represents the barriers and challenges that hinder significant and rapid transformations in China’s economy and energy system. In this context, </w:t>
      </w:r>
      <w:r w:rsidR="00F75241" w:rsidRPr="00430F45">
        <w:rPr>
          <w:rFonts w:cs="Calibri"/>
          <w:szCs w:val="22"/>
        </w:rPr>
        <w:t xml:space="preserve">China faces compounded economic, demographic, and environmental challenges. The stagnating economy, declining population, and stalled climate progress leave the country struggling to sustain growth and meet its international climate commitments. The Great Wall presents a </w:t>
      </w:r>
      <w:proofErr w:type="gramStart"/>
      <w:r w:rsidR="00F75241" w:rsidRPr="00430F45">
        <w:rPr>
          <w:rFonts w:cs="Calibri"/>
          <w:szCs w:val="22"/>
        </w:rPr>
        <w:t>conservative,</w:t>
      </w:r>
      <w:proofErr w:type="gramEnd"/>
      <w:r w:rsidR="00F75241" w:rsidRPr="00430F45">
        <w:rPr>
          <w:rFonts w:cs="Calibri"/>
          <w:szCs w:val="22"/>
        </w:rPr>
        <w:t xml:space="preserve"> constrained future where economic hardship and limited policy execution hinder China’s ability to transition to a sustainable and resilient economy.</w:t>
      </w:r>
    </w:p>
    <w:p w14:paraId="51076AEA" w14:textId="34CF3695" w:rsidR="002B4A57" w:rsidRDefault="009718C9" w:rsidP="009718C9">
      <w:pPr>
        <w:rPr>
          <w:rFonts w:cs="Calibri"/>
          <w:szCs w:val="22"/>
        </w:rPr>
      </w:pPr>
      <w:r w:rsidRPr="00430F45">
        <w:rPr>
          <w:rFonts w:cs="Calibri"/>
          <w:szCs w:val="22"/>
        </w:rPr>
        <w:lastRenderedPageBreak/>
        <w:t xml:space="preserve">In the Great Wall scenario, China faces prolonged economic stagnation </w:t>
      </w:r>
      <w:r w:rsidR="00835F61">
        <w:rPr>
          <w:rFonts w:cs="Calibri" w:hint="eastAsia"/>
          <w:szCs w:val="22"/>
        </w:rPr>
        <w:t>due to</w:t>
      </w:r>
      <w:r w:rsidR="00835F61" w:rsidRPr="00835F61">
        <w:rPr>
          <w:rFonts w:cs="Calibri"/>
          <w:szCs w:val="22"/>
        </w:rPr>
        <w:t xml:space="preserve"> property market crisis</w:t>
      </w:r>
      <w:r w:rsidR="00981132">
        <w:rPr>
          <w:rFonts w:cs="Calibri"/>
          <w:szCs w:val="22"/>
        </w:rPr>
        <w:fldChar w:fldCharType="begin"/>
      </w:r>
      <w:r w:rsidR="006B2721">
        <w:rPr>
          <w:rFonts w:cs="Calibri"/>
          <w:szCs w:val="22"/>
        </w:rPr>
        <w:instrText xml:space="preserve"> ADDIN ZOTERO_ITEM CSL_CITATION {"citationID":"7zCSnD8s","properties":{"formattedCitation":"\\super 48\\nosupersub{}","plainCitation":"48","noteIndex":0},"citationItems":[{"id":3021,"uris":["http://zotero.org/users/10504693/items/IVM4FBE5"],"itemData":{"id":3021,"type":"webpage","abstract":"World Energy Outlook 2023 - Analysis and key findings. A report by the International Energy Agency.","container-title":"IEA","language":"en-GB","title":"World Energy Outlook 2023 – Analysis","URL":"https://www.iea.org/reports/world-energy-outlook-2023","author":[{"family":"IEA","given":""}],"accessed":{"date-parts":[["2024",2,26]]},"issued":{"date-parts":[["2023"]]}}}],"schema":"https://github.com/citation-style-language/schema/raw/master/csl-citation.json"} </w:instrText>
      </w:r>
      <w:r w:rsidR="00981132">
        <w:rPr>
          <w:rFonts w:cs="Calibri"/>
          <w:szCs w:val="22"/>
        </w:rPr>
        <w:fldChar w:fldCharType="separate"/>
      </w:r>
      <w:r w:rsidR="00F433C1" w:rsidRPr="00F433C1">
        <w:rPr>
          <w:rFonts w:cs="Calibri"/>
          <w:kern w:val="0"/>
          <w:vertAlign w:val="superscript"/>
        </w:rPr>
        <w:t>48</w:t>
      </w:r>
      <w:r w:rsidR="00981132">
        <w:rPr>
          <w:rFonts w:cs="Calibri"/>
          <w:szCs w:val="22"/>
        </w:rPr>
        <w:fldChar w:fldCharType="end"/>
      </w:r>
      <w:r w:rsidR="00835F61" w:rsidRPr="00835F61">
        <w:rPr>
          <w:rFonts w:cs="Calibri"/>
          <w:szCs w:val="22"/>
        </w:rPr>
        <w:t xml:space="preserve"> and sluggish consumer spending</w:t>
      </w:r>
      <w:r w:rsidR="00456EFF">
        <w:rPr>
          <w:rFonts w:cs="Calibri"/>
          <w:szCs w:val="22"/>
        </w:rPr>
        <w:fldChar w:fldCharType="begin"/>
      </w:r>
      <w:r w:rsidR="006B2721">
        <w:rPr>
          <w:rFonts w:cs="Calibri"/>
          <w:szCs w:val="22"/>
        </w:rPr>
        <w:instrText xml:space="preserve"> ADDIN ZOTERO_ITEM CSL_CITATION {"citationID":"TIAWIwXY","properties":{"formattedCitation":"\\super 49\\nosupersub{}","plainCitation":"49","noteIndex":0},"citationItems":[{"id":3753,"uris":["http://zotero.org/users/10504693/items/MS6C73JU"],"itemData":{"id":3753,"type":"webpage","title":"China Overview: Development news, research, data | World Bank","URL":"https://www.worldbank.org/en/country/china/overview","author":[{"family":"The world bank","given":""}],"accessed":{"date-parts":[["2025",1,20]]},"issued":{"date-parts":[["2024"]]}}}],"schema":"https://github.com/citation-style-language/schema/raw/master/csl-citation.json"} </w:instrText>
      </w:r>
      <w:r w:rsidR="00456EFF">
        <w:rPr>
          <w:rFonts w:cs="Calibri"/>
          <w:szCs w:val="22"/>
        </w:rPr>
        <w:fldChar w:fldCharType="separate"/>
      </w:r>
      <w:r w:rsidR="00F433C1" w:rsidRPr="00F433C1">
        <w:rPr>
          <w:rFonts w:cs="Calibri"/>
          <w:kern w:val="0"/>
          <w:vertAlign w:val="superscript"/>
        </w:rPr>
        <w:t>49</w:t>
      </w:r>
      <w:r w:rsidR="00456EFF">
        <w:rPr>
          <w:rFonts w:cs="Calibri"/>
          <w:szCs w:val="22"/>
        </w:rPr>
        <w:fldChar w:fldCharType="end"/>
      </w:r>
      <w:r w:rsidRPr="00430F45">
        <w:rPr>
          <w:rFonts w:cs="Calibri"/>
          <w:szCs w:val="22"/>
        </w:rPr>
        <w:t xml:space="preserve">. </w:t>
      </w:r>
      <w:r w:rsidR="00584060">
        <w:rPr>
          <w:rFonts w:cs="Calibri" w:hint="eastAsia"/>
          <w:szCs w:val="22"/>
        </w:rPr>
        <w:t>A</w:t>
      </w:r>
      <w:r w:rsidR="00584060" w:rsidRPr="00584060">
        <w:rPr>
          <w:rFonts w:cs="Calibri"/>
          <w:szCs w:val="22"/>
        </w:rPr>
        <w:t>fter decades of investing in infrastructure and real estate at breakneck speed, China has likely reached the point of sharply diminishing returns</w:t>
      </w:r>
      <w:r w:rsidR="00A43F56">
        <w:rPr>
          <w:rFonts w:cs="Calibri"/>
          <w:szCs w:val="22"/>
        </w:rPr>
        <w:fldChar w:fldCharType="begin"/>
      </w:r>
      <w:r w:rsidR="006B2721">
        <w:rPr>
          <w:rFonts w:cs="Calibri"/>
          <w:szCs w:val="22"/>
        </w:rPr>
        <w:instrText xml:space="preserve"> ADDIN ZOTERO_ITEM CSL_CITATION {"citationID":"aiTDGnDT","properties":{"formattedCitation":"\\super 50\\nosupersub{}","plainCitation":"50","noteIndex":0},"citationItems":[{"id":3758,"uris":["http://zotero.org/users/10504693/items/X8LX38GC"],"itemData":{"id":3758,"type":"article-journal","abstract":"Abstract\n            China’s outsized growth has almost continually surpassed outsiders’ expectations for four decades and may continue to do so in the future. However, a key element of the growth model, heavy reliance on real estate and infrastructure construction, may finally be running into diminishing returns. This paper summarizes new city-level data on China’s real estate and infrastructure capital from 2000 to 22 and provides evidence suggesting that the growth returns to new building may be falling in some regions. At the same time, real estate investment in particular has been a significant contributing factor to the local government debt vulnerabilities. Finally, the paper presents new findings on the combined direct and indirect impact of real estate and infrastructure construction on China’s economy, which has consistently exceeded 30% of GDP in recent years.","container-title":"Economic Policy","DOI":"10.1093/epolic/eiae022","ISSN":"0266-4658, 1468-0327","issue":"119","language":"en","license":"https://academic.oup.com/pages/standard-publication-reuse-rights","page":"517-548","source":"DOI.org (Crossref)","title":"Rethinking China’s growth","volume":"39","author":[{"family":"Rogoff","given":"Kenneth"},{"family":"Yang","given":"Yuanchen"}],"issued":{"date-parts":[["2024",7,1]]}}}],"schema":"https://github.com/citation-style-language/schema/raw/master/csl-citation.json"} </w:instrText>
      </w:r>
      <w:r w:rsidR="00A43F56">
        <w:rPr>
          <w:rFonts w:cs="Calibri"/>
          <w:szCs w:val="22"/>
        </w:rPr>
        <w:fldChar w:fldCharType="separate"/>
      </w:r>
      <w:r w:rsidR="00F433C1" w:rsidRPr="00F433C1">
        <w:rPr>
          <w:rFonts w:cs="Calibri"/>
          <w:kern w:val="0"/>
          <w:vertAlign w:val="superscript"/>
        </w:rPr>
        <w:t>50</w:t>
      </w:r>
      <w:r w:rsidR="00A43F56">
        <w:rPr>
          <w:rFonts w:cs="Calibri"/>
          <w:szCs w:val="22"/>
        </w:rPr>
        <w:fldChar w:fldCharType="end"/>
      </w:r>
      <w:r w:rsidR="009B3FE5">
        <w:rPr>
          <w:rFonts w:cs="Calibri" w:hint="eastAsia"/>
          <w:szCs w:val="22"/>
        </w:rPr>
        <w:t xml:space="preserve">. </w:t>
      </w:r>
      <w:r w:rsidR="00584060" w:rsidRPr="00584060">
        <w:rPr>
          <w:rFonts w:cs="Calibri"/>
          <w:szCs w:val="22"/>
        </w:rPr>
        <w:t xml:space="preserve"> </w:t>
      </w:r>
      <w:r w:rsidR="00AB0B05" w:rsidRPr="00AB0B05">
        <w:rPr>
          <w:rFonts w:cs="Calibri"/>
          <w:szCs w:val="22"/>
        </w:rPr>
        <w:t>The existing export- and investment-led growth model is losing momentum, while transitioning to a consumption-led growth model proves challenging due to high debt levels among local governments (over 90% of GDP) and households (over 60% of GDP)</w:t>
      </w:r>
      <w:r w:rsidR="00AB0B05">
        <w:rPr>
          <w:rFonts w:cs="Calibri"/>
          <w:szCs w:val="22"/>
        </w:rPr>
        <w:t xml:space="preserve"> </w:t>
      </w:r>
      <w:r w:rsidR="006A77CA">
        <w:rPr>
          <w:rFonts w:cs="Calibri"/>
          <w:szCs w:val="22"/>
        </w:rPr>
        <w:fldChar w:fldCharType="begin"/>
      </w:r>
      <w:r w:rsidR="006B2721">
        <w:rPr>
          <w:rFonts w:cs="Calibri"/>
          <w:szCs w:val="22"/>
        </w:rPr>
        <w:instrText xml:space="preserve"> ADDIN ZOTERO_ITEM CSL_CITATION {"citationID":"zvgCsqrl","properties":{"formattedCitation":"\\super 51,52\\nosupersub{}","plainCitation":"51,52","noteIndex":0},"citationItems":[{"id":3755,"uris":["http://zotero.org/users/10504693/items/ADYCP89L"],"itemData":{"id":3755,"type":"webpage","title":"China’s Real Estate Challenge","URL":"https://www.imf.org/en/Publications/fandd/issues/2024/12/chinas-real-estate-challenge-kenneth-rogoff","author":[{"family":"IMF","given":""}],"accessed":{"date-parts":[["2025",1,20]]},"issued":{"date-parts":[["2024"]]}}},{"id":3757,"uris":["http://zotero.org/users/10504693/items/IWL4MV8F"],"itemData":{"id":3757,"type":"article-journal","container-title":"International Review of Financial Analysis","DOI":"10.1016/j.irfa.2021.101749","ISSN":"10575219","journalAbbreviation":"International Review of Financial Analysis","language":"en","page":"101749","source":"DOI.org (Crossref)","title":"Is domestic consumption dragged down by real estate sector?—Evidence from Chinese household wealth","title-short":"Is domestic consumption dragged down by real estate sector?","volume":"75","author":[{"family":"Wang","given":"Yang"},{"family":"Zhou","given":"Yang"},{"family":"Yu","given":"Xinxin"},{"family":"Liu","given":"Xiao"}],"issued":{"date-parts":[["2021",5]]}}}],"schema":"https://github.com/citation-style-language/schema/raw/master/csl-citation.json"} </w:instrText>
      </w:r>
      <w:r w:rsidR="006A77CA">
        <w:rPr>
          <w:rFonts w:cs="Calibri"/>
          <w:szCs w:val="22"/>
        </w:rPr>
        <w:fldChar w:fldCharType="separate"/>
      </w:r>
      <w:r w:rsidR="00F433C1" w:rsidRPr="00F433C1">
        <w:rPr>
          <w:rFonts w:cs="Calibri"/>
          <w:kern w:val="0"/>
          <w:vertAlign w:val="superscript"/>
        </w:rPr>
        <w:t>51,52</w:t>
      </w:r>
      <w:r w:rsidR="006A77CA">
        <w:rPr>
          <w:rFonts w:cs="Calibri"/>
          <w:szCs w:val="22"/>
        </w:rPr>
        <w:fldChar w:fldCharType="end"/>
      </w:r>
      <w:r w:rsidR="00393434" w:rsidRPr="00393434">
        <w:rPr>
          <w:rFonts w:cs="Calibri"/>
          <w:szCs w:val="22"/>
        </w:rPr>
        <w:t>.</w:t>
      </w:r>
      <w:r w:rsidR="00393434">
        <w:rPr>
          <w:rFonts w:cs="Calibri" w:hint="eastAsia"/>
          <w:szCs w:val="22"/>
        </w:rPr>
        <w:t xml:space="preserve"> </w:t>
      </w:r>
    </w:p>
    <w:p w14:paraId="0C234E4E" w14:textId="3DB2CE5A" w:rsidR="009718C9" w:rsidRDefault="0073728E" w:rsidP="009718C9">
      <w:pPr>
        <w:rPr>
          <w:rFonts w:cs="Calibri"/>
          <w:szCs w:val="22"/>
        </w:rPr>
      </w:pPr>
      <w:r w:rsidRPr="0073728E">
        <w:rPr>
          <w:rFonts w:cs="Calibri"/>
          <w:szCs w:val="22"/>
        </w:rPr>
        <w:t>The economic downturn significantly affects social norms surrounding fertility intentions and sustainable lifestyles.</w:t>
      </w:r>
      <w:r>
        <w:rPr>
          <w:rFonts w:cs="Calibri" w:hint="eastAsia"/>
          <w:szCs w:val="22"/>
        </w:rPr>
        <w:t xml:space="preserve"> </w:t>
      </w:r>
      <w:r w:rsidR="009718C9" w:rsidRPr="00430F45">
        <w:rPr>
          <w:rFonts w:cs="Calibri"/>
          <w:szCs w:val="22"/>
        </w:rPr>
        <w:t xml:space="preserve">A </w:t>
      </w:r>
      <w:r w:rsidR="0088307D">
        <w:rPr>
          <w:rFonts w:cs="Calibri" w:hint="eastAsia"/>
          <w:szCs w:val="22"/>
        </w:rPr>
        <w:t>weakening</w:t>
      </w:r>
      <w:r w:rsidR="009718C9" w:rsidRPr="00430F45">
        <w:rPr>
          <w:rFonts w:cs="Calibri"/>
          <w:szCs w:val="22"/>
        </w:rPr>
        <w:t xml:space="preserve"> job market, combined with rising concerns over healthcare, elderly care, education, and food safety, undermines the confidence </w:t>
      </w:r>
      <w:r w:rsidR="007E2FAC">
        <w:rPr>
          <w:rFonts w:cs="Calibri" w:hint="eastAsia"/>
          <w:szCs w:val="22"/>
        </w:rPr>
        <w:t xml:space="preserve">and trust </w:t>
      </w:r>
      <w:r w:rsidR="009718C9" w:rsidRPr="00430F45">
        <w:rPr>
          <w:rFonts w:cs="Calibri"/>
          <w:szCs w:val="22"/>
        </w:rPr>
        <w:t>of younger generations in pursuing marriage and family formation</w:t>
      </w:r>
      <w:r w:rsidR="00C424A0">
        <w:rPr>
          <w:rFonts w:cs="Calibri"/>
          <w:szCs w:val="22"/>
        </w:rPr>
        <w:fldChar w:fldCharType="begin"/>
      </w:r>
      <w:r w:rsidR="006B2721">
        <w:rPr>
          <w:rFonts w:cs="Calibri"/>
          <w:szCs w:val="22"/>
        </w:rPr>
        <w:instrText xml:space="preserve"> ADDIN ZOTERO_ITEM CSL_CITATION {"citationID":"rYdQqigo","properties":{"formattedCitation":"\\super 53\\nosupersub{}","plainCitation":"53","noteIndex":0},"citationItems":[{"id":3762,"uris":["http://zotero.org/users/10504693/items/2YLBFP8R"],"itemData":{"id":3762,"type":"article-journal","container-title":"Public Performance &amp; Management Review","DOI":"10.1080/15309576.2018.1464478","ISSN":"1530-9576, 1557-9271","issue":"2","journalAbbreviation":"Public Performance &amp; Management Review","language":"en","page":"383-404","source":"DOI.org (Crossref)","title":"Government Trust, Social Trust, and Citizens’ Risk Concerns: Evidence from Crisis Management in China","title-short":"Government Trust, Social Trust, and Citizens’ Risk Concerns","volume":"42","author":[{"family":"Ma","given":"Liang"},{"family":"Christensen","given":"Tom"}],"issued":{"date-parts":[["2019",3,4]]}}}],"schema":"https://github.com/citation-style-language/schema/raw/master/csl-citation.json"} </w:instrText>
      </w:r>
      <w:r w:rsidR="00C424A0">
        <w:rPr>
          <w:rFonts w:cs="Calibri"/>
          <w:szCs w:val="22"/>
        </w:rPr>
        <w:fldChar w:fldCharType="separate"/>
      </w:r>
      <w:r w:rsidR="00F433C1" w:rsidRPr="00F433C1">
        <w:rPr>
          <w:rFonts w:cs="Calibri"/>
          <w:kern w:val="0"/>
          <w:vertAlign w:val="superscript"/>
        </w:rPr>
        <w:t>53</w:t>
      </w:r>
      <w:r w:rsidR="00C424A0">
        <w:rPr>
          <w:rFonts w:cs="Calibri"/>
          <w:szCs w:val="22"/>
        </w:rPr>
        <w:fldChar w:fldCharType="end"/>
      </w:r>
      <w:r w:rsidR="009718C9" w:rsidRPr="00430F45">
        <w:rPr>
          <w:rFonts w:cs="Calibri"/>
          <w:szCs w:val="22"/>
        </w:rPr>
        <w:t>. Pro-natalist policies fail to reverse the declining fertility rate, contributing to long-term labour market strain and reduced consumer spending.</w:t>
      </w:r>
      <w:r w:rsidR="00436D62" w:rsidRPr="00436D62">
        <w:rPr>
          <w:rFonts w:cs="Calibri"/>
          <w:szCs w:val="22"/>
        </w:rPr>
        <w:t xml:space="preserve"> </w:t>
      </w:r>
      <w:r w:rsidR="0088307D" w:rsidRPr="0088307D">
        <w:rPr>
          <w:rFonts w:cs="Calibri"/>
          <w:szCs w:val="22"/>
        </w:rPr>
        <w:t xml:space="preserve">The focus for the majority shifts toward achieving a stable and secure standard of living, with limited attention given to energy conservation or sustainability. </w:t>
      </w:r>
    </w:p>
    <w:p w14:paraId="5A715108" w14:textId="573CCBF0" w:rsidR="00B8384E" w:rsidRPr="00430F45" w:rsidRDefault="00B8384E" w:rsidP="009718C9">
      <w:pPr>
        <w:rPr>
          <w:rFonts w:cs="Calibri"/>
          <w:szCs w:val="22"/>
        </w:rPr>
      </w:pPr>
      <w:r w:rsidRPr="00B8384E">
        <w:rPr>
          <w:rFonts w:cs="Calibri"/>
          <w:szCs w:val="22"/>
        </w:rPr>
        <w:t>Technological innovation slows markedly due to reduced funding for research and development. Cost reductions in low-carbon technologies, such as electric vehicles, wind, and solar power, stagnate. The deployment and commercialization of critical carbon removal technologies—CCS, BECCS, and DAC—are significantly delayed, preventing large-scale implementation.</w:t>
      </w:r>
    </w:p>
    <w:p w14:paraId="6EDB6EDD" w14:textId="7D51C19D" w:rsidR="00FB3CC6" w:rsidRDefault="00530FF6" w:rsidP="009718C9">
      <w:pPr>
        <w:rPr>
          <w:rFonts w:cs="Calibri"/>
          <w:szCs w:val="22"/>
        </w:rPr>
      </w:pPr>
      <w:r w:rsidRPr="00530FF6">
        <w:rPr>
          <w:rFonts w:cs="Calibri"/>
          <w:szCs w:val="22"/>
        </w:rPr>
        <w:t>China’s progress in decarbonization stalls, falling “off track on all its core 2025 climate targets”</w:t>
      </w:r>
      <w:r w:rsidR="00403B1F">
        <w:rPr>
          <w:rFonts w:cs="Calibri"/>
          <w:szCs w:val="22"/>
        </w:rPr>
        <w:fldChar w:fldCharType="begin"/>
      </w:r>
      <w:r w:rsidR="006B2721">
        <w:rPr>
          <w:rFonts w:cs="Calibri"/>
          <w:szCs w:val="22"/>
        </w:rPr>
        <w:instrText xml:space="preserve"> ADDIN ZOTERO_ITEM CSL_CITATION {"citationID":"TyoeJN8n","properties":{"formattedCitation":"\\super 54,55\\nosupersub{}","plainCitation":"54,55","noteIndex":0},"citationItems":[{"id":3766,"uris":["http://zotero.org/users/10504693/items/XGT7SPR8"],"itemData":{"id":3766,"type":"article-newspaper","abstract":"China's emissions of carbon dioxide are on course to rise slightly this year, despite rapid progress on renewables and electric vehicles, putting a key 2025 climate target further out of reach, researchers said on Wednesday.","container-title":"Reuters","language":"en","section":"China","source":"www.reuters.com","title":"China off track on emissions goals as energy demand offsets renewables push, researchers say","URL":"https://www.reuters.com/world/china/china-off-track-emissions-goals-energy-demand-offsets-renewables-push-2024-11-27/","accessed":{"date-parts":[["2025",1,20]]},"issued":{"date-parts":[["2024",11,27]]}}},{"id":3745,"uris":["http://zotero.org/users/10504693/items/8YVYCQAK"],"itemData":{"id":3745,"type":"webpage","abstract":"China risks missing key climate targets for 2025 and needs to cut fossil fuel use and maintain record renewable energy investment to get back on track","container-title":"Carbon Brief","language":"en","title":"China at risk of missing 2025 climate targets, needs steep CO2 cuts: Study","title-short":"China at risk of missing 2025 climate targets, needs steep CO2 cuts","URL":"https://www.carbonbrief.org/daily-brief/china-at-risk-of-missing-2025-climate-targets-needs-steep-co2-cuts-study/","author":[{"family":"The Straits Times","given":""}],"accessed":{"date-parts":[["2025",1,20]]},"issued":{"date-parts":[["2024"]]}}}],"schema":"https://github.com/citation-style-language/schema/raw/master/csl-citation.json"} </w:instrText>
      </w:r>
      <w:r w:rsidR="00403B1F">
        <w:rPr>
          <w:rFonts w:cs="Calibri"/>
          <w:szCs w:val="22"/>
        </w:rPr>
        <w:fldChar w:fldCharType="separate"/>
      </w:r>
      <w:r w:rsidR="00F433C1" w:rsidRPr="00F433C1">
        <w:rPr>
          <w:rFonts w:cs="Calibri"/>
          <w:kern w:val="0"/>
          <w:vertAlign w:val="superscript"/>
        </w:rPr>
        <w:t>54,55</w:t>
      </w:r>
      <w:r w:rsidR="00403B1F">
        <w:rPr>
          <w:rFonts w:cs="Calibri"/>
          <w:szCs w:val="22"/>
        </w:rPr>
        <w:fldChar w:fldCharType="end"/>
      </w:r>
      <w:r w:rsidRPr="00530FF6">
        <w:rPr>
          <w:rFonts w:cs="Calibri"/>
          <w:szCs w:val="22"/>
        </w:rPr>
        <w:t xml:space="preserve"> and remaining constrained to earlier achievements in renewable energy deployment and electric vehicle adoption. Industrial decarbonization efforts falter due to financial constraints, which limit large-scale investments in clean energy infrastructure and emissions reduction technologies. Overall, economic stagnation and technological limitations hinder further policy advancements, casting significant doubt on the country’s ability to meet its NDC target by 2030 and its net-zero goal by 2060.</w:t>
      </w:r>
    </w:p>
    <w:p w14:paraId="682EAA99" w14:textId="77777777" w:rsidR="003C6008" w:rsidRDefault="003C6008" w:rsidP="009718C9"/>
    <w:p w14:paraId="60D0B2D6" w14:textId="6F248DB3" w:rsidR="004A489A" w:rsidRDefault="00A2411F" w:rsidP="00D57345">
      <w:pPr>
        <w:pStyle w:val="Heading2"/>
      </w:pPr>
      <w:r w:rsidRPr="00EA5D75">
        <w:t>SI Section 4: Scenario quantification and key assumptions</w:t>
      </w:r>
    </w:p>
    <w:p w14:paraId="2EF7984C" w14:textId="03B1DA9D" w:rsidR="00E3754D" w:rsidRDefault="00040BC9" w:rsidP="00AC2457">
      <w:pPr>
        <w:rPr>
          <w:rFonts w:cs="Calibri"/>
          <w:szCs w:val="22"/>
        </w:rPr>
      </w:pPr>
      <w:r w:rsidRPr="00040BC9">
        <w:rPr>
          <w:rFonts w:cs="Calibri"/>
          <w:szCs w:val="22"/>
        </w:rPr>
        <w:t xml:space="preserve">This supplementary information outlines the core assumptions underpinning our analysis. We develop a set of evidence-based model inputs to operationalize the above scenarios within the TIAM-UCL integrated assessment model. Below, we present the key quantified metrics used to translate the </w:t>
      </w:r>
      <w:r w:rsidRPr="00040BC9">
        <w:rPr>
          <w:rFonts w:cs="Calibri"/>
          <w:szCs w:val="22"/>
        </w:rPr>
        <w:lastRenderedPageBreak/>
        <w:t>scenario narratives into model inputs:</w:t>
      </w:r>
      <w:r w:rsidR="00E66502">
        <w:rPr>
          <w:rFonts w:cs="Calibri"/>
          <w:noProof/>
          <w:szCs w:val="22"/>
        </w:rPr>
        <w:drawing>
          <wp:inline distT="0" distB="0" distL="0" distR="0" wp14:anchorId="12618352" wp14:editId="324F843B">
            <wp:extent cx="8863330" cy="1764030"/>
            <wp:effectExtent l="0" t="0" r="0" b="7620"/>
            <wp:docPr id="17654606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60600" name="Graphic 1765460600"/>
                    <pic:cNvPicPr/>
                  </pic:nvPicPr>
                  <pic:blipFill>
                    <a:blip r:embed="rId11">
                      <a:extLst>
                        <a:ext uri="{96DAC541-7B7A-43D3-8B79-37D633B846F1}">
                          <asvg:svgBlip xmlns:asvg="http://schemas.microsoft.com/office/drawing/2016/SVG/main" r:embed="rId12"/>
                        </a:ext>
                      </a:extLst>
                    </a:blip>
                    <a:stretch>
                      <a:fillRect/>
                    </a:stretch>
                  </pic:blipFill>
                  <pic:spPr>
                    <a:xfrm>
                      <a:off x="0" y="0"/>
                      <a:ext cx="8863330" cy="1764030"/>
                    </a:xfrm>
                    <a:prstGeom prst="rect">
                      <a:avLst/>
                    </a:prstGeom>
                  </pic:spPr>
                </pic:pic>
              </a:graphicData>
            </a:graphic>
          </wp:inline>
        </w:drawing>
      </w:r>
    </w:p>
    <w:p w14:paraId="56FA0364" w14:textId="0747E6DE" w:rsidR="00835EC7" w:rsidRPr="00AC2457" w:rsidRDefault="00835EC7" w:rsidP="00835EC7">
      <w:pPr>
        <w:jc w:val="center"/>
        <w:rPr>
          <w:rFonts w:cs="Calibri"/>
          <w:szCs w:val="22"/>
        </w:rPr>
      </w:pPr>
      <w:r>
        <w:rPr>
          <w:rFonts w:cs="Calibri" w:hint="eastAsia"/>
          <w:szCs w:val="22"/>
        </w:rPr>
        <w:t xml:space="preserve">SI Figure </w:t>
      </w:r>
      <w:r w:rsidR="00B84D7E">
        <w:rPr>
          <w:rFonts w:cs="Calibri"/>
          <w:szCs w:val="22"/>
        </w:rPr>
        <w:t>3</w:t>
      </w:r>
      <w:r>
        <w:rPr>
          <w:rFonts w:cs="Calibri" w:hint="eastAsia"/>
          <w:szCs w:val="22"/>
        </w:rPr>
        <w:t xml:space="preserve">: key scenario quantification </w:t>
      </w:r>
      <w:r>
        <w:rPr>
          <w:rFonts w:cs="Calibri"/>
          <w:szCs w:val="22"/>
        </w:rPr>
        <w:t>matrix</w:t>
      </w:r>
    </w:p>
    <w:p w14:paraId="46274997" w14:textId="0B4FFCB3" w:rsidR="00FC7819" w:rsidRPr="00F81703" w:rsidRDefault="00420A39" w:rsidP="00FC7819">
      <w:pPr>
        <w:pStyle w:val="Heading3"/>
        <w:rPr>
          <w:rFonts w:cs="Calibri"/>
          <w:sz w:val="24"/>
          <w:szCs w:val="24"/>
        </w:rPr>
      </w:pPr>
      <w:r w:rsidRPr="00F81703">
        <w:rPr>
          <w:rFonts w:cs="Calibri" w:hint="eastAsia"/>
          <w:sz w:val="24"/>
          <w:szCs w:val="24"/>
        </w:rPr>
        <w:t>National Climate policy de</w:t>
      </w:r>
      <w:r w:rsidR="00063D9A" w:rsidRPr="00F81703">
        <w:rPr>
          <w:rFonts w:cs="Calibri" w:hint="eastAsia"/>
          <w:sz w:val="24"/>
          <w:szCs w:val="24"/>
        </w:rPr>
        <w:t>livery</w:t>
      </w:r>
    </w:p>
    <w:p w14:paraId="78DB909D" w14:textId="6C593C7D" w:rsidR="00C54D56" w:rsidRDefault="00C54D56" w:rsidP="00FC7819">
      <w:pPr>
        <w:spacing w:line="259" w:lineRule="auto"/>
        <w:rPr>
          <w:rFonts w:cs="Calibri"/>
          <w:szCs w:val="22"/>
        </w:rPr>
      </w:pPr>
      <w:r w:rsidRPr="00C54D56">
        <w:rPr>
          <w:rFonts w:cs="Calibri"/>
          <w:szCs w:val="22"/>
        </w:rPr>
        <w:t xml:space="preserve">Based on national climate action narratives, we use the degree of policy delivery as a quantitative indicator across scenarios (see SI Figure X). This is determined by the assessed credibility level of each target—classified as ‘achieved’, ‘high’, ‘medium’, or ‘low’. Targets with higher credibility ratings are more likely to be implemented in practice. Accordingly, the Great Wall scenario, which enforces only ‘achieved’ targets, represents the most conservative pathway, reflecting minimal delivery. Across scenarios, targets are progressively implemented from high to low credibility. From Great Wall to Green Lights, the strength of policy implementation increases, with an expanding set of targets assumed to be met—culminating in the full realisation of China’s overarching climate commitment: carbon neutrality </w:t>
      </w:r>
      <w:r>
        <w:rPr>
          <w:rFonts w:cs="Calibri" w:hint="eastAsia"/>
          <w:szCs w:val="22"/>
        </w:rPr>
        <w:t xml:space="preserve">by 2060 or </w:t>
      </w:r>
      <w:r w:rsidRPr="00C54D56">
        <w:rPr>
          <w:rFonts w:cs="Calibri"/>
          <w:szCs w:val="22"/>
        </w:rPr>
        <w:t>before 2060</w:t>
      </w:r>
      <w:r>
        <w:rPr>
          <w:rFonts w:cs="Calibri" w:hint="eastAsia"/>
          <w:szCs w:val="22"/>
        </w:rPr>
        <w:t xml:space="preserve"> (assumed as 2050)</w:t>
      </w:r>
      <w:r w:rsidRPr="00C54D56">
        <w:rPr>
          <w:rFonts w:cs="Calibri"/>
          <w:szCs w:val="22"/>
        </w:rPr>
        <w:t>.</w:t>
      </w:r>
    </w:p>
    <w:p w14:paraId="0E05EF2A" w14:textId="2BE9F315" w:rsidR="00FC7819" w:rsidRPr="00610296" w:rsidRDefault="00FC7819" w:rsidP="00E3169B">
      <w:pPr>
        <w:spacing w:line="259" w:lineRule="auto"/>
        <w:jc w:val="center"/>
        <w:rPr>
          <w:rFonts w:eastAsia="DengXian" w:cs="Calibri"/>
          <w:b/>
          <w:bCs/>
          <w:szCs w:val="22"/>
        </w:rPr>
      </w:pPr>
      <w:r>
        <w:rPr>
          <w:rFonts w:eastAsia="DengXian" w:cs="Calibri" w:hint="eastAsia"/>
          <w:b/>
          <w:bCs/>
          <w:szCs w:val="22"/>
        </w:rPr>
        <w:t xml:space="preserve">SI </w:t>
      </w:r>
      <w:r w:rsidRPr="00610296">
        <w:rPr>
          <w:rFonts w:eastAsia="DengXian" w:cs="Calibri"/>
          <w:b/>
          <w:bCs/>
          <w:szCs w:val="22"/>
        </w:rPr>
        <w:t xml:space="preserve">Table </w:t>
      </w:r>
      <w:r w:rsidR="00C03570">
        <w:rPr>
          <w:rFonts w:eastAsia="DengXian" w:cs="Calibri"/>
          <w:b/>
          <w:bCs/>
          <w:szCs w:val="22"/>
        </w:rPr>
        <w:t>4</w:t>
      </w:r>
      <w:r w:rsidRPr="00610296">
        <w:rPr>
          <w:rFonts w:eastAsia="DengXian" w:cs="Calibri"/>
          <w:b/>
          <w:bCs/>
          <w:szCs w:val="22"/>
        </w:rPr>
        <w:t>. Quantification of National Climate Actions in TIAM-UCL</w:t>
      </w:r>
    </w:p>
    <w:tbl>
      <w:tblPr>
        <w:tblStyle w:val="TableGrid"/>
        <w:tblW w:w="16302" w:type="dxa"/>
        <w:tblInd w:w="-1281" w:type="dxa"/>
        <w:tblLook w:val="04A0" w:firstRow="1" w:lastRow="0" w:firstColumn="1" w:lastColumn="0" w:noHBand="0" w:noVBand="1"/>
      </w:tblPr>
      <w:tblGrid>
        <w:gridCol w:w="1985"/>
        <w:gridCol w:w="3544"/>
        <w:gridCol w:w="3402"/>
        <w:gridCol w:w="3402"/>
        <w:gridCol w:w="3969"/>
      </w:tblGrid>
      <w:tr w:rsidR="00FC7819" w:rsidRPr="00610296" w14:paraId="47353233" w14:textId="77777777" w:rsidTr="003D3317">
        <w:tc>
          <w:tcPr>
            <w:tcW w:w="1985" w:type="dxa"/>
          </w:tcPr>
          <w:p w14:paraId="14B4E73E" w14:textId="77777777" w:rsidR="00FC7819" w:rsidRPr="00610296" w:rsidRDefault="00FC7819" w:rsidP="001068B0">
            <w:pPr>
              <w:spacing w:line="259" w:lineRule="auto"/>
              <w:rPr>
                <w:rFonts w:eastAsia="DengXian" w:cs="Calibri"/>
                <w:b/>
                <w:bCs/>
              </w:rPr>
            </w:pPr>
            <w:r w:rsidRPr="00610296">
              <w:rPr>
                <w:rFonts w:eastAsia="DengXian" w:cs="Calibri"/>
                <w:b/>
                <w:bCs/>
              </w:rPr>
              <w:t xml:space="preserve">Scenario </w:t>
            </w:r>
          </w:p>
        </w:tc>
        <w:tc>
          <w:tcPr>
            <w:tcW w:w="3544" w:type="dxa"/>
          </w:tcPr>
          <w:p w14:paraId="7B17E5D9" w14:textId="77777777" w:rsidR="00FC7819" w:rsidRPr="00610296" w:rsidRDefault="00FC7819" w:rsidP="001068B0">
            <w:pPr>
              <w:spacing w:line="259" w:lineRule="auto"/>
              <w:rPr>
                <w:rFonts w:eastAsia="DengXian" w:cs="Calibri"/>
                <w:b/>
                <w:bCs/>
              </w:rPr>
            </w:pPr>
            <w:r w:rsidRPr="00610296">
              <w:rPr>
                <w:rFonts w:eastAsia="DengXian" w:cs="Calibri"/>
                <w:b/>
                <w:bCs/>
                <w:color w:val="7F7F7F" w:themeColor="text1" w:themeTint="80"/>
              </w:rPr>
              <w:t>Great Wall</w:t>
            </w:r>
          </w:p>
        </w:tc>
        <w:tc>
          <w:tcPr>
            <w:tcW w:w="3402" w:type="dxa"/>
          </w:tcPr>
          <w:p w14:paraId="5ED9BC1A" w14:textId="77777777" w:rsidR="00FC7819" w:rsidRPr="00610296" w:rsidRDefault="00FC7819" w:rsidP="001068B0">
            <w:pPr>
              <w:spacing w:line="259" w:lineRule="auto"/>
              <w:rPr>
                <w:rFonts w:eastAsia="DengXian" w:cs="Calibri"/>
                <w:b/>
                <w:bCs/>
              </w:rPr>
            </w:pPr>
            <w:r w:rsidRPr="00610296">
              <w:rPr>
                <w:rFonts w:eastAsia="DengXian" w:cs="Calibri"/>
                <w:b/>
                <w:bCs/>
                <w:color w:val="FF0000"/>
              </w:rPr>
              <w:t>Red Sun</w:t>
            </w:r>
          </w:p>
        </w:tc>
        <w:tc>
          <w:tcPr>
            <w:tcW w:w="3402" w:type="dxa"/>
          </w:tcPr>
          <w:p w14:paraId="62121E77" w14:textId="77777777" w:rsidR="00FC7819" w:rsidRPr="00610296" w:rsidRDefault="00FC7819" w:rsidP="001068B0">
            <w:pPr>
              <w:spacing w:line="259" w:lineRule="auto"/>
              <w:rPr>
                <w:rFonts w:eastAsia="DengXian" w:cs="Calibri"/>
                <w:b/>
                <w:bCs/>
              </w:rPr>
            </w:pPr>
            <w:r w:rsidRPr="00610296">
              <w:rPr>
                <w:rFonts w:eastAsia="DengXian" w:cs="Calibri"/>
                <w:b/>
                <w:bCs/>
                <w:color w:val="4C94D8" w:themeColor="text2" w:themeTint="80"/>
              </w:rPr>
              <w:t>Calm Sea</w:t>
            </w:r>
          </w:p>
        </w:tc>
        <w:tc>
          <w:tcPr>
            <w:tcW w:w="3969" w:type="dxa"/>
          </w:tcPr>
          <w:p w14:paraId="6C27A015" w14:textId="77777777" w:rsidR="00FC7819" w:rsidRPr="00610296" w:rsidRDefault="00FC7819" w:rsidP="001068B0">
            <w:pPr>
              <w:spacing w:line="259" w:lineRule="auto"/>
              <w:rPr>
                <w:rFonts w:eastAsia="DengXian" w:cs="Calibri"/>
                <w:b/>
                <w:bCs/>
              </w:rPr>
            </w:pPr>
            <w:r w:rsidRPr="00610296">
              <w:rPr>
                <w:rFonts w:eastAsia="DengXian" w:cs="Calibri"/>
                <w:b/>
                <w:bCs/>
                <w:color w:val="4EA72E" w:themeColor="accent6"/>
              </w:rPr>
              <w:t>Green Lights</w:t>
            </w:r>
          </w:p>
        </w:tc>
      </w:tr>
      <w:tr w:rsidR="00325338" w:rsidRPr="00610296" w14:paraId="6B71F98B" w14:textId="77777777" w:rsidTr="003D3317">
        <w:trPr>
          <w:trHeight w:val="2430"/>
        </w:trPr>
        <w:tc>
          <w:tcPr>
            <w:tcW w:w="1985" w:type="dxa"/>
          </w:tcPr>
          <w:p w14:paraId="5ED3B002" w14:textId="77777777" w:rsidR="00325338" w:rsidRPr="00610296" w:rsidRDefault="00325338" w:rsidP="00325338">
            <w:pPr>
              <w:spacing w:line="259" w:lineRule="auto"/>
              <w:rPr>
                <w:rFonts w:cs="Calibri"/>
                <w:b/>
                <w:bCs/>
              </w:rPr>
            </w:pPr>
            <w:r w:rsidRPr="00610296">
              <w:rPr>
                <w:rFonts w:cs="Calibri"/>
                <w:b/>
                <w:bCs/>
              </w:rPr>
              <w:lastRenderedPageBreak/>
              <w:t>Narratives around national climate actions</w:t>
            </w:r>
          </w:p>
        </w:tc>
        <w:tc>
          <w:tcPr>
            <w:tcW w:w="3544" w:type="dxa"/>
          </w:tcPr>
          <w:p w14:paraId="26ACC805" w14:textId="77777777" w:rsidR="00325338" w:rsidRDefault="00325338" w:rsidP="00325338">
            <w:pPr>
              <w:rPr>
                <w:rFonts w:cs="Calibri"/>
                <w:b/>
                <w:bCs/>
              </w:rPr>
            </w:pPr>
            <w:r w:rsidRPr="0043734F">
              <w:rPr>
                <w:rFonts w:cs="Calibri"/>
                <w:b/>
                <w:bCs/>
              </w:rPr>
              <w:t>Limited Progress Beyond Current Achievements</w:t>
            </w:r>
          </w:p>
          <w:p w14:paraId="4D822110" w14:textId="77777777" w:rsidR="00325338" w:rsidRPr="00A77AF1" w:rsidRDefault="00325338" w:rsidP="00325338">
            <w:pPr>
              <w:rPr>
                <w:rFonts w:cs="Calibri"/>
              </w:rPr>
            </w:pPr>
            <w:r w:rsidRPr="00BE57A6">
              <w:rPr>
                <w:rFonts w:cs="Calibri"/>
              </w:rPr>
              <w:t>China struggles to advance beyond its existing decarbonization accomplishments. While significant progress has been made in renewable energy and electric vehicle deployment, economic downturns and technological constraints in industrial decarbonization hinder further policy implementation. This results in significant uncertainty regarding the achievement of both NDC targets and the 2060 net-zero goal.</w:t>
            </w:r>
          </w:p>
          <w:p w14:paraId="09BAEA32" w14:textId="143B33F6" w:rsidR="00325338" w:rsidRPr="00610296" w:rsidRDefault="00325338" w:rsidP="00325338">
            <w:pPr>
              <w:rPr>
                <w:rFonts w:cs="Calibri"/>
              </w:rPr>
            </w:pPr>
            <w:r w:rsidRPr="00D46876">
              <w:rPr>
                <w:rFonts w:cs="Calibri"/>
                <w:b/>
                <w:bCs/>
                <w:color w:val="000000" w:themeColor="text1"/>
              </w:rPr>
              <w:t>GW</w:t>
            </w:r>
          </w:p>
        </w:tc>
        <w:tc>
          <w:tcPr>
            <w:tcW w:w="3402" w:type="dxa"/>
          </w:tcPr>
          <w:p w14:paraId="7FCF7BAD" w14:textId="77777777" w:rsidR="00325338" w:rsidRDefault="00325338" w:rsidP="00325338">
            <w:pPr>
              <w:rPr>
                <w:rFonts w:cs="Calibri"/>
                <w:b/>
                <w:bCs/>
              </w:rPr>
            </w:pPr>
            <w:r w:rsidRPr="00BE57A6">
              <w:rPr>
                <w:rFonts w:cs="Calibri"/>
                <w:b/>
                <w:bCs/>
              </w:rPr>
              <w:t>NDC Achievable, Net-Zero by 2060 Uncertain</w:t>
            </w:r>
          </w:p>
          <w:p w14:paraId="55C88B57" w14:textId="77777777" w:rsidR="00325338" w:rsidRDefault="00325338" w:rsidP="00325338">
            <w:pPr>
              <w:rPr>
                <w:rFonts w:cs="Calibri"/>
              </w:rPr>
            </w:pPr>
            <w:r w:rsidRPr="00B900CD">
              <w:rPr>
                <w:rFonts w:cs="Calibri"/>
              </w:rPr>
              <w:t xml:space="preserve">Building on progress in renewables and electric vehicles, rising household consumption drives electrification </w:t>
            </w:r>
            <w:r>
              <w:rPr>
                <w:rFonts w:cs="Calibri"/>
              </w:rPr>
              <w:t xml:space="preserve">across end use </w:t>
            </w:r>
            <w:r w:rsidRPr="00B900CD">
              <w:rPr>
                <w:rFonts w:cs="Calibri"/>
              </w:rPr>
              <w:t>sector</w:t>
            </w:r>
            <w:r>
              <w:rPr>
                <w:rFonts w:cs="Calibri"/>
              </w:rPr>
              <w:t>s</w:t>
            </w:r>
            <w:r w:rsidRPr="00B900CD">
              <w:rPr>
                <w:rFonts w:cs="Calibri"/>
              </w:rPr>
              <w:t>, enabling the effective achievement of electricity-related policy goals. However, the economy’s reliance on manufacturing and energy-intensive industries weakens the implementation of industrial emission reduction policies. While achieving the NDC target is feasible, meeting the net-zero target by 2060 remains highly uncertain.</w:t>
            </w:r>
          </w:p>
          <w:p w14:paraId="43F82346" w14:textId="09966D3D" w:rsidR="00325338" w:rsidRPr="00610296" w:rsidRDefault="00325338" w:rsidP="00325338">
            <w:pPr>
              <w:rPr>
                <w:rFonts w:cs="Calibri"/>
              </w:rPr>
            </w:pPr>
            <w:r w:rsidRPr="00D46876">
              <w:rPr>
                <w:rFonts w:cs="Calibri"/>
                <w:b/>
                <w:bCs/>
                <w:color w:val="C00000"/>
              </w:rPr>
              <w:t>RS</w:t>
            </w:r>
          </w:p>
        </w:tc>
        <w:tc>
          <w:tcPr>
            <w:tcW w:w="3402" w:type="dxa"/>
          </w:tcPr>
          <w:p w14:paraId="183F92A4" w14:textId="77777777" w:rsidR="00325338" w:rsidRPr="00DB0F62" w:rsidRDefault="00325338" w:rsidP="00325338">
            <w:pPr>
              <w:rPr>
                <w:rFonts w:cs="Calibri"/>
                <w:b/>
                <w:bCs/>
              </w:rPr>
            </w:pPr>
            <w:r w:rsidRPr="00DB0F62">
              <w:rPr>
                <w:rFonts w:cs="Calibri"/>
                <w:b/>
                <w:bCs/>
              </w:rPr>
              <w:t>Policy Continuity Secures Climate Targets</w:t>
            </w:r>
          </w:p>
          <w:p w14:paraId="59E95519" w14:textId="77777777" w:rsidR="00325338" w:rsidRDefault="00325338" w:rsidP="00325338">
            <w:pPr>
              <w:rPr>
                <w:rFonts w:cs="Calibri"/>
              </w:rPr>
            </w:pPr>
          </w:p>
          <w:p w14:paraId="677290C6" w14:textId="77777777" w:rsidR="00325338" w:rsidRPr="00DB0F62" w:rsidRDefault="00325338" w:rsidP="00325338">
            <w:pPr>
              <w:rPr>
                <w:rFonts w:cs="Calibri"/>
              </w:rPr>
            </w:pPr>
            <w:r w:rsidRPr="00DB0F62">
              <w:rPr>
                <w:rFonts w:cs="Calibri"/>
              </w:rPr>
              <w:t>All existing climate policies are fully implemented, and sectoral goals are consistently met. China effectively enforces climate policies across sectors through the 2030s and maintains sustained decarbonization efforts beyond 2030. As a result, China successfully reaches its carbon peak by 2030 and achieves carbon neutrality by 2060 as planned.</w:t>
            </w:r>
          </w:p>
          <w:p w14:paraId="3128DCF7" w14:textId="77777777" w:rsidR="00325338" w:rsidRDefault="00325338" w:rsidP="00325338">
            <w:pPr>
              <w:rPr>
                <w:rFonts w:cs="Calibri"/>
                <w:b/>
                <w:bCs/>
                <w:color w:val="156082" w:themeColor="accent1"/>
              </w:rPr>
            </w:pPr>
          </w:p>
          <w:p w14:paraId="07B1ABD4" w14:textId="77777777" w:rsidR="00325338" w:rsidRDefault="00325338" w:rsidP="00325338">
            <w:pPr>
              <w:rPr>
                <w:rFonts w:cs="Calibri"/>
                <w:b/>
                <w:bCs/>
                <w:color w:val="156082" w:themeColor="accent1"/>
              </w:rPr>
            </w:pPr>
          </w:p>
          <w:p w14:paraId="46198B0E" w14:textId="77777777" w:rsidR="00325338" w:rsidRDefault="00325338" w:rsidP="00325338">
            <w:pPr>
              <w:rPr>
                <w:rFonts w:cs="Calibri"/>
                <w:b/>
                <w:bCs/>
                <w:color w:val="156082" w:themeColor="accent1"/>
              </w:rPr>
            </w:pPr>
          </w:p>
          <w:p w14:paraId="1E793A0D" w14:textId="5CF863E9" w:rsidR="00325338" w:rsidRPr="00610296" w:rsidRDefault="00325338" w:rsidP="00325338">
            <w:pPr>
              <w:rPr>
                <w:rFonts w:cs="Calibri"/>
              </w:rPr>
            </w:pPr>
            <w:r w:rsidRPr="00D46876">
              <w:rPr>
                <w:rFonts w:cs="Calibri"/>
                <w:b/>
                <w:bCs/>
                <w:color w:val="156082" w:themeColor="accent1"/>
              </w:rPr>
              <w:t>CS</w:t>
            </w:r>
          </w:p>
        </w:tc>
        <w:tc>
          <w:tcPr>
            <w:tcW w:w="3969" w:type="dxa"/>
          </w:tcPr>
          <w:p w14:paraId="54659F67" w14:textId="77777777" w:rsidR="00325338" w:rsidRDefault="00325338" w:rsidP="00325338">
            <w:pPr>
              <w:rPr>
                <w:rFonts w:cs="Calibri"/>
                <w:b/>
                <w:bCs/>
              </w:rPr>
            </w:pPr>
            <w:r w:rsidRPr="00DB0F62">
              <w:rPr>
                <w:rFonts w:cs="Calibri"/>
                <w:b/>
                <w:bCs/>
              </w:rPr>
              <w:t>Ambitious Policies Drive Early Success</w:t>
            </w:r>
          </w:p>
          <w:p w14:paraId="59A1074F" w14:textId="77777777" w:rsidR="00325338" w:rsidRDefault="00325338" w:rsidP="00325338">
            <w:pPr>
              <w:rPr>
                <w:rFonts w:cs="Calibri"/>
                <w:b/>
                <w:bCs/>
              </w:rPr>
            </w:pPr>
          </w:p>
          <w:p w14:paraId="11A25A30" w14:textId="77777777" w:rsidR="00325338" w:rsidRDefault="00325338" w:rsidP="00325338">
            <w:pPr>
              <w:rPr>
                <w:rFonts w:cs="Calibri"/>
              </w:rPr>
            </w:pPr>
            <w:r w:rsidRPr="005F0BAA">
              <w:rPr>
                <w:rFonts w:cs="Calibri"/>
              </w:rPr>
              <w:t>China emerges as a global leader in climate change mitigation, achieving its NDC and net-zero targets ahead of schedule through the implementation of more ambitious and comprehensive policies.</w:t>
            </w:r>
          </w:p>
          <w:p w14:paraId="1C6A99EA" w14:textId="77777777" w:rsidR="00325338" w:rsidRDefault="00325338" w:rsidP="00325338">
            <w:pPr>
              <w:rPr>
                <w:rFonts w:cs="Calibri"/>
              </w:rPr>
            </w:pPr>
          </w:p>
          <w:p w14:paraId="409F5B82" w14:textId="77777777" w:rsidR="00325338" w:rsidRDefault="00325338" w:rsidP="00325338">
            <w:pPr>
              <w:rPr>
                <w:rFonts w:cs="Calibri"/>
              </w:rPr>
            </w:pPr>
          </w:p>
          <w:p w14:paraId="3C86583A" w14:textId="77777777" w:rsidR="00325338" w:rsidRDefault="00325338" w:rsidP="00325338">
            <w:pPr>
              <w:rPr>
                <w:rFonts w:cs="Calibri"/>
              </w:rPr>
            </w:pPr>
          </w:p>
          <w:p w14:paraId="08F38649" w14:textId="77777777" w:rsidR="00325338" w:rsidRDefault="00325338" w:rsidP="00325338">
            <w:pPr>
              <w:rPr>
                <w:rFonts w:cs="Calibri"/>
                <w:b/>
                <w:bCs/>
                <w:color w:val="4EA72E" w:themeColor="accent6"/>
              </w:rPr>
            </w:pPr>
          </w:p>
          <w:p w14:paraId="01735080" w14:textId="77777777" w:rsidR="00325338" w:rsidRDefault="00325338" w:rsidP="00325338">
            <w:pPr>
              <w:rPr>
                <w:rFonts w:cs="Calibri"/>
                <w:b/>
                <w:bCs/>
                <w:color w:val="4EA72E" w:themeColor="accent6"/>
              </w:rPr>
            </w:pPr>
          </w:p>
          <w:p w14:paraId="3C678BFB" w14:textId="3FE3F7E5" w:rsidR="00325338" w:rsidRPr="00610296" w:rsidRDefault="00325338" w:rsidP="00325338">
            <w:pPr>
              <w:spacing w:line="259" w:lineRule="auto"/>
              <w:rPr>
                <w:rFonts w:cs="Calibri"/>
              </w:rPr>
            </w:pPr>
            <w:r w:rsidRPr="00D46876">
              <w:rPr>
                <w:rFonts w:cs="Calibri"/>
                <w:b/>
                <w:bCs/>
                <w:color w:val="4EA72E" w:themeColor="accent6"/>
              </w:rPr>
              <w:t>GL</w:t>
            </w:r>
          </w:p>
        </w:tc>
      </w:tr>
      <w:tr w:rsidR="00FC7819" w:rsidRPr="00610296" w14:paraId="7A670D75" w14:textId="77777777" w:rsidTr="003D3317">
        <w:trPr>
          <w:trHeight w:val="771"/>
        </w:trPr>
        <w:tc>
          <w:tcPr>
            <w:tcW w:w="1985" w:type="dxa"/>
          </w:tcPr>
          <w:p w14:paraId="0E7F2FC7" w14:textId="77777777" w:rsidR="00FC7819" w:rsidRPr="00610296" w:rsidRDefault="00FC7819" w:rsidP="001068B0">
            <w:pPr>
              <w:spacing w:line="259" w:lineRule="auto"/>
              <w:rPr>
                <w:rFonts w:cs="Calibri"/>
                <w:b/>
                <w:bCs/>
              </w:rPr>
            </w:pPr>
            <w:r w:rsidRPr="00610296">
              <w:rPr>
                <w:rFonts w:cs="Calibri"/>
                <w:b/>
                <w:bCs/>
              </w:rPr>
              <w:t xml:space="preserve">Degree of Climate policy delivery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Pr>
          <w:p w14:paraId="40589685" w14:textId="77777777" w:rsidR="00FC7819" w:rsidRPr="00E3169B" w:rsidRDefault="00FC7819" w:rsidP="001068B0">
            <w:pPr>
              <w:pStyle w:val="NormalWeb"/>
              <w:spacing w:before="0" w:beforeAutospacing="0" w:after="0" w:afterAutospacing="0"/>
              <w:textAlignment w:val="baseline"/>
              <w:rPr>
                <w:rFonts w:ascii="Calibri" w:eastAsiaTheme="minorEastAsia" w:hAnsi="Calibri" w:cs="Calibri"/>
                <w:b/>
                <w:bCs/>
                <w:color w:val="000000" w:themeColor="text1"/>
                <w:kern w:val="24"/>
              </w:rPr>
            </w:pPr>
            <w:r w:rsidRPr="00E3169B">
              <w:rPr>
                <w:rFonts w:ascii="Calibri" w:eastAsiaTheme="minorEastAsia" w:hAnsi="Calibri" w:cs="Calibri"/>
                <w:b/>
                <w:bCs/>
                <w:color w:val="000000" w:themeColor="text1"/>
                <w:kern w:val="24"/>
              </w:rPr>
              <w:t>Achieved targets</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14:paraId="2193531F" w14:textId="15708723" w:rsidR="00FC7819" w:rsidRPr="00E3169B" w:rsidRDefault="00E3169B" w:rsidP="001068B0">
            <w:pPr>
              <w:rPr>
                <w:rFonts w:cs="Calibri"/>
                <w:b/>
                <w:bCs/>
                <w:color w:val="000000" w:themeColor="text1"/>
                <w:kern w:val="24"/>
              </w:rPr>
            </w:pPr>
            <w:r w:rsidRPr="00E3169B">
              <w:rPr>
                <w:rFonts w:cs="Calibri"/>
                <w:b/>
                <w:bCs/>
                <w:color w:val="000000" w:themeColor="text1"/>
                <w:kern w:val="24"/>
              </w:rPr>
              <w:t>Targets ranging from those already achieved to those with high credibility</w:t>
            </w:r>
          </w:p>
        </w:tc>
        <w:tc>
          <w:tcPr>
            <w:tcW w:w="3402" w:type="dxa"/>
            <w:tcBorders>
              <w:top w:val="single" w:sz="8" w:space="0" w:color="000000"/>
              <w:left w:val="single" w:sz="8" w:space="0" w:color="000000"/>
              <w:bottom w:val="single" w:sz="8" w:space="0" w:color="000000"/>
              <w:right w:val="single" w:sz="8" w:space="0" w:color="000000"/>
            </w:tcBorders>
            <w:shd w:val="clear" w:color="auto" w:fill="auto"/>
          </w:tcPr>
          <w:p w14:paraId="2BE887D5" w14:textId="1CD73642" w:rsidR="00FC7819" w:rsidRPr="00E3169B" w:rsidRDefault="00E3169B" w:rsidP="001068B0">
            <w:pPr>
              <w:pStyle w:val="NormalWeb"/>
              <w:spacing w:before="0" w:beforeAutospacing="0" w:after="0" w:afterAutospacing="0"/>
              <w:textAlignment w:val="baseline"/>
              <w:rPr>
                <w:rFonts w:ascii="Calibri" w:eastAsiaTheme="minorEastAsia" w:hAnsi="Calibri" w:cs="Calibri"/>
                <w:b/>
                <w:bCs/>
                <w:color w:val="000000" w:themeColor="text1"/>
                <w:kern w:val="24"/>
              </w:rPr>
            </w:pPr>
            <w:r w:rsidRPr="00E3169B">
              <w:rPr>
                <w:rFonts w:ascii="Calibri" w:hAnsi="Calibri" w:cs="Calibri"/>
                <w:b/>
                <w:bCs/>
                <w:color w:val="000000" w:themeColor="text1"/>
                <w:kern w:val="24"/>
              </w:rPr>
              <w:t xml:space="preserve">Targets ranging from those already achieved to those with </w:t>
            </w:r>
            <w:r w:rsidRPr="00E3169B">
              <w:rPr>
                <w:rFonts w:ascii="Calibri" w:eastAsiaTheme="minorEastAsia" w:hAnsi="Calibri" w:cs="Calibri"/>
                <w:b/>
                <w:bCs/>
                <w:color w:val="000000" w:themeColor="text1"/>
                <w:kern w:val="24"/>
              </w:rPr>
              <w:t>medium</w:t>
            </w:r>
            <w:r w:rsidRPr="00E3169B">
              <w:rPr>
                <w:rFonts w:ascii="Calibri" w:hAnsi="Calibri" w:cs="Calibri"/>
                <w:b/>
                <w:bCs/>
                <w:color w:val="000000" w:themeColor="text1"/>
                <w:kern w:val="24"/>
              </w:rPr>
              <w:t xml:space="preserve"> credibility</w:t>
            </w:r>
          </w:p>
        </w:tc>
        <w:tc>
          <w:tcPr>
            <w:tcW w:w="3969" w:type="dxa"/>
            <w:tcBorders>
              <w:top w:val="single" w:sz="8" w:space="0" w:color="000000"/>
              <w:left w:val="single" w:sz="8" w:space="0" w:color="000000"/>
              <w:bottom w:val="single" w:sz="8" w:space="0" w:color="000000"/>
              <w:right w:val="single" w:sz="8" w:space="0" w:color="000000"/>
            </w:tcBorders>
            <w:shd w:val="clear" w:color="auto" w:fill="auto"/>
          </w:tcPr>
          <w:p w14:paraId="12AFB95E" w14:textId="210C0B71" w:rsidR="00FC7819" w:rsidRPr="00E3169B" w:rsidRDefault="00E3169B" w:rsidP="001068B0">
            <w:pPr>
              <w:spacing w:line="259" w:lineRule="auto"/>
              <w:rPr>
                <w:rFonts w:cs="Calibri"/>
                <w:b/>
                <w:bCs/>
                <w:color w:val="000000" w:themeColor="text1"/>
                <w:kern w:val="24"/>
              </w:rPr>
            </w:pPr>
            <w:r w:rsidRPr="00E3169B">
              <w:rPr>
                <w:rFonts w:cs="Calibri"/>
                <w:b/>
                <w:bCs/>
                <w:color w:val="000000" w:themeColor="text1"/>
                <w:kern w:val="24"/>
              </w:rPr>
              <w:t>Targets ranging from those already achieved to those with low credibility</w:t>
            </w:r>
            <w:r w:rsidRPr="00E3169B">
              <w:rPr>
                <w:rFonts w:cs="Calibri"/>
                <w:b/>
                <w:bCs/>
                <w:strike/>
                <w:color w:val="000000" w:themeColor="text1"/>
                <w:kern w:val="24"/>
              </w:rPr>
              <w:t xml:space="preserve"> </w:t>
            </w:r>
            <w:r w:rsidR="00FC7819" w:rsidRPr="00E3169B">
              <w:rPr>
                <w:rFonts w:cs="Calibri"/>
                <w:b/>
                <w:bCs/>
                <w:strike/>
                <w:color w:val="000000" w:themeColor="text1"/>
                <w:kern w:val="24"/>
              </w:rPr>
              <w:t>More ambitious policy might be issued to overachieve dual carbon targets</w:t>
            </w:r>
          </w:p>
        </w:tc>
      </w:tr>
      <w:tr w:rsidR="00FC7819" w:rsidRPr="00610296" w14:paraId="3064D21E" w14:textId="77777777" w:rsidTr="001068B0">
        <w:tc>
          <w:tcPr>
            <w:tcW w:w="1985" w:type="dxa"/>
            <w:shd w:val="clear" w:color="auto" w:fill="FFFFFF" w:themeFill="background1"/>
          </w:tcPr>
          <w:p w14:paraId="5E7C3830" w14:textId="77777777" w:rsidR="00FC7819" w:rsidRPr="00610296" w:rsidRDefault="00FC7819" w:rsidP="001068B0">
            <w:pPr>
              <w:spacing w:line="259" w:lineRule="auto"/>
              <w:rPr>
                <w:rFonts w:eastAsia="DengXian" w:cs="Calibri"/>
              </w:rPr>
            </w:pPr>
            <w:r>
              <w:rPr>
                <w:rFonts w:eastAsia="DengXian" w:cs="Calibri" w:hint="eastAsia"/>
              </w:rPr>
              <w:t>Targets achieved</w:t>
            </w:r>
          </w:p>
        </w:tc>
        <w:tc>
          <w:tcPr>
            <w:tcW w:w="14317" w:type="dxa"/>
            <w:gridSpan w:val="4"/>
            <w:shd w:val="clear" w:color="auto" w:fill="D9D9D9" w:themeFill="background1" w:themeFillShade="D9"/>
          </w:tcPr>
          <w:p w14:paraId="31CD775C" w14:textId="77777777" w:rsidR="006E4628" w:rsidRPr="006E4628" w:rsidRDefault="006E4628" w:rsidP="006E4628">
            <w:pPr>
              <w:spacing w:line="259" w:lineRule="auto"/>
              <w:rPr>
                <w:rFonts w:eastAsia="DengXian" w:cs="Calibri"/>
                <w:b/>
                <w:bCs/>
              </w:rPr>
            </w:pPr>
            <w:r w:rsidRPr="006E4628">
              <w:rPr>
                <w:rFonts w:eastAsia="DengXian" w:cs="Calibri"/>
                <w:b/>
                <w:bCs/>
              </w:rPr>
              <w:t>By 2025, annual crude oil production will stabilize at around 200 million tons.</w:t>
            </w:r>
          </w:p>
          <w:p w14:paraId="7AFE4F33" w14:textId="77777777" w:rsidR="006E4628" w:rsidRPr="006E4628" w:rsidRDefault="006E4628" w:rsidP="006E4628">
            <w:pPr>
              <w:spacing w:line="259" w:lineRule="auto"/>
              <w:rPr>
                <w:rFonts w:eastAsia="DengXian" w:cs="Calibri"/>
                <w:b/>
                <w:bCs/>
              </w:rPr>
            </w:pPr>
            <w:r w:rsidRPr="006E4628">
              <w:rPr>
                <w:rFonts w:eastAsia="DengXian" w:cs="Calibri"/>
                <w:b/>
                <w:bCs/>
              </w:rPr>
              <w:t>By 2025, annual natural gas production will exceed 230 billion cubic meters.</w:t>
            </w:r>
          </w:p>
          <w:p w14:paraId="44AEF64D" w14:textId="77777777" w:rsidR="006E4628" w:rsidRPr="006E4628" w:rsidRDefault="006E4628" w:rsidP="006E4628">
            <w:pPr>
              <w:spacing w:line="259" w:lineRule="auto"/>
              <w:rPr>
                <w:rFonts w:eastAsia="DengXian" w:cs="Calibri"/>
                <w:b/>
                <w:bCs/>
              </w:rPr>
            </w:pPr>
            <w:r w:rsidRPr="006E4628">
              <w:rPr>
                <w:rFonts w:eastAsia="DengXian" w:cs="Calibri"/>
                <w:b/>
                <w:bCs/>
              </w:rPr>
              <w:t>By 2025, 100,000 to 200,000 tons of hydrogen will be produced from renewable energy annually.</w:t>
            </w:r>
          </w:p>
          <w:p w14:paraId="35BCAE77" w14:textId="77777777" w:rsidR="006E4628" w:rsidRPr="006E4628" w:rsidRDefault="006E4628" w:rsidP="006E4628">
            <w:pPr>
              <w:spacing w:line="259" w:lineRule="auto"/>
              <w:rPr>
                <w:rFonts w:eastAsia="DengXian" w:cs="Calibri"/>
                <w:b/>
                <w:bCs/>
              </w:rPr>
            </w:pPr>
            <w:r w:rsidRPr="006E4628">
              <w:rPr>
                <w:rFonts w:eastAsia="DengXian" w:cs="Calibri"/>
                <w:b/>
                <w:bCs/>
              </w:rPr>
              <w:t>By 2025, 33% of electricity will be generated from renewables.</w:t>
            </w:r>
          </w:p>
          <w:p w14:paraId="5403071D" w14:textId="77777777" w:rsidR="006E4628" w:rsidRPr="006E4628" w:rsidRDefault="006E4628" w:rsidP="006E4628">
            <w:pPr>
              <w:spacing w:line="259" w:lineRule="auto"/>
              <w:rPr>
                <w:rFonts w:eastAsia="DengXian" w:cs="Calibri"/>
                <w:b/>
                <w:bCs/>
              </w:rPr>
            </w:pPr>
            <w:r w:rsidRPr="006E4628">
              <w:rPr>
                <w:rFonts w:eastAsia="DengXian" w:cs="Calibri"/>
                <w:b/>
                <w:bCs/>
              </w:rPr>
              <w:t>By 2025, approximately 40 gigawatts of additional hydropower capacity will be installed from 2020 (360 GW).</w:t>
            </w:r>
          </w:p>
          <w:p w14:paraId="6AECEB0D" w14:textId="77777777" w:rsidR="006E4628" w:rsidRPr="006E4628" w:rsidRDefault="006E4628" w:rsidP="006E4628">
            <w:pPr>
              <w:spacing w:line="259" w:lineRule="auto"/>
              <w:rPr>
                <w:rFonts w:eastAsia="DengXian" w:cs="Calibri"/>
                <w:b/>
                <w:bCs/>
              </w:rPr>
            </w:pPr>
            <w:r w:rsidRPr="006E4628">
              <w:rPr>
                <w:rFonts w:eastAsia="DengXian" w:cs="Calibri"/>
                <w:b/>
                <w:bCs/>
              </w:rPr>
              <w:t>By 2025, the proportion of EAF in iron and steel production will increase to 15%.</w:t>
            </w:r>
          </w:p>
          <w:p w14:paraId="57E8BB78" w14:textId="77777777" w:rsidR="006E4628" w:rsidRPr="006E4628" w:rsidRDefault="006E4628" w:rsidP="006E4628">
            <w:pPr>
              <w:spacing w:line="259" w:lineRule="auto"/>
              <w:rPr>
                <w:rFonts w:eastAsia="DengXian" w:cs="Calibri"/>
                <w:b/>
                <w:bCs/>
              </w:rPr>
            </w:pPr>
            <w:r w:rsidRPr="006E4628">
              <w:rPr>
                <w:rFonts w:eastAsia="DengXian" w:cs="Calibri"/>
                <w:b/>
                <w:bCs/>
              </w:rPr>
              <w:t xml:space="preserve">By 2025, the average fuel consumption of new passenger cars will be reduced to 4.0 </w:t>
            </w:r>
            <w:proofErr w:type="spellStart"/>
            <w:r w:rsidRPr="006E4628">
              <w:rPr>
                <w:rFonts w:eastAsia="DengXian" w:cs="Calibri"/>
                <w:b/>
                <w:bCs/>
              </w:rPr>
              <w:t>liters</w:t>
            </w:r>
            <w:proofErr w:type="spellEnd"/>
            <w:r w:rsidRPr="006E4628">
              <w:rPr>
                <w:rFonts w:eastAsia="DengXian" w:cs="Calibri"/>
                <w:b/>
                <w:bCs/>
              </w:rPr>
              <w:t>/100 km.</w:t>
            </w:r>
          </w:p>
          <w:p w14:paraId="68A12680" w14:textId="77777777" w:rsidR="006E4628" w:rsidRPr="006E4628" w:rsidRDefault="006E4628" w:rsidP="006E4628">
            <w:pPr>
              <w:spacing w:line="259" w:lineRule="auto"/>
              <w:rPr>
                <w:rFonts w:eastAsia="DengXian" w:cs="Calibri"/>
                <w:b/>
                <w:bCs/>
              </w:rPr>
            </w:pPr>
            <w:r w:rsidRPr="006E4628">
              <w:rPr>
                <w:rFonts w:eastAsia="DengXian" w:cs="Calibri"/>
                <w:b/>
                <w:bCs/>
              </w:rPr>
              <w:t xml:space="preserve">By 2025, new energy buses are expected to account for 72% of all </w:t>
            </w:r>
            <w:proofErr w:type="gramStart"/>
            <w:r w:rsidRPr="006E4628">
              <w:rPr>
                <w:rFonts w:eastAsia="DengXian" w:cs="Calibri"/>
                <w:b/>
                <w:bCs/>
              </w:rPr>
              <w:t>surface</w:t>
            </w:r>
            <w:proofErr w:type="gramEnd"/>
            <w:r w:rsidRPr="006E4628">
              <w:rPr>
                <w:rFonts w:eastAsia="DengXian" w:cs="Calibri"/>
                <w:b/>
                <w:bCs/>
              </w:rPr>
              <w:t xml:space="preserve"> public transport vehicles in urban areas.</w:t>
            </w:r>
          </w:p>
          <w:p w14:paraId="3175EE49" w14:textId="77777777" w:rsidR="006E4628" w:rsidRPr="006E4628" w:rsidRDefault="006E4628" w:rsidP="006E4628">
            <w:pPr>
              <w:spacing w:line="259" w:lineRule="auto"/>
              <w:rPr>
                <w:rFonts w:eastAsia="DengXian" w:cs="Calibri"/>
                <w:b/>
                <w:bCs/>
              </w:rPr>
            </w:pPr>
            <w:r w:rsidRPr="006E4628">
              <w:rPr>
                <w:rFonts w:eastAsia="DengXian" w:cs="Calibri"/>
                <w:b/>
                <w:bCs/>
              </w:rPr>
              <w:t>By 2025, sales of new energy vehicles will account for about 20% of total new car sales.</w:t>
            </w:r>
          </w:p>
          <w:p w14:paraId="72370488" w14:textId="77777777" w:rsidR="006E4628" w:rsidRPr="006E4628" w:rsidRDefault="006E4628" w:rsidP="006E4628">
            <w:pPr>
              <w:spacing w:line="259" w:lineRule="auto"/>
              <w:rPr>
                <w:rFonts w:eastAsia="DengXian" w:cs="Calibri"/>
                <w:b/>
                <w:bCs/>
              </w:rPr>
            </w:pPr>
            <w:r w:rsidRPr="006E4628">
              <w:rPr>
                <w:rFonts w:eastAsia="DengXian" w:cs="Calibri"/>
                <w:b/>
                <w:bCs/>
              </w:rPr>
              <w:lastRenderedPageBreak/>
              <w:t>By 2030, the total installed capacity of wind and solar power will increase to over 1.2 billion kilowatts.</w:t>
            </w:r>
          </w:p>
          <w:p w14:paraId="57F0150F" w14:textId="30D67E99" w:rsidR="00FC7819" w:rsidRPr="00610296" w:rsidRDefault="006E4628" w:rsidP="006E4628">
            <w:pPr>
              <w:spacing w:line="259" w:lineRule="auto"/>
              <w:rPr>
                <w:rFonts w:eastAsia="DengXian" w:cs="Calibri"/>
              </w:rPr>
            </w:pPr>
            <w:r w:rsidRPr="006E4628">
              <w:rPr>
                <w:rFonts w:eastAsia="DengXian" w:cs="Calibri"/>
                <w:b/>
                <w:bCs/>
              </w:rPr>
              <w:t xml:space="preserve">By 2030, the average fuel consumption of new passenger cars will be reduced to 3.2 </w:t>
            </w:r>
            <w:proofErr w:type="spellStart"/>
            <w:r w:rsidRPr="006E4628">
              <w:rPr>
                <w:rFonts w:eastAsia="DengXian" w:cs="Calibri"/>
                <w:b/>
                <w:bCs/>
              </w:rPr>
              <w:t>liters</w:t>
            </w:r>
            <w:proofErr w:type="spellEnd"/>
            <w:r w:rsidRPr="006E4628">
              <w:rPr>
                <w:rFonts w:eastAsia="DengXian" w:cs="Calibri"/>
                <w:b/>
                <w:bCs/>
              </w:rPr>
              <w:t>/100 km.</w:t>
            </w:r>
          </w:p>
        </w:tc>
      </w:tr>
      <w:tr w:rsidR="00FC7819" w:rsidRPr="00610296" w14:paraId="6DD1CD1C" w14:textId="77777777" w:rsidTr="00A94E04">
        <w:trPr>
          <w:trHeight w:val="2911"/>
        </w:trPr>
        <w:tc>
          <w:tcPr>
            <w:tcW w:w="5529" w:type="dxa"/>
            <w:gridSpan w:val="2"/>
          </w:tcPr>
          <w:p w14:paraId="26DD916E" w14:textId="77777777" w:rsidR="00FC7819" w:rsidRPr="00610296" w:rsidRDefault="00FC7819" w:rsidP="001068B0">
            <w:pPr>
              <w:spacing w:line="259" w:lineRule="auto"/>
              <w:rPr>
                <w:rFonts w:eastAsia="DengXian" w:cs="Calibri"/>
                <w:color w:val="FF8585"/>
              </w:rPr>
            </w:pPr>
            <w:r w:rsidRPr="00610296">
              <w:rPr>
                <w:rFonts w:cs="Calibri"/>
                <w:b/>
                <w:bCs/>
                <w:color w:val="FF8585"/>
              </w:rPr>
              <w:lastRenderedPageBreak/>
              <w:t xml:space="preserve">Policy with </w:t>
            </w:r>
            <w:r>
              <w:rPr>
                <w:rFonts w:cs="Calibri" w:hint="eastAsia"/>
                <w:b/>
                <w:bCs/>
                <w:color w:val="FF8585"/>
              </w:rPr>
              <w:t>high</w:t>
            </w:r>
            <w:r w:rsidRPr="00610296">
              <w:rPr>
                <w:rFonts w:cs="Calibri"/>
                <w:b/>
                <w:bCs/>
                <w:color w:val="FF8585"/>
              </w:rPr>
              <w:t xml:space="preserve"> credibility implemented</w:t>
            </w:r>
          </w:p>
        </w:tc>
        <w:tc>
          <w:tcPr>
            <w:tcW w:w="10773" w:type="dxa"/>
            <w:gridSpan w:val="3"/>
            <w:shd w:val="clear" w:color="auto" w:fill="FF8585"/>
          </w:tcPr>
          <w:p w14:paraId="7BCA76E1" w14:textId="2FBE297C" w:rsidR="00AF44D0" w:rsidRPr="00AF44D0" w:rsidRDefault="00AF44D0" w:rsidP="00AF44D0">
            <w:pPr>
              <w:spacing w:line="259" w:lineRule="auto"/>
              <w:rPr>
                <w:rFonts w:eastAsia="DengXian" w:cs="Calibri"/>
              </w:rPr>
            </w:pPr>
            <w:r w:rsidRPr="00AF44D0">
              <w:rPr>
                <w:rFonts w:eastAsia="DengXian" w:cs="Calibri"/>
              </w:rPr>
              <w:t>By 2025, total renewable energy consumption will reach about 1 billion tons of standard coal (~29,300 PJ).</w:t>
            </w:r>
          </w:p>
          <w:p w14:paraId="1F373DF6" w14:textId="13C5B209" w:rsidR="00AF44D0" w:rsidRPr="00AF44D0" w:rsidRDefault="00AF44D0" w:rsidP="00AF44D0">
            <w:pPr>
              <w:spacing w:line="259" w:lineRule="auto"/>
              <w:rPr>
                <w:rFonts w:eastAsia="DengXian" w:cs="Calibri"/>
              </w:rPr>
            </w:pPr>
            <w:r w:rsidRPr="00AF44D0">
              <w:rPr>
                <w:rFonts w:eastAsia="DengXian" w:cs="Calibri"/>
              </w:rPr>
              <w:t>By 2025, total renewable energy consumption will account for about 18% of primary energy consumption.</w:t>
            </w:r>
          </w:p>
          <w:p w14:paraId="297CD106" w14:textId="0CFCBB7E" w:rsidR="00AF44D0" w:rsidRPr="00AF44D0" w:rsidRDefault="00AF44D0" w:rsidP="00AF44D0">
            <w:pPr>
              <w:spacing w:line="259" w:lineRule="auto"/>
              <w:rPr>
                <w:rFonts w:eastAsia="DengXian" w:cs="Calibri"/>
              </w:rPr>
            </w:pPr>
            <w:r w:rsidRPr="00AF44D0">
              <w:rPr>
                <w:rFonts w:eastAsia="DengXian" w:cs="Calibri"/>
              </w:rPr>
              <w:t>By 2025, total installed power generation capacity will reach approximately 3,000 gigawatts (GW).</w:t>
            </w:r>
          </w:p>
          <w:p w14:paraId="201BDE89" w14:textId="14BF6449" w:rsidR="00AF44D0" w:rsidRPr="00AF44D0" w:rsidRDefault="00AF44D0" w:rsidP="00AF44D0">
            <w:pPr>
              <w:spacing w:line="259" w:lineRule="auto"/>
              <w:rPr>
                <w:rFonts w:eastAsia="DengXian" w:cs="Calibri"/>
              </w:rPr>
            </w:pPr>
            <w:r w:rsidRPr="00AF44D0">
              <w:rPr>
                <w:rFonts w:eastAsia="DengXian" w:cs="Calibri"/>
              </w:rPr>
              <w:t>By 2025, 18% of electricity will come from non-hydropower renewables.</w:t>
            </w:r>
          </w:p>
          <w:p w14:paraId="535DF545" w14:textId="68FB99B6" w:rsidR="00AF44D0" w:rsidRPr="00AF44D0" w:rsidRDefault="00AF44D0" w:rsidP="00AF44D0">
            <w:pPr>
              <w:spacing w:line="259" w:lineRule="auto"/>
              <w:rPr>
                <w:rFonts w:eastAsia="DengXian" w:cs="Calibri"/>
              </w:rPr>
            </w:pPr>
            <w:r w:rsidRPr="00AF44D0">
              <w:rPr>
                <w:rFonts w:eastAsia="DengXian" w:cs="Calibri"/>
              </w:rPr>
              <w:t>By 2025, domestic capacity for primary refining of crude oil will be kept below 1 billion metric tons (20 million b/d), and the utilization rate of production capacity for main products will rise to 80% or more.</w:t>
            </w:r>
          </w:p>
          <w:p w14:paraId="00964C24" w14:textId="375A8A53" w:rsidR="00AF44D0" w:rsidRPr="00AF44D0" w:rsidRDefault="00AF44D0" w:rsidP="00AF44D0">
            <w:pPr>
              <w:spacing w:line="259" w:lineRule="auto"/>
              <w:rPr>
                <w:rFonts w:eastAsia="DengXian" w:cs="Calibri"/>
              </w:rPr>
            </w:pPr>
            <w:r w:rsidRPr="00AF44D0">
              <w:rPr>
                <w:rFonts w:eastAsia="DengXian" w:cs="Calibri"/>
              </w:rPr>
              <w:t>By 2030, CO₂ emissions per unit of GDP will be reduced by over 65% from the 2005 level.</w:t>
            </w:r>
          </w:p>
          <w:p w14:paraId="3E2C36BD" w14:textId="170D58A6" w:rsidR="00AF44D0" w:rsidRPr="00AF44D0" w:rsidRDefault="00AF44D0" w:rsidP="00AF44D0">
            <w:pPr>
              <w:spacing w:line="259" w:lineRule="auto"/>
              <w:rPr>
                <w:rFonts w:eastAsia="DengXian" w:cs="Calibri"/>
              </w:rPr>
            </w:pPr>
            <w:r w:rsidRPr="00AF44D0">
              <w:rPr>
                <w:rFonts w:eastAsia="DengXian" w:cs="Calibri"/>
              </w:rPr>
              <w:t>By 2030, approximately 40 gigawatts of additional hydropower capacity will be installed from 2020 (360 GW).</w:t>
            </w:r>
          </w:p>
          <w:p w14:paraId="5108368A" w14:textId="196372A3" w:rsidR="00AF44D0" w:rsidRPr="00AF44D0" w:rsidRDefault="00AF44D0" w:rsidP="00AF44D0">
            <w:pPr>
              <w:spacing w:line="259" w:lineRule="auto"/>
              <w:rPr>
                <w:rFonts w:eastAsia="DengXian" w:cs="Calibri"/>
              </w:rPr>
            </w:pPr>
            <w:r w:rsidRPr="00AF44D0">
              <w:rPr>
                <w:rFonts w:eastAsia="DengXian" w:cs="Calibri"/>
              </w:rPr>
              <w:t xml:space="preserve">By 2030, the share of incremental vehicles </w:t>
            </w:r>
            <w:proofErr w:type="spellStart"/>
            <w:r w:rsidRPr="00AF44D0">
              <w:rPr>
                <w:rFonts w:eastAsia="DengXian" w:cs="Calibri"/>
              </w:rPr>
              <w:t>fueled</w:t>
            </w:r>
            <w:proofErr w:type="spellEnd"/>
            <w:r w:rsidRPr="00AF44D0">
              <w:rPr>
                <w:rFonts w:eastAsia="DengXian" w:cs="Calibri"/>
              </w:rPr>
              <w:t xml:space="preserve"> by new and clean energy will reach around 40%.</w:t>
            </w:r>
          </w:p>
          <w:p w14:paraId="4785A9D9" w14:textId="43212B38" w:rsidR="00FC7819" w:rsidRPr="00610296" w:rsidRDefault="00AF44D0" w:rsidP="00AF44D0">
            <w:pPr>
              <w:rPr>
                <w:rFonts w:cs="Calibri"/>
              </w:rPr>
            </w:pPr>
            <w:r w:rsidRPr="00AF44D0">
              <w:rPr>
                <w:rFonts w:eastAsia="DengXian" w:cs="Calibri"/>
              </w:rPr>
              <w:t>By 2030, 100% of public vehicles will be electrified.</w:t>
            </w:r>
          </w:p>
        </w:tc>
      </w:tr>
      <w:tr w:rsidR="00FC7819" w:rsidRPr="00610296" w14:paraId="49663C85" w14:textId="77777777" w:rsidTr="001068B0">
        <w:tc>
          <w:tcPr>
            <w:tcW w:w="8931" w:type="dxa"/>
            <w:gridSpan w:val="3"/>
          </w:tcPr>
          <w:p w14:paraId="24B69EDD" w14:textId="77777777" w:rsidR="00FC7819" w:rsidRPr="00610296" w:rsidRDefault="00FC7819" w:rsidP="001068B0">
            <w:pPr>
              <w:spacing w:line="259" w:lineRule="auto"/>
              <w:rPr>
                <w:rFonts w:eastAsia="DengXian" w:cs="Calibri"/>
                <w:color w:val="4C94D8" w:themeColor="text2" w:themeTint="80"/>
              </w:rPr>
            </w:pPr>
            <w:r w:rsidRPr="0074064A">
              <w:rPr>
                <w:rFonts w:cs="Calibri"/>
                <w:b/>
                <w:bCs/>
                <w:color w:val="0F9ED5" w:themeColor="accent4"/>
              </w:rPr>
              <w:t xml:space="preserve">Policy with </w:t>
            </w:r>
            <w:r w:rsidRPr="0074064A">
              <w:rPr>
                <w:rFonts w:cs="Calibri" w:hint="eastAsia"/>
                <w:b/>
                <w:bCs/>
                <w:color w:val="0F9ED5" w:themeColor="accent4"/>
              </w:rPr>
              <w:t>high</w:t>
            </w:r>
            <w:r w:rsidRPr="0074064A">
              <w:rPr>
                <w:rFonts w:cs="Calibri"/>
                <w:b/>
                <w:bCs/>
                <w:color w:val="0F9ED5" w:themeColor="accent4"/>
              </w:rPr>
              <w:t xml:space="preserve"> credibility implemented</w:t>
            </w:r>
          </w:p>
        </w:tc>
        <w:tc>
          <w:tcPr>
            <w:tcW w:w="7371" w:type="dxa"/>
            <w:gridSpan w:val="2"/>
            <w:shd w:val="clear" w:color="auto" w:fill="A5C9EB" w:themeFill="text2" w:themeFillTint="40"/>
          </w:tcPr>
          <w:p w14:paraId="06146F2E" w14:textId="77777777" w:rsidR="009D2135" w:rsidRPr="009D2135" w:rsidRDefault="009D2135" w:rsidP="009D2135">
            <w:pPr>
              <w:spacing w:line="259" w:lineRule="auto"/>
              <w:rPr>
                <w:rFonts w:eastAsia="DengXian" w:cs="Calibri"/>
              </w:rPr>
            </w:pPr>
            <w:r w:rsidRPr="009D2135">
              <w:rPr>
                <w:rFonts w:eastAsia="DengXian" w:cs="Calibri"/>
              </w:rPr>
              <w:t>By 2025, energy consumption per unit of GDP will be lowered by 13.5% from the 2020 level.</w:t>
            </w:r>
          </w:p>
          <w:p w14:paraId="5EB251CE" w14:textId="6B877176" w:rsidR="009D2135" w:rsidRPr="009D2135" w:rsidRDefault="009D2135" w:rsidP="009D2135">
            <w:pPr>
              <w:spacing w:line="259" w:lineRule="auto"/>
              <w:rPr>
                <w:rFonts w:eastAsia="DengXian" w:cs="Calibri"/>
              </w:rPr>
            </w:pPr>
            <w:r w:rsidRPr="009D2135">
              <w:rPr>
                <w:rFonts w:eastAsia="DengXian" w:cs="Calibri"/>
              </w:rPr>
              <w:t>By 2025, carbon dioxide (CO₂) emissions per unit of GDP will be lowered by 18% from the 2020 level.</w:t>
            </w:r>
          </w:p>
          <w:p w14:paraId="699F678E" w14:textId="673CDE90" w:rsidR="009D2135" w:rsidRPr="009D2135" w:rsidRDefault="009D2135" w:rsidP="009D2135">
            <w:pPr>
              <w:spacing w:line="259" w:lineRule="auto"/>
              <w:rPr>
                <w:rFonts w:eastAsia="DengXian" w:cs="Calibri"/>
              </w:rPr>
            </w:pPr>
            <w:r w:rsidRPr="009D2135">
              <w:rPr>
                <w:rFonts w:eastAsia="DengXian" w:cs="Calibri"/>
              </w:rPr>
              <w:t>By 2025, the share of non-fossil energy consumption will have reached around 20%.</w:t>
            </w:r>
          </w:p>
          <w:p w14:paraId="0230CE82" w14:textId="247689E8" w:rsidR="009D2135" w:rsidRPr="009D2135" w:rsidRDefault="009D2135" w:rsidP="009D2135">
            <w:pPr>
              <w:spacing w:line="259" w:lineRule="auto"/>
              <w:rPr>
                <w:rFonts w:eastAsia="DengXian" w:cs="Calibri"/>
              </w:rPr>
            </w:pPr>
            <w:r w:rsidRPr="009D2135">
              <w:rPr>
                <w:rFonts w:eastAsia="DengXian" w:cs="Calibri"/>
              </w:rPr>
              <w:t>By 2025, renewable energy will account for more than 50% of the incremental primary energy consumption.</w:t>
            </w:r>
          </w:p>
          <w:p w14:paraId="2FFFF476" w14:textId="4ABB3B41" w:rsidR="009D2135" w:rsidRPr="009D2135" w:rsidRDefault="009D2135" w:rsidP="009D2135">
            <w:pPr>
              <w:spacing w:line="259" w:lineRule="auto"/>
              <w:rPr>
                <w:rFonts w:eastAsia="DengXian" w:cs="Calibri"/>
              </w:rPr>
            </w:pPr>
            <w:r w:rsidRPr="009D2135">
              <w:rPr>
                <w:rFonts w:eastAsia="DengXian" w:cs="Calibri"/>
              </w:rPr>
              <w:t>By 2025, the non-electric utilization of renewable energy (including geothermal heating, biomass heating, biomass fuels, and solar thermal utilization) will reach over 60 million tons of standard coal (~1,758 PJ).</w:t>
            </w:r>
          </w:p>
          <w:p w14:paraId="2F451C0A" w14:textId="29445CAA" w:rsidR="009D2135" w:rsidRPr="009D2135" w:rsidRDefault="009D2135" w:rsidP="009D2135">
            <w:pPr>
              <w:spacing w:line="259" w:lineRule="auto"/>
              <w:rPr>
                <w:rFonts w:eastAsia="DengXian" w:cs="Calibri"/>
              </w:rPr>
            </w:pPr>
            <w:r w:rsidRPr="009D2135">
              <w:rPr>
                <w:rFonts w:eastAsia="DengXian" w:cs="Calibri"/>
              </w:rPr>
              <w:t>By 2025, power generation from renewable energy will reach approximately 3,300 TWh.</w:t>
            </w:r>
          </w:p>
          <w:p w14:paraId="18351C3A" w14:textId="7CBC7C93" w:rsidR="009D2135" w:rsidRPr="009D2135" w:rsidRDefault="009D2135" w:rsidP="009D2135">
            <w:pPr>
              <w:spacing w:line="259" w:lineRule="auto"/>
              <w:rPr>
                <w:rFonts w:eastAsia="DengXian" w:cs="Calibri"/>
              </w:rPr>
            </w:pPr>
            <w:r w:rsidRPr="009D2135">
              <w:rPr>
                <w:rFonts w:eastAsia="DengXian" w:cs="Calibri"/>
              </w:rPr>
              <w:t>By 2025, the amount of recycled steel will reach 320 million tons, updated to 300 million tons in the newest policy of 2024.</w:t>
            </w:r>
          </w:p>
          <w:p w14:paraId="3A26BC25" w14:textId="7390F5F2" w:rsidR="009D2135" w:rsidRPr="009D2135" w:rsidRDefault="009D2135" w:rsidP="009D2135">
            <w:pPr>
              <w:spacing w:line="259" w:lineRule="auto"/>
              <w:rPr>
                <w:rFonts w:eastAsia="DengXian" w:cs="Calibri"/>
              </w:rPr>
            </w:pPr>
            <w:r w:rsidRPr="009D2135">
              <w:rPr>
                <w:rFonts w:eastAsia="DengXian" w:cs="Calibri"/>
              </w:rPr>
              <w:t>By 2025, carbon intensity of transportation will be reduced by 5% compared to 2020.</w:t>
            </w:r>
          </w:p>
          <w:p w14:paraId="2F0E5EF2" w14:textId="28DEBDC3" w:rsidR="009D2135" w:rsidRPr="009D2135" w:rsidRDefault="009D2135" w:rsidP="009D2135">
            <w:pPr>
              <w:spacing w:line="259" w:lineRule="auto"/>
              <w:rPr>
                <w:rFonts w:eastAsia="DengXian" w:cs="Calibri"/>
              </w:rPr>
            </w:pPr>
            <w:r w:rsidRPr="009D2135">
              <w:rPr>
                <w:rFonts w:eastAsia="DengXian" w:cs="Calibri" w:hint="eastAsia"/>
              </w:rPr>
              <w:lastRenderedPageBreak/>
              <w:t xml:space="preserve">By 2025, the average electricity consumption of new passenger BEVs will be </w:t>
            </w:r>
            <w:r w:rsidRPr="009D2135">
              <w:rPr>
                <w:rFonts w:eastAsia="DengXian" w:cs="Calibri" w:hint="eastAsia"/>
              </w:rPr>
              <w:t>≥</w:t>
            </w:r>
            <w:r w:rsidRPr="009D2135">
              <w:rPr>
                <w:rFonts w:eastAsia="DengXian" w:cs="Calibri" w:hint="eastAsia"/>
              </w:rPr>
              <w:t>12.0 kWh/100 km.</w:t>
            </w:r>
          </w:p>
          <w:p w14:paraId="724E3F34" w14:textId="118F91CB" w:rsidR="009D2135" w:rsidRPr="009D2135" w:rsidRDefault="009D2135" w:rsidP="009D2135">
            <w:pPr>
              <w:spacing w:line="259" w:lineRule="auto"/>
              <w:rPr>
                <w:rFonts w:eastAsia="DengXian" w:cs="Calibri"/>
              </w:rPr>
            </w:pPr>
            <w:r w:rsidRPr="009D2135">
              <w:rPr>
                <w:rFonts w:eastAsia="DengXian" w:cs="Calibri"/>
              </w:rPr>
              <w:t>By 2025, the share of electricity consumption in building energy consumption will exceed 55%.</w:t>
            </w:r>
          </w:p>
          <w:p w14:paraId="083A93F1" w14:textId="736BFE23" w:rsidR="009D2135" w:rsidRPr="009D2135" w:rsidRDefault="009D2135" w:rsidP="009D2135">
            <w:pPr>
              <w:spacing w:line="259" w:lineRule="auto"/>
              <w:rPr>
                <w:rFonts w:eastAsia="DengXian" w:cs="Calibri"/>
              </w:rPr>
            </w:pPr>
            <w:r w:rsidRPr="009D2135">
              <w:rPr>
                <w:rFonts w:eastAsia="DengXian" w:cs="Calibri"/>
              </w:rPr>
              <w:t>By 2025, renewable energy use in urban buildings will reach 8%.</w:t>
            </w:r>
          </w:p>
          <w:p w14:paraId="1BE41B43" w14:textId="780B04C8" w:rsidR="009D2135" w:rsidRPr="009D2135" w:rsidRDefault="009D2135" w:rsidP="009D2135">
            <w:pPr>
              <w:spacing w:line="259" w:lineRule="auto"/>
              <w:rPr>
                <w:rFonts w:eastAsia="DengXian" w:cs="Calibri"/>
              </w:rPr>
            </w:pPr>
            <w:r w:rsidRPr="009D2135">
              <w:rPr>
                <w:rFonts w:eastAsia="DengXian" w:cs="Calibri"/>
              </w:rPr>
              <w:t>By 2030, China will strive to reach a peak in petroleum consumption for land transportation.</w:t>
            </w:r>
          </w:p>
          <w:p w14:paraId="468A93D4" w14:textId="3550972F" w:rsidR="009D2135" w:rsidRPr="009D2135" w:rsidRDefault="009D2135" w:rsidP="009D2135">
            <w:pPr>
              <w:spacing w:line="259" w:lineRule="auto"/>
              <w:rPr>
                <w:rFonts w:eastAsia="DengXian" w:cs="Calibri"/>
              </w:rPr>
            </w:pPr>
            <w:r w:rsidRPr="009D2135">
              <w:rPr>
                <w:rFonts w:eastAsia="DengXian" w:cs="Calibri"/>
              </w:rPr>
              <w:t>By 2030, China will timely achieve its carbon peak.</w:t>
            </w:r>
          </w:p>
          <w:p w14:paraId="0D030F14" w14:textId="4D560E05" w:rsidR="005F1F86" w:rsidRPr="00610296" w:rsidRDefault="009D2135" w:rsidP="009D2135">
            <w:pPr>
              <w:spacing w:line="259" w:lineRule="auto"/>
              <w:rPr>
                <w:rFonts w:eastAsia="DengXian" w:cs="Calibri"/>
              </w:rPr>
            </w:pPr>
            <w:r w:rsidRPr="009D2135">
              <w:rPr>
                <w:rFonts w:eastAsia="DengXian" w:cs="Calibri"/>
              </w:rPr>
              <w:t>By 2060, China will timely achieve carbon neutrality (net zero).</w:t>
            </w:r>
          </w:p>
        </w:tc>
      </w:tr>
      <w:tr w:rsidR="00FC7819" w:rsidRPr="00610296" w14:paraId="6BAB30DC" w14:textId="77777777" w:rsidTr="003D3317">
        <w:trPr>
          <w:trHeight w:val="274"/>
        </w:trPr>
        <w:tc>
          <w:tcPr>
            <w:tcW w:w="12333" w:type="dxa"/>
            <w:gridSpan w:val="4"/>
          </w:tcPr>
          <w:p w14:paraId="722C9461" w14:textId="77777777" w:rsidR="00FC7819" w:rsidRPr="00610296" w:rsidRDefault="00FC7819" w:rsidP="001068B0">
            <w:pPr>
              <w:spacing w:line="259" w:lineRule="auto"/>
              <w:rPr>
                <w:rFonts w:eastAsia="DengXian" w:cs="Calibri"/>
              </w:rPr>
            </w:pPr>
            <w:r>
              <w:rPr>
                <w:rFonts w:cs="Calibri" w:hint="eastAsia"/>
                <w:b/>
                <w:bCs/>
                <w:color w:val="4EA72E" w:themeColor="accent6"/>
              </w:rPr>
              <w:lastRenderedPageBreak/>
              <w:t xml:space="preserve">Policy with low </w:t>
            </w:r>
            <w:r>
              <w:rPr>
                <w:rFonts w:cs="Calibri"/>
                <w:b/>
                <w:bCs/>
                <w:color w:val="4EA72E" w:themeColor="accent6"/>
              </w:rPr>
              <w:t>credi</w:t>
            </w:r>
            <w:r>
              <w:rPr>
                <w:rFonts w:cs="Calibri" w:hint="eastAsia"/>
                <w:b/>
                <w:bCs/>
                <w:color w:val="4EA72E" w:themeColor="accent6"/>
              </w:rPr>
              <w:t>bility implemented</w:t>
            </w:r>
          </w:p>
        </w:tc>
        <w:tc>
          <w:tcPr>
            <w:tcW w:w="3969" w:type="dxa"/>
            <w:shd w:val="clear" w:color="auto" w:fill="D9F2D0" w:themeFill="accent6" w:themeFillTint="33"/>
          </w:tcPr>
          <w:p w14:paraId="733E53A1" w14:textId="6AA899ED" w:rsidR="00285194" w:rsidRPr="00285194" w:rsidRDefault="00285194" w:rsidP="00285194">
            <w:pPr>
              <w:spacing w:line="259" w:lineRule="auto"/>
              <w:rPr>
                <w:rFonts w:eastAsia="DengXian" w:cs="Calibri"/>
                <w:b/>
                <w:bCs/>
              </w:rPr>
            </w:pPr>
            <w:r w:rsidRPr="00285194">
              <w:rPr>
                <w:rFonts w:eastAsia="DengXian" w:cs="Calibri"/>
                <w:b/>
                <w:bCs/>
              </w:rPr>
              <w:t>By 2025, electricity is expected to account for about 30% of end-use energy consumption.</w:t>
            </w:r>
          </w:p>
          <w:p w14:paraId="64B17908" w14:textId="7BC96E6E" w:rsidR="00285194" w:rsidRPr="00285194" w:rsidRDefault="00285194" w:rsidP="00285194">
            <w:pPr>
              <w:spacing w:line="259" w:lineRule="auto"/>
              <w:rPr>
                <w:rFonts w:eastAsia="DengXian" w:cs="Calibri"/>
                <w:b/>
                <w:bCs/>
              </w:rPr>
            </w:pPr>
            <w:r w:rsidRPr="00285194">
              <w:rPr>
                <w:rFonts w:eastAsia="DengXian" w:cs="Calibri"/>
                <w:b/>
                <w:bCs/>
              </w:rPr>
              <w:t>By 2025, the proportion of non-fossil energy in power generation will reach about 39%.</w:t>
            </w:r>
          </w:p>
          <w:p w14:paraId="6434117A" w14:textId="72765C4A" w:rsidR="00285194" w:rsidRPr="00285194" w:rsidRDefault="00285194" w:rsidP="00285194">
            <w:pPr>
              <w:spacing w:line="259" w:lineRule="auto"/>
              <w:rPr>
                <w:rFonts w:eastAsia="DengXian" w:cs="Calibri"/>
                <w:b/>
                <w:bCs/>
              </w:rPr>
            </w:pPr>
            <w:r w:rsidRPr="00285194">
              <w:rPr>
                <w:rFonts w:eastAsia="DengXian" w:cs="Calibri"/>
                <w:b/>
                <w:bCs/>
              </w:rPr>
              <w:t>By 2025, the operational installed capacity of nuclear power will reach approximately 70 GW.</w:t>
            </w:r>
          </w:p>
          <w:p w14:paraId="6249B924" w14:textId="77084E2E" w:rsidR="00285194" w:rsidRPr="00285194" w:rsidRDefault="00285194" w:rsidP="00285194">
            <w:pPr>
              <w:spacing w:line="259" w:lineRule="auto"/>
              <w:rPr>
                <w:rFonts w:eastAsia="DengXian" w:cs="Calibri"/>
                <w:b/>
                <w:bCs/>
              </w:rPr>
            </w:pPr>
            <w:r w:rsidRPr="00285194">
              <w:rPr>
                <w:rFonts w:eastAsia="DengXian" w:cs="Calibri"/>
                <w:b/>
                <w:bCs/>
              </w:rPr>
              <w:t>By 2025, CO₂ emissions per unit of industrial added value will be reduced by 18%.</w:t>
            </w:r>
          </w:p>
          <w:p w14:paraId="48789927" w14:textId="68135053" w:rsidR="00285194" w:rsidRPr="00285194" w:rsidRDefault="00285194" w:rsidP="00285194">
            <w:pPr>
              <w:spacing w:line="259" w:lineRule="auto"/>
              <w:rPr>
                <w:rFonts w:eastAsia="DengXian" w:cs="Calibri"/>
                <w:b/>
                <w:bCs/>
              </w:rPr>
            </w:pPr>
            <w:r w:rsidRPr="00285194">
              <w:rPr>
                <w:rFonts w:eastAsia="DengXian" w:cs="Calibri"/>
                <w:b/>
                <w:bCs/>
              </w:rPr>
              <w:t>By 2025, comprehensive energy consumption per ton of steel will be reduced by over 2% compared to 2020 (in 2024, it has been updated to decrease energy intensity by 2% compared to 2023).</w:t>
            </w:r>
          </w:p>
          <w:p w14:paraId="4DC38B14" w14:textId="14D6C10D" w:rsidR="00285194" w:rsidRPr="00285194" w:rsidRDefault="00285194" w:rsidP="00285194">
            <w:pPr>
              <w:spacing w:line="259" w:lineRule="auto"/>
              <w:rPr>
                <w:rFonts w:eastAsia="DengXian" w:cs="Calibri"/>
                <w:b/>
                <w:bCs/>
              </w:rPr>
            </w:pPr>
            <w:r w:rsidRPr="00285194">
              <w:rPr>
                <w:rFonts w:eastAsia="DengXian" w:cs="Calibri"/>
                <w:b/>
                <w:bCs/>
              </w:rPr>
              <w:t>By 2025, the energy consumption per unit of industrial added value in large-</w:t>
            </w:r>
            <w:r w:rsidRPr="00285194">
              <w:rPr>
                <w:rFonts w:eastAsia="DengXian" w:cs="Calibri"/>
                <w:b/>
                <w:bCs/>
              </w:rPr>
              <w:lastRenderedPageBreak/>
              <w:t>scale industries is expected to decrease by 13.5% compared to 2020.</w:t>
            </w:r>
          </w:p>
          <w:p w14:paraId="6D661C00" w14:textId="2779E68E" w:rsidR="00285194" w:rsidRPr="00285194" w:rsidRDefault="00285194" w:rsidP="00285194">
            <w:pPr>
              <w:spacing w:line="259" w:lineRule="auto"/>
              <w:rPr>
                <w:rFonts w:eastAsia="DengXian" w:cs="Calibri"/>
                <w:b/>
                <w:bCs/>
              </w:rPr>
            </w:pPr>
            <w:r w:rsidRPr="00285194">
              <w:rPr>
                <w:rFonts w:eastAsia="DengXian" w:cs="Calibri"/>
                <w:b/>
                <w:bCs/>
              </w:rPr>
              <w:t>By 2025, electricity is expected to account for approximately 30% of industrial end-use energy consumption.</w:t>
            </w:r>
          </w:p>
          <w:p w14:paraId="07A5C43A" w14:textId="16A97B87" w:rsidR="00285194" w:rsidRPr="00285194" w:rsidRDefault="00285194" w:rsidP="00285194">
            <w:pPr>
              <w:spacing w:line="259" w:lineRule="auto"/>
              <w:rPr>
                <w:rFonts w:eastAsia="DengXian" w:cs="Calibri"/>
                <w:b/>
                <w:bCs/>
              </w:rPr>
            </w:pPr>
            <w:r w:rsidRPr="00285194">
              <w:rPr>
                <w:rFonts w:eastAsia="DengXian" w:cs="Calibri"/>
                <w:b/>
                <w:bCs/>
              </w:rPr>
              <w:t>Before 2030, China will achieve its carbon peak (assumed to be 2025).</w:t>
            </w:r>
          </w:p>
          <w:p w14:paraId="3D18B5DA" w14:textId="291543A8" w:rsidR="00285194" w:rsidRPr="00285194" w:rsidRDefault="00285194" w:rsidP="00285194">
            <w:pPr>
              <w:spacing w:line="259" w:lineRule="auto"/>
              <w:rPr>
                <w:rFonts w:eastAsia="DengXian" w:cs="Calibri"/>
                <w:b/>
                <w:bCs/>
              </w:rPr>
            </w:pPr>
            <w:r w:rsidRPr="00285194">
              <w:rPr>
                <w:rFonts w:eastAsia="DengXian" w:cs="Calibri"/>
                <w:b/>
                <w:bCs/>
              </w:rPr>
              <w:t>By 2030, the share of non-fossil fuels in primary energy consumption will increase to around 25%.</w:t>
            </w:r>
          </w:p>
          <w:p w14:paraId="7E8D4B3B" w14:textId="111EA8A3" w:rsidR="00285194" w:rsidRPr="00285194" w:rsidRDefault="00285194" w:rsidP="00285194">
            <w:pPr>
              <w:spacing w:line="259" w:lineRule="auto"/>
              <w:rPr>
                <w:rFonts w:eastAsia="DengXian" w:cs="Calibri"/>
                <w:b/>
                <w:bCs/>
              </w:rPr>
            </w:pPr>
            <w:r w:rsidRPr="00285194">
              <w:rPr>
                <w:rFonts w:eastAsia="DengXian" w:cs="Calibri"/>
                <w:b/>
                <w:bCs/>
              </w:rPr>
              <w:t>By 2030, the proportion of EAF in iron and steel production will be increased to over 20%.</w:t>
            </w:r>
          </w:p>
          <w:p w14:paraId="5002D758" w14:textId="0F53AF2A" w:rsidR="00285194" w:rsidRPr="00285194" w:rsidRDefault="00285194" w:rsidP="00285194">
            <w:pPr>
              <w:spacing w:line="259" w:lineRule="auto"/>
              <w:rPr>
                <w:rFonts w:eastAsia="DengXian" w:cs="Calibri"/>
                <w:b/>
                <w:bCs/>
              </w:rPr>
            </w:pPr>
            <w:r w:rsidRPr="00285194">
              <w:rPr>
                <w:rFonts w:eastAsia="DengXian" w:cs="Calibri"/>
                <w:b/>
                <w:bCs/>
              </w:rPr>
              <w:t>By 2030, the proportion of electricity used in building energy consumption is expected to exceed 65%.</w:t>
            </w:r>
          </w:p>
          <w:p w14:paraId="25688550" w14:textId="7D4F3400" w:rsidR="00285194" w:rsidRPr="00285194" w:rsidRDefault="00285194" w:rsidP="00285194">
            <w:pPr>
              <w:spacing w:line="259" w:lineRule="auto"/>
              <w:rPr>
                <w:rFonts w:eastAsia="DengXian" w:cs="Calibri"/>
                <w:b/>
                <w:bCs/>
              </w:rPr>
            </w:pPr>
            <w:r w:rsidRPr="00285194">
              <w:rPr>
                <w:rFonts w:eastAsia="DengXian" w:cs="Calibri"/>
                <w:b/>
                <w:bCs/>
              </w:rPr>
              <w:t>Before 2060, China will achieve carbon net zero (assumed to be 2050).</w:t>
            </w:r>
          </w:p>
          <w:p w14:paraId="00E1A608" w14:textId="35CF0FB3" w:rsidR="00FC7819" w:rsidRPr="005F1F86" w:rsidRDefault="00285194" w:rsidP="00285194">
            <w:pPr>
              <w:spacing w:line="259" w:lineRule="auto"/>
              <w:rPr>
                <w:rFonts w:eastAsia="DengXian" w:cs="Calibri"/>
                <w:b/>
                <w:bCs/>
              </w:rPr>
            </w:pPr>
            <w:r w:rsidRPr="00285194">
              <w:rPr>
                <w:rFonts w:eastAsia="DengXian" w:cs="Calibri"/>
                <w:b/>
                <w:bCs/>
              </w:rPr>
              <w:t>By 2060, the proportion of non-fossil fuels in energy consumption will increase to over 80%.</w:t>
            </w:r>
          </w:p>
        </w:tc>
      </w:tr>
    </w:tbl>
    <w:p w14:paraId="051DA293" w14:textId="77777777" w:rsidR="00FC7819" w:rsidRPr="00CA1411" w:rsidRDefault="00FC7819" w:rsidP="00FC7819">
      <w:pPr>
        <w:spacing w:line="259" w:lineRule="auto"/>
        <w:rPr>
          <w:rFonts w:eastAsia="DengXian" w:cs="Calibri"/>
          <w:b/>
          <w:bCs/>
        </w:rPr>
        <w:sectPr w:rsidR="00FC7819" w:rsidRPr="00CA1411" w:rsidSect="00FC7819">
          <w:pgSz w:w="16838" w:h="11906" w:orient="landscape"/>
          <w:pgMar w:top="1440" w:right="1440" w:bottom="1440" w:left="1440" w:header="709" w:footer="709" w:gutter="0"/>
          <w:cols w:space="708"/>
          <w:docGrid w:linePitch="360"/>
        </w:sectPr>
      </w:pPr>
    </w:p>
    <w:p w14:paraId="5CF2A3F0" w14:textId="77777777" w:rsidR="00FC7819" w:rsidRPr="00CA1411" w:rsidRDefault="00FC7819" w:rsidP="00FC7819">
      <w:pPr>
        <w:spacing w:line="259" w:lineRule="auto"/>
        <w:rPr>
          <w:rFonts w:eastAsia="DengXian" w:cs="Calibri"/>
        </w:rPr>
      </w:pPr>
    </w:p>
    <w:p w14:paraId="1DABE956" w14:textId="7C39BB2B" w:rsidR="00A2411F" w:rsidRPr="00F81703" w:rsidRDefault="00A2411F" w:rsidP="007211FD">
      <w:pPr>
        <w:pStyle w:val="Heading3"/>
        <w:rPr>
          <w:sz w:val="24"/>
          <w:szCs w:val="32"/>
        </w:rPr>
      </w:pPr>
      <w:r w:rsidRPr="00F81703">
        <w:rPr>
          <w:sz w:val="24"/>
          <w:szCs w:val="32"/>
        </w:rPr>
        <w:t>Economic growth</w:t>
      </w:r>
    </w:p>
    <w:p w14:paraId="327D5A75" w14:textId="35BDB908" w:rsidR="007059A8" w:rsidRPr="001205E8" w:rsidRDefault="007059A8" w:rsidP="007B4132">
      <w:pPr>
        <w:pStyle w:val="ListParagraph"/>
        <w:spacing w:before="240" w:line="300" w:lineRule="auto"/>
        <w:ind w:left="0"/>
        <w:rPr>
          <w:rFonts w:cs="Calibri"/>
          <w:szCs w:val="22"/>
        </w:rPr>
      </w:pPr>
      <w:r w:rsidRPr="001205E8">
        <w:rPr>
          <w:rFonts w:cs="Calibri"/>
          <w:szCs w:val="22"/>
        </w:rPr>
        <w:t>China’s economic development has exhibited different characteristics across stages, shaped by structural shifts from a labour-intensive economy to one increasingly driven by industry and services, each with varying impacts on energy demand</w:t>
      </w:r>
      <w:r w:rsidR="001A7612" w:rsidRPr="001205E8">
        <w:rPr>
          <w:rFonts w:cs="Calibri"/>
          <w:szCs w:val="22"/>
        </w:rPr>
        <w:fldChar w:fldCharType="begin"/>
      </w:r>
      <w:r w:rsidR="006B2721">
        <w:rPr>
          <w:rFonts w:cs="Calibri"/>
          <w:szCs w:val="22"/>
        </w:rPr>
        <w:instrText xml:space="preserve"> ADDIN ZOTERO_ITEM CSL_CITATION {"citationID":"afep5hkfdo","properties":{"formattedCitation":"\\super 56,57\\nosupersub{}","plainCitation":"56,57","noteIndex":0},"citationItems":[{"id":225,"uris":["http://zotero.org/users/10504693/items/JDDNWYD7"],"itemData":{"id":225,"type":"book","call-number":"HC427.95 .N38 2007","event-place":"Cambridge, Mass","ISBN":"978-0-262-64064-0","language":"en","number-of-pages":"528","publisher":"MIT Press","publisher-place":"Cambridge, Mass","source":"Library of Congress ISBN","title":"The Chinese economy: transitions and growth","title-short":"The Chinese economy","author":[{"family":"Naughton","given":"Barry"}],"issued":{"date-parts":[["2007"]]}}},{"id":447,"uris":["http://zotero.org/users/10504693/items/2MFGQHJS"],"itemData":{"id":447,"type":"article-journal","abstract":"This comprehensive overview of the modern Chinese economy by a noted expert on China's economic development offers a quality and breadth of coverage not found in any other English-language text. In The Chinese Economy, Barry Naughton provides both a broadly focused introduction to China's economy since 1949 and original insights based on his own extensive research. This second edition has been thoroughly revised to reflect a decade of developments in China’s economy, notably the end of the period of “miracle growth” and the multiple transitions it now confronts—demographic, technological, macroeconomic, and institutional. Coverage of macroeconomic and financial policy has been significantly expanded. After covering endowments, legacies, economic systems, and general issues of economic structure, labor, and living standards, the book examines specific economic sectors, including agriculture, industry, technology, and foreign trade and investment. It then treats financial, macroeconomic, and environmental issues. The book covers such topics as patterns of growth and development, including population growth and the one-child family policy; the rural and urban economies, including rural industrialization and urban technological development; incoming and outgoing foreign investment; and environmental quality and the sustainability of growth. The book will be an essential resource for students, teachers, scholars, business practitioners, and policymakers. It is suitable for classroom use for undergraduate or graduate courses.","container-title":"MIT Press Books","language":"en","note":"publisher: The MIT Press","source":"ideas.repec.org","title":"The Chinese Economy: Adaptation and Growth, second edition","title-short":"The Chinese Economy","URL":"https://ideas.repec.org//b/mtp/titles/0262534797.html","volume":"1","author":[{"family":"Naughton","given":"Barry J."}],"accessed":{"date-parts":[["2023",8,12]]},"issued":{"date-parts":[["2018"]]}}}],"schema":"https://github.com/citation-style-language/schema/raw/master/csl-citation.json"} </w:instrText>
      </w:r>
      <w:r w:rsidR="001A7612" w:rsidRPr="001205E8">
        <w:rPr>
          <w:rFonts w:cs="Calibri"/>
          <w:szCs w:val="22"/>
        </w:rPr>
        <w:fldChar w:fldCharType="separate"/>
      </w:r>
      <w:r w:rsidR="00F433C1" w:rsidRPr="00F433C1">
        <w:rPr>
          <w:rFonts w:cs="Calibri"/>
          <w:kern w:val="0"/>
          <w:vertAlign w:val="superscript"/>
        </w:rPr>
        <w:t>56,57</w:t>
      </w:r>
      <w:r w:rsidR="001A7612" w:rsidRPr="001205E8">
        <w:rPr>
          <w:rFonts w:cs="Calibri"/>
          <w:szCs w:val="22"/>
        </w:rPr>
        <w:fldChar w:fldCharType="end"/>
      </w:r>
      <w:r w:rsidR="00BA6026" w:rsidRPr="001205E8">
        <w:rPr>
          <w:rFonts w:cs="Calibri"/>
          <w:szCs w:val="22"/>
        </w:rPr>
        <w:t>.</w:t>
      </w:r>
      <w:r w:rsidR="007211FD" w:rsidRPr="001205E8">
        <w:rPr>
          <w:rFonts w:cs="Calibri"/>
          <w:szCs w:val="22"/>
        </w:rPr>
        <w:t xml:space="preserve"> </w:t>
      </w:r>
      <w:r w:rsidRPr="001205E8">
        <w:rPr>
          <w:rFonts w:cs="Calibri"/>
          <w:szCs w:val="22"/>
        </w:rPr>
        <w:t xml:space="preserve">Since the beginning of economic reforms in 1978, China experienced rapid growth, averaging nearly 10% annually between </w:t>
      </w:r>
      <w:r w:rsidR="001A7612" w:rsidRPr="001205E8">
        <w:rPr>
          <w:rFonts w:cs="Calibri"/>
          <w:szCs w:val="22"/>
        </w:rPr>
        <w:t xml:space="preserve">2000 to 2013 </w:t>
      </w:r>
      <w:r w:rsidR="001A7612" w:rsidRPr="001205E8">
        <w:rPr>
          <w:rFonts w:cs="Calibri"/>
          <w:szCs w:val="22"/>
        </w:rPr>
        <w:fldChar w:fldCharType="begin"/>
      </w:r>
      <w:r w:rsidR="006B2721">
        <w:rPr>
          <w:rFonts w:cs="Calibri"/>
          <w:szCs w:val="22"/>
        </w:rPr>
        <w:instrText xml:space="preserve"> ADDIN ZOTERO_ITEM CSL_CITATION {"citationID":"ZORb8TEs","properties":{"formattedCitation":"\\super 58\\nosupersub{}","plainCitation":"58","noteIndex":0},"citationItems":[{"id":75,"uris":["http://zotero.org/users/10504693/items/CXFW4976"],"itemData":{"id":75,"type":"book","ISBN":"978-0-19-969869-1","note":"DOI: 10.1093/acprof:oso/9780199698691.001.0001\nDOI: 10.1093/acprof:oso/9780199698691.001.0001","publisher":"Oxford University Press","source":"DOI.org (Crossref)","title":"China's Remarkable Economic Growth","URL":"http://www.oxfordscholarship.com/view/10.1093/acprof:oso/9780199698691.001.0001/acprof-9780199698691","author":[{"family":"Knight","given":"John"},{"family":"Ding","given":"Sai"}],"accessed":{"date-parts":[["2023",9,17]]},"issued":{"date-parts":[["2012",4,12]]}}}],"schema":"https://github.com/citation-style-language/schema/raw/master/csl-citation.json"} </w:instrText>
      </w:r>
      <w:r w:rsidR="001A7612" w:rsidRPr="001205E8">
        <w:rPr>
          <w:rFonts w:cs="Calibri"/>
          <w:szCs w:val="22"/>
        </w:rPr>
        <w:fldChar w:fldCharType="separate"/>
      </w:r>
      <w:r w:rsidR="00F433C1" w:rsidRPr="00F433C1">
        <w:rPr>
          <w:rFonts w:cs="Calibri"/>
          <w:kern w:val="0"/>
          <w:vertAlign w:val="superscript"/>
        </w:rPr>
        <w:t>58</w:t>
      </w:r>
      <w:r w:rsidR="001A7612" w:rsidRPr="001205E8">
        <w:rPr>
          <w:rFonts w:cs="Calibri"/>
          <w:szCs w:val="22"/>
        </w:rPr>
        <w:fldChar w:fldCharType="end"/>
      </w:r>
      <w:r w:rsidRPr="001205E8">
        <w:rPr>
          <w:rFonts w:cs="Calibri"/>
          <w:szCs w:val="22"/>
        </w:rPr>
        <w:t xml:space="preserve">. In the years following, China entered a “new normal,” transitioning from a growth model focused on speed and scale to one prioritising </w:t>
      </w:r>
      <w:r w:rsidR="001A7612" w:rsidRPr="001205E8">
        <w:rPr>
          <w:rFonts w:cs="Calibri"/>
          <w:szCs w:val="22"/>
        </w:rPr>
        <w:t xml:space="preserve">quality and efficiency </w:t>
      </w:r>
      <w:r w:rsidR="001A7612" w:rsidRPr="001205E8">
        <w:rPr>
          <w:rFonts w:cs="Calibri"/>
          <w:szCs w:val="22"/>
        </w:rPr>
        <w:fldChar w:fldCharType="begin"/>
      </w:r>
      <w:r w:rsidR="00F433C1">
        <w:rPr>
          <w:rFonts w:cs="Calibri"/>
          <w:szCs w:val="22"/>
        </w:rPr>
        <w:instrText xml:space="preserve"> ADDIN ZOTERO_ITEM CSL_CITATION {"citationID":"pfr2IILG","properties":{"formattedCitation":"\\super 59\\nosupersub{}","plainCitation":"59","noteIndex":0},"citationItems":[{"id":410,"uris":["http://zotero.org/users/10504693/items/EI8B83WJ"],"itemData":{"id":410,"type":"book","event-place":"Singapore","ISBN":"9789811625237","language":"en","note":"DOI: 10.1007/978-981-16-2524-4","publisher":"Springer Singapore","publisher-place":"Singapore","source":"DOI.org (Crossref)","title":"China's Long-Term Low-Carbon Development Strategies and Pathways: Comprehensive Report","title-short":"China's Long-Term Low-Carbon Development Strategies and Pathways","URL":"https://link.springer.com/10.1007/978-981-16-2524-4","author":[{"literal":"ICCSD"}],"accessed":{"date-parts":[["2023",8,27]]},"issued":{"date-parts":[["2022"]]}}}],"schema":"https://github.com/citation-style-language/schema/raw/master/csl-citation.json"} </w:instrText>
      </w:r>
      <w:r w:rsidR="001A7612" w:rsidRPr="001205E8">
        <w:rPr>
          <w:rFonts w:cs="Calibri"/>
          <w:szCs w:val="22"/>
        </w:rPr>
        <w:fldChar w:fldCharType="separate"/>
      </w:r>
      <w:r w:rsidR="00F433C1" w:rsidRPr="00F433C1">
        <w:rPr>
          <w:rFonts w:cs="Calibri"/>
          <w:kern w:val="0"/>
          <w:vertAlign w:val="superscript"/>
        </w:rPr>
        <w:t>59</w:t>
      </w:r>
      <w:r w:rsidR="001A7612" w:rsidRPr="001205E8">
        <w:rPr>
          <w:rFonts w:cs="Calibri"/>
          <w:szCs w:val="22"/>
        </w:rPr>
        <w:fldChar w:fldCharType="end"/>
      </w:r>
      <w:r w:rsidRPr="001205E8">
        <w:rPr>
          <w:rFonts w:cs="Calibri"/>
          <w:szCs w:val="22"/>
        </w:rPr>
        <w:t>. From 2013 to 2019, GDP growth moderated to around 6–7%, constrained by factors such as a shrinking labour force, diminishing returns on investment, and slowing productivity gains. In 2021, the economy was significantly affected by COVID-19 lockdowns and the "zero-COVID" policy, resulting in a sharp downturn. Following the relaxation of pandemic restrictions in 2022, economic activity began to rebound. In 2024, China’s GDP grew by 5%, narrowly meeting the government’s official target.</w:t>
      </w:r>
    </w:p>
    <w:p w14:paraId="7EF024B0" w14:textId="048D63A2" w:rsidR="007B4132" w:rsidRPr="001205E8" w:rsidRDefault="007B4132" w:rsidP="007B4132">
      <w:pPr>
        <w:spacing w:line="300" w:lineRule="auto"/>
        <w:rPr>
          <w:rFonts w:cs="Calibri"/>
          <w:szCs w:val="22"/>
        </w:rPr>
      </w:pPr>
      <w:r w:rsidRPr="001205E8">
        <w:rPr>
          <w:rFonts w:cs="Calibri"/>
          <w:szCs w:val="22"/>
        </w:rPr>
        <w:t xml:space="preserve">Although there are signs of recovery in China's economy following the pandemic, since 2023, challenges such as the real estate slump and decreased demand for exports have impeded its growth to pre-pandemic rates. Major international banks, including Goldman Sachs, UBS, JPMorgan, Morgan Stanley, and CITI, projected China's annual GDP growth rate of 2024 to be between 4.2% and 4.9% </w:t>
      </w:r>
      <w:r w:rsidRPr="001205E8">
        <w:rPr>
          <w:rFonts w:cs="Calibri"/>
          <w:szCs w:val="22"/>
        </w:rPr>
        <w:fldChar w:fldCharType="begin"/>
      </w:r>
      <w:r w:rsidR="006B2721">
        <w:rPr>
          <w:rFonts w:cs="Calibri"/>
          <w:szCs w:val="22"/>
        </w:rPr>
        <w:instrText xml:space="preserve"> ADDIN ZOTERO_ITEM CSL_CITATION {"citationID":"TfCjzkWR","properties":{"formattedCitation":"\\super 60\\nosupersub{}","plainCitation":"60","noteIndex":0},"citationItems":[{"id":3456,"uris":["http://zotero.org/users/10504693/items/3N4CDPI8"],"itemData":{"id":3456,"type":"webpage","title":"China 2024 GDP forecasts by JPMorgan, Goldman, Citi, Morgan Stanley","URL":"https://www.cnbc.com/2024/01/17/china-2024-gdp-forecasts-by-jpmorgan-goldman-citi-morgan-stanley.html","author":[{"family":"CNBC","given":""}],"accessed":{"date-parts":[["2024",4,9]]},"issued":{"date-parts":[["2024"]]}}}],"schema":"https://github.com/citation-style-language/schema/raw/master/csl-citation.json"} </w:instrText>
      </w:r>
      <w:r w:rsidRPr="001205E8">
        <w:rPr>
          <w:rFonts w:cs="Calibri"/>
          <w:szCs w:val="22"/>
        </w:rPr>
        <w:fldChar w:fldCharType="separate"/>
      </w:r>
      <w:r w:rsidR="00F433C1" w:rsidRPr="00F433C1">
        <w:rPr>
          <w:rFonts w:cs="Calibri"/>
          <w:kern w:val="0"/>
          <w:vertAlign w:val="superscript"/>
        </w:rPr>
        <w:t>60</w:t>
      </w:r>
      <w:r w:rsidRPr="001205E8">
        <w:rPr>
          <w:rFonts w:cs="Calibri"/>
          <w:szCs w:val="22"/>
        </w:rPr>
        <w:fldChar w:fldCharType="end"/>
      </w:r>
      <w:r w:rsidRPr="001205E8">
        <w:rPr>
          <w:rFonts w:cs="Calibri"/>
          <w:szCs w:val="22"/>
        </w:rPr>
        <w:t xml:space="preserve">. The International Monetary Fund (IMF) forecasts similar growth rates of 4.6% for 2024 and 4.1% for 2025 </w:t>
      </w:r>
      <w:r w:rsidR="00363DFD">
        <w:rPr>
          <w:rFonts w:cs="Calibri"/>
          <w:szCs w:val="22"/>
        </w:rPr>
        <w:fldChar w:fldCharType="begin"/>
      </w:r>
      <w:r w:rsidR="006B2721">
        <w:rPr>
          <w:rFonts w:cs="Calibri"/>
          <w:szCs w:val="22"/>
        </w:rPr>
        <w:instrText xml:space="preserve"> ADDIN ZOTERO_ITEM CSL_CITATION {"citationID":"a8t3e90p5i","properties":{"formattedCitation":"\\super 51\\nosupersub{}","plainCitation":"51","noteIndex":0},"citationItems":[{"id":3755,"uris":["http://zotero.org/users/10504693/items/ADYCP89L"],"itemData":{"id":3755,"type":"webpage","title":"China’s Real Estate Challenge","URL":"https://www.imf.org/en/Publications/fandd/issues/2024/12/chinas-real-estate-challenge-kenneth-rogoff","author":[{"family":"IMF","given":""}],"accessed":{"date-parts":[["2025",1,20]]},"issued":{"date-parts":[["2024"]]}}}],"schema":"https://github.com/citation-style-language/schema/raw/master/csl-citation.json"} </w:instrText>
      </w:r>
      <w:r w:rsidR="00363DFD">
        <w:rPr>
          <w:rFonts w:cs="Calibri"/>
          <w:szCs w:val="22"/>
        </w:rPr>
        <w:fldChar w:fldCharType="separate"/>
      </w:r>
      <w:r w:rsidR="00D92587" w:rsidRPr="00D92587">
        <w:rPr>
          <w:rFonts w:cs="Calibri"/>
          <w:kern w:val="0"/>
          <w:vertAlign w:val="superscript"/>
        </w:rPr>
        <w:t>51</w:t>
      </w:r>
      <w:r w:rsidR="00363DFD">
        <w:rPr>
          <w:rFonts w:cs="Calibri"/>
          <w:szCs w:val="22"/>
        </w:rPr>
        <w:fldChar w:fldCharType="end"/>
      </w:r>
      <w:r w:rsidRPr="001205E8">
        <w:rPr>
          <w:rFonts w:cs="Calibri"/>
          <w:szCs w:val="22"/>
        </w:rPr>
        <w:t xml:space="preserve">. By 2028, the growth is expected to decelerate to approximately 3.5%, influenced by challenges such as declining productivity, an aging population, diminishing investment returns, and geoeconomic fragmentation </w:t>
      </w:r>
      <w:r w:rsidRPr="001205E8">
        <w:rPr>
          <w:rFonts w:cs="Calibri"/>
          <w:szCs w:val="22"/>
        </w:rPr>
        <w:fldChar w:fldCharType="begin"/>
      </w:r>
      <w:r w:rsidR="006B2721">
        <w:rPr>
          <w:rFonts w:cs="Calibri"/>
          <w:szCs w:val="22"/>
        </w:rPr>
        <w:instrText xml:space="preserve"> ADDIN ZOTERO_ITEM CSL_CITATION {"citationID":"yU4u2nio","properties":{"formattedCitation":"\\super 61\\nosupersub{}","plainCitation":"61","noteIndex":0},"citationItems":[{"id":3464,"uris":["http://zotero.org/users/10504693/items/G5PPC9EQ"],"itemData":{"id":3464,"type":"book","title":"World Economic Outlook Update, January 2024: Moderating Inflation and Steady Growth Open Path to Soft Landing","URL":"https://www.imf.org/en/Publications/WEO/Issues/2024/01/30/world-economic-outlook-update-january-2024","author":[{"family":"IMF","given":""}],"accessed":{"date-parts":[["2024",4,9]]},"issued":{"date-parts":[["2024"]]}}}],"schema":"https://github.com/citation-style-language/schema/raw/master/csl-citation.json"} </w:instrText>
      </w:r>
      <w:r w:rsidRPr="001205E8">
        <w:rPr>
          <w:rFonts w:cs="Calibri"/>
          <w:szCs w:val="22"/>
        </w:rPr>
        <w:fldChar w:fldCharType="separate"/>
      </w:r>
      <w:r w:rsidR="00F433C1" w:rsidRPr="00F433C1">
        <w:rPr>
          <w:rFonts w:cs="Calibri"/>
          <w:kern w:val="0"/>
          <w:vertAlign w:val="superscript"/>
        </w:rPr>
        <w:t>61</w:t>
      </w:r>
      <w:r w:rsidRPr="001205E8">
        <w:rPr>
          <w:rFonts w:cs="Calibri"/>
          <w:szCs w:val="22"/>
        </w:rPr>
        <w:fldChar w:fldCharType="end"/>
      </w:r>
      <w:r w:rsidRPr="001205E8">
        <w:rPr>
          <w:rFonts w:cs="Calibri"/>
          <w:szCs w:val="22"/>
        </w:rPr>
        <w:t xml:space="preserve">. The Japan Centre for Economic Research (JCER) predicts that China's growth rate will fall below 3% post-2029, potentially declining further if the real estate bubble bursts </w:t>
      </w:r>
      <w:r w:rsidRPr="001205E8">
        <w:rPr>
          <w:rFonts w:cs="Calibri"/>
          <w:szCs w:val="22"/>
        </w:rPr>
        <w:fldChar w:fldCharType="begin"/>
      </w:r>
      <w:r w:rsidR="006B2721">
        <w:rPr>
          <w:rFonts w:cs="Calibri"/>
          <w:szCs w:val="22"/>
        </w:rPr>
        <w:instrText xml:space="preserve"> ADDIN ZOTERO_ITEM CSL_CITATION {"citationID":"dnK48dJ7","properties":{"formattedCitation":"\\super 62\\nosupersub{}","plainCitation":"62","noteIndex":0},"citationItems":[{"id":3458,"uris":["http://zotero.org/users/10504693/items/897DQN4N"],"itemData":{"id":3458,"type":"webpage","title":"China’s Growth Rate Below 3% after 2029 | Japan Center for Economic Research","URL":"https://www.jcer.or.jp/english/chinas-growth-rate-below-3-after-2029","author":[{"family":"JCER","given":""}],"accessed":{"date-parts":[["2024",4,9]]},"issued":{"date-parts":[["2023"]]}}}],"schema":"https://github.com/citation-style-language/schema/raw/master/csl-citation.json"} </w:instrText>
      </w:r>
      <w:r w:rsidRPr="001205E8">
        <w:rPr>
          <w:rFonts w:cs="Calibri"/>
          <w:szCs w:val="22"/>
        </w:rPr>
        <w:fldChar w:fldCharType="separate"/>
      </w:r>
      <w:r w:rsidR="00F433C1" w:rsidRPr="00F433C1">
        <w:rPr>
          <w:rFonts w:cs="Calibri"/>
          <w:kern w:val="0"/>
          <w:vertAlign w:val="superscript"/>
        </w:rPr>
        <w:t>62</w:t>
      </w:r>
      <w:r w:rsidRPr="001205E8">
        <w:rPr>
          <w:rFonts w:cs="Calibri"/>
          <w:szCs w:val="22"/>
        </w:rPr>
        <w:fldChar w:fldCharType="end"/>
      </w:r>
      <w:r w:rsidRPr="001205E8">
        <w:rPr>
          <w:rFonts w:cs="Calibri"/>
          <w:szCs w:val="22"/>
        </w:rPr>
        <w:t xml:space="preserve">.  Economy scenarios study from </w:t>
      </w:r>
      <w:r w:rsidR="0022424C">
        <w:rPr>
          <w:rFonts w:cs="Calibri"/>
          <w:szCs w:val="22"/>
        </w:rPr>
        <w:t xml:space="preserve">Carnegie </w:t>
      </w:r>
      <w:r w:rsidRPr="001205E8">
        <w:rPr>
          <w:rFonts w:cs="Calibri"/>
          <w:szCs w:val="22"/>
        </w:rPr>
        <w:fldChar w:fldCharType="begin"/>
      </w:r>
      <w:r w:rsidR="006B2721">
        <w:rPr>
          <w:rFonts w:cs="Calibri"/>
          <w:szCs w:val="22"/>
        </w:rPr>
        <w:instrText xml:space="preserve"> ADDIN ZOTERO_ITEM CSL_CITATION {"citationID":"IpzNkwUi","properties":{"formattedCitation":"\\super 63\\nosupersub{}","plainCitation":"63","noteIndex":0},"citationItems":[{"id":3460,"uris":["http://zotero.org/users/10504693/items/GLNNUIP3"],"itemData":{"id":3460,"type":"webpage","title":"Can China’s Long-Term Growth Rate Exceed 2–3 Percent? - Carnegie Endowment for International Peace","URL":"https://carnegieendowment.org/chinafinancialmarkets/89466","author":[{"family":"Carnegie","given":""}],"accessed":{"date-parts":[["2024",4,9]]},"issued":{"date-parts":[["2023"]]}}}],"schema":"https://github.com/citation-style-language/schema/raw/master/csl-citation.json"} </w:instrText>
      </w:r>
      <w:r w:rsidRPr="001205E8">
        <w:rPr>
          <w:rFonts w:cs="Calibri"/>
          <w:szCs w:val="22"/>
        </w:rPr>
        <w:fldChar w:fldCharType="separate"/>
      </w:r>
      <w:r w:rsidR="00F433C1" w:rsidRPr="00F433C1">
        <w:rPr>
          <w:rFonts w:cs="Calibri"/>
          <w:kern w:val="0"/>
          <w:vertAlign w:val="superscript"/>
        </w:rPr>
        <w:t>63</w:t>
      </w:r>
      <w:r w:rsidRPr="001205E8">
        <w:rPr>
          <w:rFonts w:cs="Calibri"/>
          <w:szCs w:val="22"/>
        </w:rPr>
        <w:fldChar w:fldCharType="end"/>
      </w:r>
      <w:r w:rsidRPr="001205E8">
        <w:rPr>
          <w:rFonts w:cs="Calibri"/>
          <w:szCs w:val="22"/>
        </w:rPr>
        <w:t xml:space="preserve"> which analysed China’s debt burden, economy driven model (consumption, investment), shows that if China rebalances its economy structure from investment to consumption, the long term (15-20 years) GDP growth rate is limited to 2-3 % due to disruption caused by structural transition. </w:t>
      </w:r>
    </w:p>
    <w:p w14:paraId="72305507" w14:textId="26E19287" w:rsidR="00022AF3" w:rsidRPr="00BB680F" w:rsidRDefault="00022AF3" w:rsidP="007B4132">
      <w:pPr>
        <w:rPr>
          <w:rFonts w:cs="Calibri"/>
          <w:szCs w:val="22"/>
        </w:rPr>
      </w:pPr>
      <w:r w:rsidRPr="00022AF3">
        <w:rPr>
          <w:rFonts w:cs="Calibri"/>
          <w:szCs w:val="22"/>
        </w:rPr>
        <w:t xml:space="preserve">In addition to </w:t>
      </w:r>
      <w:r w:rsidR="00F714AD">
        <w:rPr>
          <w:rFonts w:cs="Calibri"/>
          <w:szCs w:val="22"/>
        </w:rPr>
        <w:t>commercial</w:t>
      </w:r>
      <w:r w:rsidRPr="00022AF3">
        <w:rPr>
          <w:rFonts w:cs="Calibri"/>
          <w:szCs w:val="22"/>
        </w:rPr>
        <w:t xml:space="preserve"> projections, many international </w:t>
      </w:r>
      <w:r w:rsidR="00F714AD">
        <w:rPr>
          <w:rFonts w:cs="Calibri"/>
          <w:szCs w:val="22"/>
        </w:rPr>
        <w:t>research</w:t>
      </w:r>
      <w:r w:rsidR="00F714AD">
        <w:rPr>
          <w:rFonts w:cs="Calibri" w:hint="eastAsia"/>
          <w:szCs w:val="22"/>
        </w:rPr>
        <w:t xml:space="preserve"> </w:t>
      </w:r>
      <w:r w:rsidRPr="00022AF3">
        <w:rPr>
          <w:rFonts w:cs="Calibri"/>
          <w:szCs w:val="22"/>
        </w:rPr>
        <w:t>institutions produce global GDP forecasts using macroeconomic models that align with various future development narratives. The most widely used framework is the Shared Socioeconomic Pathways (SSPs)</w:t>
      </w:r>
      <w:r w:rsidR="007A142D">
        <w:rPr>
          <w:rFonts w:cs="Calibri"/>
          <w:szCs w:val="22"/>
        </w:rPr>
        <w:fldChar w:fldCharType="begin"/>
      </w:r>
      <w:r w:rsidR="006B2721">
        <w:rPr>
          <w:rFonts w:cs="Calibri"/>
          <w:szCs w:val="22"/>
        </w:rPr>
        <w:instrText xml:space="preserve"> ADDIN ZOTERO_ITEM CSL_CITATION {"citationID":"a1c70sul49p","properties":{"formattedCitation":"\\super 64\\nosupersub{}","plainCitation":"64","noteIndex":0},"citationItems":[{"id":141,"uris":["http://zotero.org/users/10504693/items/MYA7BE4Y"],"itemData":{"id":141,"type":"article-journal","abstract":"Long-term scenarios play an important role in research on global environmental change. The climate change research community is developing new scenarios integrating future changes in climate and society to investigate climate impacts as well as options for mitigation and adaptation. One component of these new scenarios is a set of alternative futures of societal development known as the shared socioeconomic pathways (SSPs). The conceptual framework for the design and use of the SSPs calls for the development of global pathways describing the future evolution of key aspects of society that would together imply a range of challenges for mitigating and adapting to climate change. Here we present one component of these pathways: the SSP narratives, a set of ﬁve qualitative descriptions of future changes in demographics, human development, economy and lifestyle, policies and institutions, technology, and environment and natural resources. We describe the methods used to develop the narratives as well as how these pathways are hypothesized to produce particular combinations of challenges to mitigation and adaptation. Development of the narratives drew on expert opinion to (1) identify key determinants of these challenges that were essential to incorporate in the narratives and (2) combine these elements in the narratives in a manner consistent with scholarship on their inter-relationships. The narratives are intended as a description of plausible future conditions at the level of large world regions that can serve as a basis for integrated scenarios of emissions and land use, as well as climate impact, adaptation and vulnerability analyses.","container-title":"Global Environmental Change","DOI":"10.1016/j.gloenvcha.2015.01.004","ISSN":"09593780","journalAbbreviation":"Global Environmental Change","language":"en","page":"169-180","source":"DOI.org (Crossref)","title":"The roads ahead: Narratives for shared socioeconomic pathways describing world futures in the 21st century","title-short":"The roads ahead","volume":"42","author":[{"family":"O’Neill","given":"Brian C."},{"family":"Kriegler","given":"Elmar"},{"family":"Ebi","given":"Kristie L."},{"family":"Kemp-Benedict","given":"Eric"},{"family":"Riahi","given":"Keywan"},{"family":"Rothman","given":"Dale S."},{"family":"Ruijven","given":"Bas J.","non-dropping-particle":"van"},{"family":"Vuuren","given":"Detlef P.","non-dropping-particle":"van"},{"family":"Birkmann","given":"Joern"},{"family":"Kok","given":"Kasper"},{"family":"Levy","given":"Marc"},{"family":"Solecki","given":"William"}],"issued":{"date-parts":[["2017",1]]}}}],"schema":"https://github.com/citation-style-language/schema/raw/master/csl-citation.json"} </w:instrText>
      </w:r>
      <w:r w:rsidR="007A142D">
        <w:rPr>
          <w:rFonts w:cs="Calibri"/>
          <w:szCs w:val="22"/>
        </w:rPr>
        <w:fldChar w:fldCharType="separate"/>
      </w:r>
      <w:r w:rsidR="004D4653" w:rsidRPr="004D4653">
        <w:rPr>
          <w:rFonts w:cs="Calibri"/>
          <w:kern w:val="0"/>
          <w:vertAlign w:val="superscript"/>
        </w:rPr>
        <w:t>64</w:t>
      </w:r>
      <w:r w:rsidR="007A142D">
        <w:rPr>
          <w:rFonts w:cs="Calibri"/>
          <w:szCs w:val="22"/>
        </w:rPr>
        <w:fldChar w:fldCharType="end"/>
      </w:r>
      <w:r w:rsidRPr="00022AF3">
        <w:rPr>
          <w:rFonts w:cs="Calibri"/>
          <w:szCs w:val="22"/>
        </w:rPr>
        <w:t xml:space="preserve">, which outlines five global scenarios along axes of adaptation and mitigation. These narratives are quantified by research teams to provide projections for GDP, population, and urbanisation. For </w:t>
      </w:r>
      <w:r w:rsidR="00876493" w:rsidRPr="00022AF3">
        <w:rPr>
          <w:rFonts w:cs="Calibri"/>
          <w:szCs w:val="22"/>
        </w:rPr>
        <w:t>GDP, three</w:t>
      </w:r>
      <w:r w:rsidRPr="00022AF3">
        <w:rPr>
          <w:rFonts w:cs="Calibri"/>
          <w:szCs w:val="22"/>
        </w:rPr>
        <w:t xml:space="preserve"> interpretations have been developed by OECD, IIASA, and PIK</w:t>
      </w:r>
      <w:r w:rsidR="00EA293E">
        <w:rPr>
          <w:rFonts w:cs="Calibri"/>
          <w:szCs w:val="22"/>
        </w:rPr>
        <w:fldChar w:fldCharType="begin"/>
      </w:r>
      <w:r w:rsidR="006B2721">
        <w:rPr>
          <w:rFonts w:cs="Calibri"/>
          <w:szCs w:val="22"/>
        </w:rPr>
        <w:instrText xml:space="preserve"> ADDIN ZOTERO_ITEM CSL_CITATION {"citationID":"ab0i17giv4","properties":{"formattedCitation":"\\super 65\\nosupersub{}","plainCitation":"65","noteIndex":0},"citationItems":[{"id":3934,"uris":["http://zotero.org/users/10504693/items/GJCDHY9H"],"itemData":{"id":3934,"type":"webpage","abstract":"A dataset for quantitative projections of the so-called Shared Socioeconomic Pathways (SSPs) and related Integrated Assessment scenarios.","container-title":"IIASA - International Institute for Applied Systems Analysis","language":"en","title":"Shared Socioeconomic Pathways Scenario Database (SSP) 3.0 realse","URL":"http://iiasa.ac.at/models-tools-data/ssp","author":[{"family":"IIASA","given":""}],"accessed":{"date-parts":[["2025",5,13]]},"issued":{"date-parts":[["2024",2,29]]}}}],"schema":"https://github.com/citation-style-language/schema/raw/master/csl-citation.json"} </w:instrText>
      </w:r>
      <w:r w:rsidR="00EA293E">
        <w:rPr>
          <w:rFonts w:cs="Calibri"/>
          <w:szCs w:val="22"/>
        </w:rPr>
        <w:fldChar w:fldCharType="separate"/>
      </w:r>
      <w:r w:rsidR="002754D4" w:rsidRPr="002754D4">
        <w:rPr>
          <w:rFonts w:cs="Calibri"/>
          <w:kern w:val="0"/>
          <w:vertAlign w:val="superscript"/>
        </w:rPr>
        <w:t>65</w:t>
      </w:r>
      <w:r w:rsidR="00EA293E">
        <w:rPr>
          <w:rFonts w:cs="Calibri"/>
          <w:szCs w:val="22"/>
        </w:rPr>
        <w:fldChar w:fldCharType="end"/>
      </w:r>
      <w:r w:rsidRPr="00022AF3">
        <w:rPr>
          <w:rFonts w:cs="Calibri"/>
          <w:szCs w:val="22"/>
        </w:rPr>
        <w:t>. Though all follow the SSP storylines, they differ in methodology and assumptions, leading to varying outcomes.</w:t>
      </w:r>
      <w:r w:rsidR="00872CB0">
        <w:rPr>
          <w:rFonts w:cs="Calibri" w:hint="eastAsia"/>
          <w:szCs w:val="22"/>
        </w:rPr>
        <w:t xml:space="preserve"> </w:t>
      </w:r>
      <w:r w:rsidRPr="00022AF3">
        <w:rPr>
          <w:rFonts w:cs="Calibri"/>
          <w:szCs w:val="22"/>
        </w:rPr>
        <w:t>However, the SSP framework tends to generalise global development</w:t>
      </w:r>
      <w:r w:rsidR="00876493">
        <w:rPr>
          <w:rFonts w:cs="Calibri" w:hint="eastAsia"/>
          <w:szCs w:val="22"/>
        </w:rPr>
        <w:t>, assuming different degree convergence of income by 2100</w:t>
      </w:r>
      <w:r w:rsidRPr="00022AF3">
        <w:rPr>
          <w:rFonts w:cs="Calibri"/>
          <w:szCs w:val="22"/>
        </w:rPr>
        <w:t xml:space="preserve">, often overlooking </w:t>
      </w:r>
      <w:r w:rsidR="00876493">
        <w:rPr>
          <w:rFonts w:cs="Calibri" w:hint="eastAsia"/>
          <w:szCs w:val="22"/>
        </w:rPr>
        <w:t>the country level uncertainties</w:t>
      </w:r>
      <w:r w:rsidRPr="00022AF3">
        <w:rPr>
          <w:rFonts w:cs="Calibri"/>
          <w:szCs w:val="22"/>
        </w:rPr>
        <w:t>. For example, IIASA’s GDP projections show a stagnation trend for China from 2020 to 2040, while OECD’s ENV-Growth model suggests ~5% annual growth from 2025 to 2030, then a gradual decline.</w:t>
      </w:r>
      <w:r w:rsidR="005704EC">
        <w:rPr>
          <w:rFonts w:cs="Calibri" w:hint="eastAsia"/>
          <w:szCs w:val="22"/>
        </w:rPr>
        <w:t xml:space="preserve"> </w:t>
      </w:r>
      <w:r w:rsidR="001B2A5F" w:rsidRPr="001B2A5F">
        <w:rPr>
          <w:rFonts w:cs="Calibri"/>
          <w:szCs w:val="22"/>
        </w:rPr>
        <w:t xml:space="preserve">Given this divergence and the need for a robust understanding of uncertainties in China’s economic development, our study derives three GDP growth trajectories—high, medium, and </w:t>
      </w:r>
      <w:r w:rsidR="001B2A5F" w:rsidRPr="001B2A5F">
        <w:rPr>
          <w:rFonts w:cs="Calibri"/>
          <w:szCs w:val="22"/>
        </w:rPr>
        <w:lastRenderedPageBreak/>
        <w:t xml:space="preserve">low—based on a wide range of sources. These include 267 </w:t>
      </w:r>
      <w:r w:rsidR="00BA78F5">
        <w:rPr>
          <w:rFonts w:cs="Calibri" w:hint="eastAsia"/>
          <w:szCs w:val="22"/>
        </w:rPr>
        <w:t xml:space="preserve">China national </w:t>
      </w:r>
      <w:r w:rsidR="001B2A5F" w:rsidRPr="001B2A5F">
        <w:rPr>
          <w:rFonts w:cs="Calibri"/>
          <w:szCs w:val="22"/>
        </w:rPr>
        <w:t xml:space="preserve">scenarios from IPCC AR6, updated SSP1–5 projections from IIASA and OECD, short-term forecasts from the IMF and major investment banks, as well as scenario inputs from BP, IEEJ, Equinor, Shell, and the IEA (see SI Figure </w:t>
      </w:r>
      <w:r w:rsidR="002754D4">
        <w:rPr>
          <w:rFonts w:cs="Calibri"/>
          <w:szCs w:val="22"/>
        </w:rPr>
        <w:t>4</w:t>
      </w:r>
      <w:r w:rsidR="001B2A5F" w:rsidRPr="001B2A5F">
        <w:rPr>
          <w:rFonts w:cs="Calibri"/>
          <w:szCs w:val="22"/>
        </w:rPr>
        <w:t>).</w:t>
      </w:r>
      <w:r w:rsidR="00867178">
        <w:rPr>
          <w:rFonts w:cs="Calibri" w:hint="eastAsia"/>
          <w:szCs w:val="22"/>
        </w:rPr>
        <w:t xml:space="preserve"> </w:t>
      </w:r>
      <w:r w:rsidR="00AB35AC" w:rsidRPr="00AB35AC">
        <w:rPr>
          <w:rFonts w:cs="Calibri"/>
          <w:szCs w:val="22"/>
        </w:rPr>
        <w:t xml:space="preserve">We select the 25th, 50th (median), and 75th percentiles of the GDP projection distribution to represent the low, medium, and high growth trajectories, respectively. These correspond to the </w:t>
      </w:r>
      <w:r w:rsidR="00664B00">
        <w:rPr>
          <w:rFonts w:cs="Calibri" w:hint="eastAsia"/>
          <w:szCs w:val="22"/>
        </w:rPr>
        <w:t>China</w:t>
      </w:r>
      <w:r w:rsidR="00664B00">
        <w:rPr>
          <w:rFonts w:cs="Calibri"/>
          <w:szCs w:val="22"/>
        </w:rPr>
        <w:t>’</w:t>
      </w:r>
      <w:r w:rsidR="00664B00">
        <w:rPr>
          <w:rFonts w:cs="Calibri" w:hint="eastAsia"/>
          <w:szCs w:val="22"/>
        </w:rPr>
        <w:t xml:space="preserve">s </w:t>
      </w:r>
      <w:r w:rsidR="00AB35AC" w:rsidRPr="00AB35AC">
        <w:rPr>
          <w:rFonts w:cs="Calibri"/>
          <w:szCs w:val="22"/>
        </w:rPr>
        <w:t xml:space="preserve">GDP pathways of the Great </w:t>
      </w:r>
      <w:r w:rsidR="00E9270F" w:rsidRPr="00AB35AC">
        <w:rPr>
          <w:rFonts w:cs="Calibri"/>
          <w:szCs w:val="22"/>
        </w:rPr>
        <w:t>Wall</w:t>
      </w:r>
      <w:r w:rsidR="00E9270F">
        <w:rPr>
          <w:rFonts w:cs="Calibri"/>
          <w:szCs w:val="22"/>
        </w:rPr>
        <w:t xml:space="preserve"> (</w:t>
      </w:r>
      <w:r w:rsidR="00D016D1">
        <w:rPr>
          <w:rFonts w:cs="Calibri" w:hint="eastAsia"/>
          <w:szCs w:val="22"/>
        </w:rPr>
        <w:t>Low)</w:t>
      </w:r>
      <w:r w:rsidR="00AB35AC" w:rsidRPr="00AB35AC">
        <w:rPr>
          <w:rFonts w:cs="Calibri"/>
          <w:szCs w:val="22"/>
        </w:rPr>
        <w:t>, Calm Sea</w:t>
      </w:r>
      <w:r w:rsidR="00D016D1">
        <w:rPr>
          <w:rFonts w:cs="Calibri" w:hint="eastAsia"/>
          <w:szCs w:val="22"/>
        </w:rPr>
        <w:t xml:space="preserve"> (Medium)</w:t>
      </w:r>
      <w:r w:rsidR="00AB35AC" w:rsidRPr="00AB35AC">
        <w:rPr>
          <w:rFonts w:cs="Calibri"/>
          <w:szCs w:val="22"/>
        </w:rPr>
        <w:t xml:space="preserve">, Red </w:t>
      </w:r>
      <w:r w:rsidR="00F81703" w:rsidRPr="00AB35AC">
        <w:rPr>
          <w:rFonts w:cs="Calibri"/>
          <w:szCs w:val="22"/>
        </w:rPr>
        <w:t>Sun</w:t>
      </w:r>
      <w:r w:rsidR="00F81703">
        <w:rPr>
          <w:rFonts w:cs="Calibri"/>
          <w:szCs w:val="22"/>
        </w:rPr>
        <w:t xml:space="preserve"> (</w:t>
      </w:r>
      <w:r w:rsidR="00D016D1">
        <w:rPr>
          <w:rFonts w:cs="Calibri" w:hint="eastAsia"/>
          <w:szCs w:val="22"/>
        </w:rPr>
        <w:t>High)</w:t>
      </w:r>
      <w:r w:rsidR="00AB35AC" w:rsidRPr="00AB35AC">
        <w:rPr>
          <w:rFonts w:cs="Calibri"/>
          <w:szCs w:val="22"/>
        </w:rPr>
        <w:t xml:space="preserve">, and Green </w:t>
      </w:r>
      <w:r w:rsidR="002E169D" w:rsidRPr="00AB35AC">
        <w:rPr>
          <w:rFonts w:cs="Calibri"/>
          <w:szCs w:val="22"/>
        </w:rPr>
        <w:t>Lights</w:t>
      </w:r>
      <w:r w:rsidR="002E169D">
        <w:rPr>
          <w:rFonts w:cs="Calibri"/>
          <w:szCs w:val="22"/>
        </w:rPr>
        <w:t xml:space="preserve"> (</w:t>
      </w:r>
      <w:r w:rsidR="00D016D1">
        <w:rPr>
          <w:rFonts w:cs="Calibri" w:hint="eastAsia"/>
          <w:szCs w:val="22"/>
        </w:rPr>
        <w:t>High)</w:t>
      </w:r>
      <w:r w:rsidR="00AB35AC" w:rsidRPr="00AB35AC">
        <w:rPr>
          <w:rFonts w:cs="Calibri"/>
          <w:szCs w:val="22"/>
        </w:rPr>
        <w:t xml:space="preserve"> scenarios</w:t>
      </w:r>
      <w:r w:rsidR="00D016D1">
        <w:rPr>
          <w:rFonts w:cs="Calibri" w:hint="eastAsia"/>
          <w:szCs w:val="22"/>
        </w:rPr>
        <w:t xml:space="preserve">. </w:t>
      </w:r>
    </w:p>
    <w:p w14:paraId="3A7B0E31" w14:textId="2813E079" w:rsidR="008F1A02" w:rsidRDefault="008F1A02" w:rsidP="008F1A02">
      <w:pPr>
        <w:jc w:val="center"/>
      </w:pPr>
      <w:r>
        <w:rPr>
          <w:noProof/>
        </w:rPr>
        <w:drawing>
          <wp:inline distT="0" distB="0" distL="0" distR="0" wp14:anchorId="1D97574E" wp14:editId="5F7CB888">
            <wp:extent cx="6562725" cy="2871192"/>
            <wp:effectExtent l="0" t="0" r="0" b="5715"/>
            <wp:docPr id="654740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037" name="Graphic 65474037"/>
                    <pic:cNvPicPr/>
                  </pic:nvPicPr>
                  <pic:blipFill>
                    <a:blip r:embed="rId13">
                      <a:extLst>
                        <a:ext uri="{96DAC541-7B7A-43D3-8B79-37D633B846F1}">
                          <asvg:svgBlip xmlns:asvg="http://schemas.microsoft.com/office/drawing/2016/SVG/main" r:embed="rId14"/>
                        </a:ext>
                      </a:extLst>
                    </a:blip>
                    <a:stretch>
                      <a:fillRect/>
                    </a:stretch>
                  </pic:blipFill>
                  <pic:spPr>
                    <a:xfrm>
                      <a:off x="0" y="0"/>
                      <a:ext cx="6568333" cy="2873645"/>
                    </a:xfrm>
                    <a:prstGeom prst="rect">
                      <a:avLst/>
                    </a:prstGeom>
                  </pic:spPr>
                </pic:pic>
              </a:graphicData>
            </a:graphic>
          </wp:inline>
        </w:drawing>
      </w:r>
    </w:p>
    <w:p w14:paraId="683D9BF7" w14:textId="1BD2196E" w:rsidR="00E43F70" w:rsidRPr="00BA78F5" w:rsidRDefault="00237E38" w:rsidP="00D016D1">
      <w:r w:rsidRPr="00FD3E05">
        <w:t xml:space="preserve">SI </w:t>
      </w:r>
      <w:r w:rsidR="00BA78F5" w:rsidRPr="00FD3E05">
        <w:t>Figure</w:t>
      </w:r>
      <w:r w:rsidR="00BA78F5" w:rsidRPr="00FD3E05">
        <w:rPr>
          <w:rFonts w:hint="eastAsia"/>
        </w:rPr>
        <w:t xml:space="preserve"> </w:t>
      </w:r>
      <w:r w:rsidR="00FD3E05" w:rsidRPr="00FD3E05">
        <w:t>4</w:t>
      </w:r>
      <w:r w:rsidR="00FD3E05">
        <w:rPr>
          <w:b/>
          <w:bCs/>
        </w:rPr>
        <w:t xml:space="preserve"> </w:t>
      </w:r>
      <w:r w:rsidR="00BA78F5">
        <w:rPr>
          <w:rFonts w:hint="eastAsia"/>
        </w:rPr>
        <w:t xml:space="preserve">China GDP projections uncertainty, </w:t>
      </w:r>
      <w:r w:rsidR="00BA78F5" w:rsidRPr="00BA78F5">
        <w:t xml:space="preserve">other includes: 267 China national scenarios from IPCC AR6, short-term forecasts from the IMF and major investment banks, as well as scenario inputs from BP, IEEJ, Equinor, Shell, and the </w:t>
      </w:r>
      <w:r w:rsidR="00E76CF9" w:rsidRPr="00BA78F5">
        <w:t>IEA.</w:t>
      </w:r>
      <w:r w:rsidR="00E76CF9">
        <w:t xml:space="preserve"> </w:t>
      </w:r>
      <w:r w:rsidR="00BB680F">
        <w:t>(The</w:t>
      </w:r>
      <w:r w:rsidR="00E76CF9" w:rsidRPr="00E76CF9">
        <w:t xml:space="preserve"> low, median, and high trajectories shown have been smoothed to reflect consistent long-term trends</w:t>
      </w:r>
      <w:r w:rsidR="00867178">
        <w:rPr>
          <w:rFonts w:hint="eastAsia"/>
        </w:rPr>
        <w:t>)</w:t>
      </w:r>
    </w:p>
    <w:p w14:paraId="67235CAF" w14:textId="474CB46C" w:rsidR="00A2411F" w:rsidRPr="00F81703" w:rsidRDefault="00A2411F" w:rsidP="00A2411F">
      <w:pPr>
        <w:pStyle w:val="Heading3"/>
        <w:rPr>
          <w:sz w:val="24"/>
          <w:szCs w:val="32"/>
        </w:rPr>
      </w:pPr>
      <w:r w:rsidRPr="00F81703">
        <w:rPr>
          <w:sz w:val="24"/>
          <w:szCs w:val="32"/>
        </w:rPr>
        <w:t>Population changes</w:t>
      </w:r>
    </w:p>
    <w:p w14:paraId="6B33768F" w14:textId="02D76F37" w:rsidR="00E80CFD" w:rsidRPr="00E80CFD" w:rsidRDefault="00795DE0" w:rsidP="00E80CFD">
      <w:pPr>
        <w:spacing w:line="259" w:lineRule="auto"/>
        <w:rPr>
          <w:rFonts w:eastAsia="DengXian" w:cs="Calibri"/>
          <w:szCs w:val="22"/>
        </w:rPr>
      </w:pPr>
      <w:r w:rsidRPr="00C230F3">
        <w:rPr>
          <w:rFonts w:eastAsia="DengXian" w:cs="Calibri"/>
          <w:szCs w:val="22"/>
        </w:rPr>
        <w:t>China has had the world’s largest population since at least 1950. Most projections have predicted that its population would peak between 2030 and 2035 at around 1.4–1.5 billion before entering a gradual decline</w:t>
      </w:r>
      <w:r w:rsidR="00611732">
        <w:rPr>
          <w:rFonts w:eastAsia="DengXian" w:cs="Calibri" w:hint="eastAsia"/>
          <w:szCs w:val="22"/>
        </w:rPr>
        <w:t xml:space="preserve">. </w:t>
      </w:r>
      <w:r w:rsidRPr="00C230F3">
        <w:rPr>
          <w:rFonts w:eastAsia="DengXian" w:cs="Calibri"/>
          <w:szCs w:val="22"/>
        </w:rPr>
        <w:t>However, data from China’s National Bureau of Statistics revealed that in 2022</w:t>
      </w:r>
      <w:r w:rsidR="0085618E">
        <w:rPr>
          <w:rFonts w:eastAsia="DengXian" w:cs="Calibri"/>
          <w:szCs w:val="22"/>
        </w:rPr>
        <w:fldChar w:fldCharType="begin"/>
      </w:r>
      <w:r w:rsidR="006B2721">
        <w:rPr>
          <w:rFonts w:eastAsia="DengXian" w:cs="Calibri"/>
          <w:szCs w:val="22"/>
        </w:rPr>
        <w:instrText xml:space="preserve"> ADDIN ZOTERO_ITEM CSL_CITATION {"citationID":"a1n7dvo5so7","properties":{"formattedCitation":"\\super 66\\nosupersub{}","plainCitation":"66","noteIndex":0},"citationItems":[{"id":3877,"uris":["http://zotero.org/users/10504693/items/VWU8TF7G"],"itemData":{"id":3877,"type":"webpage","title":"Main Data of the Seventh National Population Census","URL":"https://www.stats.gov.cn/english/PressRelease/202105/t20210510_1817185.html","author":[{"family":"National Bureau of Statistics of China","given":""}],"accessed":{"date-parts":[["2025",4,8]]},"issued":{"date-parts":[["2021"]]}}}],"schema":"https://github.com/citation-style-language/schema/raw/master/csl-citation.json"} </w:instrText>
      </w:r>
      <w:r w:rsidR="0085618E">
        <w:rPr>
          <w:rFonts w:eastAsia="DengXian" w:cs="Calibri"/>
          <w:szCs w:val="22"/>
        </w:rPr>
        <w:fldChar w:fldCharType="separate"/>
      </w:r>
      <w:r w:rsidR="002754D4" w:rsidRPr="002754D4">
        <w:rPr>
          <w:rFonts w:cs="Calibri"/>
          <w:kern w:val="0"/>
          <w:vertAlign w:val="superscript"/>
        </w:rPr>
        <w:t>66</w:t>
      </w:r>
      <w:r w:rsidR="0085618E">
        <w:rPr>
          <w:rFonts w:eastAsia="DengXian" w:cs="Calibri"/>
          <w:szCs w:val="22"/>
        </w:rPr>
        <w:fldChar w:fldCharType="end"/>
      </w:r>
      <w:r w:rsidRPr="00C230F3">
        <w:rPr>
          <w:rFonts w:eastAsia="DengXian" w:cs="Calibri"/>
          <w:szCs w:val="22"/>
        </w:rPr>
        <w:t>, the population declined to 1.41 billion</w:t>
      </w:r>
      <w:r w:rsidR="0032017C">
        <w:rPr>
          <w:rFonts w:eastAsia="DengXian" w:cs="Calibri" w:hint="eastAsia"/>
          <w:szCs w:val="22"/>
        </w:rPr>
        <w:t xml:space="preserve">, </w:t>
      </w:r>
      <w:r w:rsidR="0032017C" w:rsidRPr="0032017C">
        <w:rPr>
          <w:rFonts w:eastAsia="DengXian" w:cs="Calibri"/>
          <w:szCs w:val="22"/>
        </w:rPr>
        <w:t xml:space="preserve">marking the first year-on-year drop in six decades. This unexpected shift has prompted widespread debate among scholars and policymakers over the accuracy of earlier projections and the broader implications for China’s economic growth, </w:t>
      </w:r>
      <w:proofErr w:type="spellStart"/>
      <w:r w:rsidR="0032017C" w:rsidRPr="0032017C">
        <w:rPr>
          <w:rFonts w:eastAsia="DengXian" w:cs="Calibri"/>
          <w:szCs w:val="22"/>
        </w:rPr>
        <w:t>labor</w:t>
      </w:r>
      <w:proofErr w:type="spellEnd"/>
      <w:r w:rsidR="0032017C" w:rsidRPr="0032017C">
        <w:rPr>
          <w:rFonts w:eastAsia="DengXian" w:cs="Calibri"/>
          <w:szCs w:val="22"/>
        </w:rPr>
        <w:t xml:space="preserve"> force, and social welfare systems.</w:t>
      </w:r>
    </w:p>
    <w:p w14:paraId="4BE4BA25" w14:textId="1948A9D3" w:rsidR="004E19EB" w:rsidRPr="00C230F3" w:rsidRDefault="004E19EB" w:rsidP="004E19EB">
      <w:pPr>
        <w:spacing w:line="259" w:lineRule="auto"/>
        <w:rPr>
          <w:rFonts w:eastAsia="DengXian" w:cs="Calibri"/>
          <w:szCs w:val="22"/>
        </w:rPr>
      </w:pPr>
      <w:r w:rsidRPr="00C230F3">
        <w:rPr>
          <w:rFonts w:eastAsia="DengXian" w:cs="Calibri"/>
          <w:szCs w:val="22"/>
        </w:rPr>
        <w:lastRenderedPageBreak/>
        <w:t>For future population projections, numerous studies have examined China’s demographic outlook, with most drawing on datasets from key institutions such as the World Bank, the United Nations (UN), and the International Institute for Applied Systems Analysis (IIASA). The World Bank provides national estimates under varying economic scenarios up to 2050, which is insufficient for the long-term horizon required by our TIAM modelling. The UN publishes global forecasts based on demographic modelling techniques, while IIASA offers long-term projections (2010–2100) as part of the Shared Socioeconomic Pathways (SSPs) framework.</w:t>
      </w:r>
    </w:p>
    <w:p w14:paraId="1CA96917" w14:textId="6F1FEFA2" w:rsidR="004E19EB" w:rsidRPr="00C230F3" w:rsidRDefault="004E19EB" w:rsidP="004E19EB">
      <w:pPr>
        <w:spacing w:line="259" w:lineRule="auto"/>
        <w:rPr>
          <w:rFonts w:eastAsia="DengXian" w:cs="Calibri"/>
          <w:szCs w:val="22"/>
        </w:rPr>
      </w:pPr>
      <w:r w:rsidRPr="00C230F3">
        <w:rPr>
          <w:rFonts w:eastAsia="DengXian" w:cs="Calibri"/>
          <w:szCs w:val="22"/>
        </w:rPr>
        <w:t>In this study, we adopt the UN’s 2022 population projections for three main reasons. First, although SSP projections are widely used, they do not fully capture recent demographic developments in China—such as the earlier-than-expected population peak. Moreover, updated SSP projections are harmonised with the World Bank’s short-term estimates (2020–2026) and apply SSP-specific growth rates thereafter</w:t>
      </w:r>
      <w:r w:rsidR="00FB2802" w:rsidRPr="00C230F3">
        <w:rPr>
          <w:rFonts w:eastAsia="DengXian" w:cs="Calibri"/>
          <w:szCs w:val="22"/>
        </w:rPr>
        <w:fldChar w:fldCharType="begin"/>
      </w:r>
      <w:r w:rsidR="006B2721">
        <w:rPr>
          <w:rFonts w:eastAsia="DengXian" w:cs="Calibri"/>
          <w:szCs w:val="22"/>
        </w:rPr>
        <w:instrText xml:space="preserve"> ADDIN ZOTERO_ITEM CSL_CITATION {"citationID":"ap95kpeep","properties":{"formattedCitation":"\\super 67\\nosupersub{}","plainCitation":"67","noteIndex":0},"citationItems":[{"id":3875,"uris":["http://zotero.org/users/10504693/items/6W2QPAVG"],"itemData":{"id":3875,"type":"article-journal","container-title":"Ecological Economics","DOI":"10.1016/j.ecolecon.2023.107751","ISSN":"09218009","journalAbbreviation":"Ecological Economics","language":"en","page":"107751","source":"DOI.org (Crossref)","title":"SSP economic growth projections: Major changes of key drivers in integrated assessment modelling","title-short":"SSP economic growth projections","volume":"206","author":[{"family":"Koch","given":"Johannes"},{"family":"Leimbach","given":"Marian"}],"issued":{"date-parts":[["2023",4]]}}}],"schema":"https://github.com/citation-style-language/schema/raw/master/csl-citation.json"} </w:instrText>
      </w:r>
      <w:r w:rsidR="00FB2802" w:rsidRPr="00C230F3">
        <w:rPr>
          <w:rFonts w:eastAsia="DengXian" w:cs="Calibri"/>
          <w:szCs w:val="22"/>
        </w:rPr>
        <w:fldChar w:fldCharType="separate"/>
      </w:r>
      <w:r w:rsidR="006B2721" w:rsidRPr="006B2721">
        <w:rPr>
          <w:rFonts w:cs="Calibri"/>
          <w:kern w:val="0"/>
          <w:vertAlign w:val="superscript"/>
        </w:rPr>
        <w:t>67</w:t>
      </w:r>
      <w:r w:rsidR="00FB2802" w:rsidRPr="00C230F3">
        <w:rPr>
          <w:rFonts w:eastAsia="DengXian" w:cs="Calibri"/>
          <w:szCs w:val="22"/>
        </w:rPr>
        <w:fldChar w:fldCharType="end"/>
      </w:r>
      <w:r w:rsidRPr="00C230F3">
        <w:rPr>
          <w:rFonts w:eastAsia="DengXian" w:cs="Calibri"/>
          <w:szCs w:val="22"/>
        </w:rPr>
        <w:t xml:space="preserve">. These growth rates embed socioeconomic assumptions that may not align with the narratives used in our scenarios. Second, the UN’s forecasts rely on standard demographic modelling techniques and are less influenced by assumptions about economic or governance trajectories, making them more </w:t>
      </w:r>
      <w:r w:rsidR="00C2712D" w:rsidRPr="00C230F3">
        <w:rPr>
          <w:rFonts w:eastAsia="DengXian" w:cs="Calibri"/>
          <w:szCs w:val="22"/>
        </w:rPr>
        <w:t>independent</w:t>
      </w:r>
      <w:r w:rsidRPr="00C230F3">
        <w:rPr>
          <w:rFonts w:eastAsia="DengXian" w:cs="Calibri"/>
          <w:szCs w:val="22"/>
        </w:rPr>
        <w:t xml:space="preserve"> our framework. Third, our scenario narratives incorporate assumptions about fertility and population dynamics that align closely with the range covered by the UN projections, ensuring consistency across our socioeconomic dimensions (see SI Table </w:t>
      </w:r>
      <w:r w:rsidR="00820B93">
        <w:rPr>
          <w:rFonts w:eastAsia="DengXian" w:cs="Calibri"/>
          <w:szCs w:val="22"/>
        </w:rPr>
        <w:t>6</w:t>
      </w:r>
      <w:r w:rsidRPr="00C230F3">
        <w:rPr>
          <w:rFonts w:eastAsia="DengXian" w:cs="Calibri"/>
          <w:szCs w:val="22"/>
        </w:rPr>
        <w:t>).</w:t>
      </w:r>
    </w:p>
    <w:p w14:paraId="7B1971F5" w14:textId="2411CB94" w:rsidR="00E80CFD" w:rsidRPr="00E80CFD" w:rsidRDefault="000B7A13" w:rsidP="00047843">
      <w:pPr>
        <w:jc w:val="center"/>
      </w:pPr>
      <w:r>
        <w:rPr>
          <w:rFonts w:hint="eastAsia"/>
        </w:rPr>
        <w:t xml:space="preserve">SI Table </w:t>
      </w:r>
      <w:r w:rsidR="005E468D">
        <w:t>5</w:t>
      </w:r>
      <w:r>
        <w:rPr>
          <w:rFonts w:hint="eastAsia"/>
        </w:rPr>
        <w:t xml:space="preserve"> </w:t>
      </w:r>
      <w:r w:rsidR="00E80CFD" w:rsidRPr="00E80CFD">
        <w:rPr>
          <w:rFonts w:hint="eastAsia"/>
        </w:rPr>
        <w:t xml:space="preserve">Key </w:t>
      </w:r>
      <w:r w:rsidR="00E80CFD" w:rsidRPr="00E80CFD">
        <w:t>population projection datasets</w:t>
      </w:r>
      <w:r w:rsidR="00E80CFD" w:rsidRPr="00E80CFD">
        <w:rPr>
          <w:rFonts w:hint="eastAsia"/>
        </w:rPr>
        <w:t xml:space="preserve"> </w:t>
      </w:r>
      <w:r w:rsidR="00D1452D">
        <w:rPr>
          <w:rFonts w:hint="eastAsia"/>
        </w:rPr>
        <w:t>issued from 20</w:t>
      </w:r>
      <w:r w:rsidR="001226AC">
        <w:rPr>
          <w:rFonts w:hint="eastAsia"/>
        </w:rPr>
        <w:t>19</w:t>
      </w:r>
      <w:r w:rsidR="00D1452D">
        <w:rPr>
          <w:rFonts w:hint="eastAsia"/>
        </w:rPr>
        <w:t xml:space="preserve"> </w:t>
      </w:r>
      <w:r w:rsidR="00E80CFD" w:rsidRPr="00E80CFD">
        <w:rPr>
          <w:rFonts w:hint="eastAsia"/>
        </w:rPr>
        <w:t>including China</w:t>
      </w:r>
      <w:r w:rsidR="00E80CFD" w:rsidRPr="00E80CFD">
        <w:t>’</w:t>
      </w:r>
      <w:r w:rsidR="00E80CFD" w:rsidRPr="00E80CFD">
        <w:rPr>
          <w:rFonts w:hint="eastAsia"/>
        </w:rPr>
        <w:t xml:space="preserve">s </w:t>
      </w:r>
      <w:r w:rsidR="00E80CFD" w:rsidRPr="00E80CFD">
        <w:t>projection</w:t>
      </w:r>
    </w:p>
    <w:tbl>
      <w:tblPr>
        <w:tblStyle w:val="TableGrid"/>
        <w:tblW w:w="15338" w:type="dxa"/>
        <w:tblInd w:w="-1026" w:type="dxa"/>
        <w:tblLook w:val="04A0" w:firstRow="1" w:lastRow="0" w:firstColumn="1" w:lastColumn="0" w:noHBand="0" w:noVBand="1"/>
      </w:tblPr>
      <w:tblGrid>
        <w:gridCol w:w="1134"/>
        <w:gridCol w:w="1418"/>
        <w:gridCol w:w="1276"/>
        <w:gridCol w:w="1984"/>
        <w:gridCol w:w="4140"/>
        <w:gridCol w:w="5386"/>
      </w:tblGrid>
      <w:tr w:rsidR="00E80CFD" w:rsidRPr="00E80CFD" w14:paraId="3EC6EE5E" w14:textId="77777777" w:rsidTr="0067732E">
        <w:tc>
          <w:tcPr>
            <w:tcW w:w="1134" w:type="dxa"/>
          </w:tcPr>
          <w:p w14:paraId="1A35B825" w14:textId="77777777" w:rsidR="00E80CFD" w:rsidRPr="00E80CFD" w:rsidRDefault="00E80CFD" w:rsidP="00813AE3">
            <w:pPr>
              <w:rPr>
                <w:sz w:val="20"/>
                <w:szCs w:val="20"/>
              </w:rPr>
            </w:pPr>
            <w:r w:rsidRPr="00E80CFD">
              <w:rPr>
                <w:sz w:val="20"/>
                <w:szCs w:val="20"/>
              </w:rPr>
              <w:t>Name</w:t>
            </w:r>
          </w:p>
        </w:tc>
        <w:tc>
          <w:tcPr>
            <w:tcW w:w="1418" w:type="dxa"/>
          </w:tcPr>
          <w:p w14:paraId="19E62BE6" w14:textId="77777777" w:rsidR="00E80CFD" w:rsidRPr="00E80CFD" w:rsidRDefault="00E80CFD" w:rsidP="00813AE3">
            <w:pPr>
              <w:rPr>
                <w:sz w:val="20"/>
                <w:szCs w:val="20"/>
              </w:rPr>
            </w:pPr>
            <w:r w:rsidRPr="00E80CFD">
              <w:rPr>
                <w:sz w:val="20"/>
                <w:szCs w:val="20"/>
              </w:rPr>
              <w:t>Publish year</w:t>
            </w:r>
          </w:p>
        </w:tc>
        <w:tc>
          <w:tcPr>
            <w:tcW w:w="1276" w:type="dxa"/>
          </w:tcPr>
          <w:p w14:paraId="2E2EE2D5" w14:textId="77777777" w:rsidR="00E80CFD" w:rsidRPr="00E80CFD" w:rsidRDefault="00E80CFD" w:rsidP="00813AE3">
            <w:pPr>
              <w:rPr>
                <w:sz w:val="20"/>
                <w:szCs w:val="20"/>
              </w:rPr>
            </w:pPr>
            <w:r w:rsidRPr="00E80CFD">
              <w:rPr>
                <w:sz w:val="20"/>
                <w:szCs w:val="20"/>
              </w:rPr>
              <w:t>Spatial resolution</w:t>
            </w:r>
          </w:p>
        </w:tc>
        <w:tc>
          <w:tcPr>
            <w:tcW w:w="1984" w:type="dxa"/>
          </w:tcPr>
          <w:p w14:paraId="57C0DBC5" w14:textId="77777777" w:rsidR="00E80CFD" w:rsidRPr="00E80CFD" w:rsidRDefault="00E80CFD" w:rsidP="00813AE3">
            <w:pPr>
              <w:rPr>
                <w:sz w:val="20"/>
                <w:szCs w:val="20"/>
              </w:rPr>
            </w:pPr>
            <w:r w:rsidRPr="00E80CFD">
              <w:rPr>
                <w:sz w:val="20"/>
                <w:szCs w:val="20"/>
              </w:rPr>
              <w:t>Temporal resolution</w:t>
            </w:r>
          </w:p>
        </w:tc>
        <w:tc>
          <w:tcPr>
            <w:tcW w:w="4140" w:type="dxa"/>
          </w:tcPr>
          <w:p w14:paraId="1CBBFEF8" w14:textId="77777777" w:rsidR="00E80CFD" w:rsidRPr="00E80CFD" w:rsidRDefault="00E80CFD" w:rsidP="00813AE3">
            <w:pPr>
              <w:rPr>
                <w:sz w:val="20"/>
                <w:szCs w:val="20"/>
              </w:rPr>
            </w:pPr>
            <w:r w:rsidRPr="00E80CFD">
              <w:rPr>
                <w:sz w:val="20"/>
                <w:szCs w:val="20"/>
              </w:rPr>
              <w:t>Scenario</w:t>
            </w:r>
          </w:p>
        </w:tc>
        <w:tc>
          <w:tcPr>
            <w:tcW w:w="5386" w:type="dxa"/>
          </w:tcPr>
          <w:p w14:paraId="733120DF" w14:textId="77777777" w:rsidR="00E80CFD" w:rsidRPr="00E80CFD" w:rsidRDefault="00E80CFD" w:rsidP="00813AE3">
            <w:pPr>
              <w:rPr>
                <w:sz w:val="20"/>
                <w:szCs w:val="20"/>
              </w:rPr>
            </w:pPr>
            <w:r w:rsidRPr="00E80CFD">
              <w:rPr>
                <w:sz w:val="20"/>
                <w:szCs w:val="20"/>
              </w:rPr>
              <w:t>Publisher</w:t>
            </w:r>
          </w:p>
        </w:tc>
      </w:tr>
      <w:tr w:rsidR="002B5D90" w:rsidRPr="00E80CFD" w14:paraId="02A439AA" w14:textId="77777777" w:rsidTr="0067732E">
        <w:tc>
          <w:tcPr>
            <w:tcW w:w="1134" w:type="dxa"/>
          </w:tcPr>
          <w:p w14:paraId="2F0281BE" w14:textId="7DC83840" w:rsidR="002B5D90" w:rsidRPr="00E80CFD" w:rsidRDefault="002B5D90" w:rsidP="002B5D90">
            <w:pPr>
              <w:rPr>
                <w:sz w:val="20"/>
                <w:szCs w:val="20"/>
              </w:rPr>
            </w:pPr>
            <w:r w:rsidRPr="00E80CFD">
              <w:rPr>
                <w:sz w:val="20"/>
                <w:szCs w:val="20"/>
              </w:rPr>
              <w:t>IIASA</w:t>
            </w:r>
          </w:p>
        </w:tc>
        <w:tc>
          <w:tcPr>
            <w:tcW w:w="1418" w:type="dxa"/>
          </w:tcPr>
          <w:p w14:paraId="0E3822E7" w14:textId="0522F214" w:rsidR="002B5D90" w:rsidRPr="00E80CFD" w:rsidRDefault="002B5D90" w:rsidP="002B5D90">
            <w:pPr>
              <w:rPr>
                <w:sz w:val="20"/>
                <w:szCs w:val="20"/>
              </w:rPr>
            </w:pPr>
            <w:r w:rsidRPr="00E80CFD">
              <w:rPr>
                <w:sz w:val="20"/>
                <w:szCs w:val="20"/>
              </w:rPr>
              <w:t>2023</w:t>
            </w:r>
          </w:p>
        </w:tc>
        <w:tc>
          <w:tcPr>
            <w:tcW w:w="1276" w:type="dxa"/>
          </w:tcPr>
          <w:p w14:paraId="1A9FB955" w14:textId="28ADA270" w:rsidR="002B5D90" w:rsidRPr="00E80CFD" w:rsidRDefault="002B5D90" w:rsidP="002B5D90">
            <w:pPr>
              <w:rPr>
                <w:sz w:val="20"/>
                <w:szCs w:val="20"/>
              </w:rPr>
            </w:pPr>
            <w:r w:rsidRPr="00E80CFD">
              <w:rPr>
                <w:sz w:val="20"/>
                <w:szCs w:val="20"/>
              </w:rPr>
              <w:t>Country</w:t>
            </w:r>
          </w:p>
        </w:tc>
        <w:tc>
          <w:tcPr>
            <w:tcW w:w="1984" w:type="dxa"/>
          </w:tcPr>
          <w:p w14:paraId="7C95BB4E" w14:textId="283D6CDE" w:rsidR="002B5D90" w:rsidRPr="00E80CFD" w:rsidRDefault="002B5D90" w:rsidP="002B5D90">
            <w:pPr>
              <w:rPr>
                <w:sz w:val="20"/>
                <w:szCs w:val="20"/>
              </w:rPr>
            </w:pPr>
            <w:r w:rsidRPr="00E80CFD">
              <w:rPr>
                <w:sz w:val="20"/>
                <w:szCs w:val="20"/>
              </w:rPr>
              <w:t>2010-2100, by 5</w:t>
            </w:r>
          </w:p>
        </w:tc>
        <w:tc>
          <w:tcPr>
            <w:tcW w:w="4140" w:type="dxa"/>
          </w:tcPr>
          <w:p w14:paraId="173F9FD7" w14:textId="578653BE" w:rsidR="002B5D90" w:rsidRPr="00E80CFD" w:rsidRDefault="002B5D90" w:rsidP="002B5D90">
            <w:pPr>
              <w:rPr>
                <w:sz w:val="20"/>
                <w:szCs w:val="20"/>
              </w:rPr>
            </w:pPr>
            <w:r w:rsidRPr="00E80CFD">
              <w:rPr>
                <w:sz w:val="20"/>
                <w:szCs w:val="20"/>
              </w:rPr>
              <w:t>SSP1-SSP5</w:t>
            </w:r>
          </w:p>
        </w:tc>
        <w:tc>
          <w:tcPr>
            <w:tcW w:w="5386" w:type="dxa"/>
          </w:tcPr>
          <w:p w14:paraId="7EE3C25C" w14:textId="73143A08" w:rsidR="002B5D90" w:rsidRPr="00E80CFD" w:rsidRDefault="002B5D90" w:rsidP="002B5D90">
            <w:pPr>
              <w:rPr>
                <w:sz w:val="20"/>
                <w:szCs w:val="20"/>
              </w:rPr>
            </w:pPr>
            <w:r w:rsidRPr="00E80CFD">
              <w:rPr>
                <w:sz w:val="20"/>
                <w:szCs w:val="20"/>
              </w:rPr>
              <w:t>Institute</w:t>
            </w:r>
            <w:r w:rsidRPr="00E80CFD">
              <w:rPr>
                <w:rFonts w:hint="eastAsia"/>
                <w:sz w:val="20"/>
                <w:szCs w:val="20"/>
              </w:rPr>
              <w:t xml:space="preserve"> for Applied system analysis</w:t>
            </w:r>
            <w:r w:rsidR="009C4C1B">
              <w:rPr>
                <w:sz w:val="20"/>
                <w:szCs w:val="20"/>
              </w:rPr>
              <w:fldChar w:fldCharType="begin"/>
            </w:r>
            <w:r w:rsidR="007B3AD1">
              <w:rPr>
                <w:sz w:val="20"/>
                <w:szCs w:val="20"/>
              </w:rPr>
              <w:instrText xml:space="preserve"> ADDIN ZOTERO_ITEM CSL_CITATION {"citationID":"a12f1df1abr","properties":{"formattedCitation":"\\super 65\\nosupersub{}","plainCitation":"65","noteIndex":0},"citationItems":[{"id":3934,"uris":["http://zotero.org/users/10504693/items/GJCDHY9H"],"itemData":{"id":3934,"type":"webpage","abstract":"A dataset for quantitative projections of the so-called Shared Socioeconomic Pathways (SSPs) and related Integrated Assessment scenarios.","container-title":"IIASA - International Institute for Applied Systems Analysis","language":"en","title":"Shared Socioeconomic Pathways Scenario Database (SSP) 3.0 realse","URL":"http://iiasa.ac.at/models-tools-data/ssp","author":[{"family":"IIASA","given":""}],"accessed":{"date-parts":[["2025",5,13]]},"issued":{"date-parts":[["2024",2,29]]}}}],"schema":"https://github.com/citation-style-language/schema/raw/master/csl-citation.json"} </w:instrText>
            </w:r>
            <w:r w:rsidR="009C4C1B">
              <w:rPr>
                <w:sz w:val="20"/>
                <w:szCs w:val="20"/>
              </w:rPr>
              <w:fldChar w:fldCharType="separate"/>
            </w:r>
            <w:r w:rsidR="007B3AD1" w:rsidRPr="007B3AD1">
              <w:rPr>
                <w:rFonts w:cs="Calibri"/>
                <w:kern w:val="0"/>
                <w:sz w:val="20"/>
                <w:vertAlign w:val="superscript"/>
              </w:rPr>
              <w:t>65</w:t>
            </w:r>
            <w:r w:rsidR="009C4C1B">
              <w:rPr>
                <w:sz w:val="20"/>
                <w:szCs w:val="20"/>
              </w:rPr>
              <w:fldChar w:fldCharType="end"/>
            </w:r>
          </w:p>
        </w:tc>
      </w:tr>
      <w:tr w:rsidR="006C1C11" w:rsidRPr="00E80CFD" w14:paraId="0AEF3A0F" w14:textId="77777777" w:rsidTr="0067732E">
        <w:tc>
          <w:tcPr>
            <w:tcW w:w="1134" w:type="dxa"/>
          </w:tcPr>
          <w:p w14:paraId="2C351A4A" w14:textId="5E35950A" w:rsidR="006C1C11" w:rsidRPr="00E80CFD" w:rsidRDefault="006C1C11" w:rsidP="006C1C11">
            <w:pPr>
              <w:rPr>
                <w:sz w:val="20"/>
                <w:szCs w:val="20"/>
              </w:rPr>
            </w:pPr>
            <w:r w:rsidRPr="00E80CFD">
              <w:rPr>
                <w:sz w:val="20"/>
                <w:szCs w:val="20"/>
              </w:rPr>
              <w:t>UN</w:t>
            </w:r>
          </w:p>
        </w:tc>
        <w:tc>
          <w:tcPr>
            <w:tcW w:w="1418" w:type="dxa"/>
          </w:tcPr>
          <w:p w14:paraId="0C3E4A13" w14:textId="48A37B12" w:rsidR="006C1C11" w:rsidRPr="00E80CFD" w:rsidRDefault="006C1C11" w:rsidP="006C1C11">
            <w:pPr>
              <w:rPr>
                <w:sz w:val="20"/>
                <w:szCs w:val="20"/>
              </w:rPr>
            </w:pPr>
            <w:r w:rsidRPr="00E80CFD">
              <w:rPr>
                <w:sz w:val="20"/>
                <w:szCs w:val="20"/>
              </w:rPr>
              <w:t>2022</w:t>
            </w:r>
          </w:p>
        </w:tc>
        <w:tc>
          <w:tcPr>
            <w:tcW w:w="1276" w:type="dxa"/>
          </w:tcPr>
          <w:p w14:paraId="4CAC6F6D" w14:textId="42B54498" w:rsidR="006C1C11" w:rsidRPr="00E80CFD" w:rsidRDefault="006C1C11" w:rsidP="006C1C11">
            <w:pPr>
              <w:rPr>
                <w:sz w:val="20"/>
                <w:szCs w:val="20"/>
              </w:rPr>
            </w:pPr>
            <w:r w:rsidRPr="00E80CFD">
              <w:rPr>
                <w:sz w:val="20"/>
                <w:szCs w:val="20"/>
              </w:rPr>
              <w:t>Country</w:t>
            </w:r>
          </w:p>
        </w:tc>
        <w:tc>
          <w:tcPr>
            <w:tcW w:w="1984" w:type="dxa"/>
          </w:tcPr>
          <w:p w14:paraId="0E3B8F1A" w14:textId="3F155A01" w:rsidR="006C1C11" w:rsidRPr="00E80CFD" w:rsidRDefault="006C1C11" w:rsidP="006C1C11">
            <w:pPr>
              <w:rPr>
                <w:sz w:val="20"/>
                <w:szCs w:val="20"/>
              </w:rPr>
            </w:pPr>
            <w:r w:rsidRPr="00E80CFD">
              <w:rPr>
                <w:sz w:val="20"/>
                <w:szCs w:val="20"/>
              </w:rPr>
              <w:t xml:space="preserve">1950-2100, by1 </w:t>
            </w:r>
          </w:p>
        </w:tc>
        <w:tc>
          <w:tcPr>
            <w:tcW w:w="4140" w:type="dxa"/>
          </w:tcPr>
          <w:p w14:paraId="312AA996" w14:textId="77777777" w:rsidR="006C1C11" w:rsidRPr="00E80CFD" w:rsidRDefault="006C1C11" w:rsidP="006C1C11">
            <w:pPr>
              <w:rPr>
                <w:sz w:val="20"/>
                <w:szCs w:val="20"/>
              </w:rPr>
            </w:pPr>
            <w:r w:rsidRPr="00E80CFD">
              <w:rPr>
                <w:sz w:val="20"/>
                <w:szCs w:val="20"/>
              </w:rPr>
              <w:t>Estimates</w:t>
            </w:r>
            <w:r w:rsidRPr="00E80CFD">
              <w:rPr>
                <w:rFonts w:hint="eastAsia"/>
                <w:sz w:val="20"/>
                <w:szCs w:val="20"/>
              </w:rPr>
              <w:t xml:space="preserve"> </w:t>
            </w:r>
          </w:p>
          <w:p w14:paraId="4CB8B56F" w14:textId="77777777" w:rsidR="006C1C11" w:rsidRPr="00E80CFD" w:rsidRDefault="006C1C11" w:rsidP="006C1C11">
            <w:pPr>
              <w:rPr>
                <w:sz w:val="20"/>
                <w:szCs w:val="20"/>
              </w:rPr>
            </w:pPr>
            <w:r w:rsidRPr="00E80CFD">
              <w:rPr>
                <w:rFonts w:hint="eastAsia"/>
                <w:sz w:val="20"/>
                <w:szCs w:val="20"/>
              </w:rPr>
              <w:t xml:space="preserve">Low fertility </w:t>
            </w:r>
          </w:p>
          <w:p w14:paraId="65154A46" w14:textId="77777777" w:rsidR="006C1C11" w:rsidRPr="00E80CFD" w:rsidRDefault="006C1C11" w:rsidP="006C1C11">
            <w:pPr>
              <w:rPr>
                <w:sz w:val="20"/>
                <w:szCs w:val="20"/>
              </w:rPr>
            </w:pPr>
            <w:r w:rsidRPr="00E80CFD">
              <w:rPr>
                <w:rFonts w:hint="eastAsia"/>
                <w:sz w:val="20"/>
                <w:szCs w:val="20"/>
              </w:rPr>
              <w:t xml:space="preserve">Medium fertility </w:t>
            </w:r>
          </w:p>
          <w:p w14:paraId="7CCF4F4B" w14:textId="77777777" w:rsidR="006C1C11" w:rsidRPr="00E80CFD" w:rsidRDefault="006C1C11" w:rsidP="006C1C11">
            <w:pPr>
              <w:rPr>
                <w:sz w:val="20"/>
                <w:szCs w:val="20"/>
              </w:rPr>
            </w:pPr>
            <w:r w:rsidRPr="00E80CFD">
              <w:rPr>
                <w:rFonts w:hint="eastAsia"/>
                <w:sz w:val="20"/>
                <w:szCs w:val="20"/>
              </w:rPr>
              <w:t xml:space="preserve">High fertility </w:t>
            </w:r>
          </w:p>
          <w:p w14:paraId="3821F7B8" w14:textId="77777777" w:rsidR="006C1C11" w:rsidRPr="00E80CFD" w:rsidRDefault="006C1C11" w:rsidP="006C1C11">
            <w:pPr>
              <w:rPr>
                <w:sz w:val="20"/>
                <w:szCs w:val="20"/>
              </w:rPr>
            </w:pPr>
            <w:r w:rsidRPr="00E80CFD">
              <w:rPr>
                <w:rFonts w:hint="eastAsia"/>
                <w:sz w:val="20"/>
                <w:szCs w:val="20"/>
              </w:rPr>
              <w:t xml:space="preserve">Instant replacement-fertility </w:t>
            </w:r>
          </w:p>
          <w:p w14:paraId="0A2910E8" w14:textId="77777777" w:rsidR="006C1C11" w:rsidRPr="00E80CFD" w:rsidRDefault="006C1C11" w:rsidP="006C1C11">
            <w:pPr>
              <w:rPr>
                <w:sz w:val="20"/>
                <w:szCs w:val="20"/>
              </w:rPr>
            </w:pPr>
            <w:r w:rsidRPr="00E80CFD">
              <w:rPr>
                <w:rFonts w:hint="eastAsia"/>
                <w:sz w:val="20"/>
                <w:szCs w:val="20"/>
              </w:rPr>
              <w:t xml:space="preserve">Momentum </w:t>
            </w:r>
          </w:p>
          <w:p w14:paraId="647A5D8F" w14:textId="77777777" w:rsidR="006C1C11" w:rsidRPr="00E80CFD" w:rsidRDefault="006C1C11" w:rsidP="006C1C11">
            <w:pPr>
              <w:rPr>
                <w:sz w:val="20"/>
                <w:szCs w:val="20"/>
              </w:rPr>
            </w:pPr>
            <w:proofErr w:type="gramStart"/>
            <w:r w:rsidRPr="00E80CFD">
              <w:rPr>
                <w:rFonts w:hint="eastAsia"/>
                <w:sz w:val="20"/>
                <w:szCs w:val="20"/>
              </w:rPr>
              <w:t>Constant-mortality</w:t>
            </w:r>
            <w:proofErr w:type="gramEnd"/>
            <w:r w:rsidRPr="00E80CFD">
              <w:rPr>
                <w:rFonts w:hint="eastAsia"/>
                <w:sz w:val="20"/>
                <w:szCs w:val="20"/>
              </w:rPr>
              <w:t xml:space="preserve"> </w:t>
            </w:r>
          </w:p>
          <w:p w14:paraId="45642984" w14:textId="77777777" w:rsidR="006C1C11" w:rsidRPr="00E80CFD" w:rsidRDefault="006C1C11" w:rsidP="006C1C11">
            <w:pPr>
              <w:rPr>
                <w:sz w:val="20"/>
                <w:szCs w:val="20"/>
              </w:rPr>
            </w:pPr>
            <w:r w:rsidRPr="00E80CFD">
              <w:rPr>
                <w:rFonts w:hint="eastAsia"/>
                <w:sz w:val="20"/>
                <w:szCs w:val="20"/>
              </w:rPr>
              <w:t xml:space="preserve">No Change </w:t>
            </w:r>
          </w:p>
          <w:p w14:paraId="1DED9E81" w14:textId="2E997C61" w:rsidR="006C1C11" w:rsidRPr="00E80CFD" w:rsidRDefault="006C1C11" w:rsidP="006C1C11">
            <w:pPr>
              <w:rPr>
                <w:sz w:val="20"/>
                <w:szCs w:val="20"/>
              </w:rPr>
            </w:pPr>
            <w:r w:rsidRPr="00E80CFD">
              <w:rPr>
                <w:rFonts w:hint="eastAsia"/>
                <w:sz w:val="20"/>
                <w:szCs w:val="20"/>
              </w:rPr>
              <w:t>Zero-migration</w:t>
            </w:r>
          </w:p>
        </w:tc>
        <w:tc>
          <w:tcPr>
            <w:tcW w:w="5386" w:type="dxa"/>
          </w:tcPr>
          <w:p w14:paraId="3FE68E55" w14:textId="239193FE" w:rsidR="006C1C11" w:rsidRPr="00E80CFD" w:rsidRDefault="006C1C11" w:rsidP="006C1C11">
            <w:pPr>
              <w:rPr>
                <w:sz w:val="20"/>
                <w:szCs w:val="20"/>
              </w:rPr>
            </w:pPr>
            <w:r w:rsidRPr="00E80CFD">
              <w:rPr>
                <w:rFonts w:hint="eastAsia"/>
                <w:sz w:val="20"/>
                <w:szCs w:val="20"/>
              </w:rPr>
              <w:t>United Nations</w:t>
            </w:r>
            <w:r>
              <w:rPr>
                <w:sz w:val="20"/>
                <w:szCs w:val="20"/>
              </w:rPr>
              <w:fldChar w:fldCharType="begin"/>
            </w:r>
            <w:r w:rsidR="007B3AD1">
              <w:rPr>
                <w:sz w:val="20"/>
                <w:szCs w:val="20"/>
              </w:rPr>
              <w:instrText xml:space="preserve"> ADDIN ZOTERO_ITEM CSL_CITATION {"citationID":"ahce8ev6v","properties":{"formattedCitation":"\\super 68\\nosupersub{}","plainCitation":"68","noteIndex":0},"citationItems":[{"id":3941,"uris":["http://zotero.org/users/10504693/items/Z2EJGWI2"],"itemData":{"id":3941,"type":"article-journal","abstract":"In response to a growing demand for subnational and spatially explicit data on China’s future population, this study estimates China’s provincial population from 2010 to 2100 by age (0–100+), sex (male and female) and educational levels (illiterate, primary school, junior-high school, senior-high school, college, bachelor’s, and master’s and above) under different shared socioeconomic pathways (SSPs). The provincial projection takes into account fertility promoting policies and population ceiling restrictions of megacities that have been implemented in China in recent years to reduce systematic biases in current studies. The predicted provincial population is allocated to spatially explicit population grids for each year at 30 arc-seconds resolution based on representative concentration pathway (RCP) urban grids and historical population grids. The provincial projection data were validated using population data in 2017 from China’s Provincial Statistical Yearbook, and the accuracy of the population grids in 2015 was evaluated. These data have numerous potential uses and can serve as inputs in climate policy research with requirements for precise administrative or spatial population data in China.","container-title":"Scientific Data","DOI":"10.1038/s41597-020-0421-y","ISSN":"2052-4463","issue":"1","journalAbbreviation":"Sci Data","language":"en","license":"2020 The Author(s)","note":"publisher: Nature Publishing Group","page":"83","source":"www.nature.com","title":"Provincial and gridded population projection for China under shared socioeconomic pathways from 2010 to 2100","volume":"7","author":[{"family":"Chen","given":"Yidan"},{"family":"Guo","given":"Fang"},{"family":"Wang","given":"Jiachen"},{"family":"Cai","given":"Wenjia"},{"family":"Wang","given":"Can"},{"family":"Wang","given":"Kaicun"}],"issued":{"date-parts":[["2020",3,9]]}}}],"schema":"https://github.com/citation-style-language/schema/raw/master/csl-citation.json"} </w:instrText>
            </w:r>
            <w:r>
              <w:rPr>
                <w:sz w:val="20"/>
                <w:szCs w:val="20"/>
              </w:rPr>
              <w:fldChar w:fldCharType="separate"/>
            </w:r>
            <w:r w:rsidR="007B3AD1" w:rsidRPr="007B3AD1">
              <w:rPr>
                <w:rFonts w:cs="Calibri"/>
                <w:kern w:val="0"/>
                <w:sz w:val="20"/>
                <w:vertAlign w:val="superscript"/>
              </w:rPr>
              <w:t>68</w:t>
            </w:r>
            <w:r>
              <w:rPr>
                <w:sz w:val="20"/>
                <w:szCs w:val="20"/>
              </w:rPr>
              <w:fldChar w:fldCharType="end"/>
            </w:r>
          </w:p>
        </w:tc>
      </w:tr>
      <w:tr w:rsidR="006C1C11" w:rsidRPr="00E80CFD" w14:paraId="2DB61E0A" w14:textId="77777777" w:rsidTr="0067732E">
        <w:tc>
          <w:tcPr>
            <w:tcW w:w="1134" w:type="dxa"/>
          </w:tcPr>
          <w:p w14:paraId="58074C9D" w14:textId="2C392059" w:rsidR="006C1C11" w:rsidRPr="00E80CFD" w:rsidRDefault="006C1C11" w:rsidP="006C1C11">
            <w:pPr>
              <w:rPr>
                <w:sz w:val="20"/>
                <w:szCs w:val="20"/>
              </w:rPr>
            </w:pPr>
            <w:r>
              <w:rPr>
                <w:rFonts w:hint="eastAsia"/>
                <w:sz w:val="20"/>
                <w:szCs w:val="20"/>
              </w:rPr>
              <w:t>BNU</w:t>
            </w:r>
          </w:p>
        </w:tc>
        <w:tc>
          <w:tcPr>
            <w:tcW w:w="1418" w:type="dxa"/>
          </w:tcPr>
          <w:p w14:paraId="2B1315FA" w14:textId="4EC96150" w:rsidR="006C1C11" w:rsidRPr="00E80CFD" w:rsidRDefault="006C1C11" w:rsidP="006C1C11">
            <w:pPr>
              <w:rPr>
                <w:sz w:val="20"/>
                <w:szCs w:val="20"/>
              </w:rPr>
            </w:pPr>
            <w:r>
              <w:rPr>
                <w:rFonts w:hint="eastAsia"/>
                <w:sz w:val="20"/>
                <w:szCs w:val="20"/>
              </w:rPr>
              <w:t>2022</w:t>
            </w:r>
          </w:p>
        </w:tc>
        <w:tc>
          <w:tcPr>
            <w:tcW w:w="1276" w:type="dxa"/>
          </w:tcPr>
          <w:p w14:paraId="163EE3BA" w14:textId="7B3B5C0A" w:rsidR="006C1C11" w:rsidRPr="00E80CFD" w:rsidRDefault="006C1C11" w:rsidP="006C1C11">
            <w:pPr>
              <w:rPr>
                <w:sz w:val="20"/>
                <w:szCs w:val="20"/>
              </w:rPr>
            </w:pPr>
            <w:r>
              <w:rPr>
                <w:rFonts w:hint="eastAsia"/>
                <w:sz w:val="20"/>
                <w:szCs w:val="20"/>
              </w:rPr>
              <w:t>Country and Provincial</w:t>
            </w:r>
          </w:p>
        </w:tc>
        <w:tc>
          <w:tcPr>
            <w:tcW w:w="1984" w:type="dxa"/>
          </w:tcPr>
          <w:p w14:paraId="05B30A20" w14:textId="73D76B93" w:rsidR="006C1C11" w:rsidRPr="00E80CFD" w:rsidRDefault="006C1C11" w:rsidP="006C1C11">
            <w:pPr>
              <w:rPr>
                <w:sz w:val="20"/>
                <w:szCs w:val="20"/>
              </w:rPr>
            </w:pPr>
            <w:r>
              <w:rPr>
                <w:rFonts w:hint="eastAsia"/>
                <w:sz w:val="20"/>
                <w:szCs w:val="20"/>
              </w:rPr>
              <w:t>2020-2100, by 1</w:t>
            </w:r>
          </w:p>
        </w:tc>
        <w:tc>
          <w:tcPr>
            <w:tcW w:w="4140" w:type="dxa"/>
          </w:tcPr>
          <w:p w14:paraId="40981FE7" w14:textId="1BA091B1" w:rsidR="006C1C11" w:rsidRPr="00E80CFD" w:rsidRDefault="006C1C11" w:rsidP="006C1C11">
            <w:pPr>
              <w:rPr>
                <w:sz w:val="20"/>
                <w:szCs w:val="20"/>
              </w:rPr>
            </w:pPr>
            <w:r>
              <w:rPr>
                <w:rFonts w:hint="eastAsia"/>
                <w:sz w:val="20"/>
                <w:szCs w:val="20"/>
              </w:rPr>
              <w:t>SSP2</w:t>
            </w:r>
          </w:p>
        </w:tc>
        <w:tc>
          <w:tcPr>
            <w:tcW w:w="5386" w:type="dxa"/>
          </w:tcPr>
          <w:p w14:paraId="270CB630" w14:textId="1DEE4D43" w:rsidR="006C1C11" w:rsidRPr="00E80CFD" w:rsidRDefault="006C1C11" w:rsidP="006C1C11">
            <w:pPr>
              <w:rPr>
                <w:sz w:val="20"/>
                <w:szCs w:val="20"/>
              </w:rPr>
            </w:pPr>
            <w:r>
              <w:rPr>
                <w:rFonts w:hint="eastAsia"/>
                <w:sz w:val="20"/>
                <w:szCs w:val="20"/>
              </w:rPr>
              <w:t xml:space="preserve">Beijing Normal </w:t>
            </w:r>
            <w:r>
              <w:rPr>
                <w:sz w:val="20"/>
                <w:szCs w:val="20"/>
              </w:rPr>
              <w:t>University</w:t>
            </w:r>
            <w:r>
              <w:rPr>
                <w:sz w:val="20"/>
                <w:szCs w:val="20"/>
              </w:rPr>
              <w:fldChar w:fldCharType="begin"/>
            </w:r>
            <w:r w:rsidR="007B3AD1">
              <w:rPr>
                <w:sz w:val="20"/>
                <w:szCs w:val="20"/>
              </w:rPr>
              <w:instrText xml:space="preserve"> ADDIN ZOTERO_ITEM CSL_CITATION {"citationID":"a2jcgrrbihj","properties":{"formattedCitation":"\\super 69\\nosupersub{}","plainCitation":"69","noteIndex":0},"citationItems":[{"id":3469,"uris":["http://zotero.org/users/10504693/items/RK2PIJL5"],"itemData":{"id":3469,"type":"article-journal","abstract":"The population has a significant influence on economic growth, energy consumption, and climate change. Many scholars and organizations have published projections for China's future population due to its substantial population amounts. However, these projections have not been evaluated or analyzed, which may lead confusion to extensional studies based on these datasets. This manuscript compares several China's projection datasets at multiscale and analyzes the impacting factors affecting projection accuracy. The results indicate that the slow of actual population growth rates from 2017 is earlier than most datasets projected. Therefore, the turning point of population decline probably comes rapidly before these datasets expected during 2024 and 2034. Furthermore, the projections do not reveal the population decline from 2010 in the Northeast provinces such as Jilin and Heilongjiang, and underrate the population increase in the southern provinces such as Guangdong and Chongqing. According to the results of regression models, the rate of population changes and the number of migrations people play a significant role in projection accuracy. These findings provide meaningful guidance for scholars to understand the uncertainty of those projection datasets. Moreover, for researchers performing population projections, our discoveries provide insights to increase the projection accuracy.","container-title":"Scientific Reports","DOI":"10.1038/s41598-022-07646-x","ISSN":"2045-2322","issue":"1","journalAbbreviation":"Sci Rep","language":"en","license":"2022 The Author(s)","note":"publisher: Nature Publishing Group","page":"3644","source":"www.nature.com","title":"Evaluation and analysis of the projected population of China","volume":"12","author":[{"family":"Dai","given":"Kaixuan"},{"family":"Shen","given":"Shi"},{"family":"Cheng","given":"Changxiu"}],"issued":{"date-parts":[["2022",3,7]]}}}],"schema":"https://github.com/citation-style-language/schema/raw/master/csl-citation.json"} </w:instrText>
            </w:r>
            <w:r>
              <w:rPr>
                <w:sz w:val="20"/>
                <w:szCs w:val="20"/>
              </w:rPr>
              <w:fldChar w:fldCharType="separate"/>
            </w:r>
            <w:r w:rsidR="007B3AD1" w:rsidRPr="007B3AD1">
              <w:rPr>
                <w:rFonts w:cs="Calibri"/>
                <w:kern w:val="0"/>
                <w:sz w:val="20"/>
                <w:vertAlign w:val="superscript"/>
              </w:rPr>
              <w:t>69</w:t>
            </w:r>
            <w:r>
              <w:rPr>
                <w:sz w:val="20"/>
                <w:szCs w:val="20"/>
              </w:rPr>
              <w:fldChar w:fldCharType="end"/>
            </w:r>
          </w:p>
        </w:tc>
      </w:tr>
      <w:tr w:rsidR="006C1C11" w:rsidRPr="00E80CFD" w14:paraId="78123191" w14:textId="77777777" w:rsidTr="0067732E">
        <w:tc>
          <w:tcPr>
            <w:tcW w:w="1134" w:type="dxa"/>
          </w:tcPr>
          <w:p w14:paraId="70B36097" w14:textId="77777777" w:rsidR="006C1C11" w:rsidRPr="00E80CFD" w:rsidRDefault="006C1C11" w:rsidP="006C1C11">
            <w:pPr>
              <w:rPr>
                <w:sz w:val="20"/>
                <w:szCs w:val="20"/>
              </w:rPr>
            </w:pPr>
            <w:r w:rsidRPr="00E80CFD">
              <w:rPr>
                <w:sz w:val="20"/>
                <w:szCs w:val="20"/>
              </w:rPr>
              <w:t>THU</w:t>
            </w:r>
          </w:p>
        </w:tc>
        <w:tc>
          <w:tcPr>
            <w:tcW w:w="1418" w:type="dxa"/>
          </w:tcPr>
          <w:p w14:paraId="2C8D75E5" w14:textId="77777777" w:rsidR="006C1C11" w:rsidRPr="00E80CFD" w:rsidRDefault="006C1C11" w:rsidP="006C1C11">
            <w:pPr>
              <w:rPr>
                <w:sz w:val="20"/>
                <w:szCs w:val="20"/>
              </w:rPr>
            </w:pPr>
            <w:r w:rsidRPr="00E80CFD">
              <w:rPr>
                <w:sz w:val="20"/>
                <w:szCs w:val="20"/>
              </w:rPr>
              <w:t>2020</w:t>
            </w:r>
          </w:p>
        </w:tc>
        <w:tc>
          <w:tcPr>
            <w:tcW w:w="1276" w:type="dxa"/>
          </w:tcPr>
          <w:p w14:paraId="49F0A18A" w14:textId="77777777" w:rsidR="006C1C11" w:rsidRPr="00E80CFD" w:rsidRDefault="006C1C11" w:rsidP="006C1C11">
            <w:pPr>
              <w:rPr>
                <w:sz w:val="20"/>
                <w:szCs w:val="20"/>
              </w:rPr>
            </w:pPr>
            <w:r w:rsidRPr="00E80CFD">
              <w:rPr>
                <w:sz w:val="20"/>
                <w:szCs w:val="20"/>
              </w:rPr>
              <w:t xml:space="preserve">30 m </w:t>
            </w:r>
          </w:p>
        </w:tc>
        <w:tc>
          <w:tcPr>
            <w:tcW w:w="1984" w:type="dxa"/>
          </w:tcPr>
          <w:p w14:paraId="2F7212AF" w14:textId="77777777" w:rsidR="006C1C11" w:rsidRPr="00E80CFD" w:rsidRDefault="006C1C11" w:rsidP="006C1C11">
            <w:pPr>
              <w:rPr>
                <w:sz w:val="20"/>
                <w:szCs w:val="20"/>
              </w:rPr>
            </w:pPr>
            <w:r w:rsidRPr="00E80CFD">
              <w:rPr>
                <w:sz w:val="20"/>
                <w:szCs w:val="20"/>
              </w:rPr>
              <w:t>2010-2100, by1</w:t>
            </w:r>
          </w:p>
        </w:tc>
        <w:tc>
          <w:tcPr>
            <w:tcW w:w="4140" w:type="dxa"/>
          </w:tcPr>
          <w:p w14:paraId="46439E76" w14:textId="77777777" w:rsidR="006C1C11" w:rsidRPr="00E80CFD" w:rsidRDefault="006C1C11" w:rsidP="006C1C11">
            <w:pPr>
              <w:rPr>
                <w:sz w:val="20"/>
                <w:szCs w:val="20"/>
              </w:rPr>
            </w:pPr>
            <w:r w:rsidRPr="00E80CFD">
              <w:rPr>
                <w:sz w:val="20"/>
                <w:szCs w:val="20"/>
              </w:rPr>
              <w:t>SSP1-SSP5</w:t>
            </w:r>
          </w:p>
        </w:tc>
        <w:tc>
          <w:tcPr>
            <w:tcW w:w="5386" w:type="dxa"/>
          </w:tcPr>
          <w:p w14:paraId="2B22FB5F" w14:textId="09C75D4D" w:rsidR="006C1C11" w:rsidRPr="00E80CFD" w:rsidRDefault="006C1C11" w:rsidP="006C1C11">
            <w:pPr>
              <w:rPr>
                <w:sz w:val="20"/>
                <w:szCs w:val="20"/>
              </w:rPr>
            </w:pPr>
            <w:r w:rsidRPr="00E80CFD">
              <w:rPr>
                <w:rFonts w:hint="eastAsia"/>
                <w:sz w:val="20"/>
                <w:szCs w:val="20"/>
              </w:rPr>
              <w:t>Tsinghua University</w:t>
            </w:r>
            <w:r>
              <w:rPr>
                <w:sz w:val="20"/>
                <w:szCs w:val="20"/>
              </w:rPr>
              <w:fldChar w:fldCharType="begin"/>
            </w:r>
            <w:r w:rsidR="007B3AD1">
              <w:rPr>
                <w:sz w:val="20"/>
                <w:szCs w:val="20"/>
              </w:rPr>
              <w:instrText xml:space="preserve"> ADDIN ZOTERO_ITEM CSL_CITATION {"citationID":"a27juso12rk","properties":{"formattedCitation":"\\super 68\\nosupersub{}","plainCitation":"68","noteIndex":0},"citationItems":[{"id":3941,"uris":["http://zotero.org/users/10504693/items/Z2EJGWI2"],"itemData":{"id":3941,"type":"article-journal","abstract":"In response to a growing demand for subnational and spatially explicit data on China’s future population, this study estimates China’s provincial population from 2010 to 2100 by age (0–100+), sex (male and female) and educational levels (illiterate, primary school, junior-high school, senior-high school, college, bachelor’s, and master’s and above) under different shared socioeconomic pathways (SSPs). The provincial projection takes into account fertility promoting policies and population ceiling restrictions of megacities that have been implemented in China in recent years to reduce systematic biases in current studies. The predicted provincial population is allocated to spatially explicit population grids for each year at 30 arc-seconds resolution based on representative concentration pathway (RCP) urban grids and historical population grids. The provincial projection data were validated using population data in 2017 from China’s Provincial Statistical Yearbook, and the accuracy of the population grids in 2015 was evaluated. These data have numerous potential uses and can serve as inputs in climate policy research with requirements for precise administrative or spatial population data in China.","container-title":"Scientific Data","DOI":"10.1038/s41597-020-0421-y","ISSN":"2052-4463","issue":"1","journalAbbreviation":"Sci Data","language":"en","license":"2020 The Author(s)","note":"publisher: Nature Publishing Group","page":"83","source":"www.nature.com","title":"Provincial and gridded population projection for China under shared socioeconomic pathways from 2010 to 2100","volume":"7","author":[{"family":"Chen","given":"Yidan"},{"family":"Guo","given":"Fang"},{"family":"Wang","given":"Jiachen"},{"family":"Cai","given":"Wenjia"},{"family":"Wang","given":"Can"},{"family":"Wang","given":"Kaicun"}],"issued":{"date-parts":[["2020",3,9]]}}}],"schema":"https://github.com/citation-style-language/schema/raw/master/csl-citation.json"} </w:instrText>
            </w:r>
            <w:r>
              <w:rPr>
                <w:sz w:val="20"/>
                <w:szCs w:val="20"/>
              </w:rPr>
              <w:fldChar w:fldCharType="separate"/>
            </w:r>
            <w:r w:rsidR="007B3AD1" w:rsidRPr="007B3AD1">
              <w:rPr>
                <w:rFonts w:cs="Calibri"/>
                <w:kern w:val="0"/>
                <w:sz w:val="20"/>
                <w:vertAlign w:val="superscript"/>
              </w:rPr>
              <w:t>68</w:t>
            </w:r>
            <w:r>
              <w:rPr>
                <w:sz w:val="20"/>
                <w:szCs w:val="20"/>
              </w:rPr>
              <w:fldChar w:fldCharType="end"/>
            </w:r>
            <w:r w:rsidRPr="00E80CFD">
              <w:rPr>
                <w:rFonts w:hint="eastAsia"/>
                <w:sz w:val="20"/>
                <w:szCs w:val="20"/>
              </w:rPr>
              <w:t xml:space="preserve"> </w:t>
            </w:r>
          </w:p>
        </w:tc>
      </w:tr>
      <w:tr w:rsidR="006C1C11" w:rsidRPr="00E80CFD" w14:paraId="53128972" w14:textId="77777777" w:rsidTr="0067732E">
        <w:tc>
          <w:tcPr>
            <w:tcW w:w="1134" w:type="dxa"/>
          </w:tcPr>
          <w:p w14:paraId="241AE974" w14:textId="77777777" w:rsidR="006C1C11" w:rsidRPr="00E80CFD" w:rsidRDefault="006C1C11" w:rsidP="006C1C11">
            <w:pPr>
              <w:rPr>
                <w:sz w:val="20"/>
                <w:szCs w:val="20"/>
              </w:rPr>
            </w:pPr>
            <w:r w:rsidRPr="00E80CFD">
              <w:rPr>
                <w:sz w:val="20"/>
                <w:szCs w:val="20"/>
              </w:rPr>
              <w:t>SEDAC</w:t>
            </w:r>
          </w:p>
        </w:tc>
        <w:tc>
          <w:tcPr>
            <w:tcW w:w="1418" w:type="dxa"/>
          </w:tcPr>
          <w:p w14:paraId="377ACEA0" w14:textId="77777777" w:rsidR="006C1C11" w:rsidRPr="00E80CFD" w:rsidRDefault="006C1C11" w:rsidP="006C1C11">
            <w:pPr>
              <w:rPr>
                <w:sz w:val="20"/>
                <w:szCs w:val="20"/>
              </w:rPr>
            </w:pPr>
            <w:r w:rsidRPr="00E80CFD">
              <w:rPr>
                <w:sz w:val="20"/>
                <w:szCs w:val="20"/>
              </w:rPr>
              <w:t>2020</w:t>
            </w:r>
          </w:p>
        </w:tc>
        <w:tc>
          <w:tcPr>
            <w:tcW w:w="1276" w:type="dxa"/>
          </w:tcPr>
          <w:p w14:paraId="7D558E89" w14:textId="77777777" w:rsidR="006C1C11" w:rsidRPr="00E80CFD" w:rsidRDefault="006C1C11" w:rsidP="006C1C11">
            <w:pPr>
              <w:rPr>
                <w:sz w:val="20"/>
                <w:szCs w:val="20"/>
              </w:rPr>
            </w:pPr>
            <w:r w:rsidRPr="00E80CFD">
              <w:rPr>
                <w:sz w:val="20"/>
                <w:szCs w:val="20"/>
              </w:rPr>
              <w:t>1km</w:t>
            </w:r>
          </w:p>
        </w:tc>
        <w:tc>
          <w:tcPr>
            <w:tcW w:w="1984" w:type="dxa"/>
          </w:tcPr>
          <w:p w14:paraId="564A29BC" w14:textId="77777777" w:rsidR="006C1C11" w:rsidRPr="00E80CFD" w:rsidRDefault="006C1C11" w:rsidP="006C1C11">
            <w:pPr>
              <w:rPr>
                <w:sz w:val="20"/>
                <w:szCs w:val="20"/>
              </w:rPr>
            </w:pPr>
            <w:r w:rsidRPr="00E80CFD">
              <w:rPr>
                <w:sz w:val="20"/>
                <w:szCs w:val="20"/>
              </w:rPr>
              <w:t>2010-2100, by 10</w:t>
            </w:r>
          </w:p>
        </w:tc>
        <w:tc>
          <w:tcPr>
            <w:tcW w:w="4140" w:type="dxa"/>
          </w:tcPr>
          <w:p w14:paraId="762FF6D2" w14:textId="77777777" w:rsidR="006C1C11" w:rsidRPr="00E80CFD" w:rsidRDefault="006C1C11" w:rsidP="006C1C11">
            <w:pPr>
              <w:rPr>
                <w:sz w:val="20"/>
                <w:szCs w:val="20"/>
              </w:rPr>
            </w:pPr>
            <w:r w:rsidRPr="00E80CFD">
              <w:rPr>
                <w:sz w:val="20"/>
                <w:szCs w:val="20"/>
              </w:rPr>
              <w:t>SSP1-SSP5</w:t>
            </w:r>
          </w:p>
        </w:tc>
        <w:tc>
          <w:tcPr>
            <w:tcW w:w="5386" w:type="dxa"/>
          </w:tcPr>
          <w:p w14:paraId="291CDB37" w14:textId="7974D47B" w:rsidR="006C1C11" w:rsidRPr="00E80CFD" w:rsidRDefault="006C1C11" w:rsidP="006C1C11">
            <w:pPr>
              <w:rPr>
                <w:sz w:val="20"/>
                <w:szCs w:val="20"/>
              </w:rPr>
            </w:pPr>
            <w:r w:rsidRPr="00E80CFD">
              <w:rPr>
                <w:rFonts w:hint="eastAsia"/>
                <w:sz w:val="20"/>
                <w:szCs w:val="20"/>
              </w:rPr>
              <w:t xml:space="preserve">Socio economic data and application </w:t>
            </w:r>
            <w:r w:rsidRPr="00E80CFD">
              <w:rPr>
                <w:sz w:val="20"/>
                <w:szCs w:val="20"/>
              </w:rPr>
              <w:t>centre</w:t>
            </w:r>
            <w:r>
              <w:rPr>
                <w:sz w:val="20"/>
                <w:szCs w:val="20"/>
              </w:rPr>
              <w:fldChar w:fldCharType="begin"/>
            </w:r>
            <w:r w:rsidR="007B3AD1">
              <w:rPr>
                <w:sz w:val="20"/>
                <w:szCs w:val="20"/>
              </w:rPr>
              <w:instrText xml:space="preserve"> ADDIN ZOTERO_ITEM CSL_CITATION {"citationID":"ai6jv07596","properties":{"formattedCitation":"\\super 70\\nosupersub{}","plainCitation":"70","noteIndex":0},"citationItems":[{"id":3952,"uris":["http://zotero.org/users/10504693/items/GMAU4SQZ"],"itemData":{"id":3952,"type":"article-journal","language":"en","source":"opensky.ucar.edu","title":"Downscaling Global Spatial Population Projections from 1/8-degree to 1-km Grid Cells","URL":"https://opensky.ucar.edu/islandora/object/technotes%3A553","author":[{"family":"Gao","given":"Author: Jing"}],"accessed":{"date-parts":[["2025",5,19]]},"issued":{"date-parts":[["2017"]]}}}],"schema":"https://github.com/citation-style-language/schema/raw/master/csl-citation.json"} </w:instrText>
            </w:r>
            <w:r>
              <w:rPr>
                <w:sz w:val="20"/>
                <w:szCs w:val="20"/>
              </w:rPr>
              <w:fldChar w:fldCharType="separate"/>
            </w:r>
            <w:r w:rsidR="007B3AD1" w:rsidRPr="007B3AD1">
              <w:rPr>
                <w:rFonts w:cs="Calibri"/>
                <w:kern w:val="0"/>
                <w:sz w:val="20"/>
                <w:vertAlign w:val="superscript"/>
              </w:rPr>
              <w:t>70</w:t>
            </w:r>
            <w:r>
              <w:rPr>
                <w:sz w:val="20"/>
                <w:szCs w:val="20"/>
              </w:rPr>
              <w:fldChar w:fldCharType="end"/>
            </w:r>
          </w:p>
        </w:tc>
      </w:tr>
      <w:tr w:rsidR="006C1C11" w:rsidRPr="00E80CFD" w14:paraId="69EEEE53" w14:textId="77777777" w:rsidTr="0067732E">
        <w:tc>
          <w:tcPr>
            <w:tcW w:w="1134" w:type="dxa"/>
          </w:tcPr>
          <w:p w14:paraId="445B1A39" w14:textId="503FDA22" w:rsidR="006C1C11" w:rsidRPr="00E80CFD" w:rsidRDefault="006C1C11" w:rsidP="006C1C11">
            <w:pPr>
              <w:rPr>
                <w:sz w:val="20"/>
                <w:szCs w:val="20"/>
              </w:rPr>
            </w:pPr>
            <w:r w:rsidRPr="00E80CFD">
              <w:rPr>
                <w:sz w:val="20"/>
                <w:szCs w:val="20"/>
              </w:rPr>
              <w:t>NUIST</w:t>
            </w:r>
          </w:p>
        </w:tc>
        <w:tc>
          <w:tcPr>
            <w:tcW w:w="1418" w:type="dxa"/>
          </w:tcPr>
          <w:p w14:paraId="7609E707" w14:textId="3CA02384" w:rsidR="006C1C11" w:rsidRPr="00E80CFD" w:rsidRDefault="006C1C11" w:rsidP="006C1C11">
            <w:pPr>
              <w:rPr>
                <w:sz w:val="20"/>
                <w:szCs w:val="20"/>
              </w:rPr>
            </w:pPr>
            <w:r w:rsidRPr="00E80CFD">
              <w:rPr>
                <w:sz w:val="20"/>
                <w:szCs w:val="20"/>
              </w:rPr>
              <w:t>2019</w:t>
            </w:r>
          </w:p>
        </w:tc>
        <w:tc>
          <w:tcPr>
            <w:tcW w:w="1276" w:type="dxa"/>
          </w:tcPr>
          <w:p w14:paraId="74F0EE14" w14:textId="667F5EA2" w:rsidR="006C1C11" w:rsidRPr="00E80CFD" w:rsidRDefault="006C1C11" w:rsidP="006C1C11">
            <w:pPr>
              <w:rPr>
                <w:sz w:val="20"/>
                <w:szCs w:val="20"/>
              </w:rPr>
            </w:pPr>
            <w:r w:rsidRPr="00E80CFD">
              <w:rPr>
                <w:sz w:val="20"/>
                <w:szCs w:val="20"/>
              </w:rPr>
              <w:t>0.5 °</w:t>
            </w:r>
          </w:p>
        </w:tc>
        <w:tc>
          <w:tcPr>
            <w:tcW w:w="1984" w:type="dxa"/>
          </w:tcPr>
          <w:p w14:paraId="59EA5CE4" w14:textId="3F5E6B55" w:rsidR="006C1C11" w:rsidRPr="00E80CFD" w:rsidRDefault="006C1C11" w:rsidP="006C1C11">
            <w:pPr>
              <w:rPr>
                <w:sz w:val="20"/>
                <w:szCs w:val="20"/>
              </w:rPr>
            </w:pPr>
            <w:r w:rsidRPr="00E80CFD">
              <w:rPr>
                <w:sz w:val="20"/>
                <w:szCs w:val="20"/>
              </w:rPr>
              <w:t>2010-2100, by 1</w:t>
            </w:r>
          </w:p>
        </w:tc>
        <w:tc>
          <w:tcPr>
            <w:tcW w:w="4140" w:type="dxa"/>
          </w:tcPr>
          <w:p w14:paraId="0EFA78C3" w14:textId="244866BC" w:rsidR="006C1C11" w:rsidRPr="00E80CFD" w:rsidRDefault="006C1C11" w:rsidP="006C1C11">
            <w:pPr>
              <w:rPr>
                <w:sz w:val="20"/>
                <w:szCs w:val="20"/>
              </w:rPr>
            </w:pPr>
            <w:r w:rsidRPr="00E80CFD">
              <w:rPr>
                <w:sz w:val="20"/>
                <w:szCs w:val="20"/>
              </w:rPr>
              <w:t>SSP1-SSP5</w:t>
            </w:r>
          </w:p>
        </w:tc>
        <w:tc>
          <w:tcPr>
            <w:tcW w:w="5386" w:type="dxa"/>
          </w:tcPr>
          <w:p w14:paraId="39F793D4" w14:textId="37512313" w:rsidR="006C1C11" w:rsidRPr="00E80CFD" w:rsidRDefault="006C1C11" w:rsidP="006C1C11">
            <w:pPr>
              <w:rPr>
                <w:sz w:val="20"/>
                <w:szCs w:val="20"/>
              </w:rPr>
            </w:pPr>
            <w:r w:rsidRPr="00E80CFD">
              <w:rPr>
                <w:rFonts w:hint="eastAsia"/>
                <w:sz w:val="20"/>
                <w:szCs w:val="20"/>
              </w:rPr>
              <w:t>Nanjing University of information Science and Technology</w:t>
            </w:r>
            <w:r>
              <w:rPr>
                <w:sz w:val="20"/>
                <w:szCs w:val="20"/>
              </w:rPr>
              <w:fldChar w:fldCharType="begin"/>
            </w:r>
            <w:r w:rsidR="007B3AD1">
              <w:rPr>
                <w:sz w:val="20"/>
                <w:szCs w:val="20"/>
              </w:rPr>
              <w:instrText xml:space="preserve"> ADDIN ZOTERO_ITEM CSL_CITATION {"citationID":"a2htf5scan1","properties":{"formattedCitation":"\\super 71\\nosupersub{}","plainCitation":"71","noteIndex":0},"citationItems":[{"id":3943,"uris":["http://zotero.org/users/10504693/items/EGHUWYVD"],"itemData":{"id":3943,"type":"article-journal","abstract":"Beginning in 2016, all couples in China were allowed to have two children without any restrictions. This paper provides population and economic projections under five shared socioeconomic pathways (SSPs) and three fertility policies. By replacing the one-child policy with the two-child policy, the population is predicted to continue growing until 2025–2035, with a peak of approximately 1.39–1.42 billion, and then to decline under four SSPs, with the exception of the fragmented world SSP3. As a result, the two-child policy will lead to mitigation of the pressure from labor shortages and aging problems to a certain extent. In addition, an increase in working-age people with higher education level relative to projections based on the one-child policy will lead to an increase in gross domestic product by approximately 38.1–43.9% in the late 21st century. However, labor shortages and aging problems are inevitable, and the proportion of elderly in China will be greater than 14% and 21% by approximately 2025 and 2035, respectively. Full liberalization of fertility is expected to reduce the share of elderly people by 0.7–1.0% and to lead to an increase in gross domestic product by 5.3–6.7% relative to the two-child policy in the late 21st century. The full liberalization of fertility policies is recommended, supplemented by increases in pension and child-rearing funds, improvement in the quality of health services for females and children, and extension of compulsory education to meet the needs of an aged society.","container-title":"Earth's Future","DOI":"10.1029/2018EF000964","ISSN":"2328-4277","issue":"3","language":"en","license":"©2019. The Authors.","note":"_eprint: https://onlinelibrary.wiley.com/doi/pdf/10.1029/2018EF000964","page":"250-265","source":"Wiley Online Library","title":"Effect of Fertility Policy Changes on the Population Structure and Economy of China: From the Perspective of the Shared Socioeconomic Pathways","title-short":"Effect of Fertility Policy Changes on the Population Structure and Economy of China","volume":"7","author":[{"family":"Huang","given":"Jinlong"},{"family":"Qin","given":"Dahe"},{"family":"Jiang","given":"Tong"},{"family":"Wang","given":"Yanjun"},{"family":"Feng","given":"Zhiqiang"},{"family":"Zhai","given":"Jianqing"},{"family":"Cao","given":"Lige"},{"family":"Chao","given":"Qingchen"},{"family":"Xu","given":"Xinwu"},{"family":"Wang","given":"Guofu"},{"family":"Su","given":"Buda"}],"issued":{"date-parts":[["2019"]]}}}],"schema":"https://github.com/citation-style-language/schema/raw/master/csl-citation.json"} </w:instrText>
            </w:r>
            <w:r>
              <w:rPr>
                <w:sz w:val="20"/>
                <w:szCs w:val="20"/>
              </w:rPr>
              <w:fldChar w:fldCharType="separate"/>
            </w:r>
            <w:r w:rsidR="007B3AD1" w:rsidRPr="007B3AD1">
              <w:rPr>
                <w:rFonts w:cs="Calibri"/>
                <w:kern w:val="0"/>
                <w:sz w:val="20"/>
                <w:vertAlign w:val="superscript"/>
              </w:rPr>
              <w:t>71</w:t>
            </w:r>
            <w:r>
              <w:rPr>
                <w:sz w:val="20"/>
                <w:szCs w:val="20"/>
              </w:rPr>
              <w:fldChar w:fldCharType="end"/>
            </w:r>
          </w:p>
        </w:tc>
      </w:tr>
      <w:tr w:rsidR="006C1C11" w:rsidRPr="00E80CFD" w14:paraId="6E370A1C" w14:textId="77777777" w:rsidTr="0067732E">
        <w:tc>
          <w:tcPr>
            <w:tcW w:w="1134" w:type="dxa"/>
          </w:tcPr>
          <w:p w14:paraId="0848FDC0" w14:textId="77777777" w:rsidR="006C1C11" w:rsidRPr="00E80CFD" w:rsidRDefault="006C1C11" w:rsidP="006C1C11">
            <w:pPr>
              <w:rPr>
                <w:sz w:val="20"/>
                <w:szCs w:val="20"/>
              </w:rPr>
            </w:pPr>
            <w:r w:rsidRPr="00E80CFD">
              <w:rPr>
                <w:sz w:val="20"/>
                <w:szCs w:val="20"/>
              </w:rPr>
              <w:t>IHME</w:t>
            </w:r>
          </w:p>
        </w:tc>
        <w:tc>
          <w:tcPr>
            <w:tcW w:w="1418" w:type="dxa"/>
          </w:tcPr>
          <w:p w14:paraId="733B5EDA" w14:textId="77777777" w:rsidR="006C1C11" w:rsidRPr="00E80CFD" w:rsidRDefault="006C1C11" w:rsidP="006C1C11">
            <w:pPr>
              <w:rPr>
                <w:sz w:val="20"/>
                <w:szCs w:val="20"/>
              </w:rPr>
            </w:pPr>
            <w:r w:rsidRPr="00E80CFD">
              <w:rPr>
                <w:sz w:val="20"/>
                <w:szCs w:val="20"/>
              </w:rPr>
              <w:t>2019</w:t>
            </w:r>
          </w:p>
        </w:tc>
        <w:tc>
          <w:tcPr>
            <w:tcW w:w="1276" w:type="dxa"/>
          </w:tcPr>
          <w:p w14:paraId="47B2C290" w14:textId="77777777" w:rsidR="006C1C11" w:rsidRPr="00E80CFD" w:rsidRDefault="006C1C11" w:rsidP="006C1C11">
            <w:pPr>
              <w:rPr>
                <w:sz w:val="20"/>
                <w:szCs w:val="20"/>
              </w:rPr>
            </w:pPr>
            <w:r w:rsidRPr="00E80CFD">
              <w:rPr>
                <w:sz w:val="20"/>
                <w:szCs w:val="20"/>
              </w:rPr>
              <w:t xml:space="preserve">Country </w:t>
            </w:r>
          </w:p>
        </w:tc>
        <w:tc>
          <w:tcPr>
            <w:tcW w:w="1984" w:type="dxa"/>
          </w:tcPr>
          <w:p w14:paraId="2FDEE169" w14:textId="77777777" w:rsidR="006C1C11" w:rsidRPr="00E80CFD" w:rsidRDefault="006C1C11" w:rsidP="006C1C11">
            <w:pPr>
              <w:rPr>
                <w:sz w:val="20"/>
                <w:szCs w:val="20"/>
              </w:rPr>
            </w:pPr>
            <w:r w:rsidRPr="00E80CFD">
              <w:rPr>
                <w:sz w:val="20"/>
                <w:szCs w:val="20"/>
              </w:rPr>
              <w:t>1950-2100</w:t>
            </w:r>
            <w:r w:rsidRPr="00E80CFD">
              <w:rPr>
                <w:sz w:val="20"/>
                <w:szCs w:val="20"/>
              </w:rPr>
              <w:t>，</w:t>
            </w:r>
            <w:r w:rsidRPr="00E80CFD">
              <w:rPr>
                <w:sz w:val="20"/>
                <w:szCs w:val="20"/>
              </w:rPr>
              <w:t>by 1</w:t>
            </w:r>
          </w:p>
        </w:tc>
        <w:tc>
          <w:tcPr>
            <w:tcW w:w="4140" w:type="dxa"/>
          </w:tcPr>
          <w:p w14:paraId="147A3D7B" w14:textId="77777777" w:rsidR="006C1C11" w:rsidRPr="00E80CFD" w:rsidRDefault="006C1C11" w:rsidP="006C1C11">
            <w:pPr>
              <w:rPr>
                <w:sz w:val="20"/>
                <w:szCs w:val="20"/>
              </w:rPr>
            </w:pPr>
            <w:r w:rsidRPr="00E80CFD">
              <w:rPr>
                <w:sz w:val="20"/>
                <w:szCs w:val="20"/>
              </w:rPr>
              <w:t xml:space="preserve">Reference, Slower, Faster, </w:t>
            </w:r>
            <w:proofErr w:type="gramStart"/>
            <w:r w:rsidRPr="00E80CFD">
              <w:rPr>
                <w:rFonts w:hint="eastAsia"/>
                <w:sz w:val="20"/>
                <w:szCs w:val="20"/>
              </w:rPr>
              <w:t>F</w:t>
            </w:r>
            <w:r w:rsidRPr="00E80CFD">
              <w:rPr>
                <w:sz w:val="20"/>
                <w:szCs w:val="20"/>
              </w:rPr>
              <w:t>astest</w:t>
            </w:r>
            <w:proofErr w:type="gramEnd"/>
            <w:r w:rsidRPr="00E80CFD">
              <w:rPr>
                <w:sz w:val="20"/>
                <w:szCs w:val="20"/>
              </w:rPr>
              <w:t xml:space="preserve"> (female educational attainment) </w:t>
            </w:r>
          </w:p>
        </w:tc>
        <w:tc>
          <w:tcPr>
            <w:tcW w:w="5386" w:type="dxa"/>
          </w:tcPr>
          <w:p w14:paraId="30956456" w14:textId="61B6DB58" w:rsidR="006C1C11" w:rsidRPr="00E80CFD" w:rsidRDefault="006C1C11" w:rsidP="006C1C11">
            <w:pPr>
              <w:rPr>
                <w:sz w:val="20"/>
                <w:szCs w:val="20"/>
              </w:rPr>
            </w:pPr>
            <w:r w:rsidRPr="00E80CFD">
              <w:rPr>
                <w:sz w:val="20"/>
                <w:szCs w:val="20"/>
              </w:rPr>
              <w:t>Institute for Health Metrics and evaluation</w:t>
            </w:r>
            <w:r>
              <w:rPr>
                <w:sz w:val="20"/>
                <w:szCs w:val="20"/>
              </w:rPr>
              <w:fldChar w:fldCharType="begin"/>
            </w:r>
            <w:r w:rsidR="007B3AD1">
              <w:rPr>
                <w:sz w:val="20"/>
                <w:szCs w:val="20"/>
              </w:rPr>
              <w:instrText xml:space="preserve"> ADDIN ZOTERO_ITEM CSL_CITATION {"citationID":"afpn0c1dia","properties":{"formattedCitation":"\\super 72\\nosupersub{}","plainCitation":"72","noteIndex":0},"citationItems":[{"id":3956,"uris":["http://zotero.org/users/10504693/items/NJS9H4GQ"],"itemData":{"id":3956,"type":"webpage","language":"en","title":"Homepage | Institute for Health Metrics and Evaluation","URL":"https://www.healthdata.org/","author":[{"family":"IHME","given":""}],"accessed":{"date-parts":[["2025",5,19]]},"issued":{"date-parts":[["2019"]]}}}],"schema":"https://github.com/citation-style-language/schema/raw/master/csl-citation.json"} </w:instrText>
            </w:r>
            <w:r>
              <w:rPr>
                <w:sz w:val="20"/>
                <w:szCs w:val="20"/>
              </w:rPr>
              <w:fldChar w:fldCharType="separate"/>
            </w:r>
            <w:r w:rsidR="007B3AD1" w:rsidRPr="007B3AD1">
              <w:rPr>
                <w:rFonts w:cs="Calibri"/>
                <w:kern w:val="0"/>
                <w:sz w:val="20"/>
                <w:vertAlign w:val="superscript"/>
              </w:rPr>
              <w:t>72</w:t>
            </w:r>
            <w:r>
              <w:rPr>
                <w:sz w:val="20"/>
                <w:szCs w:val="20"/>
              </w:rPr>
              <w:fldChar w:fldCharType="end"/>
            </w:r>
          </w:p>
        </w:tc>
      </w:tr>
      <w:tr w:rsidR="006C1C11" w:rsidRPr="00E80CFD" w14:paraId="1E285ED5" w14:textId="77777777" w:rsidTr="0067732E">
        <w:tc>
          <w:tcPr>
            <w:tcW w:w="1134" w:type="dxa"/>
          </w:tcPr>
          <w:p w14:paraId="00F41A52" w14:textId="77777777" w:rsidR="006C1C11" w:rsidRPr="00E80CFD" w:rsidRDefault="006C1C11" w:rsidP="006C1C11">
            <w:pPr>
              <w:rPr>
                <w:sz w:val="20"/>
                <w:szCs w:val="20"/>
              </w:rPr>
            </w:pPr>
            <w:r w:rsidRPr="00E80CFD">
              <w:rPr>
                <w:sz w:val="20"/>
                <w:szCs w:val="20"/>
              </w:rPr>
              <w:lastRenderedPageBreak/>
              <w:t>WCDE</w:t>
            </w:r>
          </w:p>
        </w:tc>
        <w:tc>
          <w:tcPr>
            <w:tcW w:w="1418" w:type="dxa"/>
          </w:tcPr>
          <w:p w14:paraId="2FA25E55" w14:textId="3387BA0D" w:rsidR="006C1C11" w:rsidRPr="00E80CFD" w:rsidRDefault="006C1C11" w:rsidP="006C1C11">
            <w:pPr>
              <w:rPr>
                <w:sz w:val="20"/>
                <w:szCs w:val="20"/>
              </w:rPr>
            </w:pPr>
            <w:r w:rsidRPr="00E80CFD">
              <w:rPr>
                <w:sz w:val="20"/>
                <w:szCs w:val="20"/>
              </w:rPr>
              <w:t>201</w:t>
            </w:r>
            <w:r>
              <w:rPr>
                <w:rFonts w:hint="eastAsia"/>
                <w:sz w:val="20"/>
                <w:szCs w:val="20"/>
              </w:rPr>
              <w:t>9</w:t>
            </w:r>
          </w:p>
        </w:tc>
        <w:tc>
          <w:tcPr>
            <w:tcW w:w="1276" w:type="dxa"/>
          </w:tcPr>
          <w:p w14:paraId="0309B29C" w14:textId="77777777" w:rsidR="006C1C11" w:rsidRPr="00E80CFD" w:rsidRDefault="006C1C11" w:rsidP="006C1C11">
            <w:pPr>
              <w:rPr>
                <w:sz w:val="20"/>
                <w:szCs w:val="20"/>
              </w:rPr>
            </w:pPr>
            <w:r w:rsidRPr="00E80CFD">
              <w:rPr>
                <w:sz w:val="20"/>
                <w:szCs w:val="20"/>
              </w:rPr>
              <w:t>Country</w:t>
            </w:r>
          </w:p>
        </w:tc>
        <w:tc>
          <w:tcPr>
            <w:tcW w:w="1984" w:type="dxa"/>
          </w:tcPr>
          <w:p w14:paraId="2615AD7A" w14:textId="77777777" w:rsidR="006C1C11" w:rsidRPr="00E80CFD" w:rsidRDefault="006C1C11" w:rsidP="006C1C11">
            <w:pPr>
              <w:rPr>
                <w:sz w:val="20"/>
                <w:szCs w:val="20"/>
              </w:rPr>
            </w:pPr>
            <w:r w:rsidRPr="00E80CFD">
              <w:rPr>
                <w:sz w:val="20"/>
                <w:szCs w:val="20"/>
              </w:rPr>
              <w:t>1950-2100, by 5</w:t>
            </w:r>
          </w:p>
        </w:tc>
        <w:tc>
          <w:tcPr>
            <w:tcW w:w="4140" w:type="dxa"/>
          </w:tcPr>
          <w:p w14:paraId="28ACF641" w14:textId="77777777" w:rsidR="006C1C11" w:rsidRPr="00E80CFD" w:rsidRDefault="006C1C11" w:rsidP="006C1C11">
            <w:pPr>
              <w:rPr>
                <w:sz w:val="20"/>
                <w:szCs w:val="20"/>
              </w:rPr>
            </w:pPr>
            <w:r w:rsidRPr="00E80CFD">
              <w:rPr>
                <w:sz w:val="20"/>
                <w:szCs w:val="20"/>
              </w:rPr>
              <w:t>SSP 1</w:t>
            </w:r>
            <w:r w:rsidRPr="00E80CFD">
              <w:rPr>
                <w:rFonts w:hint="eastAsia"/>
                <w:sz w:val="20"/>
                <w:szCs w:val="20"/>
              </w:rPr>
              <w:t xml:space="preserve">-Rapid development </w:t>
            </w:r>
          </w:p>
          <w:p w14:paraId="0E6FF50B" w14:textId="77777777" w:rsidR="006C1C11" w:rsidRPr="00E80CFD" w:rsidRDefault="006C1C11" w:rsidP="006C1C11">
            <w:pPr>
              <w:rPr>
                <w:sz w:val="20"/>
                <w:szCs w:val="20"/>
              </w:rPr>
            </w:pPr>
            <w:r w:rsidRPr="00E80CFD">
              <w:rPr>
                <w:sz w:val="20"/>
                <w:szCs w:val="20"/>
              </w:rPr>
              <w:t>SSP 2</w:t>
            </w:r>
            <w:r w:rsidRPr="00E80CFD">
              <w:rPr>
                <w:rFonts w:hint="eastAsia"/>
                <w:sz w:val="20"/>
                <w:szCs w:val="20"/>
              </w:rPr>
              <w:t>-medium</w:t>
            </w:r>
          </w:p>
          <w:p w14:paraId="78186585" w14:textId="77777777" w:rsidR="006C1C11" w:rsidRPr="00E80CFD" w:rsidRDefault="006C1C11" w:rsidP="006C1C11">
            <w:pPr>
              <w:rPr>
                <w:sz w:val="20"/>
                <w:szCs w:val="20"/>
              </w:rPr>
            </w:pPr>
            <w:r w:rsidRPr="00E80CFD">
              <w:rPr>
                <w:sz w:val="20"/>
                <w:szCs w:val="20"/>
              </w:rPr>
              <w:t>SSP 3</w:t>
            </w:r>
            <w:r w:rsidRPr="00E80CFD">
              <w:rPr>
                <w:rFonts w:hint="eastAsia"/>
                <w:sz w:val="20"/>
                <w:szCs w:val="20"/>
              </w:rPr>
              <w:t xml:space="preserve">-stalled development </w:t>
            </w:r>
          </w:p>
          <w:p w14:paraId="5AFBA28D" w14:textId="77777777" w:rsidR="006C1C11" w:rsidRPr="00E80CFD" w:rsidRDefault="006C1C11" w:rsidP="006C1C11">
            <w:pPr>
              <w:rPr>
                <w:sz w:val="20"/>
                <w:szCs w:val="20"/>
              </w:rPr>
            </w:pPr>
            <w:r w:rsidRPr="00E80CFD">
              <w:rPr>
                <w:sz w:val="20"/>
                <w:szCs w:val="20"/>
              </w:rPr>
              <w:t>SSP 2</w:t>
            </w:r>
            <w:r w:rsidRPr="00E80CFD">
              <w:rPr>
                <w:rFonts w:hint="eastAsia"/>
                <w:sz w:val="20"/>
                <w:szCs w:val="20"/>
              </w:rPr>
              <w:t xml:space="preserve">-Medium </w:t>
            </w:r>
            <w:r w:rsidRPr="00E80CFD">
              <w:rPr>
                <w:sz w:val="20"/>
                <w:szCs w:val="20"/>
              </w:rPr>
              <w:t>zero</w:t>
            </w:r>
            <w:r w:rsidRPr="00E80CFD">
              <w:rPr>
                <w:rFonts w:hint="eastAsia"/>
                <w:sz w:val="20"/>
                <w:szCs w:val="20"/>
              </w:rPr>
              <w:t xml:space="preserve"> migration</w:t>
            </w:r>
          </w:p>
          <w:p w14:paraId="0297EDCB" w14:textId="77777777" w:rsidR="006C1C11" w:rsidRPr="00E80CFD" w:rsidRDefault="006C1C11" w:rsidP="006C1C11">
            <w:pPr>
              <w:rPr>
                <w:sz w:val="20"/>
                <w:szCs w:val="20"/>
              </w:rPr>
            </w:pPr>
            <w:r w:rsidRPr="00E80CFD">
              <w:rPr>
                <w:sz w:val="20"/>
                <w:szCs w:val="20"/>
              </w:rPr>
              <w:t>SSP 2</w:t>
            </w:r>
            <w:r w:rsidRPr="00E80CFD">
              <w:rPr>
                <w:rFonts w:hint="eastAsia"/>
                <w:sz w:val="20"/>
                <w:szCs w:val="20"/>
              </w:rPr>
              <w:t>-Medium double migration</w:t>
            </w:r>
          </w:p>
        </w:tc>
        <w:tc>
          <w:tcPr>
            <w:tcW w:w="5386" w:type="dxa"/>
          </w:tcPr>
          <w:p w14:paraId="198A2DCF" w14:textId="28A7725B" w:rsidR="006C1C11" w:rsidRPr="00E80CFD" w:rsidRDefault="006C1C11" w:rsidP="006C1C11">
            <w:pPr>
              <w:rPr>
                <w:sz w:val="20"/>
                <w:szCs w:val="20"/>
              </w:rPr>
            </w:pPr>
            <w:r w:rsidRPr="00E80CFD">
              <w:rPr>
                <w:sz w:val="20"/>
                <w:szCs w:val="20"/>
              </w:rPr>
              <w:t>Wittgenstein Centre Data Explorer</w:t>
            </w:r>
            <w:r w:rsidR="007B3AD1">
              <w:rPr>
                <w:sz w:val="20"/>
                <w:szCs w:val="20"/>
              </w:rPr>
              <w:fldChar w:fldCharType="begin"/>
            </w:r>
            <w:r w:rsidR="007B3AD1">
              <w:rPr>
                <w:sz w:val="20"/>
                <w:szCs w:val="20"/>
              </w:rPr>
              <w:instrText xml:space="preserve"> ADDIN ZOTERO_ITEM CSL_CITATION {"citationID":"a17th7v07db","properties":{"formattedCitation":"\\super 73\\nosupersub{}","plainCitation":"73","noteIndex":0},"citationItems":[{"id":3958,"uris":["http://zotero.org/users/10504693/items/PXHUXEHR"],"itemData":{"id":3958,"type":"webpage","title":"Wittgenstein Centre Human Capital Data Explorer","URL":"https://dataexplorer.wittgensteincentre.org/wcde-v2/","author":[{"family":"WCDE","given":""}],"accessed":{"date-parts":[["2025",5,19]]},"issued":{"date-parts":[["2019"]]}}}],"schema":"https://github.com/citation-style-language/schema/raw/master/csl-citation.json"} </w:instrText>
            </w:r>
            <w:r w:rsidR="007B3AD1">
              <w:rPr>
                <w:sz w:val="20"/>
                <w:szCs w:val="20"/>
              </w:rPr>
              <w:fldChar w:fldCharType="separate"/>
            </w:r>
            <w:r w:rsidR="007B3AD1" w:rsidRPr="007B3AD1">
              <w:rPr>
                <w:rFonts w:cs="Calibri"/>
                <w:kern w:val="0"/>
                <w:sz w:val="20"/>
                <w:vertAlign w:val="superscript"/>
              </w:rPr>
              <w:t>73</w:t>
            </w:r>
            <w:r w:rsidR="007B3AD1">
              <w:rPr>
                <w:sz w:val="20"/>
                <w:szCs w:val="20"/>
              </w:rPr>
              <w:fldChar w:fldCharType="end"/>
            </w:r>
          </w:p>
          <w:p w14:paraId="650C265B" w14:textId="4C6420A8" w:rsidR="006C1C11" w:rsidRPr="00E80CFD" w:rsidRDefault="006C1C11" w:rsidP="006C1C11">
            <w:pPr>
              <w:rPr>
                <w:sz w:val="20"/>
                <w:szCs w:val="20"/>
              </w:rPr>
            </w:pPr>
          </w:p>
        </w:tc>
      </w:tr>
    </w:tbl>
    <w:p w14:paraId="13B7BC5D" w14:textId="77777777" w:rsidR="00944FB0" w:rsidRDefault="00944FB0" w:rsidP="00813AE3"/>
    <w:p w14:paraId="5020EB30" w14:textId="06CFD10B" w:rsidR="00944FB0" w:rsidRPr="00E80CFD" w:rsidRDefault="0000341B" w:rsidP="00047843">
      <w:pPr>
        <w:jc w:val="center"/>
        <w:rPr>
          <w:rFonts w:cs="Calibri"/>
          <w:b/>
          <w:bCs/>
          <w:szCs w:val="22"/>
        </w:rPr>
      </w:pPr>
      <w:r>
        <w:rPr>
          <w:rFonts w:cs="Calibri" w:hint="eastAsia"/>
          <w:b/>
          <w:bCs/>
          <w:szCs w:val="22"/>
        </w:rPr>
        <w:t xml:space="preserve">SI </w:t>
      </w:r>
      <w:r w:rsidRPr="00610296">
        <w:rPr>
          <w:rFonts w:cs="Calibri"/>
          <w:b/>
          <w:bCs/>
          <w:szCs w:val="22"/>
        </w:rPr>
        <w:t xml:space="preserve">Table </w:t>
      </w:r>
      <w:r w:rsidR="005E468D">
        <w:rPr>
          <w:rFonts w:cs="Calibri"/>
          <w:b/>
          <w:bCs/>
          <w:szCs w:val="22"/>
        </w:rPr>
        <w:t>6</w:t>
      </w:r>
      <w:r w:rsidRPr="00610296">
        <w:rPr>
          <w:rFonts w:cs="Calibri"/>
          <w:b/>
          <w:bCs/>
          <w:szCs w:val="22"/>
        </w:rPr>
        <w:t xml:space="preserve">. Quantification of </w:t>
      </w:r>
      <w:r>
        <w:rPr>
          <w:rFonts w:cs="Calibri" w:hint="eastAsia"/>
          <w:b/>
          <w:bCs/>
          <w:szCs w:val="22"/>
        </w:rPr>
        <w:t>Population Changes</w:t>
      </w:r>
      <w:r w:rsidRPr="00610296">
        <w:rPr>
          <w:rFonts w:cs="Calibri"/>
          <w:b/>
          <w:bCs/>
          <w:szCs w:val="22"/>
        </w:rPr>
        <w:t xml:space="preserve"> in TIAM-UCL</w:t>
      </w:r>
    </w:p>
    <w:tbl>
      <w:tblPr>
        <w:tblStyle w:val="TableGrid"/>
        <w:tblW w:w="14771" w:type="dxa"/>
        <w:tblInd w:w="-1168" w:type="dxa"/>
        <w:tblLook w:val="04A0" w:firstRow="1" w:lastRow="0" w:firstColumn="1" w:lastColumn="0" w:noHBand="0" w:noVBand="1"/>
      </w:tblPr>
      <w:tblGrid>
        <w:gridCol w:w="929"/>
        <w:gridCol w:w="8598"/>
        <w:gridCol w:w="992"/>
        <w:gridCol w:w="1134"/>
        <w:gridCol w:w="992"/>
        <w:gridCol w:w="1134"/>
        <w:gridCol w:w="992"/>
      </w:tblGrid>
      <w:tr w:rsidR="0000341B" w:rsidRPr="00E80CFD" w14:paraId="05ED97CB" w14:textId="77777777" w:rsidTr="0000341B">
        <w:tc>
          <w:tcPr>
            <w:tcW w:w="917" w:type="dxa"/>
            <w:vMerge w:val="restart"/>
          </w:tcPr>
          <w:p w14:paraId="40CB3CEC" w14:textId="77777777" w:rsidR="0000341B" w:rsidRPr="000B7A13" w:rsidRDefault="0000341B" w:rsidP="00813AE3">
            <w:pPr>
              <w:rPr>
                <w:b/>
                <w:bCs/>
                <w:sz w:val="20"/>
                <w:szCs w:val="20"/>
              </w:rPr>
            </w:pPr>
            <w:r w:rsidRPr="000B7A13">
              <w:rPr>
                <w:rFonts w:hint="eastAsia"/>
                <w:b/>
                <w:bCs/>
                <w:sz w:val="20"/>
                <w:szCs w:val="20"/>
              </w:rPr>
              <w:t>Scenario</w:t>
            </w:r>
          </w:p>
        </w:tc>
        <w:tc>
          <w:tcPr>
            <w:tcW w:w="8610" w:type="dxa"/>
            <w:vMerge w:val="restart"/>
          </w:tcPr>
          <w:p w14:paraId="4FED073F" w14:textId="77777777" w:rsidR="0000341B" w:rsidRPr="000B7A13" w:rsidRDefault="0000341B" w:rsidP="00813AE3">
            <w:pPr>
              <w:rPr>
                <w:b/>
                <w:bCs/>
                <w:sz w:val="20"/>
                <w:szCs w:val="20"/>
              </w:rPr>
            </w:pPr>
            <w:r w:rsidRPr="000B7A13">
              <w:rPr>
                <w:b/>
                <w:bCs/>
                <w:sz w:val="20"/>
                <w:szCs w:val="20"/>
              </w:rPr>
              <w:t>Scenario narratives</w:t>
            </w:r>
            <w:r w:rsidRPr="000B7A13">
              <w:rPr>
                <w:rFonts w:hint="eastAsia"/>
                <w:b/>
                <w:bCs/>
                <w:sz w:val="20"/>
                <w:szCs w:val="20"/>
              </w:rPr>
              <w:t xml:space="preserve"> regarding population </w:t>
            </w:r>
          </w:p>
        </w:tc>
        <w:tc>
          <w:tcPr>
            <w:tcW w:w="992" w:type="dxa"/>
            <w:vMerge w:val="restart"/>
          </w:tcPr>
          <w:p w14:paraId="533BC9BD" w14:textId="77777777" w:rsidR="0000341B" w:rsidRPr="000B7A13" w:rsidRDefault="0000341B" w:rsidP="00813AE3">
            <w:pPr>
              <w:rPr>
                <w:b/>
                <w:bCs/>
                <w:sz w:val="20"/>
                <w:szCs w:val="20"/>
              </w:rPr>
            </w:pPr>
            <w:r w:rsidRPr="000B7A13">
              <w:rPr>
                <w:b/>
                <w:bCs/>
                <w:sz w:val="20"/>
                <w:szCs w:val="20"/>
              </w:rPr>
              <w:t>Fertility</w:t>
            </w:r>
            <w:r w:rsidRPr="000B7A13">
              <w:rPr>
                <w:rFonts w:hint="eastAsia"/>
                <w:b/>
                <w:bCs/>
                <w:sz w:val="20"/>
                <w:szCs w:val="20"/>
              </w:rPr>
              <w:t xml:space="preserve"> </w:t>
            </w:r>
            <w:r w:rsidRPr="000B7A13">
              <w:rPr>
                <w:b/>
                <w:bCs/>
                <w:sz w:val="20"/>
                <w:szCs w:val="20"/>
              </w:rPr>
              <w:t>rat</w:t>
            </w:r>
            <w:r w:rsidRPr="000B7A13">
              <w:rPr>
                <w:rFonts w:hint="eastAsia"/>
                <w:b/>
                <w:bCs/>
                <w:sz w:val="20"/>
                <w:szCs w:val="20"/>
              </w:rPr>
              <w:t>e</w:t>
            </w:r>
          </w:p>
        </w:tc>
        <w:tc>
          <w:tcPr>
            <w:tcW w:w="4252" w:type="dxa"/>
            <w:gridSpan w:val="4"/>
          </w:tcPr>
          <w:p w14:paraId="09E89DFE" w14:textId="54451D5C" w:rsidR="0000341B" w:rsidRPr="000B7A13" w:rsidRDefault="0000341B" w:rsidP="00813AE3">
            <w:pPr>
              <w:rPr>
                <w:b/>
                <w:bCs/>
                <w:sz w:val="20"/>
                <w:szCs w:val="20"/>
              </w:rPr>
            </w:pPr>
            <w:r w:rsidRPr="000B7A13">
              <w:rPr>
                <w:rFonts w:hint="eastAsia"/>
                <w:b/>
                <w:bCs/>
                <w:sz w:val="20"/>
                <w:szCs w:val="20"/>
              </w:rPr>
              <w:t>Numerical assumptions of population (million)</w:t>
            </w:r>
          </w:p>
        </w:tc>
      </w:tr>
      <w:tr w:rsidR="0000341B" w:rsidRPr="00E80CFD" w14:paraId="1580587A" w14:textId="77777777" w:rsidTr="0000341B">
        <w:tc>
          <w:tcPr>
            <w:tcW w:w="917" w:type="dxa"/>
            <w:vMerge/>
          </w:tcPr>
          <w:p w14:paraId="06E50684" w14:textId="77777777" w:rsidR="0000341B" w:rsidRPr="000B7A13" w:rsidRDefault="0000341B" w:rsidP="00813AE3">
            <w:pPr>
              <w:rPr>
                <w:b/>
                <w:bCs/>
                <w:sz w:val="20"/>
                <w:szCs w:val="20"/>
              </w:rPr>
            </w:pPr>
          </w:p>
        </w:tc>
        <w:tc>
          <w:tcPr>
            <w:tcW w:w="8610" w:type="dxa"/>
            <w:vMerge/>
          </w:tcPr>
          <w:p w14:paraId="1B37992C" w14:textId="77777777" w:rsidR="0000341B" w:rsidRPr="000B7A13" w:rsidRDefault="0000341B" w:rsidP="00813AE3">
            <w:pPr>
              <w:rPr>
                <w:b/>
                <w:bCs/>
                <w:sz w:val="20"/>
                <w:szCs w:val="20"/>
              </w:rPr>
            </w:pPr>
          </w:p>
        </w:tc>
        <w:tc>
          <w:tcPr>
            <w:tcW w:w="992" w:type="dxa"/>
            <w:vMerge/>
          </w:tcPr>
          <w:p w14:paraId="3EFBEEB2" w14:textId="77777777" w:rsidR="0000341B" w:rsidRPr="000B7A13" w:rsidRDefault="0000341B" w:rsidP="00813AE3">
            <w:pPr>
              <w:rPr>
                <w:b/>
                <w:bCs/>
                <w:sz w:val="20"/>
                <w:szCs w:val="20"/>
              </w:rPr>
            </w:pPr>
          </w:p>
        </w:tc>
        <w:tc>
          <w:tcPr>
            <w:tcW w:w="1134" w:type="dxa"/>
          </w:tcPr>
          <w:p w14:paraId="620107F7" w14:textId="39A83E92" w:rsidR="0000341B" w:rsidRPr="000B7A13" w:rsidRDefault="0000341B" w:rsidP="00813AE3">
            <w:pPr>
              <w:rPr>
                <w:b/>
                <w:bCs/>
                <w:sz w:val="20"/>
                <w:szCs w:val="20"/>
              </w:rPr>
            </w:pPr>
            <w:r w:rsidRPr="000B7A13">
              <w:rPr>
                <w:rFonts w:hint="eastAsia"/>
                <w:b/>
                <w:bCs/>
                <w:sz w:val="20"/>
                <w:szCs w:val="20"/>
              </w:rPr>
              <w:t>2030</w:t>
            </w:r>
          </w:p>
        </w:tc>
        <w:tc>
          <w:tcPr>
            <w:tcW w:w="992" w:type="dxa"/>
          </w:tcPr>
          <w:p w14:paraId="5C9B7EBF" w14:textId="0AD4AFAB" w:rsidR="0000341B" w:rsidRPr="000B7A13" w:rsidRDefault="0000341B" w:rsidP="00813AE3">
            <w:pPr>
              <w:rPr>
                <w:b/>
                <w:bCs/>
                <w:sz w:val="20"/>
                <w:szCs w:val="20"/>
              </w:rPr>
            </w:pPr>
            <w:r w:rsidRPr="000B7A13">
              <w:rPr>
                <w:rFonts w:hint="eastAsia"/>
                <w:b/>
                <w:bCs/>
                <w:sz w:val="20"/>
                <w:szCs w:val="20"/>
              </w:rPr>
              <w:t>2050</w:t>
            </w:r>
          </w:p>
        </w:tc>
        <w:tc>
          <w:tcPr>
            <w:tcW w:w="1134" w:type="dxa"/>
          </w:tcPr>
          <w:p w14:paraId="545A546E" w14:textId="61281BAF" w:rsidR="0000341B" w:rsidRPr="000B7A13" w:rsidRDefault="0000341B" w:rsidP="00813AE3">
            <w:pPr>
              <w:rPr>
                <w:b/>
                <w:bCs/>
                <w:sz w:val="20"/>
                <w:szCs w:val="20"/>
              </w:rPr>
            </w:pPr>
            <w:r w:rsidRPr="000B7A13">
              <w:rPr>
                <w:rFonts w:hint="eastAsia"/>
                <w:b/>
                <w:bCs/>
                <w:sz w:val="20"/>
                <w:szCs w:val="20"/>
              </w:rPr>
              <w:t>2080</w:t>
            </w:r>
          </w:p>
        </w:tc>
        <w:tc>
          <w:tcPr>
            <w:tcW w:w="992" w:type="dxa"/>
          </w:tcPr>
          <w:p w14:paraId="2865E125" w14:textId="4BD6C162" w:rsidR="0000341B" w:rsidRPr="000B7A13" w:rsidRDefault="0000341B" w:rsidP="00813AE3">
            <w:pPr>
              <w:rPr>
                <w:b/>
                <w:bCs/>
                <w:sz w:val="20"/>
                <w:szCs w:val="20"/>
              </w:rPr>
            </w:pPr>
            <w:r w:rsidRPr="000B7A13">
              <w:rPr>
                <w:rFonts w:hint="eastAsia"/>
                <w:b/>
                <w:bCs/>
                <w:sz w:val="20"/>
                <w:szCs w:val="20"/>
              </w:rPr>
              <w:t>2100</w:t>
            </w:r>
          </w:p>
        </w:tc>
      </w:tr>
      <w:tr w:rsidR="0000341B" w:rsidRPr="00E80CFD" w14:paraId="4E2096E6" w14:textId="77777777" w:rsidTr="0000341B">
        <w:trPr>
          <w:trHeight w:val="926"/>
        </w:trPr>
        <w:tc>
          <w:tcPr>
            <w:tcW w:w="917" w:type="dxa"/>
          </w:tcPr>
          <w:p w14:paraId="77CF0C5F" w14:textId="1AFDB1F1" w:rsidR="0000341B" w:rsidRPr="000B7A13" w:rsidRDefault="0000341B" w:rsidP="00813AE3">
            <w:pPr>
              <w:rPr>
                <w:b/>
                <w:bCs/>
                <w:sz w:val="20"/>
                <w:szCs w:val="20"/>
              </w:rPr>
            </w:pPr>
            <w:r w:rsidRPr="000B7A13">
              <w:rPr>
                <w:rFonts w:hint="eastAsia"/>
                <w:b/>
                <w:bCs/>
                <w:sz w:val="20"/>
                <w:szCs w:val="20"/>
              </w:rPr>
              <w:t>Great Wall</w:t>
            </w:r>
          </w:p>
        </w:tc>
        <w:tc>
          <w:tcPr>
            <w:tcW w:w="8610" w:type="dxa"/>
          </w:tcPr>
          <w:p w14:paraId="078EF500" w14:textId="77777777" w:rsidR="0000341B" w:rsidRPr="00757392" w:rsidRDefault="0000341B" w:rsidP="00813AE3">
            <w:pPr>
              <w:rPr>
                <w:sz w:val="20"/>
                <w:szCs w:val="20"/>
              </w:rPr>
            </w:pPr>
            <w:r w:rsidRPr="00757392">
              <w:rPr>
                <w:sz w:val="20"/>
                <w:szCs w:val="20"/>
              </w:rPr>
              <w:t>Accelerated decline: Economic Instability Undermines fertility intension</w:t>
            </w:r>
          </w:p>
          <w:p w14:paraId="5CBB4055" w14:textId="36B3E2D5" w:rsidR="0000341B" w:rsidRPr="00E80CFD" w:rsidRDefault="0000341B" w:rsidP="00813AE3">
            <w:pPr>
              <w:rPr>
                <w:sz w:val="20"/>
                <w:szCs w:val="20"/>
              </w:rPr>
            </w:pPr>
            <w:r w:rsidRPr="00757392">
              <w:rPr>
                <w:sz w:val="20"/>
                <w:szCs w:val="20"/>
              </w:rPr>
              <w:t>Economic downturns lead to a deteriorating employment environment, undermining the confidence of younger generations. Additionally, concerns about healthcare, elderly care, education, and food safety make young people more cautious in decisions related to marriage and childbearing.</w:t>
            </w:r>
          </w:p>
        </w:tc>
        <w:tc>
          <w:tcPr>
            <w:tcW w:w="992" w:type="dxa"/>
          </w:tcPr>
          <w:p w14:paraId="169FE0D6" w14:textId="77777777" w:rsidR="0000341B" w:rsidRPr="00E80CFD" w:rsidRDefault="0000341B" w:rsidP="00813AE3">
            <w:pPr>
              <w:rPr>
                <w:sz w:val="20"/>
                <w:szCs w:val="20"/>
              </w:rPr>
            </w:pPr>
            <w:r w:rsidRPr="00E80CFD">
              <w:rPr>
                <w:rFonts w:hint="eastAsia"/>
                <w:sz w:val="20"/>
                <w:szCs w:val="20"/>
              </w:rPr>
              <w:t>Low</w:t>
            </w:r>
          </w:p>
        </w:tc>
        <w:tc>
          <w:tcPr>
            <w:tcW w:w="1134" w:type="dxa"/>
          </w:tcPr>
          <w:p w14:paraId="0E81310F" w14:textId="5382ED10" w:rsidR="0000341B" w:rsidRPr="00E80CFD" w:rsidRDefault="0000341B" w:rsidP="00813AE3">
            <w:pPr>
              <w:rPr>
                <w:sz w:val="20"/>
                <w:szCs w:val="20"/>
              </w:rPr>
            </w:pPr>
            <w:r w:rsidRPr="00730C4C">
              <w:t>1396.24</w:t>
            </w:r>
          </w:p>
        </w:tc>
        <w:tc>
          <w:tcPr>
            <w:tcW w:w="992" w:type="dxa"/>
          </w:tcPr>
          <w:p w14:paraId="0D43D296" w14:textId="60CD502F" w:rsidR="0000341B" w:rsidRPr="00E80CFD" w:rsidRDefault="0000341B" w:rsidP="00813AE3">
            <w:pPr>
              <w:rPr>
                <w:sz w:val="20"/>
                <w:szCs w:val="20"/>
              </w:rPr>
            </w:pPr>
            <w:r w:rsidRPr="00730C4C">
              <w:t>1221.77</w:t>
            </w:r>
          </w:p>
        </w:tc>
        <w:tc>
          <w:tcPr>
            <w:tcW w:w="1134" w:type="dxa"/>
          </w:tcPr>
          <w:p w14:paraId="7DF27890" w14:textId="186807F4" w:rsidR="0000341B" w:rsidRPr="00E80CFD" w:rsidRDefault="0000341B" w:rsidP="00813AE3">
            <w:pPr>
              <w:rPr>
                <w:sz w:val="20"/>
                <w:szCs w:val="20"/>
              </w:rPr>
            </w:pPr>
            <w:r w:rsidRPr="00730C4C">
              <w:t>769.4</w:t>
            </w:r>
            <w:r>
              <w:rPr>
                <w:rFonts w:hint="eastAsia"/>
              </w:rPr>
              <w:t>6</w:t>
            </w:r>
          </w:p>
        </w:tc>
        <w:tc>
          <w:tcPr>
            <w:tcW w:w="992" w:type="dxa"/>
          </w:tcPr>
          <w:p w14:paraId="5A0835BB" w14:textId="44FF2299" w:rsidR="0000341B" w:rsidRPr="00E80CFD" w:rsidRDefault="0000341B" w:rsidP="00813AE3">
            <w:pPr>
              <w:rPr>
                <w:sz w:val="20"/>
                <w:szCs w:val="20"/>
              </w:rPr>
            </w:pPr>
            <w:r w:rsidRPr="00730C4C">
              <w:t>494.14</w:t>
            </w:r>
          </w:p>
        </w:tc>
      </w:tr>
      <w:tr w:rsidR="0000341B" w:rsidRPr="00E80CFD" w14:paraId="083D34D1" w14:textId="77777777" w:rsidTr="0000341B">
        <w:trPr>
          <w:trHeight w:val="1315"/>
        </w:trPr>
        <w:tc>
          <w:tcPr>
            <w:tcW w:w="917" w:type="dxa"/>
          </w:tcPr>
          <w:p w14:paraId="5349DD41" w14:textId="6300D075" w:rsidR="0000341B" w:rsidRPr="000B7A13" w:rsidRDefault="0000341B" w:rsidP="00813AE3">
            <w:pPr>
              <w:rPr>
                <w:b/>
                <w:bCs/>
                <w:sz w:val="20"/>
                <w:szCs w:val="20"/>
              </w:rPr>
            </w:pPr>
            <w:r w:rsidRPr="000B7A13">
              <w:rPr>
                <w:rFonts w:hint="eastAsia"/>
                <w:b/>
                <w:bCs/>
                <w:sz w:val="20"/>
                <w:szCs w:val="20"/>
              </w:rPr>
              <w:t>Calm Sea, Green Lights</w:t>
            </w:r>
          </w:p>
        </w:tc>
        <w:tc>
          <w:tcPr>
            <w:tcW w:w="8610" w:type="dxa"/>
          </w:tcPr>
          <w:p w14:paraId="0FF933B1" w14:textId="77777777" w:rsidR="0000341B" w:rsidRPr="000F5D1A" w:rsidRDefault="0000341B" w:rsidP="00813AE3">
            <w:pPr>
              <w:rPr>
                <w:sz w:val="20"/>
                <w:szCs w:val="20"/>
              </w:rPr>
            </w:pPr>
            <w:r w:rsidRPr="000F5D1A">
              <w:rPr>
                <w:sz w:val="20"/>
                <w:szCs w:val="20"/>
              </w:rPr>
              <w:t>Moderate decline: Rising Costs and Social Shifts Suppress Fertility</w:t>
            </w:r>
          </w:p>
          <w:p w14:paraId="53B9EF70" w14:textId="13336733" w:rsidR="0000341B" w:rsidRPr="00E80CFD" w:rsidRDefault="0000341B" w:rsidP="00813AE3">
            <w:pPr>
              <w:rPr>
                <w:sz w:val="20"/>
                <w:szCs w:val="20"/>
              </w:rPr>
            </w:pPr>
            <w:r w:rsidRPr="000F5D1A">
              <w:rPr>
                <w:sz w:val="20"/>
                <w:szCs w:val="20"/>
              </w:rPr>
              <w:t>With continued economic growth and rising per capita income, the costs of housing, education, healthcare, and childcare have significantly increased, making child-rearing more expensive. Furthermore, greater gender equality and women’s empowerment have led to increased workforce participation, reducing societal pressure to have larger families.</w:t>
            </w:r>
          </w:p>
        </w:tc>
        <w:tc>
          <w:tcPr>
            <w:tcW w:w="992" w:type="dxa"/>
          </w:tcPr>
          <w:p w14:paraId="1F2379F3" w14:textId="77777777" w:rsidR="0000341B" w:rsidRPr="00E80CFD" w:rsidRDefault="0000341B" w:rsidP="00813AE3">
            <w:pPr>
              <w:rPr>
                <w:sz w:val="20"/>
                <w:szCs w:val="20"/>
              </w:rPr>
            </w:pPr>
            <w:r w:rsidRPr="00E80CFD">
              <w:rPr>
                <w:sz w:val="20"/>
                <w:szCs w:val="20"/>
              </w:rPr>
              <w:t>Medium</w:t>
            </w:r>
          </w:p>
        </w:tc>
        <w:tc>
          <w:tcPr>
            <w:tcW w:w="1134" w:type="dxa"/>
          </w:tcPr>
          <w:p w14:paraId="2F0A2616" w14:textId="582F5932" w:rsidR="0000341B" w:rsidRPr="00E80CFD" w:rsidRDefault="0000341B" w:rsidP="00813AE3">
            <w:pPr>
              <w:rPr>
                <w:sz w:val="20"/>
                <w:szCs w:val="20"/>
              </w:rPr>
            </w:pPr>
            <w:r w:rsidRPr="00A62FAC">
              <w:t>1416.8</w:t>
            </w:r>
            <w:r>
              <w:rPr>
                <w:rFonts w:hint="eastAsia"/>
              </w:rPr>
              <w:t>7</w:t>
            </w:r>
          </w:p>
        </w:tc>
        <w:tc>
          <w:tcPr>
            <w:tcW w:w="992" w:type="dxa"/>
          </w:tcPr>
          <w:p w14:paraId="3363E66C" w14:textId="004E2EC6" w:rsidR="0000341B" w:rsidRPr="00E80CFD" w:rsidRDefault="0000341B" w:rsidP="00813AE3">
            <w:pPr>
              <w:rPr>
                <w:sz w:val="20"/>
                <w:szCs w:val="20"/>
              </w:rPr>
            </w:pPr>
            <w:r w:rsidRPr="00A62FAC">
              <w:t>1316.9</w:t>
            </w:r>
            <w:r>
              <w:rPr>
                <w:rFonts w:hint="eastAsia"/>
              </w:rPr>
              <w:t>5</w:t>
            </w:r>
          </w:p>
        </w:tc>
        <w:tc>
          <w:tcPr>
            <w:tcW w:w="1134" w:type="dxa"/>
          </w:tcPr>
          <w:p w14:paraId="1A8B7B34" w14:textId="52652165" w:rsidR="0000341B" w:rsidRPr="00E80CFD" w:rsidRDefault="0000341B" w:rsidP="00813AE3">
            <w:pPr>
              <w:rPr>
                <w:sz w:val="20"/>
                <w:szCs w:val="20"/>
              </w:rPr>
            </w:pPr>
            <w:r w:rsidRPr="00A62FAC">
              <w:t>978.55</w:t>
            </w:r>
          </w:p>
        </w:tc>
        <w:tc>
          <w:tcPr>
            <w:tcW w:w="992" w:type="dxa"/>
          </w:tcPr>
          <w:p w14:paraId="740235AE" w14:textId="6A05CF57" w:rsidR="0000341B" w:rsidRPr="00E80CFD" w:rsidRDefault="0000341B" w:rsidP="00813AE3">
            <w:pPr>
              <w:rPr>
                <w:sz w:val="20"/>
                <w:szCs w:val="20"/>
              </w:rPr>
            </w:pPr>
            <w:r w:rsidRPr="00A62FAC">
              <w:t>771.30</w:t>
            </w:r>
          </w:p>
        </w:tc>
      </w:tr>
      <w:tr w:rsidR="0000341B" w:rsidRPr="00E80CFD" w14:paraId="3D03E619" w14:textId="77777777" w:rsidTr="0000341B">
        <w:trPr>
          <w:trHeight w:val="724"/>
        </w:trPr>
        <w:tc>
          <w:tcPr>
            <w:tcW w:w="917" w:type="dxa"/>
          </w:tcPr>
          <w:p w14:paraId="2F1FF64A" w14:textId="67BAC70C" w:rsidR="0000341B" w:rsidRPr="000B7A13" w:rsidRDefault="0000341B" w:rsidP="00813AE3">
            <w:pPr>
              <w:rPr>
                <w:b/>
                <w:bCs/>
                <w:sz w:val="20"/>
                <w:szCs w:val="20"/>
              </w:rPr>
            </w:pPr>
            <w:r w:rsidRPr="000B7A13">
              <w:rPr>
                <w:rFonts w:hint="eastAsia"/>
                <w:b/>
                <w:bCs/>
                <w:sz w:val="20"/>
                <w:szCs w:val="20"/>
              </w:rPr>
              <w:t>Red Sun</w:t>
            </w:r>
          </w:p>
        </w:tc>
        <w:tc>
          <w:tcPr>
            <w:tcW w:w="8610" w:type="dxa"/>
          </w:tcPr>
          <w:p w14:paraId="3A27CE9E" w14:textId="77777777" w:rsidR="0000341B" w:rsidRPr="006063A3" w:rsidRDefault="0000341B" w:rsidP="00813AE3">
            <w:pPr>
              <w:rPr>
                <w:sz w:val="20"/>
                <w:szCs w:val="20"/>
              </w:rPr>
            </w:pPr>
            <w:r w:rsidRPr="006063A3">
              <w:rPr>
                <w:sz w:val="20"/>
                <w:szCs w:val="20"/>
              </w:rPr>
              <w:t>Alleviated decline: Social reforms and Economic Prosperity Drive Family Formation</w:t>
            </w:r>
          </w:p>
          <w:p w14:paraId="78384FD8" w14:textId="242E48B6" w:rsidR="0000341B" w:rsidRPr="00E80CFD" w:rsidRDefault="0000341B" w:rsidP="00813AE3">
            <w:pPr>
              <w:rPr>
                <w:sz w:val="20"/>
                <w:szCs w:val="20"/>
              </w:rPr>
            </w:pPr>
            <w:r w:rsidRPr="006063A3">
              <w:rPr>
                <w:sz w:val="20"/>
                <w:szCs w:val="20"/>
              </w:rPr>
              <w:t>The complete abolition of population control policies, coupled with the implementation of hukou system reforms, could significantly enhance societal willingness to have children. Economic prosperity further boosts the confidence of younger generations in family formation.</w:t>
            </w:r>
          </w:p>
        </w:tc>
        <w:tc>
          <w:tcPr>
            <w:tcW w:w="992" w:type="dxa"/>
          </w:tcPr>
          <w:p w14:paraId="235BFEF1" w14:textId="77777777" w:rsidR="0000341B" w:rsidRPr="00E80CFD" w:rsidRDefault="0000341B" w:rsidP="00813AE3">
            <w:pPr>
              <w:rPr>
                <w:sz w:val="20"/>
                <w:szCs w:val="20"/>
              </w:rPr>
            </w:pPr>
            <w:r w:rsidRPr="00E80CFD">
              <w:rPr>
                <w:rFonts w:hint="eastAsia"/>
                <w:sz w:val="20"/>
                <w:szCs w:val="20"/>
              </w:rPr>
              <w:t>High</w:t>
            </w:r>
          </w:p>
        </w:tc>
        <w:tc>
          <w:tcPr>
            <w:tcW w:w="1134" w:type="dxa"/>
          </w:tcPr>
          <w:p w14:paraId="1B502591" w14:textId="3E08C33C" w:rsidR="0000341B" w:rsidRPr="00E80CFD" w:rsidRDefault="0000341B" w:rsidP="00813AE3">
            <w:pPr>
              <w:rPr>
                <w:sz w:val="20"/>
                <w:szCs w:val="20"/>
              </w:rPr>
            </w:pPr>
            <w:r w:rsidRPr="00050681">
              <w:t>1437.5</w:t>
            </w:r>
            <w:r>
              <w:rPr>
                <w:rFonts w:hint="eastAsia"/>
              </w:rPr>
              <w:t>6</w:t>
            </w:r>
          </w:p>
        </w:tc>
        <w:tc>
          <w:tcPr>
            <w:tcW w:w="992" w:type="dxa"/>
          </w:tcPr>
          <w:p w14:paraId="6CBDE020" w14:textId="158373A4" w:rsidR="0000341B" w:rsidRPr="00E80CFD" w:rsidRDefault="0000341B" w:rsidP="00813AE3">
            <w:pPr>
              <w:rPr>
                <w:sz w:val="20"/>
                <w:szCs w:val="20"/>
              </w:rPr>
            </w:pPr>
            <w:r w:rsidRPr="00050681">
              <w:t>1413.</w:t>
            </w:r>
            <w:r>
              <w:rPr>
                <w:rFonts w:hint="eastAsia"/>
              </w:rPr>
              <w:t>10</w:t>
            </w:r>
          </w:p>
        </w:tc>
        <w:tc>
          <w:tcPr>
            <w:tcW w:w="1134" w:type="dxa"/>
          </w:tcPr>
          <w:p w14:paraId="4B4C0B29" w14:textId="46828F1A" w:rsidR="0000341B" w:rsidRPr="00E80CFD" w:rsidRDefault="0000341B" w:rsidP="00813AE3">
            <w:pPr>
              <w:rPr>
                <w:sz w:val="20"/>
                <w:szCs w:val="20"/>
              </w:rPr>
            </w:pPr>
            <w:r w:rsidRPr="00050681">
              <w:t>1233.97</w:t>
            </w:r>
          </w:p>
        </w:tc>
        <w:tc>
          <w:tcPr>
            <w:tcW w:w="992" w:type="dxa"/>
          </w:tcPr>
          <w:p w14:paraId="3F54EE26" w14:textId="7BF0232E" w:rsidR="0000341B" w:rsidRPr="00E80CFD" w:rsidRDefault="0000341B" w:rsidP="00813AE3">
            <w:pPr>
              <w:rPr>
                <w:sz w:val="20"/>
                <w:szCs w:val="20"/>
              </w:rPr>
            </w:pPr>
            <w:r w:rsidRPr="00050681">
              <w:t>1154.04</w:t>
            </w:r>
          </w:p>
        </w:tc>
      </w:tr>
    </w:tbl>
    <w:p w14:paraId="7F6E3B19" w14:textId="77777777" w:rsidR="00B64DCA" w:rsidRDefault="00B64DCA" w:rsidP="00B64DCA"/>
    <w:p w14:paraId="49E44B18" w14:textId="7986AC67" w:rsidR="00B632EE" w:rsidRDefault="00EC31DC" w:rsidP="00EC31DC">
      <w:pPr>
        <w:pStyle w:val="Heading3"/>
      </w:pPr>
      <w:r w:rsidRPr="00EC31DC">
        <w:t xml:space="preserve">Clean technology </w:t>
      </w:r>
      <w:r w:rsidR="0052279F">
        <w:rPr>
          <w:rFonts w:hint="eastAsia"/>
        </w:rPr>
        <w:t>deployment</w:t>
      </w:r>
    </w:p>
    <w:p w14:paraId="50E1769E" w14:textId="581ADDFB" w:rsidR="00B314F8" w:rsidRPr="00B314F8" w:rsidRDefault="00B314F8" w:rsidP="00B314F8">
      <w:r w:rsidRPr="00B314F8">
        <w:t>Clean technologies in the energy system are widely recognised as a cornerstone for mitigating climate change. In our scenario framework, clean technology development is differentiated both in narrative terms and in model quantification. We focus on two representative technologies: solar photovoltaics (PV) and wind turbines. To project future technology costs</w:t>
      </w:r>
      <w:r w:rsidR="009760B6">
        <w:t xml:space="preserve">, </w:t>
      </w:r>
      <w:r w:rsidRPr="00B314F8">
        <w:t>specifically capital costs and fixed operation and maintenance (O&amp;M) costs</w:t>
      </w:r>
      <w:r w:rsidR="009760B6">
        <w:t xml:space="preserve">, </w:t>
      </w:r>
      <w:r w:rsidRPr="00B314F8">
        <w:t>we apply an open-source, Python-based tool that enables exogenous cost projections with China-specific detail across scenarios</w:t>
      </w:r>
      <w:r w:rsidR="00CA6B53">
        <w:t xml:space="preserve">, this tool is developed and firstly applied </w:t>
      </w:r>
      <w:r w:rsidR="00862E80" w:rsidRPr="00862E80">
        <w:t>to MESSAGEix-GLOBIOM</w:t>
      </w:r>
      <w:r w:rsidR="00862E80">
        <w:fldChar w:fldCharType="begin"/>
      </w:r>
      <w:r w:rsidR="007B3AD1">
        <w:instrText xml:space="preserve"> ADDIN ZOTERO_ITEM CSL_CITATION {"citationID":"a262jjn2j0p","properties":{"formattedCitation":"\\super 74,75\\nosupersub{}","plainCitation":"74,75","noteIndex":0},"citationItems":[{"id":3879,"uris":["http://zotero.org/users/10504693/items/V9L8IYPR"],"itemData":{"id":3879,"type":"paper-conference","abstract":"The deployment of low-carbon technologies depends on the development of their technoeconomic characteristics. Across integrated assessment models (IAMs), the representation and parameterization of technoeconomic characteristics can (a) greatly impact the results of the models (b) vary significantly. We developed an open-source Python-based tool to exogenously project the costs of technologies with regional specificity across scenarios. The tool offers the ability regionally differentiate costs using several methods, such as converging based on year or economic development. We present the outputs of the tool as applied to MESSAGEix-GLOBIOM, and we further contextualize the tool’s outputs with costs projections derived from probabilistic methods.","event-title":"IAMC","language":"en","source":"Zotero","title":"A generalized tool for projecting investment and fixed O&amp;M costs across technologies, scenarios, and regions","author":[{"family":"Meng","given":"Measrainsey"},{"family":"Krey","given":"Volker"},{"family":"Way","given":"Rupert"},{"family":"Kim","given":"Jintae"},{"family":"Woo","given":"Jung-Hun"}],"issued":{"date-parts":[["2024"]]}}},{"id":3935,"uris":["http://zotero.org/users/10504693/items/G69ZIJYD"],"itemData":{"id":3935,"type":"article-journal","abstract":"Rapidly decarbonizing the global energy system is critical for addressing climate change, but concerns about costs have been a barrier to implementation. Most energy-economy models have historically underestimated deployment rates for renewable energy technologies and overestimated their costs. These issues have driven calls for alternative approaches and more reliable technology forecasting methods. Here, we use an approach based on probabilistic cost forecasting methods that have been statistically validated by backtesting on more than 50 technologies. We generate probabilistic cost forecasts for solar energy, wind energy, batteries, and electrolyzers, conditional on deployment. We use these methods to estimate future energy system costs and explore how technology cost uncertainty propagates through to system costs in three different scenarios. Compared to continuing with a fossil fuel-based system, a rapid green energy transition will likely result in overall net savings of many trillions of dollars—even without accounting for climate damages or co-benefits of climate policy.","container-title":"Joule","DOI":"10.1016/j.joule.2022.08.009","ISSN":"2542-4351","issue":"9","journalAbbreviation":"Joule","page":"2057-2082","source":"ScienceDirect","title":"Empirically grounded technology forecasts and the energy transition","volume":"6","author":[{"family":"Way","given":"Rupert"},{"family":"Ives","given":"Matthew C."},{"family":"Mealy","given":"Penny"},{"family":"Farmer","given":"J. Doyne"}],"issued":{"date-parts":[["2022",9,21]]}}}],"schema":"https://github.com/citation-style-language/schema/raw/master/csl-citation.json"} </w:instrText>
      </w:r>
      <w:r w:rsidR="00862E80">
        <w:fldChar w:fldCharType="separate"/>
      </w:r>
      <w:r w:rsidR="007B3AD1" w:rsidRPr="007B3AD1">
        <w:rPr>
          <w:rFonts w:cs="Calibri"/>
          <w:kern w:val="0"/>
          <w:vertAlign w:val="superscript"/>
        </w:rPr>
        <w:t>74,75</w:t>
      </w:r>
      <w:r w:rsidR="00862E80">
        <w:fldChar w:fldCharType="end"/>
      </w:r>
      <w:r w:rsidRPr="00B314F8">
        <w:t>.</w:t>
      </w:r>
    </w:p>
    <w:p w14:paraId="61D0AF1B" w14:textId="2F8E32E5" w:rsidR="00B314F8" w:rsidRPr="00B314F8" w:rsidRDefault="00B314F8" w:rsidP="00B314F8">
      <w:r w:rsidRPr="00B314F8">
        <w:lastRenderedPageBreak/>
        <w:t>In this tool, one region can be defined as the “reference region”</w:t>
      </w:r>
      <w:r w:rsidR="009760B6">
        <w:t xml:space="preserve">, </w:t>
      </w:r>
      <w:r w:rsidRPr="00B314F8">
        <w:t>a technology leader whose cost trajectory other regions follow. For the reference region, future costs are projected using a “progress rate” based on Moore’s Law, which assumes an exponential decline in costs over time. The progress rate varies by technology and scenario and is applied over the 2025–2100 horizon.</w:t>
      </w:r>
    </w:p>
    <w:p w14:paraId="09474333" w14:textId="324D834E" w:rsidR="00B314F8" w:rsidRDefault="00B314F8" w:rsidP="00B314F8">
      <w:r w:rsidRPr="00B314F8">
        <w:t>We adopt this approach for two main reasons. First, projecting technology costs across all sectors in an integrated assessment model (IAM) involves numerous assumptions and datasets, making it difficult to ensure consistency and transparency. This tool provides the flexibility to easily adjust technologies, regions, and scenarios. In our case, China is defined as the reference region, and we align the technology cost projections with our scenario-specific GDP assumptions, ensuring consistency between economic development and technological innovation.</w:t>
      </w:r>
      <w:r w:rsidR="002152A7">
        <w:rPr>
          <w:rFonts w:hint="eastAsia"/>
        </w:rPr>
        <w:t xml:space="preserve"> </w:t>
      </w:r>
      <w:r w:rsidRPr="00B314F8">
        <w:t>Second, many IAMs tend to overestimate energy transition costs by underestimating the pace of renewable cost reductions and deployment. This tool incorporates historical data from the IEA’s World Energy Outlook (2023)</w:t>
      </w:r>
      <w:r w:rsidR="005D089B">
        <w:fldChar w:fldCharType="begin"/>
      </w:r>
      <w:r w:rsidR="006B2721">
        <w:instrText xml:space="preserve"> ADDIN ZOTERO_ITEM CSL_CITATION {"citationID":"a2i82mm8h5g","properties":{"formattedCitation":"\\super 48\\nosupersub{}","plainCitation":"48","noteIndex":0},"citationItems":[{"id":3021,"uris":["http://zotero.org/users/10504693/items/IVM4FBE5"],"itemData":{"id":3021,"type":"webpage","abstract":"World Energy Outlook 2023 - Analysis and key findings. A report by the International Energy Agency.","container-title":"IEA","language":"en-GB","title":"World Energy Outlook 2023 – Analysis","URL":"https://www.iea.org/reports/world-energy-outlook-2023","author":[{"family":"IEA","given":""}],"accessed":{"date-parts":[["2024",2,26]]},"issued":{"date-parts":[["2023"]]}}}],"schema":"https://github.com/citation-style-language/schema/raw/master/csl-citation.json"} </w:instrText>
      </w:r>
      <w:r w:rsidR="005D089B">
        <w:fldChar w:fldCharType="separate"/>
      </w:r>
      <w:r w:rsidR="005D089B" w:rsidRPr="005D089B">
        <w:rPr>
          <w:rFonts w:cs="Calibri"/>
          <w:kern w:val="0"/>
          <w:vertAlign w:val="superscript"/>
        </w:rPr>
        <w:t>48</w:t>
      </w:r>
      <w:r w:rsidR="005D089B">
        <w:fldChar w:fldCharType="end"/>
      </w:r>
      <w:r w:rsidRPr="00B314F8">
        <w:t xml:space="preserve"> to derive base-year regional cost ratios, better capturing emerging market dynamics and regional variation—both critical for global modelling.</w:t>
      </w:r>
    </w:p>
    <w:p w14:paraId="22DB59F1" w14:textId="46DAF7EE" w:rsidR="00B7786B" w:rsidRPr="004C3758" w:rsidRDefault="00B7786B" w:rsidP="00B7786B">
      <w:pPr>
        <w:spacing w:line="259" w:lineRule="auto"/>
        <w:jc w:val="center"/>
        <w:rPr>
          <w:rFonts w:eastAsia="DengXian" w:cs="Arial"/>
          <w:szCs w:val="22"/>
        </w:rPr>
      </w:pPr>
      <w:r w:rsidRPr="004C3758">
        <w:rPr>
          <w:rFonts w:eastAsia="DengXian" w:cs="Arial"/>
          <w:b/>
          <w:bCs/>
          <w:szCs w:val="22"/>
        </w:rPr>
        <w:t xml:space="preserve">SI Table </w:t>
      </w:r>
      <w:r w:rsidR="005E468D" w:rsidRPr="004C3758">
        <w:rPr>
          <w:rFonts w:eastAsia="DengXian" w:cs="Arial"/>
          <w:b/>
          <w:bCs/>
          <w:szCs w:val="22"/>
        </w:rPr>
        <w:t>7</w:t>
      </w:r>
      <w:r w:rsidRPr="004C3758">
        <w:rPr>
          <w:rFonts w:eastAsia="DengXian" w:cs="Arial"/>
          <w:b/>
          <w:bCs/>
          <w:szCs w:val="22"/>
        </w:rPr>
        <w:t>.</w:t>
      </w:r>
      <w:r w:rsidRPr="004C3758">
        <w:rPr>
          <w:rFonts w:eastAsia="DengXian" w:cs="Arial"/>
          <w:szCs w:val="22"/>
        </w:rPr>
        <w:t xml:space="preserve"> Quantification of </w:t>
      </w:r>
      <w:r w:rsidR="004D52F6" w:rsidRPr="004C3758">
        <w:rPr>
          <w:rFonts w:eastAsia="DengXian" w:cs="Arial" w:hint="eastAsia"/>
          <w:szCs w:val="22"/>
        </w:rPr>
        <w:t xml:space="preserve">Solar PV +Wind </w:t>
      </w:r>
      <w:r w:rsidR="00CF5EDB" w:rsidRPr="004C3758">
        <w:rPr>
          <w:rFonts w:eastAsia="DengXian" w:cs="Arial"/>
          <w:szCs w:val="22"/>
        </w:rPr>
        <w:t>CAPEX of</w:t>
      </w:r>
      <w:r w:rsidR="00CF5EDB" w:rsidRPr="004C3758">
        <w:rPr>
          <w:rFonts w:eastAsia="DengXian" w:cs="Arial" w:hint="eastAsia"/>
          <w:szCs w:val="22"/>
        </w:rPr>
        <w:t xml:space="preserve"> China </w:t>
      </w:r>
      <w:r w:rsidRPr="004C3758">
        <w:rPr>
          <w:rFonts w:eastAsia="DengXian" w:cs="Arial"/>
          <w:szCs w:val="22"/>
        </w:rPr>
        <w:t>in TIAM-UCL</w:t>
      </w:r>
      <w:r w:rsidRPr="004C3758">
        <w:rPr>
          <w:rFonts w:eastAsia="DengXian" w:cs="Arial" w:hint="eastAsia"/>
          <w:szCs w:val="22"/>
        </w:rPr>
        <w:t xml:space="preserve"> </w:t>
      </w:r>
      <w:r w:rsidR="00861926" w:rsidRPr="004C3758">
        <w:rPr>
          <w:rFonts w:eastAsia="DengXian" w:cs="Arial" w:hint="eastAsia"/>
          <w:szCs w:val="22"/>
        </w:rPr>
        <w:t xml:space="preserve">(Unit: </w:t>
      </w:r>
      <w:r w:rsidR="00535E64" w:rsidRPr="004C3758">
        <w:rPr>
          <w:rFonts w:eastAsia="DengXian" w:cs="Arial" w:hint="eastAsia"/>
          <w:szCs w:val="22"/>
        </w:rPr>
        <w:t xml:space="preserve">2005 </w:t>
      </w:r>
      <w:r w:rsidR="003A4308" w:rsidRPr="004C3758">
        <w:rPr>
          <w:rFonts w:eastAsia="DengXian" w:cs="Arial" w:hint="eastAsia"/>
          <w:szCs w:val="22"/>
        </w:rPr>
        <w:t>USD</w:t>
      </w:r>
      <w:r w:rsidR="00265299" w:rsidRPr="004C3758">
        <w:rPr>
          <w:rFonts w:eastAsia="DengXian" w:cs="Arial"/>
          <w:szCs w:val="22"/>
        </w:rPr>
        <w:t>/</w:t>
      </w:r>
      <w:r w:rsidR="003A4308" w:rsidRPr="004C3758">
        <w:rPr>
          <w:rFonts w:eastAsia="DengXian" w:cs="Arial" w:hint="eastAsia"/>
          <w:szCs w:val="22"/>
        </w:rPr>
        <w:t>K</w:t>
      </w:r>
      <w:r w:rsidR="00265299" w:rsidRPr="004C3758">
        <w:rPr>
          <w:rFonts w:eastAsia="DengXian" w:cs="Arial"/>
          <w:szCs w:val="22"/>
        </w:rPr>
        <w:t>W</w:t>
      </w:r>
      <w:r w:rsidR="00265299" w:rsidRPr="004C3758">
        <w:rPr>
          <w:rFonts w:eastAsia="DengXian" w:cs="Arial" w:hint="eastAsia"/>
          <w:szCs w:val="22"/>
        </w:rPr>
        <w:t>)</w:t>
      </w:r>
    </w:p>
    <w:tbl>
      <w:tblPr>
        <w:tblStyle w:val="TableGrid"/>
        <w:tblW w:w="0" w:type="auto"/>
        <w:jc w:val="center"/>
        <w:tblLook w:val="04A0" w:firstRow="1" w:lastRow="0" w:firstColumn="1" w:lastColumn="0" w:noHBand="0" w:noVBand="1"/>
      </w:tblPr>
      <w:tblGrid>
        <w:gridCol w:w="2148"/>
        <w:gridCol w:w="2056"/>
        <w:gridCol w:w="1932"/>
        <w:gridCol w:w="1921"/>
        <w:gridCol w:w="1932"/>
      </w:tblGrid>
      <w:tr w:rsidR="00092D74" w14:paraId="68D55A7B" w14:textId="77777777" w:rsidTr="00657F53">
        <w:trPr>
          <w:jc w:val="center"/>
        </w:trPr>
        <w:tc>
          <w:tcPr>
            <w:tcW w:w="9989" w:type="dxa"/>
            <w:gridSpan w:val="5"/>
            <w:shd w:val="clear" w:color="auto" w:fill="D1D1D1" w:themeFill="background2" w:themeFillShade="E6"/>
          </w:tcPr>
          <w:p w14:paraId="09C51578" w14:textId="20FF07E6" w:rsidR="00092D74" w:rsidRPr="00811943" w:rsidRDefault="00092D74" w:rsidP="00B7786B">
            <w:pPr>
              <w:spacing w:line="259" w:lineRule="auto"/>
              <w:jc w:val="center"/>
              <w:rPr>
                <w:rFonts w:eastAsia="DengXian" w:cs="Calibri"/>
                <w:b/>
                <w:bCs/>
                <w:sz w:val="24"/>
              </w:rPr>
            </w:pPr>
            <w:proofErr w:type="gramStart"/>
            <w:r>
              <w:rPr>
                <w:rFonts w:eastAsia="DengXian" w:cs="Calibri" w:hint="eastAsia"/>
                <w:b/>
                <w:bCs/>
                <w:sz w:val="24"/>
              </w:rPr>
              <w:t>High</w:t>
            </w:r>
            <w:r w:rsidRPr="00092D74">
              <w:rPr>
                <w:rFonts w:eastAsia="DengXian" w:cs="Calibri"/>
                <w:b/>
                <w:bCs/>
                <w:sz w:val="24"/>
              </w:rPr>
              <w:t xml:space="preserve"> cost</w:t>
            </w:r>
            <w:proofErr w:type="gramEnd"/>
            <w:r w:rsidRPr="00092D74">
              <w:rPr>
                <w:rFonts w:eastAsia="DengXian" w:cs="Calibri"/>
                <w:b/>
                <w:bCs/>
                <w:sz w:val="24"/>
              </w:rPr>
              <w:t xml:space="preserve"> reduction ---</w:t>
            </w:r>
            <w:r>
              <w:rPr>
                <w:rFonts w:eastAsia="DengXian" w:cs="Calibri" w:hint="eastAsia"/>
                <w:b/>
                <w:bCs/>
                <w:sz w:val="24"/>
              </w:rPr>
              <w:t>Green Lights/Red Sun</w:t>
            </w:r>
          </w:p>
        </w:tc>
      </w:tr>
      <w:tr w:rsidR="00092D74" w14:paraId="561F3CC9" w14:textId="77777777" w:rsidTr="00092D74">
        <w:trPr>
          <w:jc w:val="center"/>
        </w:trPr>
        <w:tc>
          <w:tcPr>
            <w:tcW w:w="2148" w:type="dxa"/>
            <w:shd w:val="clear" w:color="auto" w:fill="auto"/>
          </w:tcPr>
          <w:p w14:paraId="677F0486" w14:textId="08DB47BE" w:rsidR="00092D74" w:rsidRPr="00811943" w:rsidRDefault="00092D74" w:rsidP="00B7786B">
            <w:pPr>
              <w:spacing w:line="259" w:lineRule="auto"/>
              <w:jc w:val="center"/>
              <w:rPr>
                <w:rFonts w:eastAsia="DengXian" w:cs="Calibri"/>
                <w:b/>
                <w:bCs/>
                <w:sz w:val="24"/>
                <w:szCs w:val="24"/>
              </w:rPr>
            </w:pPr>
          </w:p>
        </w:tc>
        <w:tc>
          <w:tcPr>
            <w:tcW w:w="2056" w:type="dxa"/>
            <w:tcBorders>
              <w:bottom w:val="single" w:sz="4" w:space="0" w:color="auto"/>
            </w:tcBorders>
            <w:shd w:val="clear" w:color="auto" w:fill="auto"/>
          </w:tcPr>
          <w:p w14:paraId="0EDD6D16" w14:textId="19419821" w:rsidR="00092D74" w:rsidRPr="00811943" w:rsidRDefault="00092D74" w:rsidP="00B7786B">
            <w:pPr>
              <w:spacing w:line="259" w:lineRule="auto"/>
              <w:jc w:val="center"/>
              <w:rPr>
                <w:rFonts w:eastAsia="DengXian" w:cs="Calibri"/>
                <w:b/>
                <w:bCs/>
                <w:sz w:val="24"/>
                <w:szCs w:val="24"/>
              </w:rPr>
            </w:pPr>
            <w:r w:rsidRPr="00811943">
              <w:rPr>
                <w:rFonts w:eastAsia="DengXian" w:cs="Calibri"/>
                <w:b/>
                <w:bCs/>
                <w:sz w:val="24"/>
                <w:szCs w:val="24"/>
              </w:rPr>
              <w:t>2020</w:t>
            </w:r>
          </w:p>
        </w:tc>
        <w:tc>
          <w:tcPr>
            <w:tcW w:w="1932" w:type="dxa"/>
            <w:tcBorders>
              <w:bottom w:val="single" w:sz="4" w:space="0" w:color="auto"/>
            </w:tcBorders>
            <w:shd w:val="clear" w:color="auto" w:fill="auto"/>
          </w:tcPr>
          <w:p w14:paraId="5FAEA7C0" w14:textId="51D7804F" w:rsidR="00092D74" w:rsidRPr="00811943" w:rsidRDefault="00092D74" w:rsidP="00B7786B">
            <w:pPr>
              <w:spacing w:line="259" w:lineRule="auto"/>
              <w:jc w:val="center"/>
              <w:rPr>
                <w:rFonts w:eastAsia="DengXian" w:cs="Calibri"/>
                <w:b/>
                <w:bCs/>
                <w:sz w:val="24"/>
                <w:szCs w:val="24"/>
              </w:rPr>
            </w:pPr>
            <w:r w:rsidRPr="00811943">
              <w:rPr>
                <w:rFonts w:eastAsia="DengXian" w:cs="Calibri"/>
                <w:b/>
                <w:bCs/>
                <w:sz w:val="24"/>
                <w:szCs w:val="24"/>
              </w:rPr>
              <w:t>2030</w:t>
            </w:r>
          </w:p>
        </w:tc>
        <w:tc>
          <w:tcPr>
            <w:tcW w:w="1921" w:type="dxa"/>
            <w:tcBorders>
              <w:bottom w:val="single" w:sz="4" w:space="0" w:color="auto"/>
            </w:tcBorders>
            <w:shd w:val="clear" w:color="auto" w:fill="auto"/>
          </w:tcPr>
          <w:p w14:paraId="5E1CB8CB" w14:textId="5F42744C" w:rsidR="00092D74" w:rsidRPr="00811943" w:rsidRDefault="00092D74" w:rsidP="00B7786B">
            <w:pPr>
              <w:spacing w:line="259" w:lineRule="auto"/>
              <w:jc w:val="center"/>
              <w:rPr>
                <w:rFonts w:eastAsia="DengXian" w:cs="Calibri"/>
                <w:b/>
                <w:bCs/>
                <w:sz w:val="24"/>
                <w:szCs w:val="24"/>
              </w:rPr>
            </w:pPr>
            <w:r w:rsidRPr="00811943">
              <w:rPr>
                <w:rFonts w:eastAsia="DengXian" w:cs="Calibri"/>
                <w:b/>
                <w:bCs/>
                <w:sz w:val="24"/>
                <w:szCs w:val="24"/>
              </w:rPr>
              <w:t>2040</w:t>
            </w:r>
          </w:p>
        </w:tc>
        <w:tc>
          <w:tcPr>
            <w:tcW w:w="1932" w:type="dxa"/>
            <w:tcBorders>
              <w:bottom w:val="single" w:sz="4" w:space="0" w:color="auto"/>
            </w:tcBorders>
            <w:shd w:val="clear" w:color="auto" w:fill="auto"/>
          </w:tcPr>
          <w:p w14:paraId="4A666AE2" w14:textId="32BED5CC" w:rsidR="00092D74" w:rsidRPr="00811943" w:rsidRDefault="00092D74" w:rsidP="00B7786B">
            <w:pPr>
              <w:spacing w:line="259" w:lineRule="auto"/>
              <w:jc w:val="center"/>
              <w:rPr>
                <w:rFonts w:eastAsia="DengXian" w:cs="Calibri"/>
                <w:b/>
                <w:bCs/>
                <w:sz w:val="24"/>
                <w:szCs w:val="24"/>
              </w:rPr>
            </w:pPr>
            <w:r w:rsidRPr="00811943">
              <w:rPr>
                <w:rFonts w:eastAsia="DengXian" w:cs="Calibri"/>
                <w:b/>
                <w:bCs/>
                <w:sz w:val="24"/>
                <w:szCs w:val="24"/>
              </w:rPr>
              <w:t>2050</w:t>
            </w:r>
          </w:p>
        </w:tc>
      </w:tr>
      <w:tr w:rsidR="00682EE8" w14:paraId="5F3FE685" w14:textId="77777777" w:rsidTr="00092D74">
        <w:trPr>
          <w:jc w:val="center"/>
        </w:trPr>
        <w:tc>
          <w:tcPr>
            <w:tcW w:w="2148" w:type="dxa"/>
            <w:tcBorders>
              <w:right w:val="single" w:sz="4" w:space="0" w:color="auto"/>
            </w:tcBorders>
          </w:tcPr>
          <w:p w14:paraId="5062AFF1" w14:textId="4DA5516F" w:rsidR="00682EE8" w:rsidRPr="008C59E1" w:rsidRDefault="00682EE8" w:rsidP="00682EE8">
            <w:pPr>
              <w:spacing w:line="259" w:lineRule="auto"/>
              <w:jc w:val="center"/>
              <w:rPr>
                <w:rFonts w:eastAsia="DengXian" w:cs="Calibri"/>
                <w:b/>
                <w:bCs/>
              </w:rPr>
            </w:pPr>
            <w:r w:rsidRPr="00682EE8">
              <w:rPr>
                <w:b/>
                <w:bCs/>
              </w:rPr>
              <w:t>Solar PV-Rooftop</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75048D02" w14:textId="34D15E25"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550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4AA28B79" w14:textId="1944183C"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38</w:t>
            </w:r>
            <w:r>
              <w:rPr>
                <w:rFonts w:cs="Calibri" w:hint="eastAsia"/>
                <w:color w:val="000000"/>
                <w:sz w:val="24"/>
                <w:szCs w:val="24"/>
              </w:rPr>
              <w:t>7</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752B17D2" w14:textId="260F6E66" w:rsidR="00682EE8" w:rsidRPr="00811943" w:rsidRDefault="00682EE8" w:rsidP="00682EE8">
            <w:pPr>
              <w:spacing w:line="259" w:lineRule="auto"/>
              <w:jc w:val="center"/>
              <w:rPr>
                <w:rFonts w:cs="Calibri"/>
                <w:color w:val="000000"/>
                <w:sz w:val="24"/>
                <w:szCs w:val="24"/>
              </w:rPr>
            </w:pPr>
            <w:r>
              <w:rPr>
                <w:rFonts w:cs="Calibri" w:hint="eastAsia"/>
                <w:color w:val="000000"/>
                <w:sz w:val="24"/>
                <w:szCs w:val="24"/>
              </w:rPr>
              <w:t>204</w:t>
            </w: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58CD83A3" w14:textId="46E36233"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12</w:t>
            </w:r>
            <w:r>
              <w:rPr>
                <w:rFonts w:cs="Calibri" w:hint="eastAsia"/>
                <w:color w:val="000000"/>
                <w:sz w:val="24"/>
                <w:szCs w:val="24"/>
              </w:rPr>
              <w:t>2</w:t>
            </w:r>
          </w:p>
        </w:tc>
      </w:tr>
      <w:tr w:rsidR="00682EE8" w14:paraId="582A262E" w14:textId="77777777" w:rsidTr="00092D74">
        <w:trPr>
          <w:jc w:val="center"/>
        </w:trPr>
        <w:tc>
          <w:tcPr>
            <w:tcW w:w="2148" w:type="dxa"/>
            <w:tcBorders>
              <w:right w:val="single" w:sz="4" w:space="0" w:color="auto"/>
            </w:tcBorders>
          </w:tcPr>
          <w:p w14:paraId="05160CFB" w14:textId="468310AC" w:rsidR="00682EE8" w:rsidRPr="008C59E1" w:rsidRDefault="00682EE8" w:rsidP="00682EE8">
            <w:pPr>
              <w:spacing w:line="259" w:lineRule="auto"/>
              <w:jc w:val="center"/>
              <w:rPr>
                <w:rFonts w:eastAsia="DengXian" w:cs="Calibri"/>
                <w:b/>
                <w:bCs/>
              </w:rPr>
            </w:pPr>
            <w:r w:rsidRPr="008C59E1">
              <w:rPr>
                <w:b/>
                <w:bCs/>
              </w:rPr>
              <w:t xml:space="preserve">Solar PV-Utility Scale </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39FCB9B3" w14:textId="593F52CF"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495</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center"/>
          </w:tcPr>
          <w:p w14:paraId="2F6CCA91" w14:textId="64627ABB"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348</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center"/>
          </w:tcPr>
          <w:p w14:paraId="6D38A385" w14:textId="390AF5FA" w:rsidR="00682EE8" w:rsidRPr="00811943" w:rsidRDefault="00682EE8" w:rsidP="00682EE8">
            <w:pPr>
              <w:spacing w:line="259" w:lineRule="auto"/>
              <w:jc w:val="center"/>
              <w:rPr>
                <w:rFonts w:cs="Calibri"/>
                <w:color w:val="000000"/>
                <w:sz w:val="24"/>
                <w:szCs w:val="24"/>
              </w:rPr>
            </w:pPr>
            <w:r w:rsidRPr="001E3252">
              <w:rPr>
                <w:rFonts w:cs="Calibri"/>
                <w:color w:val="000000"/>
                <w:sz w:val="24"/>
                <w:szCs w:val="24"/>
              </w:rPr>
              <w:t>183</w:t>
            </w: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7BA3DB8A" w14:textId="4EED9E1D"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109</w:t>
            </w:r>
          </w:p>
        </w:tc>
      </w:tr>
      <w:tr w:rsidR="00682EE8" w14:paraId="1D476E35" w14:textId="77777777" w:rsidTr="00092D74">
        <w:trPr>
          <w:jc w:val="center"/>
        </w:trPr>
        <w:tc>
          <w:tcPr>
            <w:tcW w:w="2148" w:type="dxa"/>
            <w:tcBorders>
              <w:right w:val="single" w:sz="4" w:space="0" w:color="auto"/>
            </w:tcBorders>
          </w:tcPr>
          <w:p w14:paraId="1EF8D7D3" w14:textId="2D2E8614" w:rsidR="00682EE8" w:rsidRPr="008C59E1" w:rsidRDefault="00682EE8" w:rsidP="00682EE8">
            <w:pPr>
              <w:spacing w:line="259" w:lineRule="auto"/>
              <w:jc w:val="center"/>
              <w:rPr>
                <w:rFonts w:eastAsia="DengXian" w:cs="Calibri"/>
                <w:b/>
                <w:bCs/>
              </w:rPr>
            </w:pPr>
            <w:r w:rsidRPr="008C59E1">
              <w:rPr>
                <w:rFonts w:eastAsia="DengXian" w:cs="Calibri"/>
                <w:b/>
                <w:bCs/>
              </w:rPr>
              <w:t>Offshore Wind</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4B7C7C43" w14:textId="6D58B5A0"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1771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01B8028A" w14:textId="3B7EF936"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146</w:t>
            </w:r>
            <w:r>
              <w:rPr>
                <w:rFonts w:cs="Calibri" w:hint="eastAsia"/>
                <w:color w:val="000000"/>
                <w:sz w:val="24"/>
                <w:szCs w:val="24"/>
              </w:rPr>
              <w:t>5</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5FB9C438" w14:textId="5EACA1A8"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107</w:t>
            </w:r>
            <w:r>
              <w:rPr>
                <w:rFonts w:cs="Calibri" w:hint="eastAsia"/>
                <w:color w:val="000000"/>
                <w:sz w:val="24"/>
                <w:szCs w:val="24"/>
              </w:rPr>
              <w:t>4</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0B4626B4" w14:textId="5909256D"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862</w:t>
            </w:r>
          </w:p>
        </w:tc>
      </w:tr>
      <w:tr w:rsidR="00682EE8" w14:paraId="50BFCBB9" w14:textId="77777777" w:rsidTr="00092D74">
        <w:trPr>
          <w:jc w:val="center"/>
        </w:trPr>
        <w:tc>
          <w:tcPr>
            <w:tcW w:w="2148" w:type="dxa"/>
            <w:tcBorders>
              <w:right w:val="single" w:sz="4" w:space="0" w:color="auto"/>
            </w:tcBorders>
          </w:tcPr>
          <w:p w14:paraId="00C762C1" w14:textId="55AE74E3" w:rsidR="00682EE8" w:rsidRPr="008C59E1" w:rsidRDefault="00682EE8" w:rsidP="00682EE8">
            <w:pPr>
              <w:spacing w:line="259" w:lineRule="auto"/>
              <w:jc w:val="center"/>
              <w:rPr>
                <w:rFonts w:eastAsia="DengXian" w:cs="Calibri"/>
                <w:b/>
                <w:bCs/>
              </w:rPr>
            </w:pPr>
            <w:r w:rsidRPr="008C59E1">
              <w:rPr>
                <w:rFonts w:eastAsia="DengXian" w:cs="Calibri"/>
                <w:b/>
                <w:bCs/>
              </w:rPr>
              <w:t>Onshore Wind</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7C242667" w14:textId="7F3CA093"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1181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11E248A4" w14:textId="1EC3CD3C"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97</w:t>
            </w:r>
            <w:r>
              <w:rPr>
                <w:rFonts w:cs="Calibri" w:hint="eastAsia"/>
                <w:color w:val="000000"/>
                <w:sz w:val="24"/>
                <w:szCs w:val="24"/>
              </w:rPr>
              <w:t>7</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6384B62F" w14:textId="24A20ED6"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71</w:t>
            </w:r>
            <w:r>
              <w:rPr>
                <w:rFonts w:cs="Calibri" w:hint="eastAsia"/>
                <w:color w:val="000000"/>
                <w:sz w:val="24"/>
                <w:szCs w:val="24"/>
              </w:rPr>
              <w:t>6</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310966F6" w14:textId="67523D5E"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57</w:t>
            </w:r>
            <w:r>
              <w:rPr>
                <w:rFonts w:cs="Calibri" w:hint="eastAsia"/>
                <w:color w:val="000000"/>
                <w:sz w:val="24"/>
                <w:szCs w:val="24"/>
              </w:rPr>
              <w:t>5</w:t>
            </w:r>
          </w:p>
        </w:tc>
      </w:tr>
      <w:tr w:rsidR="00682EE8" w14:paraId="15C58504" w14:textId="77777777" w:rsidTr="00092D74">
        <w:trPr>
          <w:jc w:val="center"/>
        </w:trPr>
        <w:tc>
          <w:tcPr>
            <w:tcW w:w="9989" w:type="dxa"/>
            <w:gridSpan w:val="5"/>
            <w:tcBorders>
              <w:right w:val="single" w:sz="4" w:space="0" w:color="auto"/>
            </w:tcBorders>
            <w:shd w:val="clear" w:color="auto" w:fill="D1D1D1" w:themeFill="background2" w:themeFillShade="E6"/>
          </w:tcPr>
          <w:p w14:paraId="50A64583" w14:textId="1CDCC9B6" w:rsidR="00682EE8" w:rsidRPr="00455C68" w:rsidRDefault="00682EE8" w:rsidP="00682EE8">
            <w:pPr>
              <w:spacing w:line="259" w:lineRule="auto"/>
              <w:jc w:val="center"/>
              <w:rPr>
                <w:rFonts w:cs="Calibri"/>
                <w:b/>
                <w:bCs/>
                <w:color w:val="000000"/>
                <w:sz w:val="24"/>
              </w:rPr>
            </w:pPr>
            <w:r w:rsidRPr="00767FE8">
              <w:rPr>
                <w:rFonts w:cs="Calibri"/>
                <w:b/>
                <w:bCs/>
                <w:color w:val="000000"/>
                <w:sz w:val="24"/>
              </w:rPr>
              <w:t>Medium cost reduction ---Calm Sea</w:t>
            </w:r>
          </w:p>
        </w:tc>
      </w:tr>
      <w:tr w:rsidR="00682EE8" w14:paraId="40EFD89C" w14:textId="77777777" w:rsidTr="00092D74">
        <w:trPr>
          <w:jc w:val="center"/>
        </w:trPr>
        <w:tc>
          <w:tcPr>
            <w:tcW w:w="2148" w:type="dxa"/>
            <w:shd w:val="clear" w:color="auto" w:fill="auto"/>
          </w:tcPr>
          <w:p w14:paraId="65EFD30B" w14:textId="70F3AF8D" w:rsidR="00682EE8" w:rsidRPr="0011005F" w:rsidRDefault="00682EE8" w:rsidP="00682EE8">
            <w:pPr>
              <w:spacing w:line="259" w:lineRule="auto"/>
              <w:jc w:val="center"/>
              <w:rPr>
                <w:b/>
                <w:bCs/>
              </w:rPr>
            </w:pPr>
          </w:p>
        </w:tc>
        <w:tc>
          <w:tcPr>
            <w:tcW w:w="2056" w:type="dxa"/>
            <w:tcBorders>
              <w:bottom w:val="single" w:sz="4" w:space="0" w:color="auto"/>
            </w:tcBorders>
            <w:shd w:val="clear" w:color="auto" w:fill="auto"/>
          </w:tcPr>
          <w:p w14:paraId="3C802C28" w14:textId="61B9FB58" w:rsidR="00682EE8" w:rsidRPr="00811943" w:rsidRDefault="00682EE8" w:rsidP="00682EE8">
            <w:pPr>
              <w:spacing w:line="259" w:lineRule="auto"/>
              <w:jc w:val="center"/>
              <w:rPr>
                <w:rFonts w:cs="Calibri"/>
                <w:color w:val="000000"/>
                <w:sz w:val="24"/>
              </w:rPr>
            </w:pPr>
            <w:r w:rsidRPr="00811943">
              <w:rPr>
                <w:rFonts w:eastAsia="DengXian" w:cs="Calibri"/>
                <w:b/>
                <w:bCs/>
                <w:sz w:val="24"/>
                <w:szCs w:val="24"/>
              </w:rPr>
              <w:t>2020</w:t>
            </w:r>
          </w:p>
        </w:tc>
        <w:tc>
          <w:tcPr>
            <w:tcW w:w="1932" w:type="dxa"/>
            <w:tcBorders>
              <w:bottom w:val="single" w:sz="4" w:space="0" w:color="auto"/>
            </w:tcBorders>
            <w:shd w:val="clear" w:color="auto" w:fill="auto"/>
          </w:tcPr>
          <w:p w14:paraId="1C2AC83C" w14:textId="36EC3FB4" w:rsidR="00682EE8" w:rsidRPr="00811943" w:rsidRDefault="00682EE8" w:rsidP="00682EE8">
            <w:pPr>
              <w:spacing w:line="259" w:lineRule="auto"/>
              <w:jc w:val="center"/>
              <w:rPr>
                <w:rFonts w:cs="Calibri"/>
                <w:color w:val="000000"/>
                <w:sz w:val="24"/>
              </w:rPr>
            </w:pPr>
            <w:r w:rsidRPr="00811943">
              <w:rPr>
                <w:rFonts w:eastAsia="DengXian" w:cs="Calibri"/>
                <w:b/>
                <w:bCs/>
                <w:sz w:val="24"/>
                <w:szCs w:val="24"/>
              </w:rPr>
              <w:t>2030</w:t>
            </w:r>
          </w:p>
        </w:tc>
        <w:tc>
          <w:tcPr>
            <w:tcW w:w="1921" w:type="dxa"/>
            <w:tcBorders>
              <w:bottom w:val="single" w:sz="4" w:space="0" w:color="auto"/>
            </w:tcBorders>
            <w:shd w:val="clear" w:color="auto" w:fill="auto"/>
          </w:tcPr>
          <w:p w14:paraId="30506723" w14:textId="2054A2FA" w:rsidR="00682EE8" w:rsidRPr="005C48D4" w:rsidRDefault="00682EE8" w:rsidP="00682EE8">
            <w:pPr>
              <w:spacing w:line="259" w:lineRule="auto"/>
              <w:jc w:val="center"/>
              <w:rPr>
                <w:rFonts w:eastAsia="DengXian" w:cs="Calibri"/>
                <w:sz w:val="24"/>
              </w:rPr>
            </w:pPr>
            <w:r w:rsidRPr="00811943">
              <w:rPr>
                <w:rFonts w:eastAsia="DengXian" w:cs="Calibri"/>
                <w:b/>
                <w:bCs/>
                <w:sz w:val="24"/>
                <w:szCs w:val="24"/>
              </w:rPr>
              <w:t>2040</w:t>
            </w:r>
          </w:p>
        </w:tc>
        <w:tc>
          <w:tcPr>
            <w:tcW w:w="1932" w:type="dxa"/>
            <w:tcBorders>
              <w:bottom w:val="single" w:sz="4" w:space="0" w:color="auto"/>
            </w:tcBorders>
            <w:shd w:val="clear" w:color="auto" w:fill="auto"/>
          </w:tcPr>
          <w:p w14:paraId="17916C2E" w14:textId="69FD0857" w:rsidR="00682EE8" w:rsidRPr="00811943" w:rsidRDefault="00682EE8" w:rsidP="00682EE8">
            <w:pPr>
              <w:spacing w:line="259" w:lineRule="auto"/>
              <w:jc w:val="center"/>
              <w:rPr>
                <w:rFonts w:cs="Calibri"/>
                <w:color w:val="000000"/>
                <w:sz w:val="24"/>
              </w:rPr>
            </w:pPr>
            <w:r w:rsidRPr="00811943">
              <w:rPr>
                <w:rFonts w:eastAsia="DengXian" w:cs="Calibri"/>
                <w:b/>
                <w:bCs/>
                <w:sz w:val="24"/>
                <w:szCs w:val="24"/>
              </w:rPr>
              <w:t>2050</w:t>
            </w:r>
          </w:p>
        </w:tc>
      </w:tr>
      <w:tr w:rsidR="00682EE8" w14:paraId="36E9E911" w14:textId="77777777" w:rsidTr="00092D74">
        <w:trPr>
          <w:jc w:val="center"/>
        </w:trPr>
        <w:tc>
          <w:tcPr>
            <w:tcW w:w="2148" w:type="dxa"/>
            <w:tcBorders>
              <w:right w:val="single" w:sz="4" w:space="0" w:color="auto"/>
            </w:tcBorders>
          </w:tcPr>
          <w:p w14:paraId="6570F982" w14:textId="19F2E574" w:rsidR="00682EE8" w:rsidRPr="008C59E1" w:rsidRDefault="00682EE8" w:rsidP="00682EE8">
            <w:pPr>
              <w:spacing w:line="259" w:lineRule="auto"/>
              <w:jc w:val="center"/>
              <w:rPr>
                <w:rFonts w:eastAsia="DengXian" w:cs="Calibri"/>
                <w:b/>
                <w:bCs/>
              </w:rPr>
            </w:pPr>
            <w:r w:rsidRPr="008C59E1">
              <w:rPr>
                <w:rFonts w:hint="eastAsia"/>
                <w:b/>
                <w:bCs/>
              </w:rPr>
              <w:t>Solar PV-</w:t>
            </w:r>
            <w:r w:rsidRPr="008C59E1">
              <w:rPr>
                <w:b/>
                <w:bCs/>
              </w:rPr>
              <w:t>Utility</w:t>
            </w:r>
            <w:r w:rsidRPr="008C59E1">
              <w:rPr>
                <w:rFonts w:hint="eastAsia"/>
                <w:b/>
                <w:bCs/>
              </w:rPr>
              <w:t xml:space="preserve"> S</w:t>
            </w:r>
            <w:r w:rsidRPr="008C59E1">
              <w:rPr>
                <w:b/>
                <w:bCs/>
              </w:rPr>
              <w:t xml:space="preserve">cale </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3A20E8C9" w14:textId="3250BAAD"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550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1B8F4AD4" w14:textId="58A5306A"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444</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127CCAE0" w14:textId="781FF464" w:rsidR="00682EE8" w:rsidRPr="00811943" w:rsidRDefault="00682EE8" w:rsidP="00682EE8">
            <w:pPr>
              <w:spacing w:line="259" w:lineRule="auto"/>
              <w:jc w:val="center"/>
              <w:rPr>
                <w:rFonts w:eastAsia="DengXian" w:cs="Calibri"/>
                <w:sz w:val="24"/>
                <w:szCs w:val="24"/>
              </w:rPr>
            </w:pPr>
            <w:r w:rsidRPr="005C48D4">
              <w:rPr>
                <w:rFonts w:eastAsia="DengXian" w:cs="Calibri"/>
                <w:sz w:val="24"/>
                <w:szCs w:val="24"/>
              </w:rPr>
              <w:t>311</w:t>
            </w: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63365864" w14:textId="1609F306"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241</w:t>
            </w:r>
          </w:p>
        </w:tc>
      </w:tr>
      <w:tr w:rsidR="00682EE8" w14:paraId="6DFA2CD1" w14:textId="77777777" w:rsidTr="00092D74">
        <w:trPr>
          <w:jc w:val="center"/>
        </w:trPr>
        <w:tc>
          <w:tcPr>
            <w:tcW w:w="2148" w:type="dxa"/>
            <w:tcBorders>
              <w:right w:val="single" w:sz="4" w:space="0" w:color="auto"/>
            </w:tcBorders>
          </w:tcPr>
          <w:p w14:paraId="43665991" w14:textId="53E059D4" w:rsidR="00682EE8" w:rsidRPr="008C59E1" w:rsidRDefault="00682EE8" w:rsidP="00682EE8">
            <w:pPr>
              <w:spacing w:line="259" w:lineRule="auto"/>
              <w:jc w:val="center"/>
              <w:rPr>
                <w:rFonts w:eastAsia="DengXian" w:cs="Calibri"/>
                <w:b/>
                <w:bCs/>
              </w:rPr>
            </w:pPr>
            <w:r w:rsidRPr="008C59E1">
              <w:rPr>
                <w:b/>
                <w:bCs/>
              </w:rPr>
              <w:t xml:space="preserve">Solar PV-Rooftop </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4886F009" w14:textId="5E165F81"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495</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7BB3535F" w14:textId="0E72F81B" w:rsidR="00682EE8" w:rsidRPr="00811943" w:rsidRDefault="00682EE8" w:rsidP="00682EE8">
            <w:pPr>
              <w:spacing w:line="259" w:lineRule="auto"/>
              <w:jc w:val="center"/>
              <w:rPr>
                <w:rFonts w:eastAsia="DengXian" w:cs="Calibri"/>
                <w:sz w:val="24"/>
                <w:szCs w:val="24"/>
              </w:rPr>
            </w:pPr>
            <w:r>
              <w:rPr>
                <w:rFonts w:cs="Calibri" w:hint="eastAsia"/>
                <w:color w:val="000000"/>
                <w:sz w:val="24"/>
                <w:szCs w:val="24"/>
              </w:rPr>
              <w:t>400</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2D9B77FF" w14:textId="56342F0D" w:rsidR="00682EE8" w:rsidRPr="00811943" w:rsidRDefault="00682EE8" w:rsidP="00682EE8">
            <w:pPr>
              <w:spacing w:line="259" w:lineRule="auto"/>
              <w:jc w:val="center"/>
              <w:rPr>
                <w:rFonts w:eastAsia="DengXian" w:cs="Calibri"/>
                <w:sz w:val="24"/>
                <w:szCs w:val="24"/>
              </w:rPr>
            </w:pPr>
            <w:r w:rsidRPr="0099415E">
              <w:rPr>
                <w:rFonts w:eastAsia="DengXian" w:cs="Calibri"/>
                <w:sz w:val="24"/>
                <w:szCs w:val="24"/>
              </w:rPr>
              <w:t>2</w:t>
            </w:r>
            <w:r>
              <w:rPr>
                <w:rFonts w:eastAsia="DengXian" w:cs="Calibri" w:hint="eastAsia"/>
                <w:sz w:val="24"/>
                <w:szCs w:val="24"/>
              </w:rPr>
              <w:t>80</w:t>
            </w: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29925601" w14:textId="2A518FE4"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217</w:t>
            </w:r>
          </w:p>
        </w:tc>
      </w:tr>
      <w:tr w:rsidR="00682EE8" w14:paraId="7404F265" w14:textId="77777777" w:rsidTr="00092D74">
        <w:trPr>
          <w:jc w:val="center"/>
        </w:trPr>
        <w:tc>
          <w:tcPr>
            <w:tcW w:w="2148" w:type="dxa"/>
            <w:tcBorders>
              <w:right w:val="single" w:sz="4" w:space="0" w:color="auto"/>
            </w:tcBorders>
          </w:tcPr>
          <w:p w14:paraId="35FBE3C8" w14:textId="0FFA665C" w:rsidR="00682EE8" w:rsidRPr="008C59E1" w:rsidRDefault="00682EE8" w:rsidP="00682EE8">
            <w:pPr>
              <w:spacing w:line="259" w:lineRule="auto"/>
              <w:jc w:val="center"/>
              <w:rPr>
                <w:rFonts w:eastAsia="DengXian" w:cs="Calibri"/>
                <w:b/>
                <w:bCs/>
              </w:rPr>
            </w:pPr>
            <w:r w:rsidRPr="008C59E1">
              <w:rPr>
                <w:rFonts w:eastAsia="DengXian" w:cs="Calibri"/>
                <w:b/>
                <w:bCs/>
              </w:rPr>
              <w:t>Offshore Wind</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1B5E3199" w14:textId="1B5ABDD8"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1771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07A16811" w14:textId="7B8DA2EA"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154</w:t>
            </w:r>
            <w:r>
              <w:rPr>
                <w:rFonts w:cs="Calibri" w:hint="eastAsia"/>
                <w:color w:val="000000"/>
                <w:sz w:val="24"/>
                <w:szCs w:val="24"/>
              </w:rPr>
              <w:t>1</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00F5E986" w14:textId="3933C458"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123</w:t>
            </w:r>
            <w:r>
              <w:rPr>
                <w:rFonts w:cs="Calibri" w:hint="eastAsia"/>
                <w:color w:val="000000"/>
                <w:sz w:val="24"/>
                <w:szCs w:val="24"/>
              </w:rPr>
              <w:t>5</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56221177" w14:textId="77E1BE61"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1059</w:t>
            </w:r>
          </w:p>
        </w:tc>
      </w:tr>
      <w:tr w:rsidR="00682EE8" w14:paraId="52FE6EA1" w14:textId="77777777" w:rsidTr="00092D74">
        <w:trPr>
          <w:jc w:val="center"/>
        </w:trPr>
        <w:tc>
          <w:tcPr>
            <w:tcW w:w="2148" w:type="dxa"/>
            <w:tcBorders>
              <w:right w:val="single" w:sz="4" w:space="0" w:color="auto"/>
            </w:tcBorders>
          </w:tcPr>
          <w:p w14:paraId="71BD8AD8" w14:textId="14359AA3" w:rsidR="00682EE8" w:rsidRPr="008C59E1" w:rsidRDefault="00682EE8" w:rsidP="00682EE8">
            <w:pPr>
              <w:spacing w:line="259" w:lineRule="auto"/>
              <w:jc w:val="center"/>
              <w:rPr>
                <w:rFonts w:eastAsia="DengXian" w:cs="Calibri"/>
                <w:b/>
                <w:bCs/>
              </w:rPr>
            </w:pPr>
            <w:r w:rsidRPr="008C59E1">
              <w:rPr>
                <w:rFonts w:eastAsia="DengXian" w:cs="Calibri"/>
                <w:b/>
                <w:bCs/>
              </w:rPr>
              <w:t>Onshore Wind</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0F846D6B" w14:textId="0331C31E"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1181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6666598A" w14:textId="34D6A5FF"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102</w:t>
            </w:r>
            <w:r>
              <w:rPr>
                <w:rFonts w:cs="Calibri" w:hint="eastAsia"/>
                <w:color w:val="000000"/>
                <w:sz w:val="24"/>
                <w:szCs w:val="24"/>
              </w:rPr>
              <w:t>8</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5764B474" w14:textId="2EEE18C2"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823</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7F8601C2" w14:textId="5C0CF361"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706</w:t>
            </w:r>
          </w:p>
        </w:tc>
      </w:tr>
      <w:tr w:rsidR="00682EE8" w14:paraId="0872BC92" w14:textId="77777777" w:rsidTr="00092D74">
        <w:trPr>
          <w:jc w:val="center"/>
        </w:trPr>
        <w:tc>
          <w:tcPr>
            <w:tcW w:w="9989" w:type="dxa"/>
            <w:gridSpan w:val="5"/>
            <w:tcBorders>
              <w:right w:val="single" w:sz="4" w:space="0" w:color="auto"/>
            </w:tcBorders>
            <w:shd w:val="clear" w:color="auto" w:fill="D1D1D1" w:themeFill="background2" w:themeFillShade="E6"/>
          </w:tcPr>
          <w:p w14:paraId="67D24375" w14:textId="409BB733" w:rsidR="00682EE8" w:rsidRPr="00092D74" w:rsidRDefault="00682EE8" w:rsidP="00682EE8">
            <w:pPr>
              <w:spacing w:line="259" w:lineRule="auto"/>
              <w:jc w:val="center"/>
              <w:rPr>
                <w:rFonts w:cs="Calibri"/>
                <w:b/>
                <w:bCs/>
                <w:color w:val="000000"/>
                <w:sz w:val="24"/>
              </w:rPr>
            </w:pPr>
            <w:proofErr w:type="gramStart"/>
            <w:r w:rsidRPr="00092D74">
              <w:rPr>
                <w:rFonts w:cs="Calibri" w:hint="eastAsia"/>
                <w:b/>
                <w:bCs/>
                <w:color w:val="000000"/>
                <w:sz w:val="24"/>
              </w:rPr>
              <w:t>Low</w:t>
            </w:r>
            <w:r w:rsidRPr="00092D74">
              <w:rPr>
                <w:rFonts w:cs="Calibri"/>
                <w:b/>
                <w:bCs/>
                <w:color w:val="000000"/>
                <w:sz w:val="24"/>
              </w:rPr>
              <w:t xml:space="preserve"> cost</w:t>
            </w:r>
            <w:proofErr w:type="gramEnd"/>
            <w:r w:rsidRPr="00092D74">
              <w:rPr>
                <w:rFonts w:cs="Calibri"/>
                <w:b/>
                <w:bCs/>
                <w:color w:val="000000"/>
                <w:sz w:val="24"/>
              </w:rPr>
              <w:t xml:space="preserve"> reduction ---</w:t>
            </w:r>
            <w:r w:rsidRPr="00092D74">
              <w:rPr>
                <w:rFonts w:cs="Calibri" w:hint="eastAsia"/>
                <w:b/>
                <w:bCs/>
                <w:color w:val="000000"/>
                <w:sz w:val="24"/>
              </w:rPr>
              <w:t>Great Wall</w:t>
            </w:r>
          </w:p>
        </w:tc>
      </w:tr>
      <w:tr w:rsidR="00682EE8" w14:paraId="18A30DB8" w14:textId="77777777" w:rsidTr="00623FC0">
        <w:trPr>
          <w:jc w:val="center"/>
        </w:trPr>
        <w:tc>
          <w:tcPr>
            <w:tcW w:w="2148" w:type="dxa"/>
            <w:shd w:val="clear" w:color="auto" w:fill="auto"/>
          </w:tcPr>
          <w:p w14:paraId="4CD2E87B" w14:textId="4FA2A61D" w:rsidR="00682EE8" w:rsidRPr="0011005F" w:rsidRDefault="00682EE8" w:rsidP="00682EE8">
            <w:pPr>
              <w:spacing w:line="259" w:lineRule="auto"/>
              <w:jc w:val="center"/>
              <w:rPr>
                <w:rFonts w:eastAsia="DengXian" w:cs="Calibri"/>
                <w:b/>
                <w:bCs/>
                <w:sz w:val="24"/>
              </w:rPr>
            </w:pPr>
          </w:p>
        </w:tc>
        <w:tc>
          <w:tcPr>
            <w:tcW w:w="2056" w:type="dxa"/>
            <w:tcBorders>
              <w:bottom w:val="single" w:sz="4" w:space="0" w:color="auto"/>
            </w:tcBorders>
            <w:shd w:val="clear" w:color="auto" w:fill="auto"/>
          </w:tcPr>
          <w:p w14:paraId="522D9551" w14:textId="49D6A71D" w:rsidR="00682EE8" w:rsidRPr="00811943" w:rsidRDefault="00682EE8" w:rsidP="00682EE8">
            <w:pPr>
              <w:spacing w:line="259" w:lineRule="auto"/>
              <w:jc w:val="center"/>
              <w:rPr>
                <w:rFonts w:cs="Calibri"/>
                <w:color w:val="000000"/>
                <w:sz w:val="24"/>
              </w:rPr>
            </w:pPr>
            <w:r w:rsidRPr="00811943">
              <w:rPr>
                <w:rFonts w:eastAsia="DengXian" w:cs="Calibri"/>
                <w:b/>
                <w:bCs/>
                <w:sz w:val="24"/>
                <w:szCs w:val="24"/>
              </w:rPr>
              <w:t>2020</w:t>
            </w:r>
          </w:p>
        </w:tc>
        <w:tc>
          <w:tcPr>
            <w:tcW w:w="1932" w:type="dxa"/>
            <w:tcBorders>
              <w:bottom w:val="single" w:sz="4" w:space="0" w:color="auto"/>
            </w:tcBorders>
            <w:shd w:val="clear" w:color="auto" w:fill="auto"/>
          </w:tcPr>
          <w:p w14:paraId="39C62E13" w14:textId="4AD5E2FE" w:rsidR="00682EE8" w:rsidRPr="00811943" w:rsidRDefault="00682EE8" w:rsidP="00682EE8">
            <w:pPr>
              <w:spacing w:line="259" w:lineRule="auto"/>
              <w:jc w:val="center"/>
              <w:rPr>
                <w:rFonts w:cs="Calibri"/>
                <w:color w:val="000000"/>
                <w:sz w:val="24"/>
              </w:rPr>
            </w:pPr>
            <w:r w:rsidRPr="00811943">
              <w:rPr>
                <w:rFonts w:eastAsia="DengXian" w:cs="Calibri"/>
                <w:b/>
                <w:bCs/>
                <w:sz w:val="24"/>
                <w:szCs w:val="24"/>
              </w:rPr>
              <w:t>2030</w:t>
            </w:r>
          </w:p>
        </w:tc>
        <w:tc>
          <w:tcPr>
            <w:tcW w:w="1921" w:type="dxa"/>
            <w:tcBorders>
              <w:bottom w:val="single" w:sz="4" w:space="0" w:color="auto"/>
            </w:tcBorders>
            <w:shd w:val="clear" w:color="auto" w:fill="auto"/>
          </w:tcPr>
          <w:p w14:paraId="02E26D17" w14:textId="0A7213DA" w:rsidR="00682EE8" w:rsidRPr="00811943" w:rsidRDefault="00682EE8" w:rsidP="00682EE8">
            <w:pPr>
              <w:spacing w:line="259" w:lineRule="auto"/>
              <w:jc w:val="center"/>
              <w:rPr>
                <w:rFonts w:cs="Calibri"/>
                <w:color w:val="000000"/>
                <w:sz w:val="24"/>
              </w:rPr>
            </w:pPr>
            <w:r w:rsidRPr="00811943">
              <w:rPr>
                <w:rFonts w:eastAsia="DengXian" w:cs="Calibri"/>
                <w:b/>
                <w:bCs/>
                <w:sz w:val="24"/>
                <w:szCs w:val="24"/>
              </w:rPr>
              <w:t>2040</w:t>
            </w:r>
          </w:p>
        </w:tc>
        <w:tc>
          <w:tcPr>
            <w:tcW w:w="1932" w:type="dxa"/>
            <w:tcBorders>
              <w:bottom w:val="single" w:sz="4" w:space="0" w:color="auto"/>
            </w:tcBorders>
            <w:shd w:val="clear" w:color="auto" w:fill="auto"/>
          </w:tcPr>
          <w:p w14:paraId="437FCB32" w14:textId="5570430C" w:rsidR="00682EE8" w:rsidRPr="00811943" w:rsidRDefault="00682EE8" w:rsidP="00682EE8">
            <w:pPr>
              <w:spacing w:line="259" w:lineRule="auto"/>
              <w:jc w:val="center"/>
              <w:rPr>
                <w:rFonts w:cs="Calibri"/>
                <w:color w:val="000000"/>
                <w:sz w:val="24"/>
              </w:rPr>
            </w:pPr>
            <w:r w:rsidRPr="00811943">
              <w:rPr>
                <w:rFonts w:eastAsia="DengXian" w:cs="Calibri"/>
                <w:b/>
                <w:bCs/>
                <w:sz w:val="24"/>
                <w:szCs w:val="24"/>
              </w:rPr>
              <w:t>2050</w:t>
            </w:r>
          </w:p>
        </w:tc>
      </w:tr>
      <w:tr w:rsidR="00682EE8" w14:paraId="6159E574" w14:textId="77777777" w:rsidTr="00092D74">
        <w:trPr>
          <w:jc w:val="center"/>
        </w:trPr>
        <w:tc>
          <w:tcPr>
            <w:tcW w:w="2148" w:type="dxa"/>
            <w:tcBorders>
              <w:right w:val="single" w:sz="4" w:space="0" w:color="auto"/>
            </w:tcBorders>
          </w:tcPr>
          <w:p w14:paraId="6D158CB0" w14:textId="4FD0A4CF" w:rsidR="00682EE8" w:rsidRPr="008C59E1" w:rsidRDefault="00682EE8" w:rsidP="00682EE8">
            <w:pPr>
              <w:spacing w:line="259" w:lineRule="auto"/>
              <w:jc w:val="center"/>
              <w:rPr>
                <w:rFonts w:eastAsia="DengXian" w:cs="Calibri"/>
                <w:b/>
                <w:bCs/>
              </w:rPr>
            </w:pPr>
            <w:r w:rsidRPr="008C59E1">
              <w:rPr>
                <w:b/>
                <w:bCs/>
              </w:rPr>
              <w:t xml:space="preserve">Solar PV-Utility Scale </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6EC32BA7" w14:textId="2716F97E"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550</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506E9F47" w14:textId="74C0F890"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51</w:t>
            </w:r>
            <w:r>
              <w:rPr>
                <w:rFonts w:cs="Calibri" w:hint="eastAsia"/>
                <w:color w:val="000000"/>
                <w:sz w:val="24"/>
                <w:szCs w:val="24"/>
              </w:rPr>
              <w:t>7</w:t>
            </w:r>
          </w:p>
        </w:tc>
        <w:tc>
          <w:tcPr>
            <w:tcW w:w="1921" w:type="dxa"/>
            <w:tcBorders>
              <w:top w:val="single" w:sz="4" w:space="0" w:color="auto"/>
              <w:left w:val="single" w:sz="4" w:space="0" w:color="auto"/>
              <w:bottom w:val="single" w:sz="4" w:space="0" w:color="auto"/>
              <w:right w:val="single" w:sz="4" w:space="0" w:color="auto"/>
            </w:tcBorders>
          </w:tcPr>
          <w:p w14:paraId="5B6B50A5" w14:textId="61535310" w:rsidR="00682EE8" w:rsidRPr="001E3252" w:rsidRDefault="00682EE8" w:rsidP="00682EE8">
            <w:pPr>
              <w:spacing w:line="259" w:lineRule="auto"/>
              <w:jc w:val="center"/>
              <w:rPr>
                <w:rFonts w:eastAsia="DengXian" w:cs="Calibri"/>
                <w:sz w:val="24"/>
              </w:rPr>
            </w:pPr>
            <w:r w:rsidRPr="001E3252">
              <w:rPr>
                <w:rFonts w:eastAsia="DengXian" w:cs="Calibri"/>
                <w:sz w:val="24"/>
              </w:rPr>
              <w:t>46</w:t>
            </w:r>
            <w:r>
              <w:rPr>
                <w:rFonts w:eastAsia="DengXian" w:cs="Calibri" w:hint="eastAsia"/>
                <w:sz w:val="24"/>
              </w:rPr>
              <w:t>8</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3EE13924" w14:textId="2DB035CE"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43</w:t>
            </w:r>
            <w:r>
              <w:rPr>
                <w:rFonts w:cs="Calibri" w:hint="eastAsia"/>
                <w:color w:val="000000"/>
                <w:sz w:val="24"/>
                <w:szCs w:val="24"/>
              </w:rPr>
              <w:t>7</w:t>
            </w:r>
          </w:p>
        </w:tc>
      </w:tr>
      <w:tr w:rsidR="00682EE8" w14:paraId="4949BC5C" w14:textId="77777777" w:rsidTr="00092D74">
        <w:trPr>
          <w:jc w:val="center"/>
        </w:trPr>
        <w:tc>
          <w:tcPr>
            <w:tcW w:w="2148" w:type="dxa"/>
            <w:tcBorders>
              <w:right w:val="single" w:sz="4" w:space="0" w:color="auto"/>
            </w:tcBorders>
          </w:tcPr>
          <w:p w14:paraId="0AD201AC" w14:textId="0EF141CE" w:rsidR="00682EE8" w:rsidRPr="008C59E1" w:rsidRDefault="00682EE8" w:rsidP="00682EE8">
            <w:pPr>
              <w:spacing w:line="259" w:lineRule="auto"/>
              <w:jc w:val="center"/>
              <w:rPr>
                <w:rFonts w:eastAsia="DengXian" w:cs="Calibri"/>
                <w:b/>
                <w:bCs/>
              </w:rPr>
            </w:pPr>
            <w:r w:rsidRPr="008C59E1">
              <w:rPr>
                <w:b/>
                <w:bCs/>
              </w:rPr>
              <w:lastRenderedPageBreak/>
              <w:t xml:space="preserve">Solar PV-Rooftop </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3596D04B" w14:textId="376E14F8"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495</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75C1988C" w14:textId="2190D3BC"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46</w:t>
            </w:r>
            <w:r>
              <w:rPr>
                <w:rFonts w:cs="Calibri" w:hint="eastAsia"/>
                <w:color w:val="000000"/>
                <w:sz w:val="24"/>
                <w:szCs w:val="24"/>
              </w:rPr>
              <w:t>5</w:t>
            </w:r>
          </w:p>
        </w:tc>
        <w:tc>
          <w:tcPr>
            <w:tcW w:w="1921" w:type="dxa"/>
            <w:tcBorders>
              <w:top w:val="single" w:sz="4" w:space="0" w:color="auto"/>
              <w:left w:val="single" w:sz="4" w:space="0" w:color="auto"/>
              <w:bottom w:val="single" w:sz="4" w:space="0" w:color="auto"/>
              <w:right w:val="single" w:sz="4" w:space="0" w:color="auto"/>
            </w:tcBorders>
          </w:tcPr>
          <w:p w14:paraId="55F0F025" w14:textId="54A6715E" w:rsidR="00682EE8" w:rsidRPr="00811943" w:rsidRDefault="00682EE8" w:rsidP="00682EE8">
            <w:pPr>
              <w:spacing w:line="259" w:lineRule="auto"/>
              <w:jc w:val="center"/>
              <w:rPr>
                <w:rFonts w:eastAsia="DengXian" w:cs="Calibri"/>
                <w:sz w:val="24"/>
                <w:szCs w:val="24"/>
              </w:rPr>
            </w:pPr>
            <w:r w:rsidRPr="00235F39">
              <w:rPr>
                <w:rFonts w:eastAsia="DengXian" w:cs="Calibri"/>
                <w:sz w:val="24"/>
                <w:szCs w:val="24"/>
              </w:rPr>
              <w:t>421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1F0621C1" w14:textId="3F8745D9"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393</w:t>
            </w:r>
          </w:p>
        </w:tc>
      </w:tr>
      <w:tr w:rsidR="00682EE8" w14:paraId="4FA568C0" w14:textId="77777777" w:rsidTr="00092D74">
        <w:trPr>
          <w:trHeight w:val="70"/>
          <w:jc w:val="center"/>
        </w:trPr>
        <w:tc>
          <w:tcPr>
            <w:tcW w:w="2148" w:type="dxa"/>
            <w:tcBorders>
              <w:right w:val="single" w:sz="4" w:space="0" w:color="auto"/>
            </w:tcBorders>
          </w:tcPr>
          <w:p w14:paraId="39B6909E" w14:textId="5C4E01DC" w:rsidR="00682EE8" w:rsidRPr="008C59E1" w:rsidRDefault="00682EE8" w:rsidP="00682EE8">
            <w:pPr>
              <w:spacing w:line="259" w:lineRule="auto"/>
              <w:jc w:val="center"/>
              <w:rPr>
                <w:rFonts w:eastAsia="DengXian" w:cs="Calibri"/>
                <w:b/>
                <w:bCs/>
              </w:rPr>
            </w:pPr>
            <w:r w:rsidRPr="008C59E1">
              <w:rPr>
                <w:rFonts w:eastAsia="DengXian" w:cs="Calibri"/>
                <w:b/>
                <w:bCs/>
              </w:rPr>
              <w:t>Offshore Wind</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2BD6C5DB" w14:textId="15272F6F"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1771</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69712ED5" w14:textId="07AF64C0"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166</w:t>
            </w:r>
            <w:r>
              <w:rPr>
                <w:rFonts w:cs="Calibri" w:hint="eastAsia"/>
                <w:color w:val="000000"/>
                <w:sz w:val="24"/>
                <w:szCs w:val="24"/>
              </w:rPr>
              <w:t>3</w:t>
            </w:r>
          </w:p>
        </w:tc>
        <w:tc>
          <w:tcPr>
            <w:tcW w:w="1921" w:type="dxa"/>
            <w:tcBorders>
              <w:top w:val="single" w:sz="4" w:space="0" w:color="auto"/>
              <w:left w:val="single" w:sz="4" w:space="0" w:color="auto"/>
              <w:bottom w:val="single" w:sz="4" w:space="0" w:color="auto"/>
              <w:right w:val="single" w:sz="4" w:space="0" w:color="auto"/>
            </w:tcBorders>
            <w:shd w:val="clear" w:color="auto" w:fill="auto"/>
            <w:vAlign w:val="bottom"/>
          </w:tcPr>
          <w:p w14:paraId="74F1191F" w14:textId="1057F3D9"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1506</w:t>
            </w:r>
          </w:p>
        </w:tc>
        <w:tc>
          <w:tcPr>
            <w:tcW w:w="1932" w:type="dxa"/>
            <w:tcBorders>
              <w:top w:val="single" w:sz="4" w:space="0" w:color="auto"/>
              <w:left w:val="single" w:sz="4" w:space="0" w:color="auto"/>
              <w:bottom w:val="single" w:sz="4" w:space="0" w:color="auto"/>
              <w:right w:val="single" w:sz="4" w:space="0" w:color="auto"/>
            </w:tcBorders>
            <w:shd w:val="clear" w:color="auto" w:fill="auto"/>
            <w:vAlign w:val="bottom"/>
          </w:tcPr>
          <w:p w14:paraId="361E9E23" w14:textId="68B9EB5D"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1406</w:t>
            </w:r>
          </w:p>
        </w:tc>
      </w:tr>
      <w:tr w:rsidR="00682EE8" w14:paraId="14945712" w14:textId="77777777" w:rsidTr="00092D74">
        <w:trPr>
          <w:trHeight w:val="70"/>
          <w:jc w:val="center"/>
        </w:trPr>
        <w:tc>
          <w:tcPr>
            <w:tcW w:w="2148" w:type="dxa"/>
            <w:tcBorders>
              <w:right w:val="single" w:sz="4" w:space="0" w:color="auto"/>
            </w:tcBorders>
          </w:tcPr>
          <w:p w14:paraId="06AF35F4" w14:textId="37AA3727" w:rsidR="00682EE8" w:rsidRPr="008C59E1" w:rsidRDefault="00682EE8" w:rsidP="00682EE8">
            <w:pPr>
              <w:spacing w:line="259" w:lineRule="auto"/>
              <w:jc w:val="center"/>
              <w:rPr>
                <w:rFonts w:eastAsia="DengXian" w:cs="Calibri"/>
                <w:b/>
                <w:bCs/>
              </w:rPr>
            </w:pPr>
            <w:r w:rsidRPr="008C59E1">
              <w:rPr>
                <w:rFonts w:eastAsia="DengXian" w:cs="Calibri"/>
                <w:b/>
                <w:bCs/>
              </w:rPr>
              <w:t>Onshore Wind</w:t>
            </w:r>
          </w:p>
        </w:tc>
        <w:tc>
          <w:tcPr>
            <w:tcW w:w="2056" w:type="dxa"/>
            <w:tcBorders>
              <w:top w:val="single" w:sz="4" w:space="0" w:color="auto"/>
              <w:left w:val="single" w:sz="4" w:space="0" w:color="auto"/>
              <w:bottom w:val="single" w:sz="4" w:space="0" w:color="auto"/>
              <w:right w:val="single" w:sz="4" w:space="0" w:color="auto"/>
            </w:tcBorders>
            <w:shd w:val="clear" w:color="auto" w:fill="auto"/>
            <w:vAlign w:val="bottom"/>
          </w:tcPr>
          <w:p w14:paraId="0AB57FE0" w14:textId="1B5377CA" w:rsidR="00682EE8" w:rsidRPr="00811943" w:rsidRDefault="00682EE8" w:rsidP="00682EE8">
            <w:pPr>
              <w:spacing w:line="259" w:lineRule="auto"/>
              <w:jc w:val="center"/>
              <w:rPr>
                <w:rFonts w:eastAsia="DengXian" w:cs="Calibri"/>
                <w:sz w:val="24"/>
                <w:szCs w:val="24"/>
              </w:rPr>
            </w:pPr>
            <w:r w:rsidRPr="00811943">
              <w:rPr>
                <w:rFonts w:cs="Calibri"/>
                <w:color w:val="000000"/>
                <w:sz w:val="24"/>
                <w:szCs w:val="24"/>
              </w:rPr>
              <w:t>1181</w:t>
            </w: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6FF76A9F" w14:textId="7108D677" w:rsidR="00682EE8" w:rsidRPr="00811943" w:rsidRDefault="00682EE8" w:rsidP="00682EE8">
            <w:pPr>
              <w:spacing w:line="259" w:lineRule="auto"/>
              <w:jc w:val="center"/>
              <w:rPr>
                <w:rFonts w:eastAsia="DengXian" w:cs="Calibri"/>
                <w:sz w:val="24"/>
                <w:szCs w:val="24"/>
              </w:rPr>
            </w:pPr>
            <w:r w:rsidRPr="00811943">
              <w:rPr>
                <w:rFonts w:cs="Calibri"/>
                <w:sz w:val="24"/>
                <w:szCs w:val="24"/>
              </w:rPr>
              <w:t>110</w:t>
            </w:r>
            <w:r>
              <w:rPr>
                <w:rFonts w:cs="Calibri" w:hint="eastAsia"/>
                <w:sz w:val="24"/>
                <w:szCs w:val="24"/>
              </w:rPr>
              <w:t>9</w:t>
            </w:r>
          </w:p>
        </w:tc>
        <w:tc>
          <w:tcPr>
            <w:tcW w:w="1921" w:type="dxa"/>
            <w:tcBorders>
              <w:top w:val="single" w:sz="4" w:space="0" w:color="auto"/>
              <w:left w:val="single" w:sz="4" w:space="0" w:color="auto"/>
              <w:bottom w:val="single" w:sz="4" w:space="0" w:color="auto"/>
              <w:right w:val="single" w:sz="4" w:space="0" w:color="auto"/>
            </w:tcBorders>
            <w:shd w:val="clear" w:color="auto" w:fill="auto"/>
          </w:tcPr>
          <w:p w14:paraId="3191F3F5" w14:textId="7B1881D2" w:rsidR="00682EE8" w:rsidRPr="00811943" w:rsidRDefault="00682EE8" w:rsidP="00682EE8">
            <w:pPr>
              <w:spacing w:line="259" w:lineRule="auto"/>
              <w:jc w:val="center"/>
              <w:rPr>
                <w:rFonts w:eastAsia="DengXian" w:cs="Calibri"/>
                <w:sz w:val="24"/>
                <w:szCs w:val="24"/>
              </w:rPr>
            </w:pPr>
            <w:r w:rsidRPr="00811943">
              <w:rPr>
                <w:rFonts w:cs="Calibri"/>
                <w:sz w:val="24"/>
                <w:szCs w:val="24"/>
              </w:rPr>
              <w:t>1004</w:t>
            </w:r>
          </w:p>
        </w:tc>
        <w:tc>
          <w:tcPr>
            <w:tcW w:w="1932" w:type="dxa"/>
            <w:tcBorders>
              <w:top w:val="single" w:sz="4" w:space="0" w:color="auto"/>
              <w:left w:val="single" w:sz="4" w:space="0" w:color="auto"/>
              <w:bottom w:val="single" w:sz="4" w:space="0" w:color="auto"/>
              <w:right w:val="single" w:sz="4" w:space="0" w:color="auto"/>
            </w:tcBorders>
            <w:shd w:val="clear" w:color="auto" w:fill="auto"/>
          </w:tcPr>
          <w:p w14:paraId="01C24316" w14:textId="22491511" w:rsidR="00682EE8" w:rsidRPr="00811943" w:rsidRDefault="00682EE8" w:rsidP="00682EE8">
            <w:pPr>
              <w:spacing w:line="259" w:lineRule="auto"/>
              <w:jc w:val="center"/>
              <w:rPr>
                <w:rFonts w:eastAsia="DengXian" w:cs="Calibri"/>
                <w:sz w:val="24"/>
                <w:szCs w:val="24"/>
              </w:rPr>
            </w:pPr>
            <w:r w:rsidRPr="00811943">
              <w:rPr>
                <w:rFonts w:cs="Calibri"/>
                <w:sz w:val="24"/>
                <w:szCs w:val="24"/>
              </w:rPr>
              <w:t>93</w:t>
            </w:r>
            <w:r>
              <w:rPr>
                <w:rFonts w:cs="Calibri" w:hint="eastAsia"/>
                <w:sz w:val="24"/>
                <w:szCs w:val="24"/>
              </w:rPr>
              <w:t>8</w:t>
            </w:r>
          </w:p>
        </w:tc>
      </w:tr>
    </w:tbl>
    <w:p w14:paraId="69B85CE7" w14:textId="77777777" w:rsidR="00B314F8" w:rsidRDefault="00B314F8" w:rsidP="00B314F8"/>
    <w:p w14:paraId="22183B9A" w14:textId="565EAE08" w:rsidR="000A0C64" w:rsidRDefault="00A2411F" w:rsidP="00B314F8">
      <w:pPr>
        <w:pStyle w:val="Heading3"/>
      </w:pPr>
      <w:r>
        <w:t xml:space="preserve">CCS deployment </w:t>
      </w:r>
    </w:p>
    <w:p w14:paraId="0FB96CA9" w14:textId="329ADD5A" w:rsidR="00E3299A" w:rsidRDefault="00E3299A" w:rsidP="00E3299A">
      <w:r>
        <w:t>The significance of CCS in the global transition to carbon neutrality is consistently highlighted in global integrated assessment models (IAMs</w:t>
      </w:r>
      <w:r w:rsidR="00047843">
        <w:t>),</w:t>
      </w:r>
      <w:r w:rsidR="00212028">
        <w:rPr>
          <w:rFonts w:hint="eastAsia"/>
        </w:rPr>
        <w:t xml:space="preserve"> </w:t>
      </w:r>
      <w:r>
        <w:t xml:space="preserve">as well as in the IPCC’s Assessment </w:t>
      </w:r>
      <w:r w:rsidR="00BD3990">
        <w:t>Reports,</w:t>
      </w:r>
      <w:r w:rsidR="00BD3990">
        <w:rPr>
          <w:rFonts w:hint="eastAsia"/>
        </w:rPr>
        <w:t xml:space="preserve"> </w:t>
      </w:r>
      <w:r>
        <w:t>IEA’s World Energy Outlook and Energy Technology Perspectives.</w:t>
      </w:r>
      <w:r w:rsidR="001311CF" w:rsidRPr="001311CF">
        <w:t xml:space="preserve"> </w:t>
      </w:r>
      <w:r w:rsidR="001311CF">
        <w:t>Many studies have confirmed the critical role of carbon capture and storage (CCS) in enabling China to achieve its net-zero targets</w:t>
      </w:r>
      <w:r w:rsidR="001311CF">
        <w:fldChar w:fldCharType="begin"/>
      </w:r>
      <w:r w:rsidR="00BD3990">
        <w:instrText xml:space="preserve"> ADDIN ZOTERO_ITEM CSL_CITATION {"citationID":"a1eo2jv5fd","properties":{"formattedCitation":"\\super 31,76,77\\nosupersub{}","plainCitation":"31,76,77","noteIndex":0},"citationItems":[{"id":3448,"uris":["http://zotero.org/users/10504693/items/23N3CP2I"],"itemData":{"id":3448,"type":"article-journal","abstract":"Abstract\n            Nowadays environmental issues have been of great concern to the world, among which the problem of global warming caused by greenhouse gas emissions is particularly prominent. All countries in the Kyoto Protocol and the Paris Agreement have committed to control greenhouse gas emissions, and China, as the largest carbon emitter, has assumed a heavier burden. China has been striving to develop low-carbon technologies such as hydrogen, nuclear, wind, and solar energy, but the most attention should be paid to CCUS, which many scholars have high expectations that CCUS can help China reduce emissions to some extent. Therefore, this paper presents a prediction that CCUS can reduce 3.8% of carbon emissions for China in 2040 when CCUS emission reductions increase at a rate of 30%. The power and chemical industries could reduce carbon emissions by 2.3% and 17.3%, respectively.","container-title":"Scientific Reports","DOI":"10.1038/s41598-023-44893-y","ISSN":"2045-2322","issue":"1","journalAbbreviation":"Sci Rep","language":"en","page":"17811","source":"DOI.org (Crossref)","title":"CCUS development in China and forecast its contribution to emission reduction","volume":"13","author":[{"family":"Wang","given":"Pengchen"},{"family":"Shi","given":"Beibei"},{"family":"Li","given":"Nan"},{"family":"Kang","given":"Rong"},{"family":"Li","given":"Yan"},{"family":"Wang","given":"Guiwen"},{"family":"Yang","given":"Long"}],"issued":{"date-parts":[["2023",10,19]]}}},{"id":22,"uris":["http://zotero.org/users/10504693/items/LMHHI6IF"],"itemData":{"id":22,"type":"webpage","title":"An energy sector roadmap to carbon neutrality in China","URL":"https://www.iea.org/reports/an-energy-sector-roadmap-to-carbon-neutrality-in-china","author":[{"family":"IEA","given":""}],"accessed":{"date-parts":[["2023",10,20]]},"issued":{"date-parts":[["2021"]]}}},{"id":3430,"uris":["http://zotero.org/users/10504693/items/6RXUL5X6"],"itemData":{"id":3430,"type":"article-journal","container-title":"Renewable and Sustainable Energy Reviews","DOI":"10.1016/j.rser.2022.112537","ISSN":"13640321","journalAbbreviation":"Renewable and Sustainable Energy Reviews","language":"en","page":"112537","source":"DOI.org (Crossref)","title":"A critical review on deployment planning and risk analysis of carbon capture, utilization, and storage (CCUS) toward carbon neutrality","volume":"167","author":[{"family":"Chen","given":"Siyuan"},{"family":"Liu","given":"Jiangfeng"},{"family":"Zhang","given":"Qi"},{"family":"Teng","given":"Fei"},{"family":"McLellan","given":"Benjamin C."}],"issued":{"date-parts":[["2022",10]]}}}],"schema":"https://github.com/citation-style-language/schema/raw/master/csl-citation.json"} </w:instrText>
      </w:r>
      <w:r w:rsidR="001311CF">
        <w:fldChar w:fldCharType="separate"/>
      </w:r>
      <w:r w:rsidR="00BD3990" w:rsidRPr="00BD3990">
        <w:rPr>
          <w:rFonts w:cs="Calibri"/>
          <w:kern w:val="0"/>
          <w:vertAlign w:val="superscript"/>
        </w:rPr>
        <w:t>31,76,77</w:t>
      </w:r>
      <w:r w:rsidR="001311CF">
        <w:fldChar w:fldCharType="end"/>
      </w:r>
      <w:r w:rsidR="001311CF">
        <w:t>.</w:t>
      </w:r>
    </w:p>
    <w:p w14:paraId="716491F4" w14:textId="45690EE6" w:rsidR="00E3299A" w:rsidRDefault="00E3299A" w:rsidP="00E3299A">
      <w:r>
        <w:t>As of now, approximately 40 CCUS demonstration and pilot projects are either operational or under construction in China, collectively achieving about 3 million tonnes of CO₂ reductions per year</w:t>
      </w:r>
      <w:r w:rsidR="00E96BDA">
        <w:fldChar w:fldCharType="begin"/>
      </w:r>
      <w:r w:rsidR="00BD3990">
        <w:instrText xml:space="preserve"> ADDIN ZOTERO_ITEM CSL_CITATION {"citationID":"a299puovtuv","properties":{"formattedCitation":"\\super 32\\nosupersub{}","plainCitation":"32","noteIndex":0},"citationItems":[{"id":3717,"uris":["http://zotero.org/users/10504693/items/3FUZ8NMI"],"itemData":</w:instrText>
      </w:r>
      <w:r w:rsidR="00BD3990">
        <w:rPr>
          <w:rFonts w:hint="eastAsia"/>
        </w:rPr>
        <w:instrText xml:space="preserve">{"id":3717,"type":"document","language":"Chinese","title":"China Carbon Dioxide Capture, Utilization and Storage (CCUS) Annual Report (2021)-China CCUS Pathway Research (2021)  </w:instrText>
      </w:r>
      <w:r w:rsidR="00BD3990">
        <w:rPr>
          <w:rFonts w:hint="eastAsia"/>
        </w:rPr>
        <w:instrText>中国二氧化碳捕集利用与封</w:instrText>
      </w:r>
      <w:r w:rsidR="00BD3990">
        <w:rPr>
          <w:rFonts w:hint="eastAsia"/>
        </w:rPr>
        <w:instrText xml:space="preserve"> </w:instrText>
      </w:r>
      <w:r w:rsidR="00BD3990">
        <w:rPr>
          <w:rFonts w:hint="eastAsia"/>
        </w:rPr>
        <w:instrText>存</w:instrText>
      </w:r>
      <w:r w:rsidR="00BD3990">
        <w:rPr>
          <w:rFonts w:hint="eastAsia"/>
        </w:rPr>
        <w:instrText xml:space="preserve"> (CCUS) </w:instrText>
      </w:r>
      <w:r w:rsidR="00BD3990">
        <w:rPr>
          <w:rFonts w:hint="eastAsia"/>
        </w:rPr>
        <w:instrText>年度报告</w:instrText>
      </w:r>
      <w:r w:rsidR="00BD3990">
        <w:rPr>
          <w:rFonts w:hint="eastAsia"/>
        </w:rPr>
        <w:instrText>","author":[{"family":"Ministry of Ecology and Envir</w:instrText>
      </w:r>
      <w:r w:rsidR="00BD3990">
        <w:instrText xml:space="preserve">onment","given":""}],"issued":{"date-parts":[["2021"]]}}}],"schema":"https://github.com/citation-style-language/schema/raw/master/csl-citation.json"} </w:instrText>
      </w:r>
      <w:r w:rsidR="00E96BDA">
        <w:fldChar w:fldCharType="separate"/>
      </w:r>
      <w:r w:rsidR="00BD3990" w:rsidRPr="00BD3990">
        <w:rPr>
          <w:rFonts w:cs="Calibri"/>
          <w:kern w:val="0"/>
          <w:vertAlign w:val="superscript"/>
        </w:rPr>
        <w:t>32</w:t>
      </w:r>
      <w:r w:rsidR="00E96BDA">
        <w:fldChar w:fldCharType="end"/>
      </w:r>
      <w:r>
        <w:t>. Most of these projects remain small-scale, with capture capacities ranging from 10,000 to 100,000 tonnes annually. Only two exceed 500,000 tonnes. The main sectors involved are power generation, chemicals, iron and steel, and cement—with the power and chemical industries alone accounting for over 40% of total capacity.</w:t>
      </w:r>
    </w:p>
    <w:p w14:paraId="47EA48A4" w14:textId="72C97BEC" w:rsidR="00E3299A" w:rsidRDefault="00E3299A" w:rsidP="00E3299A">
      <w:r>
        <w:t>This study adopts the government’s official estimates from the China CCUS Roadmap Report (2021)</w:t>
      </w:r>
      <w:r w:rsidR="00D20C5B">
        <w:fldChar w:fldCharType="begin"/>
      </w:r>
      <w:r w:rsidR="006B2721">
        <w:instrText xml:space="preserve"> ADDIN ZOTERO_ITEM CSL_CITATION {"citationID":"a5mu351mue","properties":{"formattedCitation":"\\super 32\\nosupersub{}","plainCitation":"32","noteIndex":0},"citationItems":[{"id":3717,"uris":["http://zotero.org/users/10504693/items/3FUZ8NMI"],"itemData":{</w:instrText>
      </w:r>
      <w:r w:rsidR="006B2721">
        <w:rPr>
          <w:rFonts w:hint="eastAsia"/>
        </w:rPr>
        <w:instrText xml:space="preserve">"id":3717,"type":"document","language":"Chinese","title":"China Carbon Dioxide Capture, Utilization and Storage (CCUS) Annual Report (2021)-China CCUS Pathway Research (2021)  </w:instrText>
      </w:r>
      <w:r w:rsidR="006B2721">
        <w:rPr>
          <w:rFonts w:hint="eastAsia"/>
        </w:rPr>
        <w:instrText>中国二氧化碳捕集利用与封</w:instrText>
      </w:r>
      <w:r w:rsidR="006B2721">
        <w:rPr>
          <w:rFonts w:hint="eastAsia"/>
        </w:rPr>
        <w:instrText xml:space="preserve"> </w:instrText>
      </w:r>
      <w:r w:rsidR="006B2721">
        <w:rPr>
          <w:rFonts w:hint="eastAsia"/>
        </w:rPr>
        <w:instrText>存</w:instrText>
      </w:r>
      <w:r w:rsidR="006B2721">
        <w:rPr>
          <w:rFonts w:hint="eastAsia"/>
        </w:rPr>
        <w:instrText xml:space="preserve"> (CCUS) </w:instrText>
      </w:r>
      <w:r w:rsidR="006B2721">
        <w:rPr>
          <w:rFonts w:hint="eastAsia"/>
        </w:rPr>
        <w:instrText>年度报告</w:instrText>
      </w:r>
      <w:r w:rsidR="006B2721">
        <w:rPr>
          <w:rFonts w:hint="eastAsia"/>
        </w:rPr>
        <w:instrText>","author":[{"family":"Ministry of Ecology and Enviro</w:instrText>
      </w:r>
      <w:r w:rsidR="006B2721">
        <w:instrText xml:space="preserve">nment","given":""}],"issued":{"date-parts":[["2021"]]}}}],"schema":"https://github.com/citation-style-language/schema/raw/master/csl-citation.json"} </w:instrText>
      </w:r>
      <w:r w:rsidR="00D20C5B">
        <w:fldChar w:fldCharType="separate"/>
      </w:r>
      <w:r w:rsidR="00D20C5B" w:rsidRPr="00D20C5B">
        <w:rPr>
          <w:rFonts w:cs="Calibri"/>
          <w:kern w:val="0"/>
          <w:vertAlign w:val="superscript"/>
        </w:rPr>
        <w:t>32</w:t>
      </w:r>
      <w:r w:rsidR="00D20C5B">
        <w:fldChar w:fldCharType="end"/>
      </w:r>
      <w:r>
        <w:t xml:space="preserve"> as the basis for our scenario assumptions, for three key reasons. First, given that most current CCUS projects are still in the demonstration </w:t>
      </w:r>
      <w:r w:rsidR="00C43FBF">
        <w:t>phase and</w:t>
      </w:r>
      <w:r>
        <w:t xml:space="preserve"> face financial viability challenges due to high capital costs and low or negative internal rates of return (IRR), government and state-owned enterprise involvement will continue to be the primary driver of near-term development. Therefore, projections from official sources are more credible and reflect realistic expectations. Second, since our scenarios are </w:t>
      </w:r>
      <w:r w:rsidR="00813AE3">
        <w:t>featured</w:t>
      </w:r>
      <w:r w:rsidR="00813AE3">
        <w:rPr>
          <w:rFonts w:hint="eastAsia"/>
        </w:rPr>
        <w:t xml:space="preserve"> with policy granularity</w:t>
      </w:r>
      <w:r>
        <w:t xml:space="preserve">, government-derived estimates align more consistently with the narrative framework. Third, the China CCUS Roadmap Report provides a comprehensive, policy-informed estimate range across subsectors, synthesised from over 20 studies, and thus better captures the uncertainties surrounding future CCS deployment. Accordingly, we use the high-end estimates for Green Lights, the low-end for Great Wall, and the mid-range values for Red Sun and Calm Sea (see SI Table </w:t>
      </w:r>
      <w:r w:rsidR="005E468D">
        <w:t>8</w:t>
      </w:r>
      <w:r>
        <w:t>).</w:t>
      </w:r>
    </w:p>
    <w:p w14:paraId="010E52BA" w14:textId="4235830B" w:rsidR="008653BF" w:rsidRPr="00D172AD" w:rsidRDefault="008653BF" w:rsidP="00D537BC">
      <w:pPr>
        <w:spacing w:line="259" w:lineRule="auto"/>
        <w:jc w:val="center"/>
        <w:rPr>
          <w:rFonts w:eastAsia="DengXian" w:cs="Arial"/>
          <w:sz w:val="24"/>
        </w:rPr>
      </w:pPr>
      <w:r w:rsidRPr="008653BF">
        <w:rPr>
          <w:rFonts w:eastAsia="DengXian" w:cs="Arial"/>
          <w:sz w:val="24"/>
        </w:rPr>
        <w:t xml:space="preserve">SI Table </w:t>
      </w:r>
      <w:r w:rsidR="005E468D">
        <w:rPr>
          <w:rFonts w:eastAsia="DengXian" w:cs="Arial"/>
          <w:sz w:val="24"/>
        </w:rPr>
        <w:t>8</w:t>
      </w:r>
      <w:r w:rsidRPr="008653BF">
        <w:rPr>
          <w:rFonts w:eastAsia="DengXian" w:cs="Arial"/>
          <w:sz w:val="24"/>
        </w:rPr>
        <w:t xml:space="preserve"> Quantification of </w:t>
      </w:r>
      <w:r>
        <w:rPr>
          <w:rFonts w:eastAsia="DengXian" w:cs="Arial" w:hint="eastAsia"/>
          <w:sz w:val="24"/>
        </w:rPr>
        <w:t xml:space="preserve">CCS </w:t>
      </w:r>
      <w:r w:rsidR="00CF5EDB">
        <w:rPr>
          <w:rFonts w:eastAsia="DengXian" w:cs="Arial"/>
          <w:sz w:val="24"/>
        </w:rPr>
        <w:t>deployment</w:t>
      </w:r>
      <w:r w:rsidR="00CF5EDB" w:rsidRPr="008653BF">
        <w:rPr>
          <w:rFonts w:eastAsia="DengXian" w:cs="Arial"/>
          <w:sz w:val="24"/>
        </w:rPr>
        <w:t xml:space="preserve"> </w:t>
      </w:r>
      <w:r w:rsidR="00CF5EDB">
        <w:rPr>
          <w:rFonts w:eastAsia="DengXian" w:cs="Arial"/>
          <w:sz w:val="24"/>
        </w:rPr>
        <w:t>of</w:t>
      </w:r>
      <w:r w:rsidR="00CF5EDB">
        <w:rPr>
          <w:rFonts w:eastAsia="DengXian" w:cs="Arial" w:hint="eastAsia"/>
          <w:sz w:val="24"/>
        </w:rPr>
        <w:t xml:space="preserve"> China </w:t>
      </w:r>
      <w:r w:rsidRPr="008653BF">
        <w:rPr>
          <w:rFonts w:eastAsia="DengXian" w:cs="Arial"/>
          <w:sz w:val="24"/>
        </w:rPr>
        <w:t>in TIAM-UCL</w:t>
      </w:r>
      <w:r w:rsidR="00212028">
        <w:rPr>
          <w:rFonts w:eastAsia="DengXian" w:cs="Arial" w:hint="eastAsia"/>
          <w:sz w:val="24"/>
        </w:rPr>
        <w:t xml:space="preserve"> (</w:t>
      </w:r>
      <w:r w:rsidR="00212028" w:rsidRPr="00212028">
        <w:rPr>
          <w:rFonts w:eastAsia="DengXian" w:cs="Arial"/>
          <w:sz w:val="24"/>
        </w:rPr>
        <w:t>(units: Mt CO2/ year)</w:t>
      </w:r>
    </w:p>
    <w:tbl>
      <w:tblPr>
        <w:tblStyle w:val="TableGrid"/>
        <w:tblW w:w="7850" w:type="dxa"/>
        <w:jc w:val="center"/>
        <w:tblLook w:val="04A0" w:firstRow="1" w:lastRow="0" w:firstColumn="1" w:lastColumn="0" w:noHBand="0" w:noVBand="1"/>
      </w:tblPr>
      <w:tblGrid>
        <w:gridCol w:w="1447"/>
        <w:gridCol w:w="884"/>
        <w:gridCol w:w="1042"/>
        <w:gridCol w:w="1041"/>
        <w:gridCol w:w="1041"/>
        <w:gridCol w:w="1042"/>
        <w:gridCol w:w="1353"/>
      </w:tblGrid>
      <w:tr w:rsidR="00B15295" w:rsidRPr="00D172AD" w14:paraId="3EA3ABBA" w14:textId="0414A7DD" w:rsidTr="00B15295">
        <w:trPr>
          <w:jc w:val="center"/>
        </w:trPr>
        <w:tc>
          <w:tcPr>
            <w:tcW w:w="7850" w:type="dxa"/>
            <w:gridSpan w:val="7"/>
            <w:shd w:val="clear" w:color="auto" w:fill="D9D9D9" w:themeFill="background1" w:themeFillShade="D9"/>
          </w:tcPr>
          <w:p w14:paraId="103E3C80" w14:textId="41BF2C49" w:rsidR="00B15295" w:rsidRPr="004E34F8" w:rsidRDefault="00B15295" w:rsidP="00D537BC">
            <w:pPr>
              <w:spacing w:line="259" w:lineRule="auto"/>
              <w:jc w:val="center"/>
              <w:rPr>
                <w:rFonts w:eastAsia="DengXian" w:cs="Arial"/>
                <w:b/>
                <w:bCs/>
              </w:rPr>
            </w:pPr>
            <w:r w:rsidRPr="004E34F8">
              <w:rPr>
                <w:rFonts w:eastAsia="DengXian" w:cs="Arial" w:hint="eastAsia"/>
                <w:b/>
                <w:bCs/>
              </w:rPr>
              <w:t>High estimation ----Green Lights</w:t>
            </w:r>
          </w:p>
        </w:tc>
      </w:tr>
      <w:tr w:rsidR="00B15295" w:rsidRPr="00D172AD" w14:paraId="68CD5710" w14:textId="007F00ED" w:rsidTr="00B15295">
        <w:trPr>
          <w:jc w:val="center"/>
        </w:trPr>
        <w:tc>
          <w:tcPr>
            <w:tcW w:w="1447" w:type="dxa"/>
          </w:tcPr>
          <w:p w14:paraId="5F2088FB" w14:textId="77777777" w:rsidR="00B15295" w:rsidRPr="00D172AD" w:rsidRDefault="00B15295" w:rsidP="00D537BC">
            <w:pPr>
              <w:spacing w:line="259" w:lineRule="auto"/>
              <w:jc w:val="center"/>
              <w:rPr>
                <w:rFonts w:eastAsia="DengXian" w:cs="Arial"/>
              </w:rPr>
            </w:pPr>
          </w:p>
        </w:tc>
        <w:tc>
          <w:tcPr>
            <w:tcW w:w="884" w:type="dxa"/>
          </w:tcPr>
          <w:p w14:paraId="7E33F20D"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2025</w:t>
            </w:r>
          </w:p>
        </w:tc>
        <w:tc>
          <w:tcPr>
            <w:tcW w:w="1042" w:type="dxa"/>
          </w:tcPr>
          <w:p w14:paraId="29D9DA01"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2030</w:t>
            </w:r>
          </w:p>
        </w:tc>
        <w:tc>
          <w:tcPr>
            <w:tcW w:w="1041" w:type="dxa"/>
          </w:tcPr>
          <w:p w14:paraId="258D26D1"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2035</w:t>
            </w:r>
          </w:p>
        </w:tc>
        <w:tc>
          <w:tcPr>
            <w:tcW w:w="1041" w:type="dxa"/>
          </w:tcPr>
          <w:p w14:paraId="3316DA39"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2040</w:t>
            </w:r>
          </w:p>
        </w:tc>
        <w:tc>
          <w:tcPr>
            <w:tcW w:w="1042" w:type="dxa"/>
          </w:tcPr>
          <w:p w14:paraId="0EBE7C53"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2050</w:t>
            </w:r>
          </w:p>
        </w:tc>
        <w:tc>
          <w:tcPr>
            <w:tcW w:w="1353" w:type="dxa"/>
          </w:tcPr>
          <w:p w14:paraId="3CB437CC"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2060</w:t>
            </w:r>
          </w:p>
        </w:tc>
      </w:tr>
      <w:tr w:rsidR="00B15295" w:rsidRPr="00D172AD" w14:paraId="08E622E3" w14:textId="614CA0A9" w:rsidTr="00B15295">
        <w:trPr>
          <w:jc w:val="center"/>
        </w:trPr>
        <w:tc>
          <w:tcPr>
            <w:tcW w:w="1447" w:type="dxa"/>
          </w:tcPr>
          <w:p w14:paraId="2891E55E" w14:textId="39F6A6E2" w:rsidR="00B15295" w:rsidRPr="00D172AD" w:rsidRDefault="00B15295" w:rsidP="00D537BC">
            <w:pPr>
              <w:spacing w:line="259" w:lineRule="auto"/>
              <w:jc w:val="center"/>
              <w:rPr>
                <w:rFonts w:eastAsia="DengXian" w:cs="Arial"/>
                <w:b/>
                <w:bCs/>
              </w:rPr>
            </w:pPr>
            <w:r w:rsidRPr="00D172AD">
              <w:rPr>
                <w:rFonts w:eastAsia="DengXian" w:cs="Arial" w:hint="eastAsia"/>
                <w:b/>
                <w:bCs/>
              </w:rPr>
              <w:t>Coal-fired plant</w:t>
            </w:r>
          </w:p>
        </w:tc>
        <w:tc>
          <w:tcPr>
            <w:tcW w:w="884" w:type="dxa"/>
          </w:tcPr>
          <w:p w14:paraId="001917DA" w14:textId="77777777" w:rsidR="00B15295" w:rsidRPr="00D172AD" w:rsidRDefault="00B15295" w:rsidP="00D537BC">
            <w:pPr>
              <w:spacing w:line="259" w:lineRule="auto"/>
              <w:jc w:val="center"/>
              <w:rPr>
                <w:rFonts w:eastAsia="DengXian" w:cs="Arial"/>
              </w:rPr>
            </w:pPr>
            <w:r w:rsidRPr="00D172AD">
              <w:rPr>
                <w:rFonts w:eastAsia="DengXian" w:cs="Arial" w:hint="eastAsia"/>
              </w:rPr>
              <w:t>6</w:t>
            </w:r>
          </w:p>
        </w:tc>
        <w:tc>
          <w:tcPr>
            <w:tcW w:w="1042" w:type="dxa"/>
          </w:tcPr>
          <w:p w14:paraId="5DB4AB5C" w14:textId="77777777" w:rsidR="00B15295" w:rsidRPr="00D172AD" w:rsidRDefault="00B15295" w:rsidP="00D537BC">
            <w:pPr>
              <w:spacing w:line="259" w:lineRule="auto"/>
              <w:jc w:val="center"/>
              <w:rPr>
                <w:rFonts w:eastAsia="DengXian" w:cs="Arial"/>
              </w:rPr>
            </w:pPr>
            <w:r w:rsidRPr="00D172AD">
              <w:rPr>
                <w:rFonts w:eastAsia="DengXian" w:cs="Arial" w:hint="eastAsia"/>
              </w:rPr>
              <w:t>20</w:t>
            </w:r>
          </w:p>
        </w:tc>
        <w:tc>
          <w:tcPr>
            <w:tcW w:w="1041" w:type="dxa"/>
          </w:tcPr>
          <w:p w14:paraId="771EC5DB" w14:textId="062A453E" w:rsidR="00B15295" w:rsidRPr="00D172AD" w:rsidRDefault="00B15295" w:rsidP="00D537BC">
            <w:pPr>
              <w:spacing w:line="259" w:lineRule="auto"/>
              <w:jc w:val="center"/>
              <w:rPr>
                <w:rFonts w:eastAsia="DengXian" w:cs="Arial"/>
              </w:rPr>
            </w:pPr>
            <w:r w:rsidRPr="00D172AD">
              <w:rPr>
                <w:rFonts w:eastAsia="DengXian" w:cs="Arial" w:hint="eastAsia"/>
              </w:rPr>
              <w:t>100</w:t>
            </w:r>
          </w:p>
        </w:tc>
        <w:tc>
          <w:tcPr>
            <w:tcW w:w="1041" w:type="dxa"/>
          </w:tcPr>
          <w:p w14:paraId="72995D70" w14:textId="5A519E23" w:rsidR="00B15295" w:rsidRPr="00D172AD" w:rsidRDefault="00B15295" w:rsidP="00D537BC">
            <w:pPr>
              <w:spacing w:line="259" w:lineRule="auto"/>
              <w:jc w:val="center"/>
              <w:rPr>
                <w:rFonts w:eastAsia="DengXian" w:cs="Arial"/>
              </w:rPr>
            </w:pPr>
            <w:r w:rsidRPr="00D172AD">
              <w:rPr>
                <w:rFonts w:eastAsia="DengXian" w:cs="Arial" w:hint="eastAsia"/>
              </w:rPr>
              <w:t>500</w:t>
            </w:r>
          </w:p>
        </w:tc>
        <w:tc>
          <w:tcPr>
            <w:tcW w:w="1042" w:type="dxa"/>
          </w:tcPr>
          <w:p w14:paraId="00A28DB3" w14:textId="67E401A8" w:rsidR="00B15295" w:rsidRPr="00D172AD" w:rsidRDefault="00B15295" w:rsidP="00D537BC">
            <w:pPr>
              <w:spacing w:line="259" w:lineRule="auto"/>
              <w:jc w:val="center"/>
              <w:rPr>
                <w:rFonts w:eastAsia="DengXian" w:cs="Arial"/>
              </w:rPr>
            </w:pPr>
            <w:r w:rsidRPr="00D172AD">
              <w:rPr>
                <w:rFonts w:eastAsia="DengXian" w:cs="Arial" w:hint="eastAsia"/>
              </w:rPr>
              <w:t>500</w:t>
            </w:r>
          </w:p>
        </w:tc>
        <w:tc>
          <w:tcPr>
            <w:tcW w:w="1353" w:type="dxa"/>
          </w:tcPr>
          <w:p w14:paraId="7722B0D0" w14:textId="37C17D2E" w:rsidR="00B15295" w:rsidRPr="00D172AD" w:rsidRDefault="00B15295" w:rsidP="00D537BC">
            <w:pPr>
              <w:spacing w:line="259" w:lineRule="auto"/>
              <w:jc w:val="center"/>
              <w:rPr>
                <w:rFonts w:eastAsia="DengXian" w:cs="Arial"/>
              </w:rPr>
            </w:pPr>
            <w:r w:rsidRPr="00D172AD">
              <w:rPr>
                <w:rFonts w:eastAsia="DengXian" w:cs="Arial" w:hint="eastAsia"/>
              </w:rPr>
              <w:t>500</w:t>
            </w:r>
          </w:p>
        </w:tc>
      </w:tr>
      <w:tr w:rsidR="00B15295" w:rsidRPr="00D172AD" w14:paraId="54076D74" w14:textId="216F7F11" w:rsidTr="00B15295">
        <w:trPr>
          <w:jc w:val="center"/>
        </w:trPr>
        <w:tc>
          <w:tcPr>
            <w:tcW w:w="1447" w:type="dxa"/>
          </w:tcPr>
          <w:p w14:paraId="7FD51F20" w14:textId="466CF29C" w:rsidR="00B15295" w:rsidRPr="00D172AD" w:rsidRDefault="00B15295" w:rsidP="00D537BC">
            <w:pPr>
              <w:spacing w:line="259" w:lineRule="auto"/>
              <w:jc w:val="center"/>
              <w:rPr>
                <w:rFonts w:eastAsia="DengXian" w:cs="Arial"/>
                <w:b/>
                <w:bCs/>
              </w:rPr>
            </w:pPr>
            <w:r w:rsidRPr="00D172AD">
              <w:rPr>
                <w:rFonts w:eastAsia="DengXian" w:cs="Arial"/>
                <w:b/>
                <w:bCs/>
              </w:rPr>
              <w:lastRenderedPageBreak/>
              <w:t>G</w:t>
            </w:r>
            <w:r w:rsidRPr="00D172AD">
              <w:rPr>
                <w:rFonts w:eastAsia="DengXian" w:cs="Arial" w:hint="eastAsia"/>
                <w:b/>
                <w:bCs/>
              </w:rPr>
              <w:t>as power plant</w:t>
            </w:r>
          </w:p>
        </w:tc>
        <w:tc>
          <w:tcPr>
            <w:tcW w:w="884" w:type="dxa"/>
          </w:tcPr>
          <w:p w14:paraId="2E180576" w14:textId="77777777"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2" w:type="dxa"/>
          </w:tcPr>
          <w:p w14:paraId="6A965D00" w14:textId="77777777" w:rsidR="00B15295" w:rsidRPr="00D172AD" w:rsidRDefault="00B15295" w:rsidP="00D537BC">
            <w:pPr>
              <w:spacing w:line="259" w:lineRule="auto"/>
              <w:jc w:val="center"/>
              <w:rPr>
                <w:rFonts w:eastAsia="DengXian" w:cs="Arial"/>
              </w:rPr>
            </w:pPr>
            <w:r w:rsidRPr="00D172AD">
              <w:rPr>
                <w:rFonts w:eastAsia="DengXian" w:cs="Arial" w:hint="eastAsia"/>
              </w:rPr>
              <w:t>5</w:t>
            </w:r>
          </w:p>
        </w:tc>
        <w:tc>
          <w:tcPr>
            <w:tcW w:w="1041" w:type="dxa"/>
          </w:tcPr>
          <w:p w14:paraId="257AC0BD" w14:textId="035D0E03" w:rsidR="00B15295" w:rsidRPr="00D172AD" w:rsidRDefault="00B15295" w:rsidP="00D537BC">
            <w:pPr>
              <w:spacing w:line="259" w:lineRule="auto"/>
              <w:jc w:val="center"/>
              <w:rPr>
                <w:rFonts w:eastAsia="DengXian" w:cs="Arial"/>
              </w:rPr>
            </w:pPr>
            <w:r w:rsidRPr="00D172AD">
              <w:rPr>
                <w:rFonts w:eastAsia="DengXian" w:cs="Arial" w:hint="eastAsia"/>
              </w:rPr>
              <w:t>100</w:t>
            </w:r>
          </w:p>
        </w:tc>
        <w:tc>
          <w:tcPr>
            <w:tcW w:w="1041" w:type="dxa"/>
          </w:tcPr>
          <w:p w14:paraId="7140D02C" w14:textId="033866C3" w:rsidR="00B15295" w:rsidRPr="00D172AD" w:rsidRDefault="00B15295" w:rsidP="00D537BC">
            <w:pPr>
              <w:spacing w:line="259" w:lineRule="auto"/>
              <w:jc w:val="center"/>
              <w:rPr>
                <w:rFonts w:eastAsia="DengXian" w:cs="Arial"/>
              </w:rPr>
            </w:pPr>
            <w:r w:rsidRPr="00D172AD">
              <w:rPr>
                <w:rFonts w:eastAsia="DengXian" w:cs="Arial" w:hint="eastAsia"/>
              </w:rPr>
              <w:t>100</w:t>
            </w:r>
          </w:p>
        </w:tc>
        <w:tc>
          <w:tcPr>
            <w:tcW w:w="1042" w:type="dxa"/>
          </w:tcPr>
          <w:p w14:paraId="5E7F2D0E" w14:textId="2BD92AB0" w:rsidR="00B15295" w:rsidRPr="00D172AD" w:rsidRDefault="00B15295" w:rsidP="00D537BC">
            <w:pPr>
              <w:spacing w:line="259" w:lineRule="auto"/>
              <w:jc w:val="center"/>
              <w:rPr>
                <w:rFonts w:eastAsia="DengXian" w:cs="Arial"/>
              </w:rPr>
            </w:pPr>
            <w:r w:rsidRPr="00D172AD">
              <w:rPr>
                <w:rFonts w:eastAsia="DengXian" w:cs="Arial" w:hint="eastAsia"/>
              </w:rPr>
              <w:t>100</w:t>
            </w:r>
          </w:p>
        </w:tc>
        <w:tc>
          <w:tcPr>
            <w:tcW w:w="1353" w:type="dxa"/>
          </w:tcPr>
          <w:p w14:paraId="4FF062B4" w14:textId="1CF99CF5" w:rsidR="00B15295" w:rsidRPr="00D172AD" w:rsidRDefault="00B15295" w:rsidP="00D537BC">
            <w:pPr>
              <w:spacing w:line="259" w:lineRule="auto"/>
              <w:jc w:val="center"/>
              <w:rPr>
                <w:rFonts w:eastAsia="DengXian" w:cs="Arial"/>
              </w:rPr>
            </w:pPr>
            <w:r w:rsidRPr="00D172AD">
              <w:rPr>
                <w:rFonts w:eastAsia="DengXian" w:cs="Arial" w:hint="eastAsia"/>
              </w:rPr>
              <w:t>100</w:t>
            </w:r>
          </w:p>
        </w:tc>
      </w:tr>
      <w:tr w:rsidR="00B15295" w:rsidRPr="00D172AD" w14:paraId="7279EFEC" w14:textId="5A833C70" w:rsidTr="00B15295">
        <w:trPr>
          <w:jc w:val="center"/>
        </w:trPr>
        <w:tc>
          <w:tcPr>
            <w:tcW w:w="1447" w:type="dxa"/>
          </w:tcPr>
          <w:p w14:paraId="3BFEE1B8"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Steel and iron</w:t>
            </w:r>
          </w:p>
        </w:tc>
        <w:tc>
          <w:tcPr>
            <w:tcW w:w="884" w:type="dxa"/>
          </w:tcPr>
          <w:p w14:paraId="3C261CDF" w14:textId="77777777"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2" w:type="dxa"/>
          </w:tcPr>
          <w:p w14:paraId="1D2E665D" w14:textId="16FEEA72" w:rsidR="00B15295" w:rsidRPr="00D172AD" w:rsidRDefault="00B15295" w:rsidP="00D537BC">
            <w:pPr>
              <w:spacing w:line="259" w:lineRule="auto"/>
              <w:jc w:val="center"/>
              <w:rPr>
                <w:rFonts w:eastAsia="DengXian" w:cs="Arial"/>
              </w:rPr>
            </w:pPr>
            <w:r w:rsidRPr="00D172AD">
              <w:rPr>
                <w:rFonts w:eastAsia="DengXian" w:cs="Arial" w:hint="eastAsia"/>
              </w:rPr>
              <w:t>5</w:t>
            </w:r>
          </w:p>
        </w:tc>
        <w:tc>
          <w:tcPr>
            <w:tcW w:w="1041" w:type="dxa"/>
          </w:tcPr>
          <w:p w14:paraId="1819BEFA" w14:textId="22C7AA4C" w:rsidR="00B15295" w:rsidRPr="00D172AD" w:rsidRDefault="00B15295" w:rsidP="00D537BC">
            <w:pPr>
              <w:spacing w:line="259" w:lineRule="auto"/>
              <w:jc w:val="center"/>
              <w:rPr>
                <w:rFonts w:eastAsia="DengXian" w:cs="Arial"/>
              </w:rPr>
            </w:pPr>
            <w:r w:rsidRPr="00D172AD">
              <w:rPr>
                <w:rFonts w:eastAsia="DengXian" w:cs="Arial" w:hint="eastAsia"/>
              </w:rPr>
              <w:t>20</w:t>
            </w:r>
          </w:p>
        </w:tc>
        <w:tc>
          <w:tcPr>
            <w:tcW w:w="1041" w:type="dxa"/>
          </w:tcPr>
          <w:p w14:paraId="2EC03159" w14:textId="03229C41" w:rsidR="00B15295" w:rsidRPr="00D172AD" w:rsidRDefault="00B15295" w:rsidP="00D537BC">
            <w:pPr>
              <w:spacing w:line="259" w:lineRule="auto"/>
              <w:jc w:val="center"/>
              <w:rPr>
                <w:rFonts w:eastAsia="DengXian" w:cs="Arial"/>
              </w:rPr>
            </w:pPr>
            <w:r w:rsidRPr="00D172AD">
              <w:rPr>
                <w:rFonts w:eastAsia="DengXian" w:cs="Arial" w:hint="eastAsia"/>
              </w:rPr>
              <w:t>30</w:t>
            </w:r>
          </w:p>
        </w:tc>
        <w:tc>
          <w:tcPr>
            <w:tcW w:w="1042" w:type="dxa"/>
          </w:tcPr>
          <w:p w14:paraId="1E31E379" w14:textId="67E620F4" w:rsidR="00B15295" w:rsidRPr="00D172AD" w:rsidRDefault="00B15295" w:rsidP="00D537BC">
            <w:pPr>
              <w:spacing w:line="259" w:lineRule="auto"/>
              <w:jc w:val="center"/>
              <w:rPr>
                <w:rFonts w:eastAsia="DengXian" w:cs="Arial"/>
              </w:rPr>
            </w:pPr>
            <w:r w:rsidRPr="00D172AD">
              <w:rPr>
                <w:rFonts w:eastAsia="DengXian" w:cs="Arial" w:hint="eastAsia"/>
              </w:rPr>
              <w:t>70</w:t>
            </w:r>
          </w:p>
        </w:tc>
        <w:tc>
          <w:tcPr>
            <w:tcW w:w="1353" w:type="dxa"/>
          </w:tcPr>
          <w:p w14:paraId="7AF05F03" w14:textId="342659A9" w:rsidR="00B15295" w:rsidRPr="00D172AD" w:rsidRDefault="00B15295" w:rsidP="00D537BC">
            <w:pPr>
              <w:spacing w:line="259" w:lineRule="auto"/>
              <w:jc w:val="center"/>
              <w:rPr>
                <w:rFonts w:eastAsia="DengXian" w:cs="Arial"/>
              </w:rPr>
            </w:pPr>
            <w:r w:rsidRPr="00D172AD">
              <w:rPr>
                <w:rFonts w:eastAsia="DengXian" w:cs="Arial" w:hint="eastAsia"/>
              </w:rPr>
              <w:t>110</w:t>
            </w:r>
          </w:p>
        </w:tc>
      </w:tr>
      <w:tr w:rsidR="00B15295" w:rsidRPr="00D172AD" w14:paraId="0EDCC3E4" w14:textId="7AF56B63" w:rsidTr="00B15295">
        <w:trPr>
          <w:jc w:val="center"/>
        </w:trPr>
        <w:tc>
          <w:tcPr>
            <w:tcW w:w="1447" w:type="dxa"/>
          </w:tcPr>
          <w:p w14:paraId="122FB369"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BECCS</w:t>
            </w:r>
          </w:p>
        </w:tc>
        <w:tc>
          <w:tcPr>
            <w:tcW w:w="884" w:type="dxa"/>
          </w:tcPr>
          <w:p w14:paraId="4B0271D3" w14:textId="77777777" w:rsidR="00B15295" w:rsidRPr="00D172AD" w:rsidRDefault="00B15295" w:rsidP="00D537BC">
            <w:pPr>
              <w:spacing w:line="259" w:lineRule="auto"/>
              <w:jc w:val="center"/>
              <w:rPr>
                <w:rFonts w:eastAsia="DengXian" w:cs="Arial"/>
              </w:rPr>
            </w:pPr>
            <w:r w:rsidRPr="00D172AD">
              <w:rPr>
                <w:rFonts w:eastAsia="DengXian" w:cs="Arial" w:hint="eastAsia"/>
              </w:rPr>
              <w:t>0.5</w:t>
            </w:r>
          </w:p>
        </w:tc>
        <w:tc>
          <w:tcPr>
            <w:tcW w:w="1042" w:type="dxa"/>
          </w:tcPr>
          <w:p w14:paraId="37D58BB6" w14:textId="77777777"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1" w:type="dxa"/>
          </w:tcPr>
          <w:p w14:paraId="165D99B7" w14:textId="77777777" w:rsidR="00B15295" w:rsidRPr="00D172AD" w:rsidRDefault="00B15295" w:rsidP="00D537BC">
            <w:pPr>
              <w:spacing w:line="259" w:lineRule="auto"/>
              <w:jc w:val="center"/>
              <w:rPr>
                <w:rFonts w:eastAsia="DengXian" w:cs="Arial"/>
              </w:rPr>
            </w:pPr>
            <w:r w:rsidRPr="00D172AD">
              <w:rPr>
                <w:rFonts w:eastAsia="DengXian" w:cs="Arial" w:hint="eastAsia"/>
              </w:rPr>
              <w:t>18</w:t>
            </w:r>
          </w:p>
        </w:tc>
        <w:tc>
          <w:tcPr>
            <w:tcW w:w="1041" w:type="dxa"/>
          </w:tcPr>
          <w:p w14:paraId="1FDEB7BB" w14:textId="5B1F076A" w:rsidR="00B15295" w:rsidRPr="00D172AD" w:rsidRDefault="00B15295" w:rsidP="00D537BC">
            <w:pPr>
              <w:spacing w:line="259" w:lineRule="auto"/>
              <w:jc w:val="center"/>
              <w:rPr>
                <w:rFonts w:eastAsia="DengXian" w:cs="Arial"/>
              </w:rPr>
            </w:pPr>
            <w:r w:rsidRPr="00D172AD">
              <w:rPr>
                <w:rFonts w:eastAsia="DengXian" w:cs="Arial" w:hint="eastAsia"/>
              </w:rPr>
              <w:t>100</w:t>
            </w:r>
          </w:p>
        </w:tc>
        <w:tc>
          <w:tcPr>
            <w:tcW w:w="1042" w:type="dxa"/>
          </w:tcPr>
          <w:p w14:paraId="3E3B47E4" w14:textId="6B9B0662" w:rsidR="00B15295" w:rsidRPr="00D172AD" w:rsidRDefault="00B15295" w:rsidP="00D537BC">
            <w:pPr>
              <w:spacing w:line="259" w:lineRule="auto"/>
              <w:jc w:val="center"/>
              <w:rPr>
                <w:rFonts w:eastAsia="DengXian" w:cs="Arial"/>
              </w:rPr>
            </w:pPr>
            <w:r w:rsidRPr="00D172AD">
              <w:rPr>
                <w:rFonts w:eastAsia="DengXian" w:cs="Arial" w:hint="eastAsia"/>
              </w:rPr>
              <w:t>500</w:t>
            </w:r>
          </w:p>
        </w:tc>
        <w:tc>
          <w:tcPr>
            <w:tcW w:w="1353" w:type="dxa"/>
          </w:tcPr>
          <w:p w14:paraId="0341D032" w14:textId="71599B10" w:rsidR="00B15295" w:rsidRPr="00D172AD" w:rsidRDefault="00B15295" w:rsidP="00D537BC">
            <w:pPr>
              <w:spacing w:line="259" w:lineRule="auto"/>
              <w:jc w:val="center"/>
              <w:rPr>
                <w:rFonts w:eastAsia="DengXian" w:cs="Arial"/>
              </w:rPr>
            </w:pPr>
            <w:r w:rsidRPr="00D172AD">
              <w:rPr>
                <w:rFonts w:eastAsia="DengXian" w:cs="Arial" w:hint="eastAsia"/>
              </w:rPr>
              <w:t>600</w:t>
            </w:r>
          </w:p>
        </w:tc>
      </w:tr>
      <w:tr w:rsidR="00B15295" w:rsidRPr="00D172AD" w14:paraId="2F343117" w14:textId="65E92D56" w:rsidTr="00B15295">
        <w:trPr>
          <w:jc w:val="center"/>
        </w:trPr>
        <w:tc>
          <w:tcPr>
            <w:tcW w:w="1447" w:type="dxa"/>
          </w:tcPr>
          <w:p w14:paraId="4653BE5F" w14:textId="77777777" w:rsidR="00B15295" w:rsidRPr="00D172AD" w:rsidRDefault="00B15295" w:rsidP="00D537BC">
            <w:pPr>
              <w:spacing w:line="259" w:lineRule="auto"/>
              <w:jc w:val="center"/>
              <w:rPr>
                <w:rFonts w:eastAsia="DengXian" w:cs="Arial"/>
                <w:b/>
                <w:bCs/>
              </w:rPr>
            </w:pPr>
            <w:r w:rsidRPr="00D172AD">
              <w:rPr>
                <w:rFonts w:eastAsia="DengXian" w:cs="Arial" w:hint="eastAsia"/>
                <w:b/>
                <w:bCs/>
              </w:rPr>
              <w:t>DACCS</w:t>
            </w:r>
          </w:p>
        </w:tc>
        <w:tc>
          <w:tcPr>
            <w:tcW w:w="884" w:type="dxa"/>
          </w:tcPr>
          <w:p w14:paraId="15BB2A5E" w14:textId="77777777" w:rsidR="00B15295" w:rsidRPr="00D172AD" w:rsidRDefault="00B15295" w:rsidP="00D537BC">
            <w:pPr>
              <w:spacing w:line="259" w:lineRule="auto"/>
              <w:jc w:val="center"/>
              <w:rPr>
                <w:rFonts w:eastAsia="DengXian" w:cs="Arial"/>
              </w:rPr>
            </w:pPr>
            <w:r w:rsidRPr="00D172AD">
              <w:rPr>
                <w:rFonts w:eastAsia="DengXian" w:cs="Arial" w:hint="eastAsia"/>
              </w:rPr>
              <w:t>0</w:t>
            </w:r>
          </w:p>
        </w:tc>
        <w:tc>
          <w:tcPr>
            <w:tcW w:w="1042" w:type="dxa"/>
          </w:tcPr>
          <w:p w14:paraId="4855022F" w14:textId="77777777" w:rsidR="00B15295" w:rsidRPr="00D172AD" w:rsidRDefault="00B15295" w:rsidP="00D537BC">
            <w:pPr>
              <w:spacing w:line="259" w:lineRule="auto"/>
              <w:jc w:val="center"/>
              <w:rPr>
                <w:rFonts w:eastAsia="DengXian" w:cs="Arial"/>
              </w:rPr>
            </w:pPr>
            <w:r w:rsidRPr="00D172AD">
              <w:rPr>
                <w:rFonts w:eastAsia="DengXian" w:cs="Arial" w:hint="eastAsia"/>
              </w:rPr>
              <w:t>0</w:t>
            </w:r>
          </w:p>
        </w:tc>
        <w:tc>
          <w:tcPr>
            <w:tcW w:w="1041" w:type="dxa"/>
          </w:tcPr>
          <w:p w14:paraId="00419B19" w14:textId="77777777"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1" w:type="dxa"/>
          </w:tcPr>
          <w:p w14:paraId="6FE7AF46" w14:textId="77777777" w:rsidR="00B15295" w:rsidRPr="00D172AD" w:rsidRDefault="00B15295" w:rsidP="00D537BC">
            <w:pPr>
              <w:spacing w:line="259" w:lineRule="auto"/>
              <w:jc w:val="center"/>
              <w:rPr>
                <w:rFonts w:eastAsia="DengXian" w:cs="Arial"/>
              </w:rPr>
            </w:pPr>
            <w:r w:rsidRPr="00D172AD">
              <w:rPr>
                <w:rFonts w:eastAsia="DengXian" w:cs="Arial" w:hint="eastAsia"/>
              </w:rPr>
              <w:t>15</w:t>
            </w:r>
          </w:p>
        </w:tc>
        <w:tc>
          <w:tcPr>
            <w:tcW w:w="1042" w:type="dxa"/>
          </w:tcPr>
          <w:p w14:paraId="263BFC2E" w14:textId="6EF5E30C" w:rsidR="00B15295" w:rsidRPr="00D172AD" w:rsidRDefault="00B15295" w:rsidP="00D537BC">
            <w:pPr>
              <w:spacing w:line="259" w:lineRule="auto"/>
              <w:jc w:val="center"/>
              <w:rPr>
                <w:rFonts w:eastAsia="DengXian" w:cs="Arial"/>
              </w:rPr>
            </w:pPr>
            <w:r w:rsidRPr="00D172AD">
              <w:rPr>
                <w:rFonts w:eastAsia="DengXian" w:cs="Arial" w:hint="eastAsia"/>
              </w:rPr>
              <w:t>100</w:t>
            </w:r>
          </w:p>
        </w:tc>
        <w:tc>
          <w:tcPr>
            <w:tcW w:w="1353" w:type="dxa"/>
          </w:tcPr>
          <w:p w14:paraId="66463A37" w14:textId="4E52753C" w:rsidR="00B15295" w:rsidRPr="00D172AD" w:rsidRDefault="00B15295" w:rsidP="00D537BC">
            <w:pPr>
              <w:spacing w:line="259" w:lineRule="auto"/>
              <w:jc w:val="center"/>
              <w:rPr>
                <w:rFonts w:eastAsia="DengXian" w:cs="Arial"/>
              </w:rPr>
            </w:pPr>
            <w:r w:rsidRPr="00D172AD">
              <w:rPr>
                <w:rFonts w:eastAsia="DengXian" w:cs="Arial" w:hint="eastAsia"/>
              </w:rPr>
              <w:t>300</w:t>
            </w:r>
          </w:p>
        </w:tc>
      </w:tr>
      <w:tr w:rsidR="00B15295" w:rsidRPr="00D172AD" w14:paraId="3222280E" w14:textId="5F4E2F48" w:rsidTr="00B15295">
        <w:trPr>
          <w:jc w:val="center"/>
        </w:trPr>
        <w:tc>
          <w:tcPr>
            <w:tcW w:w="7850" w:type="dxa"/>
            <w:gridSpan w:val="7"/>
            <w:shd w:val="clear" w:color="auto" w:fill="D9D9D9" w:themeFill="background1" w:themeFillShade="D9"/>
          </w:tcPr>
          <w:p w14:paraId="216B72DC" w14:textId="4B5A2283" w:rsidR="00B15295" w:rsidRPr="004E34F8" w:rsidRDefault="00B15295" w:rsidP="00D537BC">
            <w:pPr>
              <w:spacing w:line="259" w:lineRule="auto"/>
              <w:jc w:val="center"/>
              <w:rPr>
                <w:rFonts w:eastAsia="DengXian" w:cs="Arial"/>
                <w:b/>
                <w:bCs/>
              </w:rPr>
            </w:pPr>
            <w:r w:rsidRPr="004E34F8">
              <w:rPr>
                <w:rFonts w:eastAsia="DengXian" w:cs="Arial" w:hint="eastAsia"/>
                <w:b/>
                <w:bCs/>
              </w:rPr>
              <w:t>Medium estimation ---</w:t>
            </w:r>
            <w:r w:rsidRPr="004E34F8">
              <w:rPr>
                <w:rFonts w:eastAsia="DengXian" w:cs="Arial"/>
                <w:b/>
                <w:bCs/>
              </w:rPr>
              <w:t>Red</w:t>
            </w:r>
            <w:r w:rsidRPr="004E34F8">
              <w:rPr>
                <w:rFonts w:eastAsia="DengXian" w:cs="Arial" w:hint="eastAsia"/>
                <w:b/>
                <w:bCs/>
              </w:rPr>
              <w:t xml:space="preserve"> </w:t>
            </w:r>
            <w:r w:rsidRPr="004E34F8">
              <w:rPr>
                <w:rFonts w:eastAsia="DengXian" w:cs="Arial"/>
                <w:b/>
                <w:bCs/>
              </w:rPr>
              <w:t>Sun</w:t>
            </w:r>
            <w:r w:rsidRPr="004E34F8">
              <w:rPr>
                <w:rFonts w:eastAsia="DengXian" w:cs="Arial" w:hint="eastAsia"/>
                <w:b/>
                <w:bCs/>
              </w:rPr>
              <w:t xml:space="preserve"> and Calm Sea</w:t>
            </w:r>
          </w:p>
        </w:tc>
      </w:tr>
      <w:tr w:rsidR="00B15295" w:rsidRPr="00D172AD" w14:paraId="4DCC8BC0" w14:textId="46AE30C2" w:rsidTr="00B15295">
        <w:trPr>
          <w:jc w:val="center"/>
        </w:trPr>
        <w:tc>
          <w:tcPr>
            <w:tcW w:w="1447" w:type="dxa"/>
          </w:tcPr>
          <w:p w14:paraId="5D7CEA24" w14:textId="77777777" w:rsidR="00B15295" w:rsidRPr="00D172AD" w:rsidRDefault="00B15295" w:rsidP="00D537BC">
            <w:pPr>
              <w:spacing w:line="259" w:lineRule="auto"/>
              <w:jc w:val="center"/>
              <w:rPr>
                <w:rFonts w:eastAsia="DengXian" w:cs="Arial"/>
              </w:rPr>
            </w:pPr>
          </w:p>
        </w:tc>
        <w:tc>
          <w:tcPr>
            <w:tcW w:w="884" w:type="dxa"/>
          </w:tcPr>
          <w:p w14:paraId="1C2F602A" w14:textId="278B3530" w:rsidR="00B15295" w:rsidRPr="004E34F8" w:rsidRDefault="00B15295" w:rsidP="00D537BC">
            <w:pPr>
              <w:spacing w:line="259" w:lineRule="auto"/>
              <w:jc w:val="center"/>
              <w:rPr>
                <w:rFonts w:eastAsia="DengXian" w:cs="Arial"/>
                <w:b/>
                <w:bCs/>
              </w:rPr>
            </w:pPr>
            <w:r w:rsidRPr="00D172AD">
              <w:rPr>
                <w:rFonts w:eastAsia="DengXian" w:cs="Arial" w:hint="eastAsia"/>
                <w:b/>
                <w:bCs/>
              </w:rPr>
              <w:t>2025</w:t>
            </w:r>
          </w:p>
        </w:tc>
        <w:tc>
          <w:tcPr>
            <w:tcW w:w="1042" w:type="dxa"/>
          </w:tcPr>
          <w:p w14:paraId="6088F31D" w14:textId="22844383" w:rsidR="00B15295" w:rsidRPr="004E34F8" w:rsidRDefault="00B15295" w:rsidP="00D537BC">
            <w:pPr>
              <w:spacing w:line="259" w:lineRule="auto"/>
              <w:jc w:val="center"/>
              <w:rPr>
                <w:rFonts w:eastAsia="DengXian" w:cs="Arial"/>
                <w:b/>
                <w:bCs/>
              </w:rPr>
            </w:pPr>
            <w:r w:rsidRPr="00D172AD">
              <w:rPr>
                <w:rFonts w:eastAsia="DengXian" w:cs="Arial" w:hint="eastAsia"/>
                <w:b/>
                <w:bCs/>
              </w:rPr>
              <w:t>2030</w:t>
            </w:r>
          </w:p>
        </w:tc>
        <w:tc>
          <w:tcPr>
            <w:tcW w:w="1041" w:type="dxa"/>
          </w:tcPr>
          <w:p w14:paraId="00E380CC" w14:textId="471EC099" w:rsidR="00B15295" w:rsidRPr="004E34F8" w:rsidRDefault="00B15295" w:rsidP="00D537BC">
            <w:pPr>
              <w:spacing w:line="259" w:lineRule="auto"/>
              <w:jc w:val="center"/>
              <w:rPr>
                <w:rFonts w:eastAsia="DengXian" w:cs="Arial"/>
                <w:b/>
                <w:bCs/>
              </w:rPr>
            </w:pPr>
            <w:r w:rsidRPr="00D172AD">
              <w:rPr>
                <w:rFonts w:eastAsia="DengXian" w:cs="Arial" w:hint="eastAsia"/>
                <w:b/>
                <w:bCs/>
              </w:rPr>
              <w:t>2035</w:t>
            </w:r>
          </w:p>
        </w:tc>
        <w:tc>
          <w:tcPr>
            <w:tcW w:w="1041" w:type="dxa"/>
          </w:tcPr>
          <w:p w14:paraId="32D0BCBF" w14:textId="01CF766B" w:rsidR="00B15295" w:rsidRPr="004E34F8" w:rsidRDefault="00B15295" w:rsidP="00D537BC">
            <w:pPr>
              <w:spacing w:line="259" w:lineRule="auto"/>
              <w:jc w:val="center"/>
              <w:rPr>
                <w:rFonts w:eastAsia="DengXian" w:cs="Arial"/>
                <w:b/>
                <w:bCs/>
              </w:rPr>
            </w:pPr>
            <w:r w:rsidRPr="00D172AD">
              <w:rPr>
                <w:rFonts w:eastAsia="DengXian" w:cs="Arial" w:hint="eastAsia"/>
                <w:b/>
                <w:bCs/>
              </w:rPr>
              <w:t>2040</w:t>
            </w:r>
          </w:p>
        </w:tc>
        <w:tc>
          <w:tcPr>
            <w:tcW w:w="1042" w:type="dxa"/>
          </w:tcPr>
          <w:p w14:paraId="0CE5AC6E" w14:textId="0EFE8944" w:rsidR="00B15295" w:rsidRPr="004E34F8" w:rsidRDefault="00B15295" w:rsidP="00D537BC">
            <w:pPr>
              <w:spacing w:line="259" w:lineRule="auto"/>
              <w:jc w:val="center"/>
              <w:rPr>
                <w:rFonts w:eastAsia="DengXian" w:cs="Arial"/>
                <w:b/>
                <w:bCs/>
              </w:rPr>
            </w:pPr>
            <w:r w:rsidRPr="00D172AD">
              <w:rPr>
                <w:rFonts w:eastAsia="DengXian" w:cs="Arial" w:hint="eastAsia"/>
                <w:b/>
                <w:bCs/>
              </w:rPr>
              <w:t>2050</w:t>
            </w:r>
          </w:p>
        </w:tc>
        <w:tc>
          <w:tcPr>
            <w:tcW w:w="1353" w:type="dxa"/>
          </w:tcPr>
          <w:p w14:paraId="6214AA0C" w14:textId="55E4B77E" w:rsidR="00B15295" w:rsidRPr="004E34F8" w:rsidRDefault="00B15295" w:rsidP="00D537BC">
            <w:pPr>
              <w:spacing w:line="259" w:lineRule="auto"/>
              <w:jc w:val="center"/>
              <w:rPr>
                <w:rFonts w:eastAsia="DengXian" w:cs="Arial"/>
                <w:b/>
                <w:bCs/>
              </w:rPr>
            </w:pPr>
            <w:r w:rsidRPr="00D172AD">
              <w:rPr>
                <w:rFonts w:eastAsia="DengXian" w:cs="Arial" w:hint="eastAsia"/>
                <w:b/>
                <w:bCs/>
              </w:rPr>
              <w:t>2060</w:t>
            </w:r>
          </w:p>
        </w:tc>
      </w:tr>
      <w:tr w:rsidR="00B15295" w:rsidRPr="00D172AD" w14:paraId="124E6C32" w14:textId="708C6154" w:rsidTr="00B15295">
        <w:trPr>
          <w:trHeight w:val="337"/>
          <w:jc w:val="center"/>
        </w:trPr>
        <w:tc>
          <w:tcPr>
            <w:tcW w:w="1447" w:type="dxa"/>
          </w:tcPr>
          <w:p w14:paraId="3539E0F6" w14:textId="5CA42196" w:rsidR="00B15295" w:rsidRPr="004E34F8" w:rsidRDefault="00B15295" w:rsidP="00D537BC">
            <w:pPr>
              <w:spacing w:line="259" w:lineRule="auto"/>
              <w:jc w:val="center"/>
              <w:rPr>
                <w:rFonts w:eastAsia="DengXian" w:cs="Arial"/>
                <w:b/>
                <w:bCs/>
              </w:rPr>
            </w:pPr>
            <w:r w:rsidRPr="00D172AD">
              <w:rPr>
                <w:rFonts w:eastAsia="DengXian" w:cs="Arial" w:hint="eastAsia"/>
                <w:b/>
                <w:bCs/>
              </w:rPr>
              <w:t>Coal-fired plant</w:t>
            </w:r>
          </w:p>
        </w:tc>
        <w:tc>
          <w:tcPr>
            <w:tcW w:w="884" w:type="dxa"/>
          </w:tcPr>
          <w:p w14:paraId="087802AE" w14:textId="0091D169" w:rsidR="00B15295" w:rsidRPr="00D172AD" w:rsidRDefault="00B15295" w:rsidP="00D537BC">
            <w:pPr>
              <w:spacing w:line="259" w:lineRule="auto"/>
              <w:jc w:val="center"/>
              <w:rPr>
                <w:rFonts w:eastAsia="DengXian" w:cs="Arial"/>
              </w:rPr>
            </w:pPr>
            <w:r w:rsidRPr="00D172AD">
              <w:rPr>
                <w:rFonts w:eastAsia="DengXian" w:cs="Arial" w:hint="eastAsia"/>
              </w:rPr>
              <w:t>6</w:t>
            </w:r>
          </w:p>
        </w:tc>
        <w:tc>
          <w:tcPr>
            <w:tcW w:w="1042" w:type="dxa"/>
          </w:tcPr>
          <w:p w14:paraId="7F0B815C" w14:textId="751B4CA8" w:rsidR="00B15295" w:rsidRPr="00D172AD" w:rsidRDefault="00B15295" w:rsidP="00D537BC">
            <w:pPr>
              <w:spacing w:line="259" w:lineRule="auto"/>
              <w:jc w:val="center"/>
              <w:rPr>
                <w:rFonts w:eastAsia="DengXian" w:cs="Arial"/>
              </w:rPr>
            </w:pPr>
            <w:r w:rsidRPr="00D172AD">
              <w:rPr>
                <w:rFonts w:eastAsia="DengXian" w:cs="Arial" w:hint="eastAsia"/>
              </w:rPr>
              <w:t>20</w:t>
            </w:r>
          </w:p>
        </w:tc>
        <w:tc>
          <w:tcPr>
            <w:tcW w:w="1041" w:type="dxa"/>
          </w:tcPr>
          <w:p w14:paraId="776E9071" w14:textId="595C9F8D" w:rsidR="00B15295" w:rsidRPr="00D172AD" w:rsidRDefault="00B15295" w:rsidP="00D537BC">
            <w:pPr>
              <w:spacing w:line="259" w:lineRule="auto"/>
              <w:jc w:val="center"/>
              <w:rPr>
                <w:rFonts w:eastAsia="DengXian" w:cs="Arial"/>
              </w:rPr>
            </w:pPr>
            <w:r w:rsidRPr="00D172AD">
              <w:rPr>
                <w:rFonts w:eastAsia="DengXian" w:cs="Arial" w:hint="eastAsia"/>
              </w:rPr>
              <w:t>100</w:t>
            </w:r>
          </w:p>
        </w:tc>
        <w:tc>
          <w:tcPr>
            <w:tcW w:w="1041" w:type="dxa"/>
          </w:tcPr>
          <w:p w14:paraId="67A84026" w14:textId="3B82765B" w:rsidR="00B15295" w:rsidRPr="00D172AD" w:rsidRDefault="00B15295" w:rsidP="00D537BC">
            <w:pPr>
              <w:spacing w:line="259" w:lineRule="auto"/>
              <w:jc w:val="center"/>
              <w:rPr>
                <w:rFonts w:eastAsia="DengXian" w:cs="Arial"/>
              </w:rPr>
            </w:pPr>
            <w:r>
              <w:rPr>
                <w:rFonts w:eastAsia="DengXian" w:cs="Arial" w:hint="eastAsia"/>
              </w:rPr>
              <w:t>350</w:t>
            </w:r>
          </w:p>
        </w:tc>
        <w:tc>
          <w:tcPr>
            <w:tcW w:w="1042" w:type="dxa"/>
          </w:tcPr>
          <w:p w14:paraId="3CB1F0CF" w14:textId="42B98987" w:rsidR="00B15295" w:rsidRPr="00D172AD" w:rsidRDefault="00B15295" w:rsidP="00D537BC">
            <w:pPr>
              <w:spacing w:line="259" w:lineRule="auto"/>
              <w:jc w:val="center"/>
              <w:rPr>
                <w:rFonts w:eastAsia="DengXian" w:cs="Arial"/>
              </w:rPr>
            </w:pPr>
            <w:r>
              <w:rPr>
                <w:rFonts w:eastAsia="DengXian" w:cs="Arial" w:hint="eastAsia"/>
              </w:rPr>
              <w:t>350</w:t>
            </w:r>
          </w:p>
        </w:tc>
        <w:tc>
          <w:tcPr>
            <w:tcW w:w="1353" w:type="dxa"/>
          </w:tcPr>
          <w:p w14:paraId="11700A79" w14:textId="7EE9989D" w:rsidR="00B15295" w:rsidRPr="00D172AD" w:rsidRDefault="00B15295" w:rsidP="00D537BC">
            <w:pPr>
              <w:spacing w:line="259" w:lineRule="auto"/>
              <w:jc w:val="center"/>
              <w:rPr>
                <w:rFonts w:eastAsia="DengXian" w:cs="Arial"/>
              </w:rPr>
            </w:pPr>
            <w:r>
              <w:rPr>
                <w:rFonts w:eastAsia="DengXian" w:cs="Arial" w:hint="eastAsia"/>
              </w:rPr>
              <w:t>350</w:t>
            </w:r>
          </w:p>
        </w:tc>
      </w:tr>
      <w:tr w:rsidR="00B15295" w:rsidRPr="00D172AD" w14:paraId="6C18A72C" w14:textId="7DACBF16" w:rsidTr="00B15295">
        <w:trPr>
          <w:jc w:val="center"/>
        </w:trPr>
        <w:tc>
          <w:tcPr>
            <w:tcW w:w="1447" w:type="dxa"/>
          </w:tcPr>
          <w:p w14:paraId="2AEB192C" w14:textId="1FA96C4F" w:rsidR="00B15295" w:rsidRPr="004E34F8" w:rsidRDefault="00B15295" w:rsidP="00D537BC">
            <w:pPr>
              <w:spacing w:line="259" w:lineRule="auto"/>
              <w:jc w:val="center"/>
              <w:rPr>
                <w:rFonts w:eastAsia="DengXian" w:cs="Arial"/>
                <w:b/>
                <w:bCs/>
              </w:rPr>
            </w:pPr>
            <w:r w:rsidRPr="00D172AD">
              <w:rPr>
                <w:rFonts w:eastAsia="DengXian" w:cs="Arial"/>
                <w:b/>
                <w:bCs/>
              </w:rPr>
              <w:t>G</w:t>
            </w:r>
            <w:r w:rsidRPr="00D172AD">
              <w:rPr>
                <w:rFonts w:eastAsia="DengXian" w:cs="Arial" w:hint="eastAsia"/>
                <w:b/>
                <w:bCs/>
              </w:rPr>
              <w:t>as power plant</w:t>
            </w:r>
          </w:p>
        </w:tc>
        <w:tc>
          <w:tcPr>
            <w:tcW w:w="884" w:type="dxa"/>
          </w:tcPr>
          <w:p w14:paraId="183188ED" w14:textId="21069CDA"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2" w:type="dxa"/>
          </w:tcPr>
          <w:p w14:paraId="3F5E9AB4" w14:textId="15BC19CF" w:rsidR="00B15295" w:rsidRPr="00D172AD" w:rsidRDefault="00B15295" w:rsidP="00D537BC">
            <w:pPr>
              <w:spacing w:line="259" w:lineRule="auto"/>
              <w:jc w:val="center"/>
              <w:rPr>
                <w:rFonts w:eastAsia="DengXian" w:cs="Arial"/>
              </w:rPr>
            </w:pPr>
            <w:r w:rsidRPr="00D172AD">
              <w:rPr>
                <w:rFonts w:eastAsia="DengXian" w:cs="Arial" w:hint="eastAsia"/>
              </w:rPr>
              <w:t>5</w:t>
            </w:r>
          </w:p>
        </w:tc>
        <w:tc>
          <w:tcPr>
            <w:tcW w:w="1041" w:type="dxa"/>
          </w:tcPr>
          <w:p w14:paraId="2B61C47B" w14:textId="1C24F058" w:rsidR="00B15295" w:rsidRPr="00D172AD" w:rsidRDefault="00B15295" w:rsidP="00D537BC">
            <w:pPr>
              <w:spacing w:line="259" w:lineRule="auto"/>
              <w:jc w:val="center"/>
              <w:rPr>
                <w:rFonts w:eastAsia="DengXian" w:cs="Arial"/>
              </w:rPr>
            </w:pPr>
            <w:r>
              <w:rPr>
                <w:rFonts w:eastAsia="DengXian" w:cs="Arial" w:hint="eastAsia"/>
              </w:rPr>
              <w:t>60</w:t>
            </w:r>
          </w:p>
        </w:tc>
        <w:tc>
          <w:tcPr>
            <w:tcW w:w="1041" w:type="dxa"/>
          </w:tcPr>
          <w:p w14:paraId="60BB7B66" w14:textId="42952F69" w:rsidR="00B15295" w:rsidRPr="00D172AD" w:rsidRDefault="00B15295" w:rsidP="00D537BC">
            <w:pPr>
              <w:spacing w:line="259" w:lineRule="auto"/>
              <w:jc w:val="center"/>
              <w:rPr>
                <w:rFonts w:eastAsia="DengXian" w:cs="Arial"/>
              </w:rPr>
            </w:pPr>
            <w:r>
              <w:rPr>
                <w:rFonts w:eastAsia="DengXian" w:cs="Arial" w:hint="eastAsia"/>
              </w:rPr>
              <w:t>60</w:t>
            </w:r>
          </w:p>
        </w:tc>
        <w:tc>
          <w:tcPr>
            <w:tcW w:w="1042" w:type="dxa"/>
          </w:tcPr>
          <w:p w14:paraId="1379D44B" w14:textId="207B172F" w:rsidR="00B15295" w:rsidRPr="00D172AD" w:rsidRDefault="00B15295" w:rsidP="00D537BC">
            <w:pPr>
              <w:spacing w:line="259" w:lineRule="auto"/>
              <w:jc w:val="center"/>
              <w:rPr>
                <w:rFonts w:eastAsia="DengXian" w:cs="Arial"/>
              </w:rPr>
            </w:pPr>
            <w:r>
              <w:rPr>
                <w:rFonts w:eastAsia="DengXian" w:cs="Arial" w:hint="eastAsia"/>
              </w:rPr>
              <w:t>60</w:t>
            </w:r>
          </w:p>
        </w:tc>
        <w:tc>
          <w:tcPr>
            <w:tcW w:w="1353" w:type="dxa"/>
          </w:tcPr>
          <w:p w14:paraId="43D20BBA" w14:textId="12918FF2" w:rsidR="00B15295" w:rsidRPr="00D172AD" w:rsidRDefault="00B15295" w:rsidP="00D537BC">
            <w:pPr>
              <w:spacing w:line="259" w:lineRule="auto"/>
              <w:jc w:val="center"/>
              <w:rPr>
                <w:rFonts w:eastAsia="DengXian" w:cs="Arial"/>
              </w:rPr>
            </w:pPr>
            <w:r>
              <w:rPr>
                <w:rFonts w:eastAsia="DengXian" w:cs="Arial" w:hint="eastAsia"/>
              </w:rPr>
              <w:t>60</w:t>
            </w:r>
          </w:p>
        </w:tc>
      </w:tr>
      <w:tr w:rsidR="00B15295" w:rsidRPr="00D172AD" w14:paraId="11346960" w14:textId="2CB6E757" w:rsidTr="00B15295">
        <w:trPr>
          <w:jc w:val="center"/>
        </w:trPr>
        <w:tc>
          <w:tcPr>
            <w:tcW w:w="1447" w:type="dxa"/>
          </w:tcPr>
          <w:p w14:paraId="068E1904" w14:textId="10275B3C" w:rsidR="00B15295" w:rsidRPr="004E34F8" w:rsidRDefault="00B15295" w:rsidP="00D537BC">
            <w:pPr>
              <w:spacing w:line="259" w:lineRule="auto"/>
              <w:jc w:val="center"/>
              <w:rPr>
                <w:rFonts w:eastAsia="DengXian" w:cs="Arial"/>
                <w:b/>
                <w:bCs/>
              </w:rPr>
            </w:pPr>
            <w:r w:rsidRPr="00D172AD">
              <w:rPr>
                <w:rFonts w:eastAsia="DengXian" w:cs="Arial" w:hint="eastAsia"/>
                <w:b/>
                <w:bCs/>
              </w:rPr>
              <w:t>Steel and iron</w:t>
            </w:r>
          </w:p>
        </w:tc>
        <w:tc>
          <w:tcPr>
            <w:tcW w:w="884" w:type="dxa"/>
          </w:tcPr>
          <w:p w14:paraId="14625E56" w14:textId="50E3C272"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2" w:type="dxa"/>
          </w:tcPr>
          <w:p w14:paraId="1CC9BF58" w14:textId="7AF47C81" w:rsidR="00B15295" w:rsidRPr="00D172AD" w:rsidRDefault="00B15295" w:rsidP="00D537BC">
            <w:pPr>
              <w:spacing w:line="259" w:lineRule="auto"/>
              <w:jc w:val="center"/>
              <w:rPr>
                <w:rFonts w:eastAsia="DengXian" w:cs="Arial"/>
              </w:rPr>
            </w:pPr>
            <w:r>
              <w:rPr>
                <w:rFonts w:eastAsia="DengXian" w:cs="Arial" w:hint="eastAsia"/>
              </w:rPr>
              <w:t>3.5</w:t>
            </w:r>
          </w:p>
        </w:tc>
        <w:tc>
          <w:tcPr>
            <w:tcW w:w="1041" w:type="dxa"/>
          </w:tcPr>
          <w:p w14:paraId="02BE4BFE" w14:textId="6C5BF8E8" w:rsidR="00B15295" w:rsidRPr="00D172AD" w:rsidRDefault="00B15295" w:rsidP="00D537BC">
            <w:pPr>
              <w:spacing w:line="259" w:lineRule="auto"/>
              <w:jc w:val="center"/>
              <w:rPr>
                <w:rFonts w:eastAsia="DengXian" w:cs="Arial"/>
              </w:rPr>
            </w:pPr>
            <w:r>
              <w:rPr>
                <w:rFonts w:eastAsia="DengXian" w:cs="Arial" w:hint="eastAsia"/>
              </w:rPr>
              <w:t>15</w:t>
            </w:r>
          </w:p>
        </w:tc>
        <w:tc>
          <w:tcPr>
            <w:tcW w:w="1041" w:type="dxa"/>
          </w:tcPr>
          <w:p w14:paraId="59760B84" w14:textId="4CCE6CE8" w:rsidR="00B15295" w:rsidRPr="00D172AD" w:rsidRDefault="00B15295" w:rsidP="00D537BC">
            <w:pPr>
              <w:spacing w:line="259" w:lineRule="auto"/>
              <w:jc w:val="center"/>
              <w:rPr>
                <w:rFonts w:eastAsia="DengXian" w:cs="Arial"/>
              </w:rPr>
            </w:pPr>
            <w:r>
              <w:rPr>
                <w:rFonts w:eastAsia="DengXian" w:cs="Arial" w:hint="eastAsia"/>
              </w:rPr>
              <w:t>25</w:t>
            </w:r>
          </w:p>
        </w:tc>
        <w:tc>
          <w:tcPr>
            <w:tcW w:w="1042" w:type="dxa"/>
          </w:tcPr>
          <w:p w14:paraId="20A4A24C" w14:textId="7CD47B74" w:rsidR="00B15295" w:rsidRPr="00D172AD" w:rsidRDefault="00B15295" w:rsidP="00D537BC">
            <w:pPr>
              <w:spacing w:line="259" w:lineRule="auto"/>
              <w:jc w:val="center"/>
              <w:rPr>
                <w:rFonts w:eastAsia="DengXian" w:cs="Arial"/>
              </w:rPr>
            </w:pPr>
            <w:r>
              <w:rPr>
                <w:rFonts w:eastAsia="DengXian" w:cs="Arial" w:hint="eastAsia"/>
              </w:rPr>
              <w:t>60</w:t>
            </w:r>
          </w:p>
        </w:tc>
        <w:tc>
          <w:tcPr>
            <w:tcW w:w="1353" w:type="dxa"/>
          </w:tcPr>
          <w:p w14:paraId="66F2F1D5" w14:textId="54FF6E59" w:rsidR="00B15295" w:rsidRPr="00D172AD" w:rsidRDefault="00B15295" w:rsidP="00D537BC">
            <w:pPr>
              <w:spacing w:line="259" w:lineRule="auto"/>
              <w:jc w:val="center"/>
              <w:rPr>
                <w:rFonts w:eastAsia="DengXian" w:cs="Arial"/>
              </w:rPr>
            </w:pPr>
            <w:r>
              <w:rPr>
                <w:rFonts w:eastAsia="DengXian" w:cs="Arial" w:hint="eastAsia"/>
              </w:rPr>
              <w:t>100</w:t>
            </w:r>
          </w:p>
        </w:tc>
      </w:tr>
      <w:tr w:rsidR="00B15295" w:rsidRPr="00D172AD" w14:paraId="11365CDD" w14:textId="47DC739B" w:rsidTr="00B15295">
        <w:trPr>
          <w:jc w:val="center"/>
        </w:trPr>
        <w:tc>
          <w:tcPr>
            <w:tcW w:w="1447" w:type="dxa"/>
          </w:tcPr>
          <w:p w14:paraId="6B23C6B1" w14:textId="3C017390" w:rsidR="00B15295" w:rsidRPr="004E34F8" w:rsidRDefault="00B15295" w:rsidP="00D537BC">
            <w:pPr>
              <w:spacing w:line="259" w:lineRule="auto"/>
              <w:jc w:val="center"/>
              <w:rPr>
                <w:rFonts w:eastAsia="DengXian" w:cs="Arial"/>
                <w:b/>
                <w:bCs/>
              </w:rPr>
            </w:pPr>
            <w:r w:rsidRPr="00D172AD">
              <w:rPr>
                <w:rFonts w:eastAsia="DengXian" w:cs="Arial" w:hint="eastAsia"/>
                <w:b/>
                <w:bCs/>
              </w:rPr>
              <w:t>BECCS</w:t>
            </w:r>
          </w:p>
        </w:tc>
        <w:tc>
          <w:tcPr>
            <w:tcW w:w="884" w:type="dxa"/>
          </w:tcPr>
          <w:p w14:paraId="568A6584" w14:textId="1EBB23EC" w:rsidR="00B15295" w:rsidRPr="00D172AD" w:rsidRDefault="00B15295" w:rsidP="00D537BC">
            <w:pPr>
              <w:spacing w:line="259" w:lineRule="auto"/>
              <w:jc w:val="center"/>
              <w:rPr>
                <w:rFonts w:eastAsia="DengXian" w:cs="Arial"/>
              </w:rPr>
            </w:pPr>
            <w:r w:rsidRPr="00D172AD">
              <w:rPr>
                <w:rFonts w:eastAsia="DengXian" w:cs="Arial" w:hint="eastAsia"/>
              </w:rPr>
              <w:t>0.5</w:t>
            </w:r>
          </w:p>
        </w:tc>
        <w:tc>
          <w:tcPr>
            <w:tcW w:w="1042" w:type="dxa"/>
          </w:tcPr>
          <w:p w14:paraId="1665647A" w14:textId="0C5DC897"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1" w:type="dxa"/>
          </w:tcPr>
          <w:p w14:paraId="4ACC68E6" w14:textId="04E4F0A5" w:rsidR="00B15295" w:rsidRPr="00D172AD" w:rsidRDefault="00B15295" w:rsidP="00D537BC">
            <w:pPr>
              <w:spacing w:line="259" w:lineRule="auto"/>
              <w:jc w:val="center"/>
              <w:rPr>
                <w:rFonts w:eastAsia="DengXian" w:cs="Arial"/>
              </w:rPr>
            </w:pPr>
            <w:r w:rsidRPr="00D172AD">
              <w:rPr>
                <w:rFonts w:eastAsia="DengXian" w:cs="Arial" w:hint="eastAsia"/>
              </w:rPr>
              <w:t>18</w:t>
            </w:r>
          </w:p>
        </w:tc>
        <w:tc>
          <w:tcPr>
            <w:tcW w:w="1041" w:type="dxa"/>
          </w:tcPr>
          <w:p w14:paraId="1EE10B76" w14:textId="3C057F6F" w:rsidR="00B15295" w:rsidRPr="00D172AD" w:rsidRDefault="00B15295" w:rsidP="00D537BC">
            <w:pPr>
              <w:spacing w:line="259" w:lineRule="auto"/>
              <w:jc w:val="center"/>
              <w:rPr>
                <w:rFonts w:eastAsia="DengXian" w:cs="Arial"/>
              </w:rPr>
            </w:pPr>
            <w:r>
              <w:rPr>
                <w:rFonts w:eastAsia="DengXian" w:cs="Arial" w:hint="eastAsia"/>
              </w:rPr>
              <w:t>90</w:t>
            </w:r>
          </w:p>
        </w:tc>
        <w:tc>
          <w:tcPr>
            <w:tcW w:w="1042" w:type="dxa"/>
          </w:tcPr>
          <w:p w14:paraId="3A81616B" w14:textId="3DC8BC6D" w:rsidR="00B15295" w:rsidRPr="00D172AD" w:rsidRDefault="00B15295" w:rsidP="00D537BC">
            <w:pPr>
              <w:spacing w:line="259" w:lineRule="auto"/>
              <w:jc w:val="center"/>
              <w:rPr>
                <w:rFonts w:eastAsia="DengXian" w:cs="Arial"/>
              </w:rPr>
            </w:pPr>
            <w:r>
              <w:rPr>
                <w:rFonts w:eastAsia="DengXian" w:cs="Arial" w:hint="eastAsia"/>
              </w:rPr>
              <w:t>350</w:t>
            </w:r>
          </w:p>
        </w:tc>
        <w:tc>
          <w:tcPr>
            <w:tcW w:w="1353" w:type="dxa"/>
          </w:tcPr>
          <w:p w14:paraId="10831E84" w14:textId="6E16F861" w:rsidR="00B15295" w:rsidRPr="00D172AD" w:rsidRDefault="00B15295" w:rsidP="00D537BC">
            <w:pPr>
              <w:spacing w:line="259" w:lineRule="auto"/>
              <w:jc w:val="center"/>
              <w:rPr>
                <w:rFonts w:eastAsia="DengXian" w:cs="Arial"/>
              </w:rPr>
            </w:pPr>
            <w:r>
              <w:rPr>
                <w:rFonts w:eastAsia="DengXian" w:cs="Arial" w:hint="eastAsia"/>
              </w:rPr>
              <w:t>450</w:t>
            </w:r>
          </w:p>
        </w:tc>
      </w:tr>
      <w:tr w:rsidR="00B15295" w:rsidRPr="00D172AD" w14:paraId="5640DC8D" w14:textId="4365BD0A" w:rsidTr="00B15295">
        <w:trPr>
          <w:jc w:val="center"/>
        </w:trPr>
        <w:tc>
          <w:tcPr>
            <w:tcW w:w="1447" w:type="dxa"/>
          </w:tcPr>
          <w:p w14:paraId="71F67313" w14:textId="63E94587" w:rsidR="00B15295" w:rsidRPr="004E34F8" w:rsidRDefault="00B15295" w:rsidP="00D537BC">
            <w:pPr>
              <w:spacing w:line="259" w:lineRule="auto"/>
              <w:jc w:val="center"/>
              <w:rPr>
                <w:rFonts w:eastAsia="DengXian" w:cs="Arial"/>
                <w:b/>
                <w:bCs/>
              </w:rPr>
            </w:pPr>
            <w:r w:rsidRPr="00D172AD">
              <w:rPr>
                <w:rFonts w:eastAsia="DengXian" w:cs="Arial" w:hint="eastAsia"/>
                <w:b/>
                <w:bCs/>
              </w:rPr>
              <w:t>DACCS</w:t>
            </w:r>
          </w:p>
        </w:tc>
        <w:tc>
          <w:tcPr>
            <w:tcW w:w="884" w:type="dxa"/>
          </w:tcPr>
          <w:p w14:paraId="16A99F82" w14:textId="071D364C" w:rsidR="00B15295" w:rsidRPr="00D172AD" w:rsidRDefault="00B15295" w:rsidP="00D537BC">
            <w:pPr>
              <w:spacing w:line="259" w:lineRule="auto"/>
              <w:jc w:val="center"/>
              <w:rPr>
                <w:rFonts w:eastAsia="DengXian" w:cs="Arial"/>
              </w:rPr>
            </w:pPr>
            <w:r w:rsidRPr="00D172AD">
              <w:rPr>
                <w:rFonts w:eastAsia="DengXian" w:cs="Arial" w:hint="eastAsia"/>
              </w:rPr>
              <w:t>0</w:t>
            </w:r>
          </w:p>
        </w:tc>
        <w:tc>
          <w:tcPr>
            <w:tcW w:w="1042" w:type="dxa"/>
          </w:tcPr>
          <w:p w14:paraId="0458FE98" w14:textId="06B8A474" w:rsidR="00B15295" w:rsidRPr="00D172AD" w:rsidRDefault="00B15295" w:rsidP="00D537BC">
            <w:pPr>
              <w:spacing w:line="259" w:lineRule="auto"/>
              <w:jc w:val="center"/>
              <w:rPr>
                <w:rFonts w:eastAsia="DengXian" w:cs="Arial"/>
              </w:rPr>
            </w:pPr>
            <w:r w:rsidRPr="00D172AD">
              <w:rPr>
                <w:rFonts w:eastAsia="DengXian" w:cs="Arial" w:hint="eastAsia"/>
              </w:rPr>
              <w:t>0</w:t>
            </w:r>
          </w:p>
        </w:tc>
        <w:tc>
          <w:tcPr>
            <w:tcW w:w="1041" w:type="dxa"/>
          </w:tcPr>
          <w:p w14:paraId="652BC1D1" w14:textId="7489BB5F" w:rsidR="00B15295" w:rsidRPr="00D172AD" w:rsidRDefault="00B15295" w:rsidP="00D537BC">
            <w:pPr>
              <w:spacing w:line="259" w:lineRule="auto"/>
              <w:jc w:val="center"/>
              <w:rPr>
                <w:rFonts w:eastAsia="DengXian" w:cs="Arial"/>
              </w:rPr>
            </w:pPr>
            <w:r w:rsidRPr="00D172AD">
              <w:rPr>
                <w:rFonts w:eastAsia="DengXian" w:cs="Arial" w:hint="eastAsia"/>
              </w:rPr>
              <w:t>1</w:t>
            </w:r>
          </w:p>
        </w:tc>
        <w:tc>
          <w:tcPr>
            <w:tcW w:w="1041" w:type="dxa"/>
          </w:tcPr>
          <w:p w14:paraId="5AB75C65" w14:textId="62E6256B" w:rsidR="00B15295" w:rsidRPr="00D172AD" w:rsidRDefault="00B15295" w:rsidP="00D537BC">
            <w:pPr>
              <w:spacing w:line="259" w:lineRule="auto"/>
              <w:jc w:val="center"/>
              <w:rPr>
                <w:rFonts w:eastAsia="DengXian" w:cs="Arial"/>
              </w:rPr>
            </w:pPr>
            <w:r w:rsidRPr="00D172AD">
              <w:rPr>
                <w:rFonts w:eastAsia="DengXian" w:cs="Arial" w:hint="eastAsia"/>
              </w:rPr>
              <w:t>15</w:t>
            </w:r>
          </w:p>
        </w:tc>
        <w:tc>
          <w:tcPr>
            <w:tcW w:w="1042" w:type="dxa"/>
          </w:tcPr>
          <w:p w14:paraId="476076FE" w14:textId="4DAC11B4" w:rsidR="00B15295" w:rsidRPr="00D172AD" w:rsidRDefault="00B15295" w:rsidP="00D537BC">
            <w:pPr>
              <w:spacing w:line="259" w:lineRule="auto"/>
              <w:jc w:val="center"/>
              <w:rPr>
                <w:rFonts w:eastAsia="DengXian" w:cs="Arial"/>
              </w:rPr>
            </w:pPr>
            <w:r>
              <w:rPr>
                <w:rFonts w:eastAsia="DengXian" w:cs="Arial" w:hint="eastAsia"/>
              </w:rPr>
              <w:t>75</w:t>
            </w:r>
          </w:p>
        </w:tc>
        <w:tc>
          <w:tcPr>
            <w:tcW w:w="1353" w:type="dxa"/>
          </w:tcPr>
          <w:p w14:paraId="5AC1C21E" w14:textId="30310D65" w:rsidR="00B15295" w:rsidRPr="00D172AD" w:rsidRDefault="00B15295" w:rsidP="00D537BC">
            <w:pPr>
              <w:spacing w:line="259" w:lineRule="auto"/>
              <w:jc w:val="center"/>
              <w:rPr>
                <w:rFonts w:eastAsia="DengXian" w:cs="Arial"/>
              </w:rPr>
            </w:pPr>
            <w:r w:rsidRPr="00D172AD">
              <w:rPr>
                <w:rFonts w:eastAsia="DengXian" w:cs="Arial" w:hint="eastAsia"/>
              </w:rPr>
              <w:t>2</w:t>
            </w:r>
            <w:r>
              <w:rPr>
                <w:rFonts w:eastAsia="DengXian" w:cs="Arial" w:hint="eastAsia"/>
              </w:rPr>
              <w:t>50</w:t>
            </w:r>
          </w:p>
        </w:tc>
      </w:tr>
      <w:tr w:rsidR="00B15295" w:rsidRPr="00D172AD" w14:paraId="1D87631E" w14:textId="4C0D93FB" w:rsidTr="00B15295">
        <w:trPr>
          <w:jc w:val="center"/>
        </w:trPr>
        <w:tc>
          <w:tcPr>
            <w:tcW w:w="7850" w:type="dxa"/>
            <w:gridSpan w:val="7"/>
            <w:shd w:val="clear" w:color="auto" w:fill="D9D9D9" w:themeFill="background1" w:themeFillShade="D9"/>
          </w:tcPr>
          <w:p w14:paraId="750009DD" w14:textId="2738EA70" w:rsidR="00B15295" w:rsidRPr="004E34F8" w:rsidRDefault="00B15295" w:rsidP="00D537BC">
            <w:pPr>
              <w:spacing w:line="259" w:lineRule="auto"/>
              <w:jc w:val="center"/>
              <w:rPr>
                <w:rFonts w:eastAsia="DengXian" w:cs="Arial"/>
                <w:b/>
                <w:bCs/>
              </w:rPr>
            </w:pPr>
            <w:r w:rsidRPr="004E34F8">
              <w:rPr>
                <w:rFonts w:eastAsia="DengXian" w:cs="Arial" w:hint="eastAsia"/>
                <w:b/>
                <w:bCs/>
              </w:rPr>
              <w:t>Low estimation ----Calm Sea</w:t>
            </w:r>
          </w:p>
        </w:tc>
      </w:tr>
      <w:tr w:rsidR="00B15295" w:rsidRPr="00D172AD" w14:paraId="101ACF15" w14:textId="1CD3215A" w:rsidTr="00B15295">
        <w:trPr>
          <w:jc w:val="center"/>
        </w:trPr>
        <w:tc>
          <w:tcPr>
            <w:tcW w:w="1447" w:type="dxa"/>
          </w:tcPr>
          <w:p w14:paraId="2322D64B" w14:textId="77777777" w:rsidR="00B15295" w:rsidRPr="00D172AD" w:rsidRDefault="00B15295" w:rsidP="00D537BC">
            <w:pPr>
              <w:spacing w:line="259" w:lineRule="auto"/>
              <w:jc w:val="center"/>
              <w:rPr>
                <w:rFonts w:eastAsia="DengXian" w:cs="Arial"/>
              </w:rPr>
            </w:pPr>
          </w:p>
        </w:tc>
        <w:tc>
          <w:tcPr>
            <w:tcW w:w="884" w:type="dxa"/>
          </w:tcPr>
          <w:p w14:paraId="0A83C188" w14:textId="724456FD" w:rsidR="00B15295" w:rsidRPr="004E34F8" w:rsidRDefault="00B15295" w:rsidP="00D537BC">
            <w:pPr>
              <w:spacing w:line="259" w:lineRule="auto"/>
              <w:jc w:val="center"/>
              <w:rPr>
                <w:rFonts w:eastAsia="DengXian" w:cs="Arial"/>
                <w:b/>
                <w:bCs/>
              </w:rPr>
            </w:pPr>
            <w:r w:rsidRPr="00D172AD">
              <w:rPr>
                <w:rFonts w:eastAsia="DengXian" w:cs="Arial" w:hint="eastAsia"/>
                <w:b/>
                <w:bCs/>
              </w:rPr>
              <w:t>2025</w:t>
            </w:r>
          </w:p>
        </w:tc>
        <w:tc>
          <w:tcPr>
            <w:tcW w:w="1042" w:type="dxa"/>
          </w:tcPr>
          <w:p w14:paraId="7BA4406A" w14:textId="42CA13BB" w:rsidR="00B15295" w:rsidRPr="004E34F8" w:rsidRDefault="00B15295" w:rsidP="00D537BC">
            <w:pPr>
              <w:spacing w:line="259" w:lineRule="auto"/>
              <w:jc w:val="center"/>
              <w:rPr>
                <w:rFonts w:eastAsia="DengXian" w:cs="Arial"/>
                <w:b/>
                <w:bCs/>
              </w:rPr>
            </w:pPr>
            <w:r w:rsidRPr="00D172AD">
              <w:rPr>
                <w:rFonts w:eastAsia="DengXian" w:cs="Arial" w:hint="eastAsia"/>
                <w:b/>
                <w:bCs/>
              </w:rPr>
              <w:t>2030</w:t>
            </w:r>
          </w:p>
        </w:tc>
        <w:tc>
          <w:tcPr>
            <w:tcW w:w="1041" w:type="dxa"/>
          </w:tcPr>
          <w:p w14:paraId="674823AF" w14:textId="5D63D575" w:rsidR="00B15295" w:rsidRPr="004E34F8" w:rsidRDefault="00B15295" w:rsidP="00D537BC">
            <w:pPr>
              <w:spacing w:line="259" w:lineRule="auto"/>
              <w:jc w:val="center"/>
              <w:rPr>
                <w:rFonts w:eastAsia="DengXian" w:cs="Arial"/>
                <w:b/>
                <w:bCs/>
              </w:rPr>
            </w:pPr>
            <w:r w:rsidRPr="00D172AD">
              <w:rPr>
                <w:rFonts w:eastAsia="DengXian" w:cs="Arial" w:hint="eastAsia"/>
                <w:b/>
                <w:bCs/>
              </w:rPr>
              <w:t>2035</w:t>
            </w:r>
          </w:p>
        </w:tc>
        <w:tc>
          <w:tcPr>
            <w:tcW w:w="1041" w:type="dxa"/>
          </w:tcPr>
          <w:p w14:paraId="558DD01B" w14:textId="5A00D241" w:rsidR="00B15295" w:rsidRPr="004E34F8" w:rsidRDefault="00B15295" w:rsidP="00D537BC">
            <w:pPr>
              <w:spacing w:line="259" w:lineRule="auto"/>
              <w:jc w:val="center"/>
              <w:rPr>
                <w:rFonts w:eastAsia="DengXian" w:cs="Arial"/>
                <w:b/>
                <w:bCs/>
              </w:rPr>
            </w:pPr>
            <w:r w:rsidRPr="00D172AD">
              <w:rPr>
                <w:rFonts w:eastAsia="DengXian" w:cs="Arial" w:hint="eastAsia"/>
                <w:b/>
                <w:bCs/>
              </w:rPr>
              <w:t>2040</w:t>
            </w:r>
          </w:p>
        </w:tc>
        <w:tc>
          <w:tcPr>
            <w:tcW w:w="1042" w:type="dxa"/>
          </w:tcPr>
          <w:p w14:paraId="3C758C5A" w14:textId="6C8EDEE7" w:rsidR="00B15295" w:rsidRPr="004E34F8" w:rsidRDefault="00B15295" w:rsidP="00D537BC">
            <w:pPr>
              <w:spacing w:line="259" w:lineRule="auto"/>
              <w:jc w:val="center"/>
              <w:rPr>
                <w:rFonts w:eastAsia="DengXian" w:cs="Arial"/>
                <w:b/>
                <w:bCs/>
              </w:rPr>
            </w:pPr>
            <w:r w:rsidRPr="00D172AD">
              <w:rPr>
                <w:rFonts w:eastAsia="DengXian" w:cs="Arial" w:hint="eastAsia"/>
                <w:b/>
                <w:bCs/>
              </w:rPr>
              <w:t>2050</w:t>
            </w:r>
          </w:p>
        </w:tc>
        <w:tc>
          <w:tcPr>
            <w:tcW w:w="1353" w:type="dxa"/>
          </w:tcPr>
          <w:p w14:paraId="04962BCB" w14:textId="400A3536" w:rsidR="00B15295" w:rsidRPr="004E34F8" w:rsidRDefault="00B15295" w:rsidP="00D537BC">
            <w:pPr>
              <w:spacing w:line="259" w:lineRule="auto"/>
              <w:jc w:val="center"/>
              <w:rPr>
                <w:rFonts w:eastAsia="DengXian" w:cs="Arial"/>
                <w:b/>
                <w:bCs/>
              </w:rPr>
            </w:pPr>
            <w:r w:rsidRPr="00D172AD">
              <w:rPr>
                <w:rFonts w:eastAsia="DengXian" w:cs="Arial" w:hint="eastAsia"/>
                <w:b/>
                <w:bCs/>
              </w:rPr>
              <w:t>2060</w:t>
            </w:r>
          </w:p>
        </w:tc>
      </w:tr>
      <w:tr w:rsidR="00B15295" w:rsidRPr="00D172AD" w14:paraId="4888BCBB" w14:textId="41ED9DFA" w:rsidTr="00B15295">
        <w:trPr>
          <w:jc w:val="center"/>
        </w:trPr>
        <w:tc>
          <w:tcPr>
            <w:tcW w:w="1447" w:type="dxa"/>
            <w:tcBorders>
              <w:bottom w:val="single" w:sz="4" w:space="0" w:color="auto"/>
            </w:tcBorders>
          </w:tcPr>
          <w:p w14:paraId="7992B64E" w14:textId="41ACCCFE" w:rsidR="00B15295" w:rsidRPr="004E34F8" w:rsidRDefault="00B15295" w:rsidP="00D537BC">
            <w:pPr>
              <w:spacing w:line="259" w:lineRule="auto"/>
              <w:jc w:val="center"/>
              <w:rPr>
                <w:rFonts w:eastAsia="DengXian" w:cs="Arial"/>
                <w:b/>
                <w:bCs/>
              </w:rPr>
            </w:pPr>
            <w:r w:rsidRPr="00D172AD">
              <w:rPr>
                <w:rFonts w:eastAsia="DengXian" w:cs="Arial" w:hint="eastAsia"/>
                <w:b/>
                <w:bCs/>
              </w:rPr>
              <w:t>Coal-fired plant</w:t>
            </w:r>
          </w:p>
        </w:tc>
        <w:tc>
          <w:tcPr>
            <w:tcW w:w="884" w:type="dxa"/>
            <w:tcBorders>
              <w:bottom w:val="single" w:sz="4" w:space="0" w:color="auto"/>
            </w:tcBorders>
          </w:tcPr>
          <w:p w14:paraId="0C68C21B" w14:textId="67939BF8" w:rsidR="00B15295" w:rsidRPr="004E34F8" w:rsidRDefault="00B15295" w:rsidP="00D537BC">
            <w:pPr>
              <w:spacing w:line="259" w:lineRule="auto"/>
              <w:jc w:val="center"/>
              <w:rPr>
                <w:rFonts w:eastAsia="DengXian" w:cs="Arial"/>
              </w:rPr>
            </w:pPr>
            <w:r w:rsidRPr="00D172AD">
              <w:rPr>
                <w:rFonts w:eastAsia="DengXian" w:cs="Arial" w:hint="eastAsia"/>
              </w:rPr>
              <w:t>6</w:t>
            </w:r>
          </w:p>
        </w:tc>
        <w:tc>
          <w:tcPr>
            <w:tcW w:w="1042" w:type="dxa"/>
            <w:tcBorders>
              <w:bottom w:val="single" w:sz="4" w:space="0" w:color="auto"/>
            </w:tcBorders>
          </w:tcPr>
          <w:p w14:paraId="29EB2B59" w14:textId="24D36FDB" w:rsidR="00B15295" w:rsidRPr="004E34F8" w:rsidRDefault="00B15295" w:rsidP="00D537BC">
            <w:pPr>
              <w:spacing w:line="259" w:lineRule="auto"/>
              <w:jc w:val="center"/>
              <w:rPr>
                <w:rFonts w:eastAsia="DengXian" w:cs="Arial"/>
              </w:rPr>
            </w:pPr>
            <w:r w:rsidRPr="00D172AD">
              <w:rPr>
                <w:rFonts w:eastAsia="DengXian" w:cs="Arial" w:hint="eastAsia"/>
              </w:rPr>
              <w:t>20</w:t>
            </w:r>
          </w:p>
        </w:tc>
        <w:tc>
          <w:tcPr>
            <w:tcW w:w="1041" w:type="dxa"/>
            <w:tcBorders>
              <w:bottom w:val="single" w:sz="4" w:space="0" w:color="auto"/>
            </w:tcBorders>
          </w:tcPr>
          <w:p w14:paraId="3DEACF3F" w14:textId="2448D5E4" w:rsidR="00B15295" w:rsidRPr="004E34F8" w:rsidRDefault="00B15295" w:rsidP="00D537BC">
            <w:pPr>
              <w:spacing w:line="259" w:lineRule="auto"/>
              <w:jc w:val="center"/>
              <w:rPr>
                <w:rFonts w:eastAsia="DengXian" w:cs="Arial"/>
              </w:rPr>
            </w:pPr>
            <w:r w:rsidRPr="00D172AD">
              <w:rPr>
                <w:rFonts w:eastAsia="DengXian" w:cs="Arial" w:hint="eastAsia"/>
              </w:rPr>
              <w:t>5</w:t>
            </w:r>
          </w:p>
        </w:tc>
        <w:tc>
          <w:tcPr>
            <w:tcW w:w="1041" w:type="dxa"/>
            <w:tcBorders>
              <w:bottom w:val="single" w:sz="4" w:space="0" w:color="auto"/>
            </w:tcBorders>
          </w:tcPr>
          <w:p w14:paraId="741D7C86" w14:textId="5158C68F" w:rsidR="00B15295" w:rsidRPr="004E34F8" w:rsidRDefault="00B15295" w:rsidP="00D537BC">
            <w:pPr>
              <w:spacing w:line="259" w:lineRule="auto"/>
              <w:jc w:val="center"/>
              <w:rPr>
                <w:rFonts w:eastAsia="DengXian" w:cs="Arial"/>
              </w:rPr>
            </w:pPr>
            <w:r w:rsidRPr="00D172AD">
              <w:rPr>
                <w:rFonts w:eastAsia="DengXian" w:cs="Arial" w:hint="eastAsia"/>
              </w:rPr>
              <w:t>200</w:t>
            </w:r>
          </w:p>
        </w:tc>
        <w:tc>
          <w:tcPr>
            <w:tcW w:w="1042" w:type="dxa"/>
            <w:tcBorders>
              <w:bottom w:val="single" w:sz="4" w:space="0" w:color="auto"/>
            </w:tcBorders>
          </w:tcPr>
          <w:p w14:paraId="2A3F1C50" w14:textId="58D45C82" w:rsidR="00B15295" w:rsidRPr="004E34F8" w:rsidRDefault="00B15295" w:rsidP="00D537BC">
            <w:pPr>
              <w:spacing w:line="259" w:lineRule="auto"/>
              <w:jc w:val="center"/>
              <w:rPr>
                <w:rFonts w:eastAsia="DengXian" w:cs="Arial"/>
              </w:rPr>
            </w:pPr>
            <w:r w:rsidRPr="00D172AD">
              <w:rPr>
                <w:rFonts w:eastAsia="DengXian" w:cs="Arial" w:hint="eastAsia"/>
              </w:rPr>
              <w:t>200</w:t>
            </w:r>
          </w:p>
        </w:tc>
        <w:tc>
          <w:tcPr>
            <w:tcW w:w="1353" w:type="dxa"/>
            <w:tcBorders>
              <w:bottom w:val="single" w:sz="4" w:space="0" w:color="auto"/>
            </w:tcBorders>
          </w:tcPr>
          <w:p w14:paraId="522DF7D0" w14:textId="13E61598" w:rsidR="00B15295" w:rsidRPr="004E34F8" w:rsidRDefault="00B15295" w:rsidP="00D537BC">
            <w:pPr>
              <w:spacing w:line="259" w:lineRule="auto"/>
              <w:jc w:val="center"/>
              <w:rPr>
                <w:rFonts w:eastAsia="DengXian" w:cs="Arial"/>
              </w:rPr>
            </w:pPr>
            <w:r w:rsidRPr="00D172AD">
              <w:rPr>
                <w:rFonts w:eastAsia="DengXian" w:cs="Arial" w:hint="eastAsia"/>
              </w:rPr>
              <w:t>200</w:t>
            </w:r>
          </w:p>
        </w:tc>
      </w:tr>
      <w:tr w:rsidR="00B15295" w:rsidRPr="00D172AD" w14:paraId="6C56A71C" w14:textId="78006114" w:rsidTr="00B15295">
        <w:trPr>
          <w:jc w:val="center"/>
        </w:trPr>
        <w:tc>
          <w:tcPr>
            <w:tcW w:w="1447" w:type="dxa"/>
            <w:tcBorders>
              <w:bottom w:val="single" w:sz="4" w:space="0" w:color="auto"/>
            </w:tcBorders>
          </w:tcPr>
          <w:p w14:paraId="54CD30DD" w14:textId="1D411241" w:rsidR="00B15295" w:rsidRPr="004E34F8" w:rsidRDefault="00B15295" w:rsidP="00D537BC">
            <w:pPr>
              <w:spacing w:line="259" w:lineRule="auto"/>
              <w:jc w:val="center"/>
              <w:rPr>
                <w:rFonts w:eastAsia="DengXian" w:cs="Arial"/>
                <w:b/>
                <w:bCs/>
              </w:rPr>
            </w:pPr>
            <w:r w:rsidRPr="00D172AD">
              <w:rPr>
                <w:rFonts w:eastAsia="DengXian" w:cs="Arial"/>
                <w:b/>
                <w:bCs/>
              </w:rPr>
              <w:t>G</w:t>
            </w:r>
            <w:r w:rsidRPr="00D172AD">
              <w:rPr>
                <w:rFonts w:eastAsia="DengXian" w:cs="Arial" w:hint="eastAsia"/>
                <w:b/>
                <w:bCs/>
              </w:rPr>
              <w:t>as power plant</w:t>
            </w:r>
          </w:p>
        </w:tc>
        <w:tc>
          <w:tcPr>
            <w:tcW w:w="884" w:type="dxa"/>
            <w:tcBorders>
              <w:bottom w:val="single" w:sz="4" w:space="0" w:color="auto"/>
            </w:tcBorders>
          </w:tcPr>
          <w:p w14:paraId="5ED88139" w14:textId="174D0D35" w:rsidR="00B15295" w:rsidRPr="004E34F8" w:rsidRDefault="00B15295" w:rsidP="00D537BC">
            <w:pPr>
              <w:spacing w:line="259" w:lineRule="auto"/>
              <w:jc w:val="center"/>
              <w:rPr>
                <w:rFonts w:eastAsia="DengXian" w:cs="Arial"/>
              </w:rPr>
            </w:pPr>
            <w:r w:rsidRPr="00D172AD">
              <w:rPr>
                <w:rFonts w:eastAsia="DengXian" w:cs="Arial" w:hint="eastAsia"/>
              </w:rPr>
              <w:t>1</w:t>
            </w:r>
          </w:p>
        </w:tc>
        <w:tc>
          <w:tcPr>
            <w:tcW w:w="1042" w:type="dxa"/>
            <w:tcBorders>
              <w:bottom w:val="single" w:sz="4" w:space="0" w:color="auto"/>
            </w:tcBorders>
          </w:tcPr>
          <w:p w14:paraId="32E259F9" w14:textId="02007855" w:rsidR="00B15295" w:rsidRPr="004E34F8" w:rsidRDefault="00B15295" w:rsidP="00D537BC">
            <w:pPr>
              <w:spacing w:line="259" w:lineRule="auto"/>
              <w:jc w:val="center"/>
              <w:rPr>
                <w:rFonts w:eastAsia="DengXian" w:cs="Arial"/>
              </w:rPr>
            </w:pPr>
            <w:r w:rsidRPr="00D172AD">
              <w:rPr>
                <w:rFonts w:eastAsia="DengXian" w:cs="Arial" w:hint="eastAsia"/>
              </w:rPr>
              <w:t>5</w:t>
            </w:r>
          </w:p>
        </w:tc>
        <w:tc>
          <w:tcPr>
            <w:tcW w:w="1041" w:type="dxa"/>
            <w:tcBorders>
              <w:bottom w:val="single" w:sz="4" w:space="0" w:color="auto"/>
            </w:tcBorders>
          </w:tcPr>
          <w:p w14:paraId="30A27F5F" w14:textId="22155060" w:rsidR="00B15295" w:rsidRPr="004E34F8" w:rsidRDefault="00B15295" w:rsidP="00D537BC">
            <w:pPr>
              <w:spacing w:line="259" w:lineRule="auto"/>
              <w:jc w:val="center"/>
              <w:rPr>
                <w:rFonts w:eastAsia="DengXian" w:cs="Arial"/>
              </w:rPr>
            </w:pPr>
            <w:r w:rsidRPr="00D172AD">
              <w:rPr>
                <w:rFonts w:eastAsia="DengXian" w:cs="Arial" w:hint="eastAsia"/>
              </w:rPr>
              <w:t>20</w:t>
            </w:r>
          </w:p>
        </w:tc>
        <w:tc>
          <w:tcPr>
            <w:tcW w:w="1041" w:type="dxa"/>
            <w:tcBorders>
              <w:bottom w:val="single" w:sz="4" w:space="0" w:color="auto"/>
            </w:tcBorders>
          </w:tcPr>
          <w:p w14:paraId="64FD3826" w14:textId="55C63723" w:rsidR="00B15295" w:rsidRPr="004E34F8" w:rsidRDefault="00B15295" w:rsidP="00D537BC">
            <w:pPr>
              <w:spacing w:line="259" w:lineRule="auto"/>
              <w:jc w:val="center"/>
              <w:rPr>
                <w:rFonts w:eastAsia="DengXian" w:cs="Arial"/>
              </w:rPr>
            </w:pPr>
            <w:r w:rsidRPr="00D172AD">
              <w:rPr>
                <w:rFonts w:eastAsia="DengXian" w:cs="Arial" w:hint="eastAsia"/>
              </w:rPr>
              <w:t>20</w:t>
            </w:r>
          </w:p>
        </w:tc>
        <w:tc>
          <w:tcPr>
            <w:tcW w:w="1042" w:type="dxa"/>
            <w:tcBorders>
              <w:bottom w:val="single" w:sz="4" w:space="0" w:color="auto"/>
            </w:tcBorders>
          </w:tcPr>
          <w:p w14:paraId="6160056F" w14:textId="65EDBC31" w:rsidR="00B15295" w:rsidRPr="004E34F8" w:rsidRDefault="00B15295" w:rsidP="00D537BC">
            <w:pPr>
              <w:spacing w:line="259" w:lineRule="auto"/>
              <w:jc w:val="center"/>
              <w:rPr>
                <w:rFonts w:eastAsia="DengXian" w:cs="Arial"/>
              </w:rPr>
            </w:pPr>
            <w:r w:rsidRPr="00D172AD">
              <w:rPr>
                <w:rFonts w:eastAsia="DengXian" w:cs="Arial" w:hint="eastAsia"/>
              </w:rPr>
              <w:t>20</w:t>
            </w:r>
          </w:p>
        </w:tc>
        <w:tc>
          <w:tcPr>
            <w:tcW w:w="1353" w:type="dxa"/>
            <w:tcBorders>
              <w:bottom w:val="single" w:sz="4" w:space="0" w:color="auto"/>
            </w:tcBorders>
          </w:tcPr>
          <w:p w14:paraId="3BBD684A" w14:textId="6678E8DD" w:rsidR="00B15295" w:rsidRPr="004E34F8" w:rsidRDefault="00B15295" w:rsidP="00D537BC">
            <w:pPr>
              <w:spacing w:line="259" w:lineRule="auto"/>
              <w:jc w:val="center"/>
              <w:rPr>
                <w:rFonts w:eastAsia="DengXian" w:cs="Arial"/>
              </w:rPr>
            </w:pPr>
            <w:r w:rsidRPr="00D172AD">
              <w:rPr>
                <w:rFonts w:eastAsia="DengXian" w:cs="Arial" w:hint="eastAsia"/>
              </w:rPr>
              <w:t>20</w:t>
            </w:r>
          </w:p>
        </w:tc>
      </w:tr>
      <w:tr w:rsidR="00B15295" w:rsidRPr="00D172AD" w14:paraId="46A47C05" w14:textId="18579746" w:rsidTr="00B15295">
        <w:trPr>
          <w:jc w:val="center"/>
        </w:trPr>
        <w:tc>
          <w:tcPr>
            <w:tcW w:w="1447" w:type="dxa"/>
            <w:tcBorders>
              <w:top w:val="single" w:sz="4" w:space="0" w:color="auto"/>
            </w:tcBorders>
          </w:tcPr>
          <w:p w14:paraId="4033B928" w14:textId="54DB1A55" w:rsidR="00B15295" w:rsidRPr="004E34F8" w:rsidRDefault="00B15295" w:rsidP="00D537BC">
            <w:pPr>
              <w:spacing w:line="259" w:lineRule="auto"/>
              <w:jc w:val="center"/>
              <w:rPr>
                <w:rFonts w:eastAsia="DengXian" w:cs="Arial"/>
                <w:b/>
                <w:bCs/>
              </w:rPr>
            </w:pPr>
            <w:r w:rsidRPr="00D172AD">
              <w:rPr>
                <w:rFonts w:eastAsia="DengXian" w:cs="Arial" w:hint="eastAsia"/>
                <w:b/>
                <w:bCs/>
              </w:rPr>
              <w:t>Steel and iron</w:t>
            </w:r>
          </w:p>
        </w:tc>
        <w:tc>
          <w:tcPr>
            <w:tcW w:w="884" w:type="dxa"/>
            <w:tcBorders>
              <w:top w:val="single" w:sz="4" w:space="0" w:color="auto"/>
            </w:tcBorders>
          </w:tcPr>
          <w:p w14:paraId="1B530847" w14:textId="748E1587" w:rsidR="00B15295" w:rsidRPr="004E34F8" w:rsidRDefault="00B15295" w:rsidP="00D537BC">
            <w:pPr>
              <w:spacing w:line="259" w:lineRule="auto"/>
              <w:jc w:val="center"/>
              <w:rPr>
                <w:rFonts w:eastAsia="DengXian" w:cs="Arial"/>
              </w:rPr>
            </w:pPr>
            <w:r w:rsidRPr="00D172AD">
              <w:rPr>
                <w:rFonts w:eastAsia="DengXian" w:cs="Arial" w:hint="eastAsia"/>
              </w:rPr>
              <w:t>1</w:t>
            </w:r>
          </w:p>
        </w:tc>
        <w:tc>
          <w:tcPr>
            <w:tcW w:w="1042" w:type="dxa"/>
            <w:tcBorders>
              <w:top w:val="single" w:sz="4" w:space="0" w:color="auto"/>
            </w:tcBorders>
          </w:tcPr>
          <w:p w14:paraId="5B714FFA" w14:textId="09DCD668" w:rsidR="00B15295" w:rsidRPr="004E34F8" w:rsidRDefault="00B15295" w:rsidP="00D537BC">
            <w:pPr>
              <w:spacing w:line="259" w:lineRule="auto"/>
              <w:jc w:val="center"/>
              <w:rPr>
                <w:rFonts w:eastAsia="DengXian" w:cs="Arial"/>
              </w:rPr>
            </w:pPr>
            <w:r w:rsidRPr="00D172AD">
              <w:rPr>
                <w:rFonts w:eastAsia="DengXian" w:cs="Arial" w:hint="eastAsia"/>
              </w:rPr>
              <w:t>2-5</w:t>
            </w:r>
          </w:p>
        </w:tc>
        <w:tc>
          <w:tcPr>
            <w:tcW w:w="1041" w:type="dxa"/>
            <w:tcBorders>
              <w:top w:val="single" w:sz="4" w:space="0" w:color="auto"/>
            </w:tcBorders>
          </w:tcPr>
          <w:p w14:paraId="25160EE7" w14:textId="26B9309E" w:rsidR="00B15295" w:rsidRPr="004E34F8" w:rsidRDefault="00B15295" w:rsidP="00D537BC">
            <w:pPr>
              <w:spacing w:line="259" w:lineRule="auto"/>
              <w:jc w:val="center"/>
              <w:rPr>
                <w:rFonts w:eastAsia="DengXian" w:cs="Arial"/>
              </w:rPr>
            </w:pPr>
            <w:r w:rsidRPr="00D172AD">
              <w:rPr>
                <w:rFonts w:eastAsia="DengXian" w:cs="Arial" w:hint="eastAsia"/>
              </w:rPr>
              <w:t>10</w:t>
            </w:r>
          </w:p>
        </w:tc>
        <w:tc>
          <w:tcPr>
            <w:tcW w:w="1041" w:type="dxa"/>
            <w:tcBorders>
              <w:top w:val="single" w:sz="4" w:space="0" w:color="auto"/>
            </w:tcBorders>
          </w:tcPr>
          <w:p w14:paraId="5A4668AB" w14:textId="298AEAA7" w:rsidR="00B15295" w:rsidRPr="004E34F8" w:rsidRDefault="00B15295" w:rsidP="00D537BC">
            <w:pPr>
              <w:spacing w:line="259" w:lineRule="auto"/>
              <w:jc w:val="center"/>
              <w:rPr>
                <w:rFonts w:eastAsia="DengXian" w:cs="Arial"/>
              </w:rPr>
            </w:pPr>
            <w:r w:rsidRPr="00D172AD">
              <w:rPr>
                <w:rFonts w:eastAsia="DengXian" w:cs="Arial" w:hint="eastAsia"/>
              </w:rPr>
              <w:t>20</w:t>
            </w:r>
          </w:p>
        </w:tc>
        <w:tc>
          <w:tcPr>
            <w:tcW w:w="1042" w:type="dxa"/>
            <w:tcBorders>
              <w:top w:val="single" w:sz="4" w:space="0" w:color="auto"/>
            </w:tcBorders>
          </w:tcPr>
          <w:p w14:paraId="5A2A3D2A" w14:textId="6C59A340" w:rsidR="00B15295" w:rsidRPr="004E34F8" w:rsidRDefault="00B15295" w:rsidP="00D537BC">
            <w:pPr>
              <w:spacing w:line="259" w:lineRule="auto"/>
              <w:jc w:val="center"/>
              <w:rPr>
                <w:rFonts w:eastAsia="DengXian" w:cs="Arial"/>
              </w:rPr>
            </w:pPr>
            <w:r w:rsidRPr="00D172AD">
              <w:rPr>
                <w:rFonts w:eastAsia="DengXian" w:cs="Arial" w:hint="eastAsia"/>
              </w:rPr>
              <w:t>50</w:t>
            </w:r>
          </w:p>
        </w:tc>
        <w:tc>
          <w:tcPr>
            <w:tcW w:w="1353" w:type="dxa"/>
            <w:tcBorders>
              <w:top w:val="single" w:sz="4" w:space="0" w:color="auto"/>
            </w:tcBorders>
          </w:tcPr>
          <w:p w14:paraId="21795451" w14:textId="478A5ACC" w:rsidR="00B15295" w:rsidRPr="004E34F8" w:rsidRDefault="00B15295" w:rsidP="00D537BC">
            <w:pPr>
              <w:spacing w:line="259" w:lineRule="auto"/>
              <w:jc w:val="center"/>
              <w:rPr>
                <w:rFonts w:eastAsia="DengXian" w:cs="Arial"/>
              </w:rPr>
            </w:pPr>
            <w:r w:rsidRPr="00D172AD">
              <w:rPr>
                <w:rFonts w:eastAsia="DengXian" w:cs="Arial" w:hint="eastAsia"/>
              </w:rPr>
              <w:t>90</w:t>
            </w:r>
          </w:p>
        </w:tc>
      </w:tr>
      <w:tr w:rsidR="00B15295" w:rsidRPr="00D172AD" w14:paraId="2BCE9A7E" w14:textId="55B58945" w:rsidTr="00B15295">
        <w:trPr>
          <w:jc w:val="center"/>
        </w:trPr>
        <w:tc>
          <w:tcPr>
            <w:tcW w:w="1447" w:type="dxa"/>
          </w:tcPr>
          <w:p w14:paraId="2F36A86E" w14:textId="59DC9425" w:rsidR="00B15295" w:rsidRPr="004E34F8" w:rsidRDefault="00B15295" w:rsidP="00D537BC">
            <w:pPr>
              <w:spacing w:line="259" w:lineRule="auto"/>
              <w:jc w:val="center"/>
              <w:rPr>
                <w:rFonts w:eastAsia="DengXian" w:cs="Arial"/>
                <w:b/>
                <w:bCs/>
              </w:rPr>
            </w:pPr>
            <w:r w:rsidRPr="00D172AD">
              <w:rPr>
                <w:rFonts w:eastAsia="DengXian" w:cs="Arial" w:hint="eastAsia"/>
                <w:b/>
                <w:bCs/>
              </w:rPr>
              <w:t>BECCS</w:t>
            </w:r>
          </w:p>
        </w:tc>
        <w:tc>
          <w:tcPr>
            <w:tcW w:w="884" w:type="dxa"/>
          </w:tcPr>
          <w:p w14:paraId="5EE84AEB" w14:textId="7E2C30FF" w:rsidR="00B15295" w:rsidRPr="004E34F8" w:rsidRDefault="00B15295" w:rsidP="00D537BC">
            <w:pPr>
              <w:spacing w:line="259" w:lineRule="auto"/>
              <w:jc w:val="center"/>
              <w:rPr>
                <w:rFonts w:eastAsia="DengXian" w:cs="Arial"/>
              </w:rPr>
            </w:pPr>
            <w:r w:rsidRPr="00D172AD">
              <w:rPr>
                <w:rFonts w:eastAsia="DengXian" w:cs="Arial" w:hint="eastAsia"/>
              </w:rPr>
              <w:t>0.5</w:t>
            </w:r>
          </w:p>
        </w:tc>
        <w:tc>
          <w:tcPr>
            <w:tcW w:w="1042" w:type="dxa"/>
          </w:tcPr>
          <w:p w14:paraId="108EF3BD" w14:textId="00609383" w:rsidR="00B15295" w:rsidRPr="004E34F8" w:rsidRDefault="00B15295" w:rsidP="00D537BC">
            <w:pPr>
              <w:spacing w:line="259" w:lineRule="auto"/>
              <w:jc w:val="center"/>
              <w:rPr>
                <w:rFonts w:eastAsia="DengXian" w:cs="Arial"/>
              </w:rPr>
            </w:pPr>
            <w:r w:rsidRPr="00D172AD">
              <w:rPr>
                <w:rFonts w:eastAsia="DengXian" w:cs="Arial" w:hint="eastAsia"/>
              </w:rPr>
              <w:t>1</w:t>
            </w:r>
          </w:p>
        </w:tc>
        <w:tc>
          <w:tcPr>
            <w:tcW w:w="1041" w:type="dxa"/>
          </w:tcPr>
          <w:p w14:paraId="57294F62" w14:textId="1407B939" w:rsidR="00B15295" w:rsidRPr="004E34F8" w:rsidRDefault="00B15295" w:rsidP="00D537BC">
            <w:pPr>
              <w:spacing w:line="259" w:lineRule="auto"/>
              <w:jc w:val="center"/>
              <w:rPr>
                <w:rFonts w:eastAsia="DengXian" w:cs="Arial"/>
              </w:rPr>
            </w:pPr>
            <w:r w:rsidRPr="00D172AD">
              <w:rPr>
                <w:rFonts w:eastAsia="DengXian" w:cs="Arial" w:hint="eastAsia"/>
              </w:rPr>
              <w:t>18</w:t>
            </w:r>
          </w:p>
        </w:tc>
        <w:tc>
          <w:tcPr>
            <w:tcW w:w="1041" w:type="dxa"/>
          </w:tcPr>
          <w:p w14:paraId="66D74581" w14:textId="303E15BA" w:rsidR="00B15295" w:rsidRPr="004E34F8" w:rsidRDefault="00B15295" w:rsidP="00D537BC">
            <w:pPr>
              <w:spacing w:line="259" w:lineRule="auto"/>
              <w:jc w:val="center"/>
              <w:rPr>
                <w:rFonts w:eastAsia="DengXian" w:cs="Arial"/>
              </w:rPr>
            </w:pPr>
            <w:r w:rsidRPr="00D172AD">
              <w:rPr>
                <w:rFonts w:eastAsia="DengXian" w:cs="Arial" w:hint="eastAsia"/>
              </w:rPr>
              <w:t>80</w:t>
            </w:r>
          </w:p>
        </w:tc>
        <w:tc>
          <w:tcPr>
            <w:tcW w:w="1042" w:type="dxa"/>
          </w:tcPr>
          <w:p w14:paraId="6B925D12" w14:textId="45D8CD54" w:rsidR="00B15295" w:rsidRPr="004E34F8" w:rsidRDefault="00B15295" w:rsidP="00D537BC">
            <w:pPr>
              <w:spacing w:line="259" w:lineRule="auto"/>
              <w:jc w:val="center"/>
              <w:rPr>
                <w:rFonts w:eastAsia="DengXian" w:cs="Arial"/>
              </w:rPr>
            </w:pPr>
            <w:r w:rsidRPr="00D172AD">
              <w:rPr>
                <w:rFonts w:eastAsia="DengXian" w:cs="Arial" w:hint="eastAsia"/>
              </w:rPr>
              <w:t>200</w:t>
            </w:r>
          </w:p>
        </w:tc>
        <w:tc>
          <w:tcPr>
            <w:tcW w:w="1353" w:type="dxa"/>
          </w:tcPr>
          <w:p w14:paraId="69097B5D" w14:textId="21CA2F42" w:rsidR="00B15295" w:rsidRPr="004E34F8" w:rsidRDefault="00B15295" w:rsidP="00D537BC">
            <w:pPr>
              <w:spacing w:line="259" w:lineRule="auto"/>
              <w:jc w:val="center"/>
              <w:rPr>
                <w:rFonts w:eastAsia="DengXian" w:cs="Arial"/>
              </w:rPr>
            </w:pPr>
            <w:r w:rsidRPr="00D172AD">
              <w:rPr>
                <w:rFonts w:eastAsia="DengXian" w:cs="Arial" w:hint="eastAsia"/>
              </w:rPr>
              <w:t>300</w:t>
            </w:r>
          </w:p>
        </w:tc>
      </w:tr>
      <w:tr w:rsidR="00B15295" w:rsidRPr="00D172AD" w14:paraId="5CD9754F" w14:textId="622C2A6C" w:rsidTr="00B15295">
        <w:trPr>
          <w:jc w:val="center"/>
        </w:trPr>
        <w:tc>
          <w:tcPr>
            <w:tcW w:w="1447" w:type="dxa"/>
          </w:tcPr>
          <w:p w14:paraId="04543D8B" w14:textId="574D8817" w:rsidR="00B15295" w:rsidRPr="004E34F8" w:rsidRDefault="00B15295" w:rsidP="00D537BC">
            <w:pPr>
              <w:spacing w:line="259" w:lineRule="auto"/>
              <w:jc w:val="center"/>
              <w:rPr>
                <w:rFonts w:eastAsia="DengXian" w:cs="Arial"/>
                <w:b/>
                <w:bCs/>
              </w:rPr>
            </w:pPr>
            <w:r w:rsidRPr="00D172AD">
              <w:rPr>
                <w:rFonts w:eastAsia="DengXian" w:cs="Arial" w:hint="eastAsia"/>
                <w:b/>
                <w:bCs/>
              </w:rPr>
              <w:t>DACCS</w:t>
            </w:r>
          </w:p>
        </w:tc>
        <w:tc>
          <w:tcPr>
            <w:tcW w:w="884" w:type="dxa"/>
          </w:tcPr>
          <w:p w14:paraId="2EC9AB94" w14:textId="546AB12D" w:rsidR="00B15295" w:rsidRPr="004E34F8" w:rsidRDefault="00B15295" w:rsidP="00D537BC">
            <w:pPr>
              <w:spacing w:line="259" w:lineRule="auto"/>
              <w:jc w:val="center"/>
              <w:rPr>
                <w:rFonts w:eastAsia="DengXian" w:cs="Arial"/>
              </w:rPr>
            </w:pPr>
            <w:r w:rsidRPr="00D172AD">
              <w:rPr>
                <w:rFonts w:eastAsia="DengXian" w:cs="Arial" w:hint="eastAsia"/>
              </w:rPr>
              <w:t>0</w:t>
            </w:r>
          </w:p>
        </w:tc>
        <w:tc>
          <w:tcPr>
            <w:tcW w:w="1042" w:type="dxa"/>
          </w:tcPr>
          <w:p w14:paraId="09C81B72" w14:textId="1C1C0110" w:rsidR="00B15295" w:rsidRPr="004E34F8" w:rsidRDefault="00B15295" w:rsidP="00D537BC">
            <w:pPr>
              <w:spacing w:line="259" w:lineRule="auto"/>
              <w:jc w:val="center"/>
              <w:rPr>
                <w:rFonts w:eastAsia="DengXian" w:cs="Arial"/>
              </w:rPr>
            </w:pPr>
            <w:r w:rsidRPr="00D172AD">
              <w:rPr>
                <w:rFonts w:eastAsia="DengXian" w:cs="Arial" w:hint="eastAsia"/>
              </w:rPr>
              <w:t>0</w:t>
            </w:r>
          </w:p>
        </w:tc>
        <w:tc>
          <w:tcPr>
            <w:tcW w:w="1041" w:type="dxa"/>
          </w:tcPr>
          <w:p w14:paraId="5CD18D40" w14:textId="796183FF" w:rsidR="00B15295" w:rsidRPr="004E34F8" w:rsidRDefault="00B15295" w:rsidP="00D537BC">
            <w:pPr>
              <w:spacing w:line="259" w:lineRule="auto"/>
              <w:jc w:val="center"/>
              <w:rPr>
                <w:rFonts w:eastAsia="DengXian" w:cs="Arial"/>
              </w:rPr>
            </w:pPr>
            <w:r w:rsidRPr="00D172AD">
              <w:rPr>
                <w:rFonts w:eastAsia="DengXian" w:cs="Arial" w:hint="eastAsia"/>
              </w:rPr>
              <w:t>1</w:t>
            </w:r>
          </w:p>
        </w:tc>
        <w:tc>
          <w:tcPr>
            <w:tcW w:w="1041" w:type="dxa"/>
          </w:tcPr>
          <w:p w14:paraId="6E24A9DD" w14:textId="2D11CEE4" w:rsidR="00B15295" w:rsidRPr="004E34F8" w:rsidRDefault="00B15295" w:rsidP="00D537BC">
            <w:pPr>
              <w:spacing w:line="259" w:lineRule="auto"/>
              <w:jc w:val="center"/>
              <w:rPr>
                <w:rFonts w:eastAsia="DengXian" w:cs="Arial"/>
              </w:rPr>
            </w:pPr>
            <w:r w:rsidRPr="00D172AD">
              <w:rPr>
                <w:rFonts w:eastAsia="DengXian" w:cs="Arial" w:hint="eastAsia"/>
              </w:rPr>
              <w:t>15</w:t>
            </w:r>
          </w:p>
        </w:tc>
        <w:tc>
          <w:tcPr>
            <w:tcW w:w="1042" w:type="dxa"/>
          </w:tcPr>
          <w:p w14:paraId="0F95666B" w14:textId="2949EBC1" w:rsidR="00B15295" w:rsidRPr="004E34F8" w:rsidRDefault="00B15295" w:rsidP="00D537BC">
            <w:pPr>
              <w:spacing w:line="259" w:lineRule="auto"/>
              <w:jc w:val="center"/>
              <w:rPr>
                <w:rFonts w:eastAsia="DengXian" w:cs="Arial"/>
              </w:rPr>
            </w:pPr>
            <w:r w:rsidRPr="00D172AD">
              <w:rPr>
                <w:rFonts w:eastAsia="DengXian" w:cs="Arial" w:hint="eastAsia"/>
              </w:rPr>
              <w:t>50</w:t>
            </w:r>
          </w:p>
        </w:tc>
        <w:tc>
          <w:tcPr>
            <w:tcW w:w="1353" w:type="dxa"/>
          </w:tcPr>
          <w:p w14:paraId="7186D655" w14:textId="6483C713" w:rsidR="00B15295" w:rsidRPr="004E34F8" w:rsidRDefault="00B15295" w:rsidP="00D537BC">
            <w:pPr>
              <w:spacing w:line="259" w:lineRule="auto"/>
              <w:jc w:val="center"/>
              <w:rPr>
                <w:rFonts w:eastAsia="DengXian" w:cs="Arial"/>
              </w:rPr>
            </w:pPr>
            <w:r w:rsidRPr="00D172AD">
              <w:rPr>
                <w:rFonts w:eastAsia="DengXian" w:cs="Arial" w:hint="eastAsia"/>
              </w:rPr>
              <w:t>200</w:t>
            </w:r>
          </w:p>
        </w:tc>
      </w:tr>
    </w:tbl>
    <w:p w14:paraId="4333B142" w14:textId="77777777" w:rsidR="0025166A" w:rsidRPr="00D172AD" w:rsidRDefault="0025166A" w:rsidP="0025166A">
      <w:pPr>
        <w:spacing w:line="259" w:lineRule="auto"/>
        <w:rPr>
          <w:rFonts w:ascii="Segoe UI" w:eastAsia="DengXian" w:hAnsi="Segoe UI" w:cs="Segoe UI"/>
          <w:sz w:val="18"/>
          <w:szCs w:val="18"/>
        </w:rPr>
      </w:pPr>
    </w:p>
    <w:p w14:paraId="74999124" w14:textId="7DBAF815" w:rsidR="00D172AD" w:rsidRDefault="00D172AD" w:rsidP="00D172AD">
      <w:pPr>
        <w:spacing w:line="259" w:lineRule="auto"/>
        <w:rPr>
          <w:rFonts w:eastAsia="DengXian" w:cs="Arial"/>
          <w:szCs w:val="22"/>
        </w:rPr>
      </w:pPr>
    </w:p>
    <w:p w14:paraId="5B21A082" w14:textId="77777777" w:rsidR="007714D8" w:rsidRPr="00D172AD" w:rsidRDefault="007714D8" w:rsidP="00D172AD">
      <w:pPr>
        <w:spacing w:line="259" w:lineRule="auto"/>
        <w:rPr>
          <w:rFonts w:eastAsia="DengXian" w:cs="Arial"/>
          <w:szCs w:val="22"/>
        </w:rPr>
      </w:pPr>
    </w:p>
    <w:p w14:paraId="3FD9BF67" w14:textId="4A97FF60" w:rsidR="00703976" w:rsidRDefault="00703976" w:rsidP="00703976">
      <w:pPr>
        <w:pStyle w:val="Heading2"/>
      </w:pPr>
      <w:r w:rsidRPr="00EA5D75">
        <w:lastRenderedPageBreak/>
        <w:t xml:space="preserve">SI Section </w:t>
      </w:r>
      <w:r>
        <w:t>5</w:t>
      </w:r>
      <w:r w:rsidRPr="00EA5D75">
        <w:t xml:space="preserve">: </w:t>
      </w:r>
      <w:r>
        <w:t>Energy Service Demand in TIAM-UCL</w:t>
      </w:r>
    </w:p>
    <w:p w14:paraId="539CF52E" w14:textId="45001684" w:rsidR="00AF7685" w:rsidRDefault="00871621" w:rsidP="007714D8">
      <w:r w:rsidRPr="00871621">
        <w:t xml:space="preserve">This supplementary information outlines the energy service demand inputs used in TIAM-UCL, based on the scenario assumptions for China described in SI Section 4. TIAM-UCL represents final energy demand across four sectors—residential, commercial, transport, and industry—using a set of exogenously defined end-use energy service demands (ESDs). These demands are specified at the regional level and cover services such as residential space heating, domestic aviation, and iron and steel production (see SI Table </w:t>
      </w:r>
      <w:r w:rsidR="009760B6">
        <w:t>9</w:t>
      </w:r>
      <w:r w:rsidRPr="00871621">
        <w:t xml:space="preserve"> for the complete list).</w:t>
      </w:r>
    </w:p>
    <w:p w14:paraId="585CE750" w14:textId="1BACEA15" w:rsidR="004D61D1" w:rsidRPr="004D61D1" w:rsidRDefault="00D54043" w:rsidP="00D54043">
      <w:pPr>
        <w:jc w:val="center"/>
      </w:pPr>
      <w:r w:rsidRPr="003D4570">
        <w:t xml:space="preserve">SI </w:t>
      </w:r>
      <w:r w:rsidR="004D61D1" w:rsidRPr="004D61D1">
        <w:t xml:space="preserve">Table </w:t>
      </w:r>
      <w:r w:rsidR="009760B6">
        <w:t>9</w:t>
      </w:r>
      <w:r w:rsidR="004D61D1" w:rsidRPr="004D61D1">
        <w:t>. List of energy service demands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5"/>
        <w:gridCol w:w="3540"/>
        <w:gridCol w:w="990"/>
        <w:gridCol w:w="1710"/>
      </w:tblGrid>
      <w:tr w:rsidR="004D61D1" w:rsidRPr="004D61D1" w14:paraId="32A5D40C" w14:textId="77777777" w:rsidTr="00D54043">
        <w:trPr>
          <w:trHeight w:val="300"/>
          <w:jc w:val="center"/>
        </w:trPr>
        <w:tc>
          <w:tcPr>
            <w:tcW w:w="735" w:type="dxa"/>
            <w:shd w:val="clear" w:color="auto" w:fill="ADADAD" w:themeFill="background2" w:themeFillShade="BF"/>
            <w:hideMark/>
          </w:tcPr>
          <w:p w14:paraId="7F22D634" w14:textId="77777777" w:rsidR="004D61D1" w:rsidRPr="004D61D1" w:rsidRDefault="004D61D1" w:rsidP="004D61D1">
            <w:pPr>
              <w:rPr>
                <w:b/>
                <w:bCs/>
              </w:rPr>
            </w:pPr>
            <w:r w:rsidRPr="004D61D1">
              <w:rPr>
                <w:b/>
                <w:bCs/>
              </w:rPr>
              <w:t>Code </w:t>
            </w:r>
          </w:p>
        </w:tc>
        <w:tc>
          <w:tcPr>
            <w:tcW w:w="3540" w:type="dxa"/>
            <w:shd w:val="clear" w:color="auto" w:fill="ADADAD" w:themeFill="background2" w:themeFillShade="BF"/>
            <w:hideMark/>
          </w:tcPr>
          <w:p w14:paraId="7680898A" w14:textId="77777777" w:rsidR="004D61D1" w:rsidRPr="004D61D1" w:rsidRDefault="004D61D1" w:rsidP="004D61D1">
            <w:pPr>
              <w:rPr>
                <w:b/>
                <w:bCs/>
              </w:rPr>
            </w:pPr>
            <w:r w:rsidRPr="004D61D1">
              <w:rPr>
                <w:b/>
                <w:bCs/>
              </w:rPr>
              <w:t>Service demand </w:t>
            </w:r>
          </w:p>
        </w:tc>
        <w:tc>
          <w:tcPr>
            <w:tcW w:w="990" w:type="dxa"/>
            <w:shd w:val="clear" w:color="auto" w:fill="ADADAD" w:themeFill="background2" w:themeFillShade="BF"/>
            <w:hideMark/>
          </w:tcPr>
          <w:p w14:paraId="3C296EB1" w14:textId="77777777" w:rsidR="004D61D1" w:rsidRPr="004D61D1" w:rsidRDefault="004D61D1" w:rsidP="004D61D1">
            <w:pPr>
              <w:rPr>
                <w:b/>
                <w:bCs/>
              </w:rPr>
            </w:pPr>
            <w:r w:rsidRPr="004D61D1">
              <w:rPr>
                <w:b/>
                <w:bCs/>
              </w:rPr>
              <w:t>Unit </w:t>
            </w:r>
          </w:p>
        </w:tc>
        <w:tc>
          <w:tcPr>
            <w:tcW w:w="1695" w:type="dxa"/>
            <w:shd w:val="clear" w:color="auto" w:fill="ADADAD" w:themeFill="background2" w:themeFillShade="BF"/>
            <w:hideMark/>
          </w:tcPr>
          <w:p w14:paraId="1C884402" w14:textId="77777777" w:rsidR="004D61D1" w:rsidRPr="004D61D1" w:rsidRDefault="004D61D1" w:rsidP="004D61D1">
            <w:pPr>
              <w:rPr>
                <w:b/>
                <w:bCs/>
              </w:rPr>
            </w:pPr>
            <w:r w:rsidRPr="004D61D1">
              <w:rPr>
                <w:b/>
                <w:bCs/>
              </w:rPr>
              <w:t>Driver </w:t>
            </w:r>
          </w:p>
        </w:tc>
      </w:tr>
      <w:tr w:rsidR="004D61D1" w:rsidRPr="004D61D1" w14:paraId="5239EC41" w14:textId="77777777" w:rsidTr="00D54043">
        <w:trPr>
          <w:trHeight w:val="300"/>
          <w:jc w:val="center"/>
        </w:trPr>
        <w:tc>
          <w:tcPr>
            <w:tcW w:w="735" w:type="dxa"/>
            <w:shd w:val="clear" w:color="auto" w:fill="auto"/>
            <w:hideMark/>
          </w:tcPr>
          <w:p w14:paraId="1EC4A99A" w14:textId="77777777" w:rsidR="004D61D1" w:rsidRPr="004D61D1" w:rsidRDefault="004D61D1" w:rsidP="004D61D1">
            <w:r w:rsidRPr="004D61D1">
              <w:t>ICH  </w:t>
            </w:r>
          </w:p>
        </w:tc>
        <w:tc>
          <w:tcPr>
            <w:tcW w:w="3540" w:type="dxa"/>
            <w:shd w:val="clear" w:color="auto" w:fill="auto"/>
            <w:hideMark/>
          </w:tcPr>
          <w:p w14:paraId="79AB393B" w14:textId="77777777" w:rsidR="004D61D1" w:rsidRPr="004D61D1" w:rsidRDefault="004D61D1" w:rsidP="004D61D1">
            <w:r w:rsidRPr="004D61D1">
              <w:t>Chemicals  </w:t>
            </w:r>
          </w:p>
        </w:tc>
        <w:tc>
          <w:tcPr>
            <w:tcW w:w="990" w:type="dxa"/>
            <w:shd w:val="clear" w:color="auto" w:fill="auto"/>
            <w:hideMark/>
          </w:tcPr>
          <w:p w14:paraId="38BF86CB" w14:textId="77777777" w:rsidR="004D61D1" w:rsidRPr="004D61D1" w:rsidRDefault="004D61D1" w:rsidP="004D61D1">
            <w:r w:rsidRPr="004D61D1">
              <w:t>PJ  </w:t>
            </w:r>
          </w:p>
        </w:tc>
        <w:tc>
          <w:tcPr>
            <w:tcW w:w="1695" w:type="dxa"/>
            <w:shd w:val="clear" w:color="auto" w:fill="auto"/>
            <w:hideMark/>
          </w:tcPr>
          <w:p w14:paraId="26A2E50D" w14:textId="77777777" w:rsidR="004D61D1" w:rsidRPr="004D61D1" w:rsidRDefault="004D61D1" w:rsidP="004D61D1">
            <w:r w:rsidRPr="004D61D1">
              <w:t>PICH </w:t>
            </w:r>
          </w:p>
        </w:tc>
      </w:tr>
      <w:tr w:rsidR="004D61D1" w:rsidRPr="004D61D1" w14:paraId="26DB13EF" w14:textId="77777777" w:rsidTr="00D54043">
        <w:trPr>
          <w:trHeight w:val="300"/>
          <w:jc w:val="center"/>
        </w:trPr>
        <w:tc>
          <w:tcPr>
            <w:tcW w:w="735" w:type="dxa"/>
            <w:shd w:val="clear" w:color="auto" w:fill="auto"/>
            <w:hideMark/>
          </w:tcPr>
          <w:p w14:paraId="13294CDD" w14:textId="77777777" w:rsidR="004D61D1" w:rsidRPr="004D61D1" w:rsidRDefault="004D61D1" w:rsidP="004D61D1">
            <w:r w:rsidRPr="004D61D1">
              <w:t>IIS  </w:t>
            </w:r>
          </w:p>
        </w:tc>
        <w:tc>
          <w:tcPr>
            <w:tcW w:w="3540" w:type="dxa"/>
            <w:shd w:val="clear" w:color="auto" w:fill="auto"/>
            <w:hideMark/>
          </w:tcPr>
          <w:p w14:paraId="32766632" w14:textId="77777777" w:rsidR="004D61D1" w:rsidRPr="004D61D1" w:rsidRDefault="004D61D1" w:rsidP="004D61D1">
            <w:r w:rsidRPr="004D61D1">
              <w:t>Iron and Steel  </w:t>
            </w:r>
          </w:p>
        </w:tc>
        <w:tc>
          <w:tcPr>
            <w:tcW w:w="990" w:type="dxa"/>
            <w:shd w:val="clear" w:color="auto" w:fill="auto"/>
            <w:hideMark/>
          </w:tcPr>
          <w:p w14:paraId="033B5094" w14:textId="77777777" w:rsidR="004D61D1" w:rsidRPr="004D61D1" w:rsidRDefault="004D61D1" w:rsidP="004D61D1">
            <w:r w:rsidRPr="004D61D1">
              <w:t>Mt  </w:t>
            </w:r>
          </w:p>
        </w:tc>
        <w:tc>
          <w:tcPr>
            <w:tcW w:w="1695" w:type="dxa"/>
            <w:shd w:val="clear" w:color="auto" w:fill="auto"/>
            <w:hideMark/>
          </w:tcPr>
          <w:p w14:paraId="158EEB06" w14:textId="77777777" w:rsidR="004D61D1" w:rsidRPr="004D61D1" w:rsidRDefault="004D61D1" w:rsidP="004D61D1">
            <w:r w:rsidRPr="004D61D1">
              <w:t>PIIS </w:t>
            </w:r>
          </w:p>
        </w:tc>
      </w:tr>
      <w:tr w:rsidR="004D61D1" w:rsidRPr="004D61D1" w14:paraId="3328F0EA" w14:textId="77777777" w:rsidTr="00D54043">
        <w:trPr>
          <w:trHeight w:val="300"/>
          <w:jc w:val="center"/>
        </w:trPr>
        <w:tc>
          <w:tcPr>
            <w:tcW w:w="735" w:type="dxa"/>
            <w:shd w:val="clear" w:color="auto" w:fill="auto"/>
            <w:hideMark/>
          </w:tcPr>
          <w:p w14:paraId="3D987EA2" w14:textId="77777777" w:rsidR="004D61D1" w:rsidRPr="004D61D1" w:rsidRDefault="004D61D1" w:rsidP="004D61D1">
            <w:r w:rsidRPr="004D61D1">
              <w:t>INF  </w:t>
            </w:r>
          </w:p>
        </w:tc>
        <w:tc>
          <w:tcPr>
            <w:tcW w:w="3540" w:type="dxa"/>
            <w:shd w:val="clear" w:color="auto" w:fill="auto"/>
            <w:hideMark/>
          </w:tcPr>
          <w:p w14:paraId="1E3ED948" w14:textId="77777777" w:rsidR="004D61D1" w:rsidRPr="004D61D1" w:rsidRDefault="004D61D1" w:rsidP="004D61D1">
            <w:r w:rsidRPr="004D61D1">
              <w:t>Non-ferrous metals  </w:t>
            </w:r>
          </w:p>
        </w:tc>
        <w:tc>
          <w:tcPr>
            <w:tcW w:w="990" w:type="dxa"/>
            <w:shd w:val="clear" w:color="auto" w:fill="auto"/>
            <w:hideMark/>
          </w:tcPr>
          <w:p w14:paraId="6C225D1F" w14:textId="77777777" w:rsidR="004D61D1" w:rsidRPr="004D61D1" w:rsidRDefault="004D61D1" w:rsidP="004D61D1">
            <w:r w:rsidRPr="004D61D1">
              <w:t>Mt  </w:t>
            </w:r>
          </w:p>
        </w:tc>
        <w:tc>
          <w:tcPr>
            <w:tcW w:w="1695" w:type="dxa"/>
            <w:shd w:val="clear" w:color="auto" w:fill="auto"/>
            <w:hideMark/>
          </w:tcPr>
          <w:p w14:paraId="7D5B506A" w14:textId="77777777" w:rsidR="004D61D1" w:rsidRPr="004D61D1" w:rsidRDefault="004D61D1" w:rsidP="004D61D1">
            <w:r w:rsidRPr="004D61D1">
              <w:t>PINF  </w:t>
            </w:r>
          </w:p>
        </w:tc>
      </w:tr>
      <w:tr w:rsidR="004D61D1" w:rsidRPr="004D61D1" w14:paraId="3740E11D" w14:textId="77777777" w:rsidTr="00D54043">
        <w:trPr>
          <w:trHeight w:val="300"/>
          <w:jc w:val="center"/>
        </w:trPr>
        <w:tc>
          <w:tcPr>
            <w:tcW w:w="735" w:type="dxa"/>
            <w:shd w:val="clear" w:color="auto" w:fill="auto"/>
            <w:hideMark/>
          </w:tcPr>
          <w:p w14:paraId="44AF04F8" w14:textId="77777777" w:rsidR="004D61D1" w:rsidRPr="004D61D1" w:rsidRDefault="004D61D1" w:rsidP="004D61D1">
            <w:r w:rsidRPr="004D61D1">
              <w:t>INM  </w:t>
            </w:r>
          </w:p>
        </w:tc>
        <w:tc>
          <w:tcPr>
            <w:tcW w:w="3540" w:type="dxa"/>
            <w:shd w:val="clear" w:color="auto" w:fill="auto"/>
            <w:hideMark/>
          </w:tcPr>
          <w:p w14:paraId="095E6E45" w14:textId="5B1764AC" w:rsidR="004D61D1" w:rsidRPr="004D61D1" w:rsidRDefault="00D54043" w:rsidP="004D61D1">
            <w:r w:rsidRPr="004D61D1">
              <w:t>Non-Metals Mineral</w:t>
            </w:r>
          </w:p>
        </w:tc>
        <w:tc>
          <w:tcPr>
            <w:tcW w:w="990" w:type="dxa"/>
            <w:shd w:val="clear" w:color="auto" w:fill="auto"/>
            <w:hideMark/>
          </w:tcPr>
          <w:p w14:paraId="06B90E2F" w14:textId="77777777" w:rsidR="004D61D1" w:rsidRPr="004D61D1" w:rsidRDefault="004D61D1" w:rsidP="004D61D1">
            <w:r w:rsidRPr="004D61D1">
              <w:t>PJ  </w:t>
            </w:r>
          </w:p>
        </w:tc>
        <w:tc>
          <w:tcPr>
            <w:tcW w:w="1695" w:type="dxa"/>
            <w:shd w:val="clear" w:color="auto" w:fill="auto"/>
            <w:hideMark/>
          </w:tcPr>
          <w:p w14:paraId="0461CEA2" w14:textId="77777777" w:rsidR="004D61D1" w:rsidRPr="004D61D1" w:rsidRDefault="004D61D1" w:rsidP="004D61D1">
            <w:r w:rsidRPr="004D61D1">
              <w:t>PINM </w:t>
            </w:r>
          </w:p>
        </w:tc>
      </w:tr>
      <w:tr w:rsidR="004D61D1" w:rsidRPr="004D61D1" w14:paraId="63ED0DD0" w14:textId="77777777" w:rsidTr="00D54043">
        <w:trPr>
          <w:trHeight w:val="300"/>
          <w:jc w:val="center"/>
        </w:trPr>
        <w:tc>
          <w:tcPr>
            <w:tcW w:w="735" w:type="dxa"/>
            <w:shd w:val="clear" w:color="auto" w:fill="auto"/>
            <w:hideMark/>
          </w:tcPr>
          <w:p w14:paraId="4F08DB38" w14:textId="77777777" w:rsidR="004D61D1" w:rsidRPr="004D61D1" w:rsidRDefault="004D61D1" w:rsidP="004D61D1">
            <w:r w:rsidRPr="004D61D1">
              <w:t>ILP  </w:t>
            </w:r>
          </w:p>
        </w:tc>
        <w:tc>
          <w:tcPr>
            <w:tcW w:w="3540" w:type="dxa"/>
            <w:shd w:val="clear" w:color="auto" w:fill="auto"/>
            <w:hideMark/>
          </w:tcPr>
          <w:p w14:paraId="21CECA56" w14:textId="77777777" w:rsidR="004D61D1" w:rsidRPr="004D61D1" w:rsidRDefault="004D61D1" w:rsidP="004D61D1">
            <w:r w:rsidRPr="004D61D1">
              <w:t>Pulp and Paper  </w:t>
            </w:r>
          </w:p>
        </w:tc>
        <w:tc>
          <w:tcPr>
            <w:tcW w:w="990" w:type="dxa"/>
            <w:shd w:val="clear" w:color="auto" w:fill="auto"/>
            <w:hideMark/>
          </w:tcPr>
          <w:p w14:paraId="15351AAA" w14:textId="77777777" w:rsidR="004D61D1" w:rsidRPr="004D61D1" w:rsidRDefault="004D61D1" w:rsidP="004D61D1">
            <w:r w:rsidRPr="004D61D1">
              <w:t>Mt  </w:t>
            </w:r>
          </w:p>
        </w:tc>
        <w:tc>
          <w:tcPr>
            <w:tcW w:w="1695" w:type="dxa"/>
            <w:shd w:val="clear" w:color="auto" w:fill="auto"/>
            <w:hideMark/>
          </w:tcPr>
          <w:p w14:paraId="314CA1EF" w14:textId="77777777" w:rsidR="004D61D1" w:rsidRPr="004D61D1" w:rsidRDefault="004D61D1" w:rsidP="004D61D1">
            <w:r w:rsidRPr="004D61D1">
              <w:t>PILP </w:t>
            </w:r>
          </w:p>
        </w:tc>
      </w:tr>
      <w:tr w:rsidR="004D61D1" w:rsidRPr="004D61D1" w14:paraId="16C65AAB" w14:textId="77777777" w:rsidTr="00D54043">
        <w:trPr>
          <w:trHeight w:val="300"/>
          <w:jc w:val="center"/>
        </w:trPr>
        <w:tc>
          <w:tcPr>
            <w:tcW w:w="735" w:type="dxa"/>
            <w:shd w:val="clear" w:color="auto" w:fill="auto"/>
            <w:hideMark/>
          </w:tcPr>
          <w:p w14:paraId="1837C30D" w14:textId="77777777" w:rsidR="004D61D1" w:rsidRPr="004D61D1" w:rsidRDefault="004D61D1" w:rsidP="004D61D1">
            <w:r w:rsidRPr="004D61D1">
              <w:t>IOI  </w:t>
            </w:r>
          </w:p>
        </w:tc>
        <w:tc>
          <w:tcPr>
            <w:tcW w:w="3540" w:type="dxa"/>
            <w:shd w:val="clear" w:color="auto" w:fill="auto"/>
            <w:hideMark/>
          </w:tcPr>
          <w:p w14:paraId="2E427F13" w14:textId="77777777" w:rsidR="004D61D1" w:rsidRPr="004D61D1" w:rsidRDefault="004D61D1" w:rsidP="004D61D1">
            <w:r w:rsidRPr="004D61D1">
              <w:t>Other Industries  </w:t>
            </w:r>
          </w:p>
        </w:tc>
        <w:tc>
          <w:tcPr>
            <w:tcW w:w="990" w:type="dxa"/>
            <w:shd w:val="clear" w:color="auto" w:fill="auto"/>
            <w:hideMark/>
          </w:tcPr>
          <w:p w14:paraId="4811BBF7" w14:textId="77777777" w:rsidR="004D61D1" w:rsidRPr="004D61D1" w:rsidRDefault="004D61D1" w:rsidP="004D61D1">
            <w:r w:rsidRPr="004D61D1">
              <w:t>PJ  </w:t>
            </w:r>
          </w:p>
        </w:tc>
        <w:tc>
          <w:tcPr>
            <w:tcW w:w="1695" w:type="dxa"/>
            <w:shd w:val="clear" w:color="auto" w:fill="auto"/>
            <w:hideMark/>
          </w:tcPr>
          <w:p w14:paraId="6B64D82E" w14:textId="77777777" w:rsidR="004D61D1" w:rsidRPr="004D61D1" w:rsidRDefault="004D61D1" w:rsidP="004D61D1">
            <w:r w:rsidRPr="004D61D1">
              <w:t>POI  </w:t>
            </w:r>
          </w:p>
        </w:tc>
      </w:tr>
      <w:tr w:rsidR="004D61D1" w:rsidRPr="004D61D1" w14:paraId="3AECD1D0" w14:textId="77777777" w:rsidTr="00D54043">
        <w:trPr>
          <w:trHeight w:val="300"/>
          <w:jc w:val="center"/>
        </w:trPr>
        <w:tc>
          <w:tcPr>
            <w:tcW w:w="735" w:type="dxa"/>
            <w:shd w:val="clear" w:color="auto" w:fill="auto"/>
            <w:hideMark/>
          </w:tcPr>
          <w:p w14:paraId="529112A2" w14:textId="77777777" w:rsidR="004D61D1" w:rsidRPr="004D61D1" w:rsidRDefault="004D61D1" w:rsidP="004D61D1">
            <w:r w:rsidRPr="004D61D1">
              <w:t>NEO  </w:t>
            </w:r>
          </w:p>
        </w:tc>
        <w:tc>
          <w:tcPr>
            <w:tcW w:w="3540" w:type="dxa"/>
            <w:shd w:val="clear" w:color="auto" w:fill="auto"/>
            <w:hideMark/>
          </w:tcPr>
          <w:p w14:paraId="2284B9C1" w14:textId="605DA0B8" w:rsidR="004D61D1" w:rsidRPr="004D61D1" w:rsidRDefault="004D61D1" w:rsidP="004D61D1">
            <w:r w:rsidRPr="004D61D1">
              <w:t xml:space="preserve">Industrial and Other </w:t>
            </w:r>
            <w:r w:rsidR="00D54043" w:rsidRPr="004D61D1">
              <w:t>Non-Energy</w:t>
            </w:r>
            <w:r w:rsidRPr="004D61D1">
              <w:t xml:space="preserve"> Uses  </w:t>
            </w:r>
          </w:p>
        </w:tc>
        <w:tc>
          <w:tcPr>
            <w:tcW w:w="990" w:type="dxa"/>
            <w:shd w:val="clear" w:color="auto" w:fill="auto"/>
            <w:hideMark/>
          </w:tcPr>
          <w:p w14:paraId="58D6DFFA" w14:textId="77777777" w:rsidR="004D61D1" w:rsidRPr="004D61D1" w:rsidRDefault="004D61D1" w:rsidP="004D61D1">
            <w:r w:rsidRPr="004D61D1">
              <w:t>PJ  </w:t>
            </w:r>
          </w:p>
        </w:tc>
        <w:tc>
          <w:tcPr>
            <w:tcW w:w="1695" w:type="dxa"/>
            <w:shd w:val="clear" w:color="auto" w:fill="auto"/>
            <w:hideMark/>
          </w:tcPr>
          <w:p w14:paraId="465B62DF" w14:textId="77777777" w:rsidR="004D61D1" w:rsidRPr="004D61D1" w:rsidRDefault="004D61D1" w:rsidP="004D61D1">
            <w:r w:rsidRPr="004D61D1">
              <w:t>GDP  </w:t>
            </w:r>
          </w:p>
        </w:tc>
      </w:tr>
      <w:tr w:rsidR="004D61D1" w:rsidRPr="004D61D1" w14:paraId="7AF8E31A" w14:textId="77777777" w:rsidTr="00D54043">
        <w:trPr>
          <w:trHeight w:val="300"/>
          <w:jc w:val="center"/>
        </w:trPr>
        <w:tc>
          <w:tcPr>
            <w:tcW w:w="735" w:type="dxa"/>
            <w:shd w:val="clear" w:color="auto" w:fill="auto"/>
            <w:hideMark/>
          </w:tcPr>
          <w:p w14:paraId="2A39F95F" w14:textId="77777777" w:rsidR="004D61D1" w:rsidRPr="004D61D1" w:rsidRDefault="004D61D1" w:rsidP="004D61D1">
            <w:r w:rsidRPr="004D61D1">
              <w:t>ONO  </w:t>
            </w:r>
          </w:p>
        </w:tc>
        <w:tc>
          <w:tcPr>
            <w:tcW w:w="3540" w:type="dxa"/>
            <w:shd w:val="clear" w:color="auto" w:fill="auto"/>
            <w:hideMark/>
          </w:tcPr>
          <w:p w14:paraId="0D207F11" w14:textId="77777777" w:rsidR="004D61D1" w:rsidRPr="004D61D1" w:rsidRDefault="004D61D1" w:rsidP="004D61D1">
            <w:r w:rsidRPr="004D61D1">
              <w:t>Other non-specified consumption  </w:t>
            </w:r>
          </w:p>
        </w:tc>
        <w:tc>
          <w:tcPr>
            <w:tcW w:w="990" w:type="dxa"/>
            <w:shd w:val="clear" w:color="auto" w:fill="auto"/>
            <w:hideMark/>
          </w:tcPr>
          <w:p w14:paraId="32B76294" w14:textId="77777777" w:rsidR="004D61D1" w:rsidRPr="004D61D1" w:rsidRDefault="004D61D1" w:rsidP="004D61D1">
            <w:r w:rsidRPr="004D61D1">
              <w:t>PJ  </w:t>
            </w:r>
          </w:p>
        </w:tc>
        <w:tc>
          <w:tcPr>
            <w:tcW w:w="1695" w:type="dxa"/>
            <w:shd w:val="clear" w:color="auto" w:fill="auto"/>
            <w:hideMark/>
          </w:tcPr>
          <w:p w14:paraId="404D9278" w14:textId="77777777" w:rsidR="004D61D1" w:rsidRPr="004D61D1" w:rsidRDefault="004D61D1" w:rsidP="004D61D1">
            <w:r w:rsidRPr="004D61D1">
              <w:t>GDP  </w:t>
            </w:r>
          </w:p>
        </w:tc>
      </w:tr>
      <w:tr w:rsidR="004D61D1" w:rsidRPr="004D61D1" w14:paraId="65297162" w14:textId="77777777" w:rsidTr="00D54043">
        <w:trPr>
          <w:trHeight w:val="300"/>
          <w:jc w:val="center"/>
        </w:trPr>
        <w:tc>
          <w:tcPr>
            <w:tcW w:w="735" w:type="dxa"/>
            <w:shd w:val="clear" w:color="auto" w:fill="auto"/>
            <w:hideMark/>
          </w:tcPr>
          <w:p w14:paraId="392D50A9" w14:textId="77777777" w:rsidR="004D61D1" w:rsidRPr="004D61D1" w:rsidRDefault="004D61D1" w:rsidP="004D61D1">
            <w:r w:rsidRPr="004D61D1">
              <w:t>AGR  </w:t>
            </w:r>
          </w:p>
        </w:tc>
        <w:tc>
          <w:tcPr>
            <w:tcW w:w="3540" w:type="dxa"/>
            <w:shd w:val="clear" w:color="auto" w:fill="auto"/>
            <w:hideMark/>
          </w:tcPr>
          <w:p w14:paraId="1A7C32BF" w14:textId="77777777" w:rsidR="004D61D1" w:rsidRPr="004D61D1" w:rsidRDefault="004D61D1" w:rsidP="004D61D1">
            <w:r w:rsidRPr="004D61D1">
              <w:t>Agricultural demand  </w:t>
            </w:r>
          </w:p>
        </w:tc>
        <w:tc>
          <w:tcPr>
            <w:tcW w:w="990" w:type="dxa"/>
            <w:shd w:val="clear" w:color="auto" w:fill="auto"/>
            <w:hideMark/>
          </w:tcPr>
          <w:p w14:paraId="29B38A93" w14:textId="77777777" w:rsidR="004D61D1" w:rsidRPr="004D61D1" w:rsidRDefault="004D61D1" w:rsidP="004D61D1">
            <w:r w:rsidRPr="004D61D1">
              <w:t>PJ  </w:t>
            </w:r>
          </w:p>
        </w:tc>
        <w:tc>
          <w:tcPr>
            <w:tcW w:w="1695" w:type="dxa"/>
            <w:shd w:val="clear" w:color="auto" w:fill="auto"/>
            <w:hideMark/>
          </w:tcPr>
          <w:p w14:paraId="67D8044A" w14:textId="77777777" w:rsidR="004D61D1" w:rsidRPr="004D61D1" w:rsidRDefault="004D61D1" w:rsidP="004D61D1">
            <w:r w:rsidRPr="004D61D1">
              <w:t>PAGR  </w:t>
            </w:r>
          </w:p>
        </w:tc>
      </w:tr>
      <w:tr w:rsidR="004D61D1" w:rsidRPr="004D61D1" w14:paraId="2858B3C3" w14:textId="77777777" w:rsidTr="00D54043">
        <w:trPr>
          <w:trHeight w:val="300"/>
          <w:jc w:val="center"/>
        </w:trPr>
        <w:tc>
          <w:tcPr>
            <w:tcW w:w="735" w:type="dxa"/>
            <w:shd w:val="clear" w:color="auto" w:fill="auto"/>
            <w:hideMark/>
          </w:tcPr>
          <w:p w14:paraId="01EFA907" w14:textId="77777777" w:rsidR="004D61D1" w:rsidRPr="004D61D1" w:rsidRDefault="004D61D1" w:rsidP="004D61D1">
            <w:r w:rsidRPr="004D61D1">
              <w:t>CC1  </w:t>
            </w:r>
          </w:p>
        </w:tc>
        <w:tc>
          <w:tcPr>
            <w:tcW w:w="3540" w:type="dxa"/>
            <w:shd w:val="clear" w:color="auto" w:fill="auto"/>
            <w:hideMark/>
          </w:tcPr>
          <w:p w14:paraId="62341EA6" w14:textId="77777777" w:rsidR="004D61D1" w:rsidRPr="004D61D1" w:rsidRDefault="004D61D1" w:rsidP="004D61D1">
            <w:r w:rsidRPr="004D61D1">
              <w:t>Commercial Cooling - Region 1  </w:t>
            </w:r>
          </w:p>
        </w:tc>
        <w:tc>
          <w:tcPr>
            <w:tcW w:w="990" w:type="dxa"/>
            <w:shd w:val="clear" w:color="auto" w:fill="auto"/>
            <w:hideMark/>
          </w:tcPr>
          <w:p w14:paraId="0488AD7D" w14:textId="77777777" w:rsidR="004D61D1" w:rsidRPr="004D61D1" w:rsidRDefault="004D61D1" w:rsidP="004D61D1">
            <w:r w:rsidRPr="004D61D1">
              <w:t>PJ  </w:t>
            </w:r>
          </w:p>
        </w:tc>
        <w:tc>
          <w:tcPr>
            <w:tcW w:w="1695" w:type="dxa"/>
            <w:shd w:val="clear" w:color="auto" w:fill="auto"/>
            <w:hideMark/>
          </w:tcPr>
          <w:p w14:paraId="0A743D1A" w14:textId="77777777" w:rsidR="004D61D1" w:rsidRPr="004D61D1" w:rsidRDefault="004D61D1" w:rsidP="004D61D1">
            <w:r w:rsidRPr="004D61D1">
              <w:t>PSER  </w:t>
            </w:r>
          </w:p>
        </w:tc>
      </w:tr>
      <w:tr w:rsidR="004D61D1" w:rsidRPr="004D61D1" w14:paraId="2CDC471E" w14:textId="77777777" w:rsidTr="00D54043">
        <w:trPr>
          <w:trHeight w:val="300"/>
          <w:jc w:val="center"/>
        </w:trPr>
        <w:tc>
          <w:tcPr>
            <w:tcW w:w="735" w:type="dxa"/>
            <w:shd w:val="clear" w:color="auto" w:fill="auto"/>
            <w:hideMark/>
          </w:tcPr>
          <w:p w14:paraId="6DF504D9" w14:textId="77777777" w:rsidR="004D61D1" w:rsidRPr="004D61D1" w:rsidRDefault="004D61D1" w:rsidP="004D61D1">
            <w:r w:rsidRPr="004D61D1">
              <w:t>CCK  </w:t>
            </w:r>
          </w:p>
        </w:tc>
        <w:tc>
          <w:tcPr>
            <w:tcW w:w="3540" w:type="dxa"/>
            <w:shd w:val="clear" w:color="auto" w:fill="auto"/>
            <w:hideMark/>
          </w:tcPr>
          <w:p w14:paraId="6BC7DDD5" w14:textId="77777777" w:rsidR="004D61D1" w:rsidRPr="004D61D1" w:rsidRDefault="004D61D1" w:rsidP="004D61D1">
            <w:r w:rsidRPr="004D61D1">
              <w:t>Commercial Cooking  </w:t>
            </w:r>
          </w:p>
        </w:tc>
        <w:tc>
          <w:tcPr>
            <w:tcW w:w="990" w:type="dxa"/>
            <w:shd w:val="clear" w:color="auto" w:fill="auto"/>
            <w:hideMark/>
          </w:tcPr>
          <w:p w14:paraId="6D962EE2" w14:textId="77777777" w:rsidR="004D61D1" w:rsidRPr="004D61D1" w:rsidRDefault="004D61D1" w:rsidP="004D61D1">
            <w:r w:rsidRPr="004D61D1">
              <w:t>PJ  </w:t>
            </w:r>
          </w:p>
        </w:tc>
        <w:tc>
          <w:tcPr>
            <w:tcW w:w="1695" w:type="dxa"/>
            <w:shd w:val="clear" w:color="auto" w:fill="auto"/>
            <w:hideMark/>
          </w:tcPr>
          <w:p w14:paraId="359193B5" w14:textId="77777777" w:rsidR="004D61D1" w:rsidRPr="004D61D1" w:rsidRDefault="004D61D1" w:rsidP="004D61D1">
            <w:r w:rsidRPr="004D61D1">
              <w:t>PSER  </w:t>
            </w:r>
          </w:p>
        </w:tc>
      </w:tr>
      <w:tr w:rsidR="004D61D1" w:rsidRPr="004D61D1" w14:paraId="53D02588" w14:textId="77777777" w:rsidTr="00D54043">
        <w:trPr>
          <w:trHeight w:val="300"/>
          <w:jc w:val="center"/>
        </w:trPr>
        <w:tc>
          <w:tcPr>
            <w:tcW w:w="735" w:type="dxa"/>
            <w:shd w:val="clear" w:color="auto" w:fill="auto"/>
            <w:hideMark/>
          </w:tcPr>
          <w:p w14:paraId="19A124DD" w14:textId="77777777" w:rsidR="004D61D1" w:rsidRPr="004D61D1" w:rsidRDefault="004D61D1" w:rsidP="004D61D1">
            <w:r w:rsidRPr="004D61D1">
              <w:t>CH1  </w:t>
            </w:r>
          </w:p>
        </w:tc>
        <w:tc>
          <w:tcPr>
            <w:tcW w:w="3540" w:type="dxa"/>
            <w:shd w:val="clear" w:color="auto" w:fill="auto"/>
            <w:hideMark/>
          </w:tcPr>
          <w:p w14:paraId="560FF964" w14:textId="77777777" w:rsidR="004D61D1" w:rsidRPr="004D61D1" w:rsidRDefault="004D61D1" w:rsidP="004D61D1">
            <w:r w:rsidRPr="004D61D1">
              <w:t>Commercial Space Heat - Region 1  </w:t>
            </w:r>
          </w:p>
        </w:tc>
        <w:tc>
          <w:tcPr>
            <w:tcW w:w="990" w:type="dxa"/>
            <w:shd w:val="clear" w:color="auto" w:fill="auto"/>
            <w:hideMark/>
          </w:tcPr>
          <w:p w14:paraId="3DDF59A1" w14:textId="77777777" w:rsidR="004D61D1" w:rsidRPr="004D61D1" w:rsidRDefault="004D61D1" w:rsidP="004D61D1">
            <w:r w:rsidRPr="004D61D1">
              <w:t>PJ  </w:t>
            </w:r>
          </w:p>
        </w:tc>
        <w:tc>
          <w:tcPr>
            <w:tcW w:w="1695" w:type="dxa"/>
            <w:shd w:val="clear" w:color="auto" w:fill="auto"/>
            <w:hideMark/>
          </w:tcPr>
          <w:p w14:paraId="3C7E4955" w14:textId="77777777" w:rsidR="004D61D1" w:rsidRPr="004D61D1" w:rsidRDefault="004D61D1" w:rsidP="004D61D1">
            <w:r w:rsidRPr="004D61D1">
              <w:t>PSER  </w:t>
            </w:r>
          </w:p>
        </w:tc>
      </w:tr>
      <w:tr w:rsidR="004D61D1" w:rsidRPr="004D61D1" w14:paraId="64C7DAF6" w14:textId="77777777" w:rsidTr="00D54043">
        <w:trPr>
          <w:trHeight w:val="300"/>
          <w:jc w:val="center"/>
        </w:trPr>
        <w:tc>
          <w:tcPr>
            <w:tcW w:w="735" w:type="dxa"/>
            <w:shd w:val="clear" w:color="auto" w:fill="auto"/>
            <w:hideMark/>
          </w:tcPr>
          <w:p w14:paraId="733CC292" w14:textId="77777777" w:rsidR="004D61D1" w:rsidRPr="004D61D1" w:rsidRDefault="004D61D1" w:rsidP="004D61D1">
            <w:r w:rsidRPr="004D61D1">
              <w:t>CHW  </w:t>
            </w:r>
          </w:p>
        </w:tc>
        <w:tc>
          <w:tcPr>
            <w:tcW w:w="3540" w:type="dxa"/>
            <w:shd w:val="clear" w:color="auto" w:fill="auto"/>
            <w:hideMark/>
          </w:tcPr>
          <w:p w14:paraId="7D015804" w14:textId="77777777" w:rsidR="004D61D1" w:rsidRPr="004D61D1" w:rsidRDefault="004D61D1" w:rsidP="004D61D1">
            <w:r w:rsidRPr="004D61D1">
              <w:t>Commercial Hot Water  </w:t>
            </w:r>
          </w:p>
        </w:tc>
        <w:tc>
          <w:tcPr>
            <w:tcW w:w="990" w:type="dxa"/>
            <w:shd w:val="clear" w:color="auto" w:fill="auto"/>
            <w:hideMark/>
          </w:tcPr>
          <w:p w14:paraId="379A90C2" w14:textId="77777777" w:rsidR="004D61D1" w:rsidRPr="004D61D1" w:rsidRDefault="004D61D1" w:rsidP="004D61D1">
            <w:r w:rsidRPr="004D61D1">
              <w:t>PJ  </w:t>
            </w:r>
          </w:p>
        </w:tc>
        <w:tc>
          <w:tcPr>
            <w:tcW w:w="1695" w:type="dxa"/>
            <w:shd w:val="clear" w:color="auto" w:fill="auto"/>
            <w:hideMark/>
          </w:tcPr>
          <w:p w14:paraId="3FB02D55" w14:textId="77777777" w:rsidR="004D61D1" w:rsidRPr="004D61D1" w:rsidRDefault="004D61D1" w:rsidP="004D61D1">
            <w:r w:rsidRPr="004D61D1">
              <w:t>PSER  </w:t>
            </w:r>
          </w:p>
        </w:tc>
      </w:tr>
      <w:tr w:rsidR="004D61D1" w:rsidRPr="004D61D1" w14:paraId="4EE99D44" w14:textId="77777777" w:rsidTr="00D54043">
        <w:trPr>
          <w:trHeight w:val="300"/>
          <w:jc w:val="center"/>
        </w:trPr>
        <w:tc>
          <w:tcPr>
            <w:tcW w:w="735" w:type="dxa"/>
            <w:shd w:val="clear" w:color="auto" w:fill="auto"/>
            <w:hideMark/>
          </w:tcPr>
          <w:p w14:paraId="6227FB56" w14:textId="77777777" w:rsidR="004D61D1" w:rsidRPr="004D61D1" w:rsidRDefault="004D61D1" w:rsidP="004D61D1">
            <w:r w:rsidRPr="004D61D1">
              <w:lastRenderedPageBreak/>
              <w:t>CLA  </w:t>
            </w:r>
          </w:p>
        </w:tc>
        <w:tc>
          <w:tcPr>
            <w:tcW w:w="3540" w:type="dxa"/>
            <w:shd w:val="clear" w:color="auto" w:fill="auto"/>
            <w:hideMark/>
          </w:tcPr>
          <w:p w14:paraId="32E208A1" w14:textId="77777777" w:rsidR="004D61D1" w:rsidRPr="004D61D1" w:rsidRDefault="004D61D1" w:rsidP="004D61D1">
            <w:r w:rsidRPr="004D61D1">
              <w:t>Commercial Lighting  </w:t>
            </w:r>
          </w:p>
        </w:tc>
        <w:tc>
          <w:tcPr>
            <w:tcW w:w="990" w:type="dxa"/>
            <w:shd w:val="clear" w:color="auto" w:fill="auto"/>
            <w:hideMark/>
          </w:tcPr>
          <w:p w14:paraId="2471E208" w14:textId="77777777" w:rsidR="004D61D1" w:rsidRPr="004D61D1" w:rsidRDefault="004D61D1" w:rsidP="004D61D1">
            <w:r w:rsidRPr="004D61D1">
              <w:t>PJ  </w:t>
            </w:r>
          </w:p>
        </w:tc>
        <w:tc>
          <w:tcPr>
            <w:tcW w:w="1695" w:type="dxa"/>
            <w:shd w:val="clear" w:color="auto" w:fill="auto"/>
            <w:hideMark/>
          </w:tcPr>
          <w:p w14:paraId="3FF902B5" w14:textId="77777777" w:rsidR="004D61D1" w:rsidRPr="004D61D1" w:rsidRDefault="004D61D1" w:rsidP="004D61D1">
            <w:r w:rsidRPr="004D61D1">
              <w:t>PSER  </w:t>
            </w:r>
          </w:p>
        </w:tc>
      </w:tr>
      <w:tr w:rsidR="004D61D1" w:rsidRPr="004D61D1" w14:paraId="5C2A405D" w14:textId="77777777" w:rsidTr="00D54043">
        <w:trPr>
          <w:trHeight w:val="300"/>
          <w:jc w:val="center"/>
        </w:trPr>
        <w:tc>
          <w:tcPr>
            <w:tcW w:w="735" w:type="dxa"/>
            <w:shd w:val="clear" w:color="auto" w:fill="auto"/>
            <w:hideMark/>
          </w:tcPr>
          <w:p w14:paraId="7343066D" w14:textId="77777777" w:rsidR="004D61D1" w:rsidRPr="004D61D1" w:rsidRDefault="004D61D1" w:rsidP="004D61D1">
            <w:r w:rsidRPr="004D61D1">
              <w:t>COE  </w:t>
            </w:r>
          </w:p>
        </w:tc>
        <w:tc>
          <w:tcPr>
            <w:tcW w:w="3540" w:type="dxa"/>
            <w:shd w:val="clear" w:color="auto" w:fill="auto"/>
            <w:hideMark/>
          </w:tcPr>
          <w:p w14:paraId="6D5A83CC" w14:textId="77777777" w:rsidR="004D61D1" w:rsidRPr="004D61D1" w:rsidRDefault="004D61D1" w:rsidP="004D61D1">
            <w:r w:rsidRPr="004D61D1">
              <w:t>Commercial Office Equipment  </w:t>
            </w:r>
          </w:p>
        </w:tc>
        <w:tc>
          <w:tcPr>
            <w:tcW w:w="990" w:type="dxa"/>
            <w:shd w:val="clear" w:color="auto" w:fill="auto"/>
            <w:hideMark/>
          </w:tcPr>
          <w:p w14:paraId="447F2138" w14:textId="77777777" w:rsidR="004D61D1" w:rsidRPr="004D61D1" w:rsidRDefault="004D61D1" w:rsidP="004D61D1">
            <w:r w:rsidRPr="004D61D1">
              <w:t>PJ  </w:t>
            </w:r>
          </w:p>
        </w:tc>
        <w:tc>
          <w:tcPr>
            <w:tcW w:w="1695" w:type="dxa"/>
            <w:shd w:val="clear" w:color="auto" w:fill="auto"/>
            <w:hideMark/>
          </w:tcPr>
          <w:p w14:paraId="5C2A41C6" w14:textId="77777777" w:rsidR="004D61D1" w:rsidRPr="004D61D1" w:rsidRDefault="004D61D1" w:rsidP="004D61D1">
            <w:r w:rsidRPr="004D61D1">
              <w:t>PSER  </w:t>
            </w:r>
          </w:p>
        </w:tc>
      </w:tr>
      <w:tr w:rsidR="004D61D1" w:rsidRPr="004D61D1" w14:paraId="7E960D6D" w14:textId="77777777" w:rsidTr="00D54043">
        <w:trPr>
          <w:trHeight w:val="300"/>
          <w:jc w:val="center"/>
        </w:trPr>
        <w:tc>
          <w:tcPr>
            <w:tcW w:w="735" w:type="dxa"/>
            <w:shd w:val="clear" w:color="auto" w:fill="auto"/>
            <w:hideMark/>
          </w:tcPr>
          <w:p w14:paraId="5BF41E27" w14:textId="77777777" w:rsidR="004D61D1" w:rsidRPr="004D61D1" w:rsidRDefault="004D61D1" w:rsidP="004D61D1">
            <w:r w:rsidRPr="004D61D1">
              <w:t>CRF  </w:t>
            </w:r>
          </w:p>
        </w:tc>
        <w:tc>
          <w:tcPr>
            <w:tcW w:w="3540" w:type="dxa"/>
            <w:shd w:val="clear" w:color="auto" w:fill="auto"/>
            <w:hideMark/>
          </w:tcPr>
          <w:p w14:paraId="3F35AD5D" w14:textId="77777777" w:rsidR="004D61D1" w:rsidRPr="004D61D1" w:rsidRDefault="004D61D1" w:rsidP="004D61D1">
            <w:r w:rsidRPr="004D61D1">
              <w:t>Commercial Refrigeration  </w:t>
            </w:r>
          </w:p>
        </w:tc>
        <w:tc>
          <w:tcPr>
            <w:tcW w:w="990" w:type="dxa"/>
            <w:shd w:val="clear" w:color="auto" w:fill="auto"/>
            <w:hideMark/>
          </w:tcPr>
          <w:p w14:paraId="0948918B" w14:textId="77777777" w:rsidR="004D61D1" w:rsidRPr="004D61D1" w:rsidRDefault="004D61D1" w:rsidP="004D61D1">
            <w:r w:rsidRPr="004D61D1">
              <w:t>PJ  </w:t>
            </w:r>
          </w:p>
        </w:tc>
        <w:tc>
          <w:tcPr>
            <w:tcW w:w="1695" w:type="dxa"/>
            <w:shd w:val="clear" w:color="auto" w:fill="auto"/>
            <w:hideMark/>
          </w:tcPr>
          <w:p w14:paraId="40044349" w14:textId="77777777" w:rsidR="004D61D1" w:rsidRPr="004D61D1" w:rsidRDefault="004D61D1" w:rsidP="004D61D1">
            <w:r w:rsidRPr="004D61D1">
              <w:t>PSER  </w:t>
            </w:r>
          </w:p>
        </w:tc>
      </w:tr>
      <w:tr w:rsidR="004D61D1" w:rsidRPr="004D61D1" w14:paraId="1D1EE224" w14:textId="77777777" w:rsidTr="00D54043">
        <w:trPr>
          <w:trHeight w:val="300"/>
          <w:jc w:val="center"/>
        </w:trPr>
        <w:tc>
          <w:tcPr>
            <w:tcW w:w="735" w:type="dxa"/>
            <w:shd w:val="clear" w:color="auto" w:fill="auto"/>
            <w:hideMark/>
          </w:tcPr>
          <w:p w14:paraId="5D8DFA7E" w14:textId="77777777" w:rsidR="004D61D1" w:rsidRPr="004D61D1" w:rsidRDefault="004D61D1" w:rsidP="004D61D1">
            <w:r w:rsidRPr="004D61D1">
              <w:t>RC1  </w:t>
            </w:r>
          </w:p>
        </w:tc>
        <w:tc>
          <w:tcPr>
            <w:tcW w:w="3540" w:type="dxa"/>
            <w:shd w:val="clear" w:color="auto" w:fill="auto"/>
            <w:hideMark/>
          </w:tcPr>
          <w:p w14:paraId="2ACFA332" w14:textId="77777777" w:rsidR="004D61D1" w:rsidRPr="004D61D1" w:rsidRDefault="004D61D1" w:rsidP="004D61D1">
            <w:r w:rsidRPr="004D61D1">
              <w:t>Residential Cooling - Region 1  </w:t>
            </w:r>
          </w:p>
        </w:tc>
        <w:tc>
          <w:tcPr>
            <w:tcW w:w="990" w:type="dxa"/>
            <w:shd w:val="clear" w:color="auto" w:fill="auto"/>
            <w:hideMark/>
          </w:tcPr>
          <w:p w14:paraId="7AB46C75" w14:textId="77777777" w:rsidR="004D61D1" w:rsidRPr="004D61D1" w:rsidRDefault="004D61D1" w:rsidP="004D61D1">
            <w:r w:rsidRPr="004D61D1">
              <w:t>PJ  </w:t>
            </w:r>
          </w:p>
        </w:tc>
        <w:tc>
          <w:tcPr>
            <w:tcW w:w="1695" w:type="dxa"/>
            <w:shd w:val="clear" w:color="auto" w:fill="auto"/>
            <w:hideMark/>
          </w:tcPr>
          <w:p w14:paraId="76B1C6A7" w14:textId="77777777" w:rsidR="004D61D1" w:rsidRPr="004D61D1" w:rsidRDefault="004D61D1" w:rsidP="004D61D1">
            <w:r w:rsidRPr="004D61D1">
              <w:t>HOU/GDPPHOU*  </w:t>
            </w:r>
          </w:p>
        </w:tc>
      </w:tr>
      <w:tr w:rsidR="004D61D1" w:rsidRPr="004D61D1" w14:paraId="702DEC36" w14:textId="77777777" w:rsidTr="00D54043">
        <w:trPr>
          <w:trHeight w:val="300"/>
          <w:jc w:val="center"/>
        </w:trPr>
        <w:tc>
          <w:tcPr>
            <w:tcW w:w="735" w:type="dxa"/>
            <w:shd w:val="clear" w:color="auto" w:fill="auto"/>
            <w:hideMark/>
          </w:tcPr>
          <w:p w14:paraId="44D64117" w14:textId="77777777" w:rsidR="004D61D1" w:rsidRPr="004D61D1" w:rsidRDefault="004D61D1" w:rsidP="004D61D1">
            <w:r w:rsidRPr="004D61D1">
              <w:t>RCD  </w:t>
            </w:r>
          </w:p>
        </w:tc>
        <w:tc>
          <w:tcPr>
            <w:tcW w:w="3540" w:type="dxa"/>
            <w:shd w:val="clear" w:color="auto" w:fill="auto"/>
            <w:hideMark/>
          </w:tcPr>
          <w:p w14:paraId="6A8BEA2B" w14:textId="77777777" w:rsidR="004D61D1" w:rsidRPr="004D61D1" w:rsidRDefault="004D61D1" w:rsidP="004D61D1">
            <w:r w:rsidRPr="004D61D1">
              <w:t>Residential Clothes Drying  </w:t>
            </w:r>
          </w:p>
        </w:tc>
        <w:tc>
          <w:tcPr>
            <w:tcW w:w="990" w:type="dxa"/>
            <w:shd w:val="clear" w:color="auto" w:fill="auto"/>
            <w:hideMark/>
          </w:tcPr>
          <w:p w14:paraId="14A35328" w14:textId="77777777" w:rsidR="004D61D1" w:rsidRPr="004D61D1" w:rsidRDefault="004D61D1" w:rsidP="004D61D1">
            <w:r w:rsidRPr="004D61D1">
              <w:t>PJ  </w:t>
            </w:r>
          </w:p>
        </w:tc>
        <w:tc>
          <w:tcPr>
            <w:tcW w:w="1695" w:type="dxa"/>
            <w:shd w:val="clear" w:color="auto" w:fill="auto"/>
            <w:hideMark/>
          </w:tcPr>
          <w:p w14:paraId="58B9EFB6" w14:textId="77777777" w:rsidR="004D61D1" w:rsidRPr="004D61D1" w:rsidRDefault="004D61D1" w:rsidP="004D61D1">
            <w:r w:rsidRPr="004D61D1">
              <w:t>HOU/GDPPHOU*  </w:t>
            </w:r>
          </w:p>
        </w:tc>
      </w:tr>
      <w:tr w:rsidR="004D61D1" w:rsidRPr="004D61D1" w14:paraId="59E44851" w14:textId="77777777" w:rsidTr="00D54043">
        <w:trPr>
          <w:trHeight w:val="300"/>
          <w:jc w:val="center"/>
        </w:trPr>
        <w:tc>
          <w:tcPr>
            <w:tcW w:w="735" w:type="dxa"/>
            <w:shd w:val="clear" w:color="auto" w:fill="auto"/>
            <w:hideMark/>
          </w:tcPr>
          <w:p w14:paraId="2CCBBE51" w14:textId="77777777" w:rsidR="004D61D1" w:rsidRPr="004D61D1" w:rsidRDefault="004D61D1" w:rsidP="004D61D1">
            <w:r w:rsidRPr="004D61D1">
              <w:t>RCW  </w:t>
            </w:r>
          </w:p>
        </w:tc>
        <w:tc>
          <w:tcPr>
            <w:tcW w:w="3540" w:type="dxa"/>
            <w:shd w:val="clear" w:color="auto" w:fill="auto"/>
            <w:hideMark/>
          </w:tcPr>
          <w:p w14:paraId="1F50F614" w14:textId="77777777" w:rsidR="004D61D1" w:rsidRPr="004D61D1" w:rsidRDefault="004D61D1" w:rsidP="004D61D1">
            <w:r w:rsidRPr="004D61D1">
              <w:t>Residential Clothes Washing  </w:t>
            </w:r>
          </w:p>
        </w:tc>
        <w:tc>
          <w:tcPr>
            <w:tcW w:w="990" w:type="dxa"/>
            <w:shd w:val="clear" w:color="auto" w:fill="auto"/>
            <w:hideMark/>
          </w:tcPr>
          <w:p w14:paraId="7FFD3022" w14:textId="77777777" w:rsidR="004D61D1" w:rsidRPr="004D61D1" w:rsidRDefault="004D61D1" w:rsidP="004D61D1">
            <w:r w:rsidRPr="004D61D1">
              <w:t>PJ  </w:t>
            </w:r>
          </w:p>
        </w:tc>
        <w:tc>
          <w:tcPr>
            <w:tcW w:w="1695" w:type="dxa"/>
            <w:shd w:val="clear" w:color="auto" w:fill="auto"/>
            <w:hideMark/>
          </w:tcPr>
          <w:p w14:paraId="2F2C8482" w14:textId="77777777" w:rsidR="004D61D1" w:rsidRPr="004D61D1" w:rsidRDefault="004D61D1" w:rsidP="004D61D1">
            <w:r w:rsidRPr="004D61D1">
              <w:t>HOU/GDPPHOU*  </w:t>
            </w:r>
          </w:p>
        </w:tc>
      </w:tr>
      <w:tr w:rsidR="004D61D1" w:rsidRPr="004D61D1" w14:paraId="61F1386B" w14:textId="77777777" w:rsidTr="00D54043">
        <w:trPr>
          <w:trHeight w:val="300"/>
          <w:jc w:val="center"/>
        </w:trPr>
        <w:tc>
          <w:tcPr>
            <w:tcW w:w="735" w:type="dxa"/>
            <w:shd w:val="clear" w:color="auto" w:fill="auto"/>
            <w:hideMark/>
          </w:tcPr>
          <w:p w14:paraId="25B72425" w14:textId="77777777" w:rsidR="004D61D1" w:rsidRPr="004D61D1" w:rsidRDefault="004D61D1" w:rsidP="004D61D1">
            <w:r w:rsidRPr="004D61D1">
              <w:t>RDW  </w:t>
            </w:r>
          </w:p>
        </w:tc>
        <w:tc>
          <w:tcPr>
            <w:tcW w:w="3540" w:type="dxa"/>
            <w:shd w:val="clear" w:color="auto" w:fill="auto"/>
            <w:hideMark/>
          </w:tcPr>
          <w:p w14:paraId="7DF25550" w14:textId="77777777" w:rsidR="004D61D1" w:rsidRPr="004D61D1" w:rsidRDefault="004D61D1" w:rsidP="004D61D1">
            <w:r w:rsidRPr="004D61D1">
              <w:t>Residential Dishwashing  </w:t>
            </w:r>
          </w:p>
        </w:tc>
        <w:tc>
          <w:tcPr>
            <w:tcW w:w="990" w:type="dxa"/>
            <w:shd w:val="clear" w:color="auto" w:fill="auto"/>
            <w:hideMark/>
          </w:tcPr>
          <w:p w14:paraId="54BFCEE7" w14:textId="77777777" w:rsidR="004D61D1" w:rsidRPr="004D61D1" w:rsidRDefault="004D61D1" w:rsidP="004D61D1">
            <w:r w:rsidRPr="004D61D1">
              <w:t>PJ  </w:t>
            </w:r>
          </w:p>
        </w:tc>
        <w:tc>
          <w:tcPr>
            <w:tcW w:w="1695" w:type="dxa"/>
            <w:shd w:val="clear" w:color="auto" w:fill="auto"/>
            <w:hideMark/>
          </w:tcPr>
          <w:p w14:paraId="5D716309" w14:textId="77777777" w:rsidR="004D61D1" w:rsidRPr="004D61D1" w:rsidRDefault="004D61D1" w:rsidP="004D61D1">
            <w:r w:rsidRPr="004D61D1">
              <w:t>HOU/GDPPHOU*  </w:t>
            </w:r>
          </w:p>
        </w:tc>
      </w:tr>
      <w:tr w:rsidR="004D61D1" w:rsidRPr="004D61D1" w14:paraId="63E06C0E" w14:textId="77777777" w:rsidTr="00D54043">
        <w:trPr>
          <w:trHeight w:val="300"/>
          <w:jc w:val="center"/>
        </w:trPr>
        <w:tc>
          <w:tcPr>
            <w:tcW w:w="735" w:type="dxa"/>
            <w:shd w:val="clear" w:color="auto" w:fill="auto"/>
            <w:hideMark/>
          </w:tcPr>
          <w:p w14:paraId="7E0E4D24" w14:textId="77777777" w:rsidR="004D61D1" w:rsidRPr="004D61D1" w:rsidRDefault="004D61D1" w:rsidP="004D61D1">
            <w:r w:rsidRPr="004D61D1">
              <w:t>REA  </w:t>
            </w:r>
          </w:p>
        </w:tc>
        <w:tc>
          <w:tcPr>
            <w:tcW w:w="3540" w:type="dxa"/>
            <w:shd w:val="clear" w:color="auto" w:fill="auto"/>
            <w:hideMark/>
          </w:tcPr>
          <w:p w14:paraId="05B249FB" w14:textId="77777777" w:rsidR="004D61D1" w:rsidRPr="004D61D1" w:rsidRDefault="004D61D1" w:rsidP="004D61D1">
            <w:r w:rsidRPr="004D61D1">
              <w:t>Residential Other Electric  </w:t>
            </w:r>
          </w:p>
        </w:tc>
        <w:tc>
          <w:tcPr>
            <w:tcW w:w="990" w:type="dxa"/>
            <w:shd w:val="clear" w:color="auto" w:fill="auto"/>
            <w:hideMark/>
          </w:tcPr>
          <w:p w14:paraId="23CCC4E1" w14:textId="77777777" w:rsidR="004D61D1" w:rsidRPr="004D61D1" w:rsidRDefault="004D61D1" w:rsidP="004D61D1">
            <w:r w:rsidRPr="004D61D1">
              <w:t>PJ  </w:t>
            </w:r>
          </w:p>
        </w:tc>
        <w:tc>
          <w:tcPr>
            <w:tcW w:w="1695" w:type="dxa"/>
            <w:shd w:val="clear" w:color="auto" w:fill="auto"/>
            <w:hideMark/>
          </w:tcPr>
          <w:p w14:paraId="01A9A30A" w14:textId="77777777" w:rsidR="004D61D1" w:rsidRPr="004D61D1" w:rsidRDefault="004D61D1" w:rsidP="004D61D1">
            <w:r w:rsidRPr="004D61D1">
              <w:t>HOU/GDPPHOU*  </w:t>
            </w:r>
          </w:p>
        </w:tc>
      </w:tr>
      <w:tr w:rsidR="004D61D1" w:rsidRPr="004D61D1" w14:paraId="30117B85" w14:textId="77777777" w:rsidTr="00D54043">
        <w:trPr>
          <w:trHeight w:val="300"/>
          <w:jc w:val="center"/>
        </w:trPr>
        <w:tc>
          <w:tcPr>
            <w:tcW w:w="735" w:type="dxa"/>
            <w:shd w:val="clear" w:color="auto" w:fill="auto"/>
            <w:hideMark/>
          </w:tcPr>
          <w:p w14:paraId="339E427C" w14:textId="77777777" w:rsidR="004D61D1" w:rsidRPr="004D61D1" w:rsidRDefault="004D61D1" w:rsidP="004D61D1">
            <w:r w:rsidRPr="004D61D1">
              <w:t>RH1  </w:t>
            </w:r>
          </w:p>
        </w:tc>
        <w:tc>
          <w:tcPr>
            <w:tcW w:w="3540" w:type="dxa"/>
            <w:shd w:val="clear" w:color="auto" w:fill="auto"/>
            <w:hideMark/>
          </w:tcPr>
          <w:p w14:paraId="5969557A" w14:textId="77777777" w:rsidR="004D61D1" w:rsidRPr="004D61D1" w:rsidRDefault="004D61D1" w:rsidP="004D61D1">
            <w:r w:rsidRPr="004D61D1">
              <w:t>Residential Space Heat - Region 1  </w:t>
            </w:r>
          </w:p>
        </w:tc>
        <w:tc>
          <w:tcPr>
            <w:tcW w:w="990" w:type="dxa"/>
            <w:shd w:val="clear" w:color="auto" w:fill="auto"/>
            <w:hideMark/>
          </w:tcPr>
          <w:p w14:paraId="39011FA2" w14:textId="77777777" w:rsidR="004D61D1" w:rsidRPr="004D61D1" w:rsidRDefault="004D61D1" w:rsidP="004D61D1">
            <w:r w:rsidRPr="004D61D1">
              <w:t>PJ  </w:t>
            </w:r>
          </w:p>
        </w:tc>
        <w:tc>
          <w:tcPr>
            <w:tcW w:w="1695" w:type="dxa"/>
            <w:shd w:val="clear" w:color="auto" w:fill="auto"/>
            <w:hideMark/>
          </w:tcPr>
          <w:p w14:paraId="7B275C6B" w14:textId="77777777" w:rsidR="004D61D1" w:rsidRPr="004D61D1" w:rsidRDefault="004D61D1" w:rsidP="004D61D1">
            <w:r w:rsidRPr="004D61D1">
              <w:t>HOU  </w:t>
            </w:r>
          </w:p>
        </w:tc>
      </w:tr>
      <w:tr w:rsidR="004D61D1" w:rsidRPr="004D61D1" w14:paraId="6E649CEA" w14:textId="77777777" w:rsidTr="00D54043">
        <w:trPr>
          <w:trHeight w:val="300"/>
          <w:jc w:val="center"/>
        </w:trPr>
        <w:tc>
          <w:tcPr>
            <w:tcW w:w="735" w:type="dxa"/>
            <w:shd w:val="clear" w:color="auto" w:fill="auto"/>
            <w:hideMark/>
          </w:tcPr>
          <w:p w14:paraId="29BC6087" w14:textId="77777777" w:rsidR="004D61D1" w:rsidRPr="004D61D1" w:rsidRDefault="004D61D1" w:rsidP="004D61D1">
            <w:r w:rsidRPr="004D61D1">
              <w:t>RHW  </w:t>
            </w:r>
          </w:p>
        </w:tc>
        <w:tc>
          <w:tcPr>
            <w:tcW w:w="3540" w:type="dxa"/>
            <w:shd w:val="clear" w:color="auto" w:fill="auto"/>
            <w:hideMark/>
          </w:tcPr>
          <w:p w14:paraId="3ACFF243" w14:textId="77777777" w:rsidR="004D61D1" w:rsidRPr="004D61D1" w:rsidRDefault="004D61D1" w:rsidP="004D61D1">
            <w:r w:rsidRPr="004D61D1">
              <w:t>Residential Hot Water  </w:t>
            </w:r>
          </w:p>
        </w:tc>
        <w:tc>
          <w:tcPr>
            <w:tcW w:w="990" w:type="dxa"/>
            <w:shd w:val="clear" w:color="auto" w:fill="auto"/>
            <w:hideMark/>
          </w:tcPr>
          <w:p w14:paraId="568DB84C" w14:textId="77777777" w:rsidR="004D61D1" w:rsidRPr="004D61D1" w:rsidRDefault="004D61D1" w:rsidP="004D61D1">
            <w:r w:rsidRPr="004D61D1">
              <w:t>PJ  </w:t>
            </w:r>
          </w:p>
        </w:tc>
        <w:tc>
          <w:tcPr>
            <w:tcW w:w="1695" w:type="dxa"/>
            <w:shd w:val="clear" w:color="auto" w:fill="auto"/>
            <w:hideMark/>
          </w:tcPr>
          <w:p w14:paraId="15E43226" w14:textId="77777777" w:rsidR="004D61D1" w:rsidRPr="004D61D1" w:rsidRDefault="004D61D1" w:rsidP="004D61D1">
            <w:r w:rsidRPr="004D61D1">
              <w:t>POP  </w:t>
            </w:r>
          </w:p>
        </w:tc>
      </w:tr>
      <w:tr w:rsidR="004D61D1" w:rsidRPr="004D61D1" w14:paraId="0D56CB61" w14:textId="77777777" w:rsidTr="00D54043">
        <w:trPr>
          <w:trHeight w:val="300"/>
          <w:jc w:val="center"/>
        </w:trPr>
        <w:tc>
          <w:tcPr>
            <w:tcW w:w="735" w:type="dxa"/>
            <w:shd w:val="clear" w:color="auto" w:fill="auto"/>
            <w:hideMark/>
          </w:tcPr>
          <w:p w14:paraId="24E4B74B" w14:textId="77777777" w:rsidR="004D61D1" w:rsidRPr="004D61D1" w:rsidRDefault="004D61D1" w:rsidP="004D61D1">
            <w:r w:rsidRPr="004D61D1">
              <w:t>RK1  </w:t>
            </w:r>
          </w:p>
        </w:tc>
        <w:tc>
          <w:tcPr>
            <w:tcW w:w="3540" w:type="dxa"/>
            <w:shd w:val="clear" w:color="auto" w:fill="auto"/>
            <w:hideMark/>
          </w:tcPr>
          <w:p w14:paraId="75587C81" w14:textId="77777777" w:rsidR="004D61D1" w:rsidRPr="004D61D1" w:rsidRDefault="004D61D1" w:rsidP="004D61D1">
            <w:r w:rsidRPr="004D61D1">
              <w:t>Residential Cooking - Region 1  </w:t>
            </w:r>
          </w:p>
        </w:tc>
        <w:tc>
          <w:tcPr>
            <w:tcW w:w="990" w:type="dxa"/>
            <w:shd w:val="clear" w:color="auto" w:fill="auto"/>
            <w:hideMark/>
          </w:tcPr>
          <w:p w14:paraId="5EAD4CE9" w14:textId="77777777" w:rsidR="004D61D1" w:rsidRPr="004D61D1" w:rsidRDefault="004D61D1" w:rsidP="004D61D1">
            <w:r w:rsidRPr="004D61D1">
              <w:t>PJ  </w:t>
            </w:r>
          </w:p>
        </w:tc>
        <w:tc>
          <w:tcPr>
            <w:tcW w:w="1695" w:type="dxa"/>
            <w:shd w:val="clear" w:color="auto" w:fill="auto"/>
            <w:hideMark/>
          </w:tcPr>
          <w:p w14:paraId="396C5DC9" w14:textId="77777777" w:rsidR="004D61D1" w:rsidRPr="004D61D1" w:rsidRDefault="004D61D1" w:rsidP="004D61D1">
            <w:r w:rsidRPr="004D61D1">
              <w:t>POP  </w:t>
            </w:r>
          </w:p>
        </w:tc>
      </w:tr>
      <w:tr w:rsidR="004D61D1" w:rsidRPr="004D61D1" w14:paraId="774E3D2D" w14:textId="77777777" w:rsidTr="00D54043">
        <w:trPr>
          <w:trHeight w:val="300"/>
          <w:jc w:val="center"/>
        </w:trPr>
        <w:tc>
          <w:tcPr>
            <w:tcW w:w="735" w:type="dxa"/>
            <w:shd w:val="clear" w:color="auto" w:fill="auto"/>
            <w:hideMark/>
          </w:tcPr>
          <w:p w14:paraId="55C4F62B" w14:textId="77777777" w:rsidR="004D61D1" w:rsidRPr="004D61D1" w:rsidRDefault="004D61D1" w:rsidP="004D61D1">
            <w:r w:rsidRPr="004D61D1">
              <w:t>RL1  </w:t>
            </w:r>
          </w:p>
        </w:tc>
        <w:tc>
          <w:tcPr>
            <w:tcW w:w="3540" w:type="dxa"/>
            <w:shd w:val="clear" w:color="auto" w:fill="auto"/>
            <w:hideMark/>
          </w:tcPr>
          <w:p w14:paraId="0024B6BA" w14:textId="77777777" w:rsidR="004D61D1" w:rsidRPr="004D61D1" w:rsidRDefault="004D61D1" w:rsidP="004D61D1">
            <w:r w:rsidRPr="004D61D1">
              <w:t>Residential Lighting - Region 1  </w:t>
            </w:r>
          </w:p>
        </w:tc>
        <w:tc>
          <w:tcPr>
            <w:tcW w:w="990" w:type="dxa"/>
            <w:shd w:val="clear" w:color="auto" w:fill="auto"/>
            <w:hideMark/>
          </w:tcPr>
          <w:p w14:paraId="1B82AEA7" w14:textId="77777777" w:rsidR="004D61D1" w:rsidRPr="004D61D1" w:rsidRDefault="004D61D1" w:rsidP="004D61D1">
            <w:r w:rsidRPr="004D61D1">
              <w:t>PJ  </w:t>
            </w:r>
          </w:p>
        </w:tc>
        <w:tc>
          <w:tcPr>
            <w:tcW w:w="1695" w:type="dxa"/>
            <w:shd w:val="clear" w:color="auto" w:fill="auto"/>
            <w:hideMark/>
          </w:tcPr>
          <w:p w14:paraId="7F72EF2B" w14:textId="77777777" w:rsidR="004D61D1" w:rsidRPr="004D61D1" w:rsidRDefault="004D61D1" w:rsidP="004D61D1">
            <w:r w:rsidRPr="004D61D1">
              <w:t>GDPP  </w:t>
            </w:r>
          </w:p>
        </w:tc>
      </w:tr>
      <w:tr w:rsidR="004D61D1" w:rsidRPr="004D61D1" w14:paraId="56F51F75" w14:textId="77777777" w:rsidTr="00D54043">
        <w:trPr>
          <w:trHeight w:val="300"/>
          <w:jc w:val="center"/>
        </w:trPr>
        <w:tc>
          <w:tcPr>
            <w:tcW w:w="735" w:type="dxa"/>
            <w:shd w:val="clear" w:color="auto" w:fill="auto"/>
            <w:hideMark/>
          </w:tcPr>
          <w:p w14:paraId="0F8DF198" w14:textId="77777777" w:rsidR="004D61D1" w:rsidRPr="004D61D1" w:rsidRDefault="004D61D1" w:rsidP="004D61D1">
            <w:r w:rsidRPr="004D61D1">
              <w:t>RRF  </w:t>
            </w:r>
          </w:p>
        </w:tc>
        <w:tc>
          <w:tcPr>
            <w:tcW w:w="3540" w:type="dxa"/>
            <w:shd w:val="clear" w:color="auto" w:fill="auto"/>
            <w:hideMark/>
          </w:tcPr>
          <w:p w14:paraId="537A0CA4" w14:textId="77777777" w:rsidR="004D61D1" w:rsidRPr="004D61D1" w:rsidRDefault="004D61D1" w:rsidP="004D61D1">
            <w:r w:rsidRPr="004D61D1">
              <w:t>Residential Refrigeration  </w:t>
            </w:r>
          </w:p>
        </w:tc>
        <w:tc>
          <w:tcPr>
            <w:tcW w:w="990" w:type="dxa"/>
            <w:shd w:val="clear" w:color="auto" w:fill="auto"/>
            <w:hideMark/>
          </w:tcPr>
          <w:p w14:paraId="0C43C0CE" w14:textId="77777777" w:rsidR="004D61D1" w:rsidRPr="004D61D1" w:rsidRDefault="004D61D1" w:rsidP="004D61D1">
            <w:r w:rsidRPr="004D61D1">
              <w:t>PJ  </w:t>
            </w:r>
          </w:p>
        </w:tc>
        <w:tc>
          <w:tcPr>
            <w:tcW w:w="1695" w:type="dxa"/>
            <w:shd w:val="clear" w:color="auto" w:fill="auto"/>
            <w:hideMark/>
          </w:tcPr>
          <w:p w14:paraId="1E484E6B" w14:textId="77777777" w:rsidR="004D61D1" w:rsidRPr="004D61D1" w:rsidRDefault="004D61D1" w:rsidP="004D61D1">
            <w:r w:rsidRPr="004D61D1">
              <w:t>HOU/GDPPHOU*  </w:t>
            </w:r>
          </w:p>
        </w:tc>
      </w:tr>
      <w:tr w:rsidR="004D61D1" w:rsidRPr="004D61D1" w14:paraId="671D0A06" w14:textId="77777777" w:rsidTr="00D54043">
        <w:trPr>
          <w:trHeight w:val="300"/>
          <w:jc w:val="center"/>
        </w:trPr>
        <w:tc>
          <w:tcPr>
            <w:tcW w:w="735" w:type="dxa"/>
            <w:shd w:val="clear" w:color="auto" w:fill="auto"/>
            <w:hideMark/>
          </w:tcPr>
          <w:p w14:paraId="14C4BB60" w14:textId="77777777" w:rsidR="004D61D1" w:rsidRPr="004D61D1" w:rsidRDefault="004D61D1" w:rsidP="004D61D1">
            <w:r w:rsidRPr="004D61D1">
              <w:t>NEU  </w:t>
            </w:r>
          </w:p>
        </w:tc>
        <w:tc>
          <w:tcPr>
            <w:tcW w:w="3540" w:type="dxa"/>
            <w:shd w:val="clear" w:color="auto" w:fill="auto"/>
            <w:hideMark/>
          </w:tcPr>
          <w:p w14:paraId="5A550C9E" w14:textId="29AD3FAD" w:rsidR="004D61D1" w:rsidRPr="004D61D1" w:rsidRDefault="003758BB" w:rsidP="004D61D1">
            <w:r w:rsidRPr="004D61D1">
              <w:t>Non-Energy</w:t>
            </w:r>
            <w:r w:rsidR="004D61D1" w:rsidRPr="004D61D1">
              <w:t xml:space="preserve"> Uses  </w:t>
            </w:r>
          </w:p>
        </w:tc>
        <w:tc>
          <w:tcPr>
            <w:tcW w:w="990" w:type="dxa"/>
            <w:shd w:val="clear" w:color="auto" w:fill="auto"/>
            <w:hideMark/>
          </w:tcPr>
          <w:p w14:paraId="0BD1F2D3" w14:textId="77777777" w:rsidR="004D61D1" w:rsidRPr="004D61D1" w:rsidRDefault="004D61D1" w:rsidP="004D61D1">
            <w:r w:rsidRPr="004D61D1">
              <w:t>PJ  </w:t>
            </w:r>
          </w:p>
        </w:tc>
        <w:tc>
          <w:tcPr>
            <w:tcW w:w="1695" w:type="dxa"/>
            <w:shd w:val="clear" w:color="auto" w:fill="auto"/>
            <w:hideMark/>
          </w:tcPr>
          <w:p w14:paraId="105D51EF" w14:textId="77777777" w:rsidR="004D61D1" w:rsidRPr="004D61D1" w:rsidRDefault="004D61D1" w:rsidP="004D61D1">
            <w:r w:rsidRPr="004D61D1">
              <w:t>GDP  </w:t>
            </w:r>
          </w:p>
        </w:tc>
      </w:tr>
      <w:tr w:rsidR="004D61D1" w:rsidRPr="004D61D1" w14:paraId="7784246A" w14:textId="77777777" w:rsidTr="00D54043">
        <w:trPr>
          <w:trHeight w:val="300"/>
          <w:jc w:val="center"/>
        </w:trPr>
        <w:tc>
          <w:tcPr>
            <w:tcW w:w="735" w:type="dxa"/>
            <w:shd w:val="clear" w:color="auto" w:fill="auto"/>
            <w:hideMark/>
          </w:tcPr>
          <w:p w14:paraId="60167DF7" w14:textId="77777777" w:rsidR="004D61D1" w:rsidRPr="004D61D1" w:rsidRDefault="004D61D1" w:rsidP="004D61D1">
            <w:r w:rsidRPr="004D61D1">
              <w:t>TAD  </w:t>
            </w:r>
          </w:p>
        </w:tc>
        <w:tc>
          <w:tcPr>
            <w:tcW w:w="3540" w:type="dxa"/>
            <w:shd w:val="clear" w:color="auto" w:fill="auto"/>
            <w:hideMark/>
          </w:tcPr>
          <w:p w14:paraId="59EB5B40" w14:textId="77777777" w:rsidR="004D61D1" w:rsidRPr="004D61D1" w:rsidRDefault="004D61D1" w:rsidP="004D61D1">
            <w:r w:rsidRPr="004D61D1">
              <w:t>Domestic Aviation  </w:t>
            </w:r>
          </w:p>
        </w:tc>
        <w:tc>
          <w:tcPr>
            <w:tcW w:w="990" w:type="dxa"/>
            <w:shd w:val="clear" w:color="auto" w:fill="auto"/>
            <w:hideMark/>
          </w:tcPr>
          <w:p w14:paraId="35187D05" w14:textId="77777777" w:rsidR="004D61D1" w:rsidRPr="004D61D1" w:rsidRDefault="004D61D1" w:rsidP="004D61D1">
            <w:r w:rsidRPr="004D61D1">
              <w:t>PJ  </w:t>
            </w:r>
          </w:p>
        </w:tc>
        <w:tc>
          <w:tcPr>
            <w:tcW w:w="1695" w:type="dxa"/>
            <w:shd w:val="clear" w:color="auto" w:fill="auto"/>
            <w:hideMark/>
          </w:tcPr>
          <w:p w14:paraId="0780E955" w14:textId="77777777" w:rsidR="004D61D1" w:rsidRPr="004D61D1" w:rsidRDefault="004D61D1" w:rsidP="004D61D1">
            <w:r w:rsidRPr="004D61D1">
              <w:t>GDP  </w:t>
            </w:r>
          </w:p>
        </w:tc>
      </w:tr>
      <w:tr w:rsidR="004D61D1" w:rsidRPr="004D61D1" w14:paraId="7CC92663" w14:textId="77777777" w:rsidTr="00D54043">
        <w:trPr>
          <w:trHeight w:val="300"/>
          <w:jc w:val="center"/>
        </w:trPr>
        <w:tc>
          <w:tcPr>
            <w:tcW w:w="735" w:type="dxa"/>
            <w:shd w:val="clear" w:color="auto" w:fill="auto"/>
            <w:hideMark/>
          </w:tcPr>
          <w:p w14:paraId="2375DBBD" w14:textId="77777777" w:rsidR="004D61D1" w:rsidRPr="004D61D1" w:rsidRDefault="004D61D1" w:rsidP="004D61D1">
            <w:r w:rsidRPr="004D61D1">
              <w:t>TAI  </w:t>
            </w:r>
          </w:p>
        </w:tc>
        <w:tc>
          <w:tcPr>
            <w:tcW w:w="3540" w:type="dxa"/>
            <w:shd w:val="clear" w:color="auto" w:fill="auto"/>
            <w:hideMark/>
          </w:tcPr>
          <w:p w14:paraId="7B7BA46B" w14:textId="77777777" w:rsidR="004D61D1" w:rsidRPr="004D61D1" w:rsidRDefault="004D61D1" w:rsidP="004D61D1">
            <w:r w:rsidRPr="004D61D1">
              <w:t>International Aviation  </w:t>
            </w:r>
          </w:p>
        </w:tc>
        <w:tc>
          <w:tcPr>
            <w:tcW w:w="990" w:type="dxa"/>
            <w:shd w:val="clear" w:color="auto" w:fill="auto"/>
            <w:hideMark/>
          </w:tcPr>
          <w:p w14:paraId="515F9701" w14:textId="77777777" w:rsidR="004D61D1" w:rsidRPr="004D61D1" w:rsidRDefault="004D61D1" w:rsidP="004D61D1">
            <w:r w:rsidRPr="004D61D1">
              <w:t>PJ  </w:t>
            </w:r>
          </w:p>
        </w:tc>
        <w:tc>
          <w:tcPr>
            <w:tcW w:w="1695" w:type="dxa"/>
            <w:shd w:val="clear" w:color="auto" w:fill="auto"/>
            <w:hideMark/>
          </w:tcPr>
          <w:p w14:paraId="5B30DE33" w14:textId="77777777" w:rsidR="004D61D1" w:rsidRPr="004D61D1" w:rsidRDefault="004D61D1" w:rsidP="004D61D1">
            <w:r w:rsidRPr="004D61D1">
              <w:t>GDP  </w:t>
            </w:r>
          </w:p>
        </w:tc>
      </w:tr>
      <w:tr w:rsidR="004D61D1" w:rsidRPr="004D61D1" w14:paraId="564106B4" w14:textId="77777777" w:rsidTr="00D54043">
        <w:trPr>
          <w:trHeight w:val="300"/>
          <w:jc w:val="center"/>
        </w:trPr>
        <w:tc>
          <w:tcPr>
            <w:tcW w:w="735" w:type="dxa"/>
            <w:shd w:val="clear" w:color="auto" w:fill="auto"/>
            <w:hideMark/>
          </w:tcPr>
          <w:p w14:paraId="4BD29854" w14:textId="77777777" w:rsidR="004D61D1" w:rsidRPr="004D61D1" w:rsidRDefault="004D61D1" w:rsidP="004D61D1">
            <w:r w:rsidRPr="004D61D1">
              <w:t>TRB  </w:t>
            </w:r>
          </w:p>
        </w:tc>
        <w:tc>
          <w:tcPr>
            <w:tcW w:w="3540" w:type="dxa"/>
            <w:shd w:val="clear" w:color="auto" w:fill="auto"/>
            <w:hideMark/>
          </w:tcPr>
          <w:p w14:paraId="692AABCD" w14:textId="77777777" w:rsidR="004D61D1" w:rsidRPr="004D61D1" w:rsidRDefault="004D61D1" w:rsidP="004D61D1">
            <w:r w:rsidRPr="004D61D1">
              <w:t>Road Bus Demand  </w:t>
            </w:r>
          </w:p>
        </w:tc>
        <w:tc>
          <w:tcPr>
            <w:tcW w:w="990" w:type="dxa"/>
            <w:shd w:val="clear" w:color="auto" w:fill="auto"/>
            <w:hideMark/>
          </w:tcPr>
          <w:p w14:paraId="250DB6C9"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1A29F24C" w14:textId="77777777" w:rsidR="004D61D1" w:rsidRPr="004D61D1" w:rsidRDefault="004D61D1" w:rsidP="004D61D1">
            <w:r w:rsidRPr="004D61D1">
              <w:t>POP  </w:t>
            </w:r>
          </w:p>
        </w:tc>
      </w:tr>
      <w:tr w:rsidR="004D61D1" w:rsidRPr="004D61D1" w14:paraId="7D3FB85A" w14:textId="77777777" w:rsidTr="00D54043">
        <w:trPr>
          <w:trHeight w:val="300"/>
          <w:jc w:val="center"/>
        </w:trPr>
        <w:tc>
          <w:tcPr>
            <w:tcW w:w="735" w:type="dxa"/>
            <w:shd w:val="clear" w:color="auto" w:fill="auto"/>
            <w:hideMark/>
          </w:tcPr>
          <w:p w14:paraId="17AB10F8" w14:textId="77777777" w:rsidR="004D61D1" w:rsidRPr="004D61D1" w:rsidRDefault="004D61D1" w:rsidP="004D61D1">
            <w:r w:rsidRPr="004D61D1">
              <w:t>TRC  </w:t>
            </w:r>
          </w:p>
        </w:tc>
        <w:tc>
          <w:tcPr>
            <w:tcW w:w="3540" w:type="dxa"/>
            <w:shd w:val="clear" w:color="auto" w:fill="auto"/>
            <w:hideMark/>
          </w:tcPr>
          <w:p w14:paraId="18B6AAF3" w14:textId="77777777" w:rsidR="004D61D1" w:rsidRPr="004D61D1" w:rsidRDefault="004D61D1" w:rsidP="004D61D1">
            <w:r w:rsidRPr="004D61D1">
              <w:t>Road Commercial Trucks Demand  </w:t>
            </w:r>
          </w:p>
        </w:tc>
        <w:tc>
          <w:tcPr>
            <w:tcW w:w="990" w:type="dxa"/>
            <w:shd w:val="clear" w:color="auto" w:fill="auto"/>
            <w:hideMark/>
          </w:tcPr>
          <w:p w14:paraId="32C8F03D"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61B52455" w14:textId="77777777" w:rsidR="004D61D1" w:rsidRPr="004D61D1" w:rsidRDefault="004D61D1" w:rsidP="004D61D1">
            <w:r w:rsidRPr="004D61D1">
              <w:t>GDP  </w:t>
            </w:r>
          </w:p>
        </w:tc>
      </w:tr>
      <w:tr w:rsidR="004D61D1" w:rsidRPr="004D61D1" w14:paraId="4C6FB252" w14:textId="77777777" w:rsidTr="00D54043">
        <w:trPr>
          <w:trHeight w:val="300"/>
          <w:jc w:val="center"/>
        </w:trPr>
        <w:tc>
          <w:tcPr>
            <w:tcW w:w="735" w:type="dxa"/>
            <w:shd w:val="clear" w:color="auto" w:fill="auto"/>
            <w:hideMark/>
          </w:tcPr>
          <w:p w14:paraId="10904EFB" w14:textId="77777777" w:rsidR="004D61D1" w:rsidRPr="004D61D1" w:rsidRDefault="004D61D1" w:rsidP="004D61D1">
            <w:r w:rsidRPr="004D61D1">
              <w:lastRenderedPageBreak/>
              <w:t>TRE  </w:t>
            </w:r>
          </w:p>
        </w:tc>
        <w:tc>
          <w:tcPr>
            <w:tcW w:w="3540" w:type="dxa"/>
            <w:shd w:val="clear" w:color="auto" w:fill="auto"/>
            <w:hideMark/>
          </w:tcPr>
          <w:p w14:paraId="0B32B772" w14:textId="77777777" w:rsidR="004D61D1" w:rsidRPr="004D61D1" w:rsidRDefault="004D61D1" w:rsidP="004D61D1">
            <w:r w:rsidRPr="004D61D1">
              <w:t>Road Three Wheels Demand  </w:t>
            </w:r>
          </w:p>
        </w:tc>
        <w:tc>
          <w:tcPr>
            <w:tcW w:w="990" w:type="dxa"/>
            <w:shd w:val="clear" w:color="auto" w:fill="auto"/>
            <w:hideMark/>
          </w:tcPr>
          <w:p w14:paraId="33B45619"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2857D413" w14:textId="77777777" w:rsidR="004D61D1" w:rsidRPr="004D61D1" w:rsidRDefault="004D61D1" w:rsidP="004D61D1">
            <w:r w:rsidRPr="004D61D1">
              <w:t>POP  </w:t>
            </w:r>
          </w:p>
        </w:tc>
      </w:tr>
      <w:tr w:rsidR="004D61D1" w:rsidRPr="004D61D1" w14:paraId="4B1DF313" w14:textId="77777777" w:rsidTr="00D54043">
        <w:trPr>
          <w:trHeight w:val="300"/>
          <w:jc w:val="center"/>
        </w:trPr>
        <w:tc>
          <w:tcPr>
            <w:tcW w:w="735" w:type="dxa"/>
            <w:shd w:val="clear" w:color="auto" w:fill="auto"/>
            <w:hideMark/>
          </w:tcPr>
          <w:p w14:paraId="7418D053" w14:textId="77777777" w:rsidR="004D61D1" w:rsidRPr="004D61D1" w:rsidRDefault="004D61D1" w:rsidP="004D61D1">
            <w:r w:rsidRPr="004D61D1">
              <w:t>TRH  </w:t>
            </w:r>
          </w:p>
        </w:tc>
        <w:tc>
          <w:tcPr>
            <w:tcW w:w="3540" w:type="dxa"/>
            <w:shd w:val="clear" w:color="auto" w:fill="auto"/>
            <w:hideMark/>
          </w:tcPr>
          <w:p w14:paraId="76FCE680" w14:textId="77777777" w:rsidR="004D61D1" w:rsidRPr="004D61D1" w:rsidRDefault="004D61D1" w:rsidP="004D61D1">
            <w:r w:rsidRPr="004D61D1">
              <w:t>Road Heavy Trucks Demand  </w:t>
            </w:r>
          </w:p>
        </w:tc>
        <w:tc>
          <w:tcPr>
            <w:tcW w:w="990" w:type="dxa"/>
            <w:shd w:val="clear" w:color="auto" w:fill="auto"/>
            <w:hideMark/>
          </w:tcPr>
          <w:p w14:paraId="5F23C17F"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79C30EDB" w14:textId="77777777" w:rsidR="004D61D1" w:rsidRPr="004D61D1" w:rsidRDefault="004D61D1" w:rsidP="004D61D1">
            <w:r w:rsidRPr="004D61D1">
              <w:t>GDP  </w:t>
            </w:r>
          </w:p>
        </w:tc>
      </w:tr>
      <w:tr w:rsidR="004D61D1" w:rsidRPr="004D61D1" w14:paraId="295BDE25" w14:textId="77777777" w:rsidTr="00D54043">
        <w:trPr>
          <w:trHeight w:val="300"/>
          <w:jc w:val="center"/>
        </w:trPr>
        <w:tc>
          <w:tcPr>
            <w:tcW w:w="735" w:type="dxa"/>
            <w:shd w:val="clear" w:color="auto" w:fill="auto"/>
            <w:hideMark/>
          </w:tcPr>
          <w:p w14:paraId="57030222" w14:textId="77777777" w:rsidR="004D61D1" w:rsidRPr="004D61D1" w:rsidRDefault="004D61D1" w:rsidP="004D61D1">
            <w:r w:rsidRPr="004D61D1">
              <w:t>TRL  </w:t>
            </w:r>
          </w:p>
        </w:tc>
        <w:tc>
          <w:tcPr>
            <w:tcW w:w="3540" w:type="dxa"/>
            <w:shd w:val="clear" w:color="auto" w:fill="auto"/>
            <w:hideMark/>
          </w:tcPr>
          <w:p w14:paraId="2975B136" w14:textId="77777777" w:rsidR="004D61D1" w:rsidRPr="004D61D1" w:rsidRDefault="004D61D1" w:rsidP="004D61D1">
            <w:r w:rsidRPr="004D61D1">
              <w:t>Road Light Vehicle Demand  </w:t>
            </w:r>
          </w:p>
        </w:tc>
        <w:tc>
          <w:tcPr>
            <w:tcW w:w="990" w:type="dxa"/>
            <w:shd w:val="clear" w:color="auto" w:fill="auto"/>
            <w:hideMark/>
          </w:tcPr>
          <w:p w14:paraId="231C3CCF"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0D55A306" w14:textId="77777777" w:rsidR="004D61D1" w:rsidRPr="004D61D1" w:rsidRDefault="004D61D1" w:rsidP="004D61D1">
            <w:r w:rsidRPr="004D61D1">
              <w:t>GDP  </w:t>
            </w:r>
          </w:p>
        </w:tc>
      </w:tr>
      <w:tr w:rsidR="004D61D1" w:rsidRPr="004D61D1" w14:paraId="76AE8BB1" w14:textId="77777777" w:rsidTr="00D54043">
        <w:trPr>
          <w:trHeight w:val="300"/>
          <w:jc w:val="center"/>
        </w:trPr>
        <w:tc>
          <w:tcPr>
            <w:tcW w:w="735" w:type="dxa"/>
            <w:shd w:val="clear" w:color="auto" w:fill="auto"/>
            <w:hideMark/>
          </w:tcPr>
          <w:p w14:paraId="4465F76D" w14:textId="77777777" w:rsidR="004D61D1" w:rsidRPr="004D61D1" w:rsidRDefault="004D61D1" w:rsidP="004D61D1">
            <w:r w:rsidRPr="004D61D1">
              <w:t>TRM  </w:t>
            </w:r>
          </w:p>
        </w:tc>
        <w:tc>
          <w:tcPr>
            <w:tcW w:w="3540" w:type="dxa"/>
            <w:shd w:val="clear" w:color="auto" w:fill="auto"/>
            <w:hideMark/>
          </w:tcPr>
          <w:p w14:paraId="16D1DD1A" w14:textId="77777777" w:rsidR="004D61D1" w:rsidRPr="004D61D1" w:rsidRDefault="004D61D1" w:rsidP="004D61D1">
            <w:r w:rsidRPr="004D61D1">
              <w:t>Road Medium Trucks Demand  </w:t>
            </w:r>
          </w:p>
        </w:tc>
        <w:tc>
          <w:tcPr>
            <w:tcW w:w="990" w:type="dxa"/>
            <w:shd w:val="clear" w:color="auto" w:fill="auto"/>
            <w:hideMark/>
          </w:tcPr>
          <w:p w14:paraId="0C1BF362"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2754AE46" w14:textId="77777777" w:rsidR="004D61D1" w:rsidRPr="004D61D1" w:rsidRDefault="004D61D1" w:rsidP="004D61D1">
            <w:r w:rsidRPr="004D61D1">
              <w:t>GDP  </w:t>
            </w:r>
          </w:p>
        </w:tc>
      </w:tr>
      <w:tr w:rsidR="004D61D1" w:rsidRPr="004D61D1" w14:paraId="09823D21" w14:textId="77777777" w:rsidTr="00D54043">
        <w:trPr>
          <w:trHeight w:val="300"/>
          <w:jc w:val="center"/>
        </w:trPr>
        <w:tc>
          <w:tcPr>
            <w:tcW w:w="735" w:type="dxa"/>
            <w:shd w:val="clear" w:color="auto" w:fill="auto"/>
            <w:hideMark/>
          </w:tcPr>
          <w:p w14:paraId="21320475" w14:textId="77777777" w:rsidR="004D61D1" w:rsidRPr="004D61D1" w:rsidRDefault="004D61D1" w:rsidP="004D61D1">
            <w:r w:rsidRPr="004D61D1">
              <w:t>TRT  </w:t>
            </w:r>
          </w:p>
        </w:tc>
        <w:tc>
          <w:tcPr>
            <w:tcW w:w="3540" w:type="dxa"/>
            <w:shd w:val="clear" w:color="auto" w:fill="auto"/>
            <w:hideMark/>
          </w:tcPr>
          <w:p w14:paraId="16E1B96C" w14:textId="77777777" w:rsidR="004D61D1" w:rsidRPr="004D61D1" w:rsidRDefault="004D61D1" w:rsidP="004D61D1">
            <w:r w:rsidRPr="004D61D1">
              <w:t>Road Auto Demand  </w:t>
            </w:r>
          </w:p>
        </w:tc>
        <w:tc>
          <w:tcPr>
            <w:tcW w:w="990" w:type="dxa"/>
            <w:shd w:val="clear" w:color="auto" w:fill="auto"/>
            <w:hideMark/>
          </w:tcPr>
          <w:p w14:paraId="6C93318F"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65E1262B" w14:textId="77777777" w:rsidR="004D61D1" w:rsidRPr="004D61D1" w:rsidRDefault="004D61D1" w:rsidP="004D61D1">
            <w:r w:rsidRPr="004D61D1">
              <w:t>GDPP  </w:t>
            </w:r>
          </w:p>
        </w:tc>
      </w:tr>
      <w:tr w:rsidR="004D61D1" w:rsidRPr="004D61D1" w14:paraId="17D896B7" w14:textId="77777777" w:rsidTr="00D54043">
        <w:trPr>
          <w:trHeight w:val="300"/>
          <w:jc w:val="center"/>
        </w:trPr>
        <w:tc>
          <w:tcPr>
            <w:tcW w:w="735" w:type="dxa"/>
            <w:shd w:val="clear" w:color="auto" w:fill="auto"/>
            <w:hideMark/>
          </w:tcPr>
          <w:p w14:paraId="646FD7FA" w14:textId="77777777" w:rsidR="004D61D1" w:rsidRPr="004D61D1" w:rsidRDefault="004D61D1" w:rsidP="004D61D1">
            <w:r w:rsidRPr="004D61D1">
              <w:t>TRW  </w:t>
            </w:r>
          </w:p>
        </w:tc>
        <w:tc>
          <w:tcPr>
            <w:tcW w:w="3540" w:type="dxa"/>
            <w:shd w:val="clear" w:color="auto" w:fill="auto"/>
            <w:hideMark/>
          </w:tcPr>
          <w:p w14:paraId="31BD8C7B" w14:textId="77777777" w:rsidR="004D61D1" w:rsidRPr="004D61D1" w:rsidRDefault="004D61D1" w:rsidP="004D61D1">
            <w:r w:rsidRPr="004D61D1">
              <w:t>Road Two Wheels Demand  </w:t>
            </w:r>
          </w:p>
        </w:tc>
        <w:tc>
          <w:tcPr>
            <w:tcW w:w="990" w:type="dxa"/>
            <w:shd w:val="clear" w:color="auto" w:fill="auto"/>
            <w:hideMark/>
          </w:tcPr>
          <w:p w14:paraId="4FC30B6C" w14:textId="77777777" w:rsidR="004D61D1" w:rsidRPr="004D61D1" w:rsidRDefault="004D61D1" w:rsidP="004D61D1">
            <w:proofErr w:type="spellStart"/>
            <w:r w:rsidRPr="004D61D1">
              <w:t>Bv</w:t>
            </w:r>
            <w:proofErr w:type="spellEnd"/>
            <w:r w:rsidRPr="004D61D1">
              <w:t>-km  </w:t>
            </w:r>
          </w:p>
        </w:tc>
        <w:tc>
          <w:tcPr>
            <w:tcW w:w="1695" w:type="dxa"/>
            <w:shd w:val="clear" w:color="auto" w:fill="auto"/>
            <w:hideMark/>
          </w:tcPr>
          <w:p w14:paraId="089A05AE" w14:textId="77777777" w:rsidR="004D61D1" w:rsidRPr="004D61D1" w:rsidRDefault="004D61D1" w:rsidP="004D61D1">
            <w:r w:rsidRPr="004D61D1">
              <w:t>POP  </w:t>
            </w:r>
          </w:p>
        </w:tc>
      </w:tr>
      <w:tr w:rsidR="004D61D1" w:rsidRPr="004D61D1" w14:paraId="1CB71D08" w14:textId="77777777" w:rsidTr="00D54043">
        <w:trPr>
          <w:trHeight w:val="300"/>
          <w:jc w:val="center"/>
        </w:trPr>
        <w:tc>
          <w:tcPr>
            <w:tcW w:w="735" w:type="dxa"/>
            <w:shd w:val="clear" w:color="auto" w:fill="auto"/>
            <w:hideMark/>
          </w:tcPr>
          <w:p w14:paraId="6B1AAE4A" w14:textId="77777777" w:rsidR="004D61D1" w:rsidRPr="004D61D1" w:rsidRDefault="004D61D1" w:rsidP="004D61D1">
            <w:r w:rsidRPr="004D61D1">
              <w:t>TTF  </w:t>
            </w:r>
          </w:p>
        </w:tc>
        <w:tc>
          <w:tcPr>
            <w:tcW w:w="3540" w:type="dxa"/>
            <w:shd w:val="clear" w:color="auto" w:fill="auto"/>
            <w:hideMark/>
          </w:tcPr>
          <w:p w14:paraId="799D357B" w14:textId="77777777" w:rsidR="004D61D1" w:rsidRPr="004D61D1" w:rsidRDefault="004D61D1" w:rsidP="004D61D1">
            <w:r w:rsidRPr="004D61D1">
              <w:t>Rail-Freight  </w:t>
            </w:r>
          </w:p>
        </w:tc>
        <w:tc>
          <w:tcPr>
            <w:tcW w:w="990" w:type="dxa"/>
            <w:shd w:val="clear" w:color="auto" w:fill="auto"/>
            <w:hideMark/>
          </w:tcPr>
          <w:p w14:paraId="1F199F67" w14:textId="77777777" w:rsidR="004D61D1" w:rsidRPr="004D61D1" w:rsidRDefault="004D61D1" w:rsidP="004D61D1">
            <w:r w:rsidRPr="004D61D1">
              <w:t>PJ  </w:t>
            </w:r>
          </w:p>
        </w:tc>
        <w:tc>
          <w:tcPr>
            <w:tcW w:w="1695" w:type="dxa"/>
            <w:shd w:val="clear" w:color="auto" w:fill="auto"/>
            <w:hideMark/>
          </w:tcPr>
          <w:p w14:paraId="350505AA" w14:textId="77777777" w:rsidR="004D61D1" w:rsidRPr="004D61D1" w:rsidRDefault="004D61D1" w:rsidP="004D61D1">
            <w:r w:rsidRPr="004D61D1">
              <w:t>GDP  </w:t>
            </w:r>
          </w:p>
        </w:tc>
      </w:tr>
      <w:tr w:rsidR="004D61D1" w:rsidRPr="004D61D1" w14:paraId="1A6ECD1A" w14:textId="77777777" w:rsidTr="00D54043">
        <w:trPr>
          <w:trHeight w:val="300"/>
          <w:jc w:val="center"/>
        </w:trPr>
        <w:tc>
          <w:tcPr>
            <w:tcW w:w="735" w:type="dxa"/>
            <w:shd w:val="clear" w:color="auto" w:fill="auto"/>
            <w:hideMark/>
          </w:tcPr>
          <w:p w14:paraId="37E18051" w14:textId="77777777" w:rsidR="004D61D1" w:rsidRPr="004D61D1" w:rsidRDefault="004D61D1" w:rsidP="004D61D1">
            <w:r w:rsidRPr="004D61D1">
              <w:t>TTP  </w:t>
            </w:r>
          </w:p>
        </w:tc>
        <w:tc>
          <w:tcPr>
            <w:tcW w:w="3540" w:type="dxa"/>
            <w:shd w:val="clear" w:color="auto" w:fill="auto"/>
            <w:hideMark/>
          </w:tcPr>
          <w:p w14:paraId="6104770B" w14:textId="77777777" w:rsidR="004D61D1" w:rsidRPr="004D61D1" w:rsidRDefault="004D61D1" w:rsidP="004D61D1">
            <w:r w:rsidRPr="004D61D1">
              <w:t>Rail-Passengers  </w:t>
            </w:r>
          </w:p>
        </w:tc>
        <w:tc>
          <w:tcPr>
            <w:tcW w:w="990" w:type="dxa"/>
            <w:shd w:val="clear" w:color="auto" w:fill="auto"/>
            <w:hideMark/>
          </w:tcPr>
          <w:p w14:paraId="0357D61D" w14:textId="77777777" w:rsidR="004D61D1" w:rsidRPr="004D61D1" w:rsidRDefault="004D61D1" w:rsidP="004D61D1">
            <w:r w:rsidRPr="004D61D1">
              <w:t>PJ  </w:t>
            </w:r>
          </w:p>
        </w:tc>
        <w:tc>
          <w:tcPr>
            <w:tcW w:w="1695" w:type="dxa"/>
            <w:shd w:val="clear" w:color="auto" w:fill="auto"/>
            <w:hideMark/>
          </w:tcPr>
          <w:p w14:paraId="5BBDC657" w14:textId="77777777" w:rsidR="004D61D1" w:rsidRPr="004D61D1" w:rsidRDefault="004D61D1" w:rsidP="004D61D1">
            <w:r w:rsidRPr="004D61D1">
              <w:t>POP  </w:t>
            </w:r>
          </w:p>
        </w:tc>
      </w:tr>
      <w:tr w:rsidR="004D61D1" w:rsidRPr="004D61D1" w14:paraId="1E146AF9" w14:textId="77777777" w:rsidTr="00D54043">
        <w:trPr>
          <w:trHeight w:val="300"/>
          <w:jc w:val="center"/>
        </w:trPr>
        <w:tc>
          <w:tcPr>
            <w:tcW w:w="735" w:type="dxa"/>
            <w:shd w:val="clear" w:color="auto" w:fill="auto"/>
            <w:hideMark/>
          </w:tcPr>
          <w:p w14:paraId="27BF1B97" w14:textId="77777777" w:rsidR="004D61D1" w:rsidRPr="004D61D1" w:rsidRDefault="004D61D1" w:rsidP="004D61D1">
            <w:r w:rsidRPr="004D61D1">
              <w:t>TWD  </w:t>
            </w:r>
          </w:p>
        </w:tc>
        <w:tc>
          <w:tcPr>
            <w:tcW w:w="3540" w:type="dxa"/>
            <w:shd w:val="clear" w:color="auto" w:fill="auto"/>
            <w:hideMark/>
          </w:tcPr>
          <w:p w14:paraId="69922BB9" w14:textId="77777777" w:rsidR="004D61D1" w:rsidRPr="004D61D1" w:rsidRDefault="004D61D1" w:rsidP="004D61D1">
            <w:r w:rsidRPr="004D61D1">
              <w:t>Domestic Internal Navigation  </w:t>
            </w:r>
          </w:p>
        </w:tc>
        <w:tc>
          <w:tcPr>
            <w:tcW w:w="990" w:type="dxa"/>
            <w:shd w:val="clear" w:color="auto" w:fill="auto"/>
            <w:hideMark/>
          </w:tcPr>
          <w:p w14:paraId="27A43711" w14:textId="77777777" w:rsidR="004D61D1" w:rsidRPr="004D61D1" w:rsidRDefault="004D61D1" w:rsidP="004D61D1">
            <w:r w:rsidRPr="004D61D1">
              <w:t>PJ  </w:t>
            </w:r>
          </w:p>
        </w:tc>
        <w:tc>
          <w:tcPr>
            <w:tcW w:w="1695" w:type="dxa"/>
            <w:shd w:val="clear" w:color="auto" w:fill="auto"/>
            <w:hideMark/>
          </w:tcPr>
          <w:p w14:paraId="61E15F5D" w14:textId="77777777" w:rsidR="004D61D1" w:rsidRPr="004D61D1" w:rsidRDefault="004D61D1" w:rsidP="004D61D1">
            <w:r w:rsidRPr="004D61D1">
              <w:t>GDP  </w:t>
            </w:r>
          </w:p>
        </w:tc>
      </w:tr>
      <w:tr w:rsidR="004D61D1" w:rsidRPr="004D61D1" w14:paraId="5CF43E3D" w14:textId="77777777" w:rsidTr="00D54043">
        <w:trPr>
          <w:trHeight w:val="300"/>
          <w:jc w:val="center"/>
        </w:trPr>
        <w:tc>
          <w:tcPr>
            <w:tcW w:w="735" w:type="dxa"/>
            <w:shd w:val="clear" w:color="auto" w:fill="auto"/>
            <w:hideMark/>
          </w:tcPr>
          <w:p w14:paraId="1058936C" w14:textId="77777777" w:rsidR="004D61D1" w:rsidRPr="004D61D1" w:rsidRDefault="004D61D1" w:rsidP="004D61D1">
            <w:r w:rsidRPr="004D61D1">
              <w:t>TWI  </w:t>
            </w:r>
          </w:p>
        </w:tc>
        <w:tc>
          <w:tcPr>
            <w:tcW w:w="3540" w:type="dxa"/>
            <w:shd w:val="clear" w:color="auto" w:fill="auto"/>
            <w:hideMark/>
          </w:tcPr>
          <w:p w14:paraId="311C5C38" w14:textId="77777777" w:rsidR="004D61D1" w:rsidRPr="004D61D1" w:rsidRDefault="004D61D1" w:rsidP="004D61D1">
            <w:r w:rsidRPr="004D61D1">
              <w:t>International Navigation  </w:t>
            </w:r>
          </w:p>
        </w:tc>
        <w:tc>
          <w:tcPr>
            <w:tcW w:w="990" w:type="dxa"/>
            <w:shd w:val="clear" w:color="auto" w:fill="auto"/>
            <w:hideMark/>
          </w:tcPr>
          <w:p w14:paraId="280A9CD9" w14:textId="77777777" w:rsidR="004D61D1" w:rsidRPr="004D61D1" w:rsidRDefault="004D61D1" w:rsidP="004D61D1">
            <w:r w:rsidRPr="004D61D1">
              <w:t>PJ  </w:t>
            </w:r>
          </w:p>
        </w:tc>
        <w:tc>
          <w:tcPr>
            <w:tcW w:w="1695" w:type="dxa"/>
            <w:shd w:val="clear" w:color="auto" w:fill="auto"/>
            <w:hideMark/>
          </w:tcPr>
          <w:p w14:paraId="3A2FF5C4" w14:textId="77777777" w:rsidR="004D61D1" w:rsidRPr="004D61D1" w:rsidRDefault="004D61D1" w:rsidP="004D61D1">
            <w:r w:rsidRPr="004D61D1">
              <w:t>GDP  </w:t>
            </w:r>
          </w:p>
        </w:tc>
      </w:tr>
      <w:tr w:rsidR="004D61D1" w:rsidRPr="004D61D1" w14:paraId="450C6863" w14:textId="77777777" w:rsidTr="00D54043">
        <w:trPr>
          <w:trHeight w:val="300"/>
          <w:jc w:val="center"/>
        </w:trPr>
        <w:tc>
          <w:tcPr>
            <w:tcW w:w="6975" w:type="dxa"/>
            <w:gridSpan w:val="4"/>
            <w:shd w:val="clear" w:color="auto" w:fill="auto"/>
            <w:hideMark/>
          </w:tcPr>
          <w:p w14:paraId="2104826E" w14:textId="4D66BF64" w:rsidR="004D61D1" w:rsidRPr="004D61D1" w:rsidRDefault="004D61D1" w:rsidP="004D61D1">
            <w:r w:rsidRPr="004D61D1">
              <w:t>*Driver is GDPPHOU for AFR, CHI, CSA, EEU, FSU, IND, MEA, MEX, ODA and</w:t>
            </w:r>
            <w:r w:rsidR="008A16C4">
              <w:t xml:space="preserve"> </w:t>
            </w:r>
            <w:r w:rsidRPr="004D61D1">
              <w:t>SKO </w:t>
            </w:r>
          </w:p>
        </w:tc>
      </w:tr>
    </w:tbl>
    <w:p w14:paraId="080D812C" w14:textId="7331343D" w:rsidR="004D61D1" w:rsidRPr="004D61D1" w:rsidRDefault="004D61D1" w:rsidP="004D61D1"/>
    <w:p w14:paraId="41A76D1C" w14:textId="79247828" w:rsidR="006C60DD" w:rsidRDefault="004D61D1" w:rsidP="004D61D1">
      <w:r w:rsidRPr="004D61D1">
        <w:t>Each service demand is projected from 2005-2100 by relating it to a given demand driver and using the expression: </w:t>
      </w:r>
    </w:p>
    <w:p w14:paraId="4280DE64" w14:textId="0783B09B" w:rsidR="002379C1" w:rsidRPr="004D61D1" w:rsidRDefault="00725FA1" w:rsidP="004D61D1">
      <m:oMathPara>
        <m:oMath>
          <m:sSub>
            <m:sSubPr>
              <m:ctrlPr>
                <w:rPr>
                  <w:rFonts w:ascii="Cambria Math" w:hAnsi="Cambria Math"/>
                  <w:i/>
                </w:rPr>
              </m:ctrlPr>
            </m:sSubPr>
            <m:e>
              <m:r>
                <w:rPr>
                  <w:rFonts w:ascii="Cambria Math" w:hAnsi="Cambria Math"/>
                </w:rPr>
                <m:t>ESD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ESD</m:t>
              </m:r>
            </m:e>
            <m:sub>
              <m:r>
                <w:rPr>
                  <w:rFonts w:ascii="Cambria Math" w:hAnsi="Cambria Math"/>
                </w:rPr>
                <m:t>t-1</m:t>
              </m:r>
            </m:sub>
          </m:sSub>
          <m:r>
            <w:rPr>
              <w:rFonts w:ascii="Cambria Math" w:hAnsi="Cambria Math"/>
            </w:rPr>
            <m:t>(</m:t>
          </m:r>
          <m:sSup>
            <m:sSupPr>
              <m:ctrlPr>
                <w:rPr>
                  <w:rFonts w:ascii="Cambria Math" w:hAnsi="Cambria Math"/>
                </w:rPr>
              </m:ctrlPr>
            </m:sSupPr>
            <m:e>
              <m:f>
                <m:fPr>
                  <m:ctrlPr>
                    <w:rPr>
                      <w:rFonts w:ascii="Cambria Math" w:hAnsi="Cambria Math"/>
                      <w:i/>
                    </w:rPr>
                  </m:ctrlPr>
                </m:fPr>
                <m:num>
                  <m:sSub>
                    <m:sSubPr>
                      <m:ctrlPr>
                        <w:rPr>
                          <w:rFonts w:ascii="Cambria Math" w:hAnsi="Cambria Math"/>
                          <w:i/>
                        </w:rPr>
                      </m:ctrlPr>
                    </m:sSubPr>
                    <m:e>
                      <m:r>
                        <w:rPr>
                          <w:rFonts w:ascii="Cambria Math" w:hAnsi="Cambria Math"/>
                        </w:rPr>
                        <m:t>Driver</m:t>
                      </m:r>
                    </m:e>
                    <m:sub>
                      <m:r>
                        <w:rPr>
                          <w:rFonts w:ascii="Cambria Math" w:hAnsi="Cambria Math"/>
                        </w:rPr>
                        <m:t>t</m:t>
                      </m:r>
                    </m:sub>
                  </m:sSub>
                </m:num>
                <m:den>
                  <m:sSub>
                    <m:sSubPr>
                      <m:ctrlPr>
                        <w:rPr>
                          <w:rFonts w:ascii="Cambria Math" w:hAnsi="Cambria Math"/>
                          <w:i/>
                        </w:rPr>
                      </m:ctrlPr>
                    </m:sSubPr>
                    <m:e>
                      <m:r>
                        <w:rPr>
                          <w:rFonts w:ascii="Cambria Math" w:hAnsi="Cambria Math"/>
                        </w:rPr>
                        <m:t>Driver</m:t>
                      </m:r>
                    </m:e>
                    <m:sub>
                      <m:r>
                        <w:rPr>
                          <w:rFonts w:ascii="Cambria Math" w:hAnsi="Cambria Math"/>
                        </w:rPr>
                        <m:t>t-1</m:t>
                      </m:r>
                    </m:sub>
                  </m:sSub>
                </m:den>
              </m:f>
              <m:r>
                <w:rPr>
                  <w:rFonts w:ascii="Cambria Math" w:hAnsi="Cambria Math"/>
                </w:rPr>
                <m:t>)</m:t>
              </m:r>
            </m:e>
            <m:sup>
              <m:sSub>
                <m:sSubPr>
                  <m:ctrlPr>
                    <w:rPr>
                      <w:rFonts w:ascii="Cambria Math" w:hAnsi="Cambria Math"/>
                      <w:i/>
                    </w:rPr>
                  </m:ctrlPr>
                </m:sSubPr>
                <m:e>
                  <m:r>
                    <w:rPr>
                      <w:rFonts w:ascii="Cambria Math" w:hAnsi="Cambria Math"/>
                    </w:rPr>
                    <m:t>∝</m:t>
                  </m:r>
                </m:e>
                <m:sub>
                  <m:r>
                    <w:rPr>
                      <w:rFonts w:ascii="Cambria Math" w:hAnsi="Cambria Math"/>
                    </w:rPr>
                    <m:t>t</m:t>
                  </m:r>
                </m:sub>
              </m:sSub>
            </m:sup>
          </m:sSup>
        </m:oMath>
      </m:oMathPara>
    </w:p>
    <w:p w14:paraId="4BC1D205" w14:textId="1C174924" w:rsidR="004D61D1" w:rsidRPr="004D61D1" w:rsidRDefault="004D61D1" w:rsidP="004D61D1">
      <w:r w:rsidRPr="004D61D1">
        <w:t xml:space="preserve">Here α is a decoupling factor which is used to adjust the strength of the relationship between demand driver and ESD, thereby reflecting shifts in the wider socio-economic system. Drivers are listed in Table </w:t>
      </w:r>
      <w:r w:rsidR="00776DE2">
        <w:t>9</w:t>
      </w:r>
      <w:r w:rsidRPr="004D61D1">
        <w:t xml:space="preserve"> and their code explained in Table </w:t>
      </w:r>
      <w:r w:rsidR="00776DE2">
        <w:t>10</w:t>
      </w:r>
      <w:r w:rsidRPr="004D61D1">
        <w:t>. The ESDs ICH, IIS, INF, INM, ILP and AGR do not use a decoupling factor and are directly linked to their respective drivers. </w:t>
      </w:r>
    </w:p>
    <w:p w14:paraId="65A2EEAB" w14:textId="53EAA228" w:rsidR="004D61D1" w:rsidRPr="004D61D1" w:rsidRDefault="00D54043" w:rsidP="00D54043">
      <w:pPr>
        <w:jc w:val="center"/>
      </w:pPr>
      <w:r w:rsidRPr="003D4570">
        <w:t xml:space="preserve">SI </w:t>
      </w:r>
      <w:r w:rsidR="008A16C4" w:rsidRPr="004D61D1">
        <w:t xml:space="preserve">Table </w:t>
      </w:r>
      <w:r w:rsidRPr="003D4570">
        <w:t>10</w:t>
      </w:r>
      <w:r w:rsidR="008A16C4" w:rsidRPr="004D61D1">
        <w:t>. List of drivers for projecting energy service demands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0"/>
        <w:gridCol w:w="5610"/>
      </w:tblGrid>
      <w:tr w:rsidR="004D61D1" w:rsidRPr="004D61D1" w14:paraId="7C80FBAF" w14:textId="77777777" w:rsidTr="00D54043">
        <w:trPr>
          <w:trHeight w:val="300"/>
          <w:jc w:val="center"/>
        </w:trPr>
        <w:tc>
          <w:tcPr>
            <w:tcW w:w="3390" w:type="dxa"/>
            <w:shd w:val="clear" w:color="auto" w:fill="ADADAD" w:themeFill="background2" w:themeFillShade="BF"/>
            <w:hideMark/>
          </w:tcPr>
          <w:p w14:paraId="36AB02B1" w14:textId="25312CBF" w:rsidR="004D61D1" w:rsidRPr="004D61D1" w:rsidRDefault="004D61D1" w:rsidP="00D54043">
            <w:pPr>
              <w:jc w:val="center"/>
              <w:rPr>
                <w:b/>
                <w:bCs/>
              </w:rPr>
            </w:pPr>
            <w:r w:rsidRPr="004D61D1">
              <w:rPr>
                <w:b/>
                <w:bCs/>
              </w:rPr>
              <w:lastRenderedPageBreak/>
              <w:t>Driver</w:t>
            </w:r>
          </w:p>
        </w:tc>
        <w:tc>
          <w:tcPr>
            <w:tcW w:w="5610" w:type="dxa"/>
            <w:shd w:val="clear" w:color="auto" w:fill="ADADAD" w:themeFill="background2" w:themeFillShade="BF"/>
            <w:hideMark/>
          </w:tcPr>
          <w:p w14:paraId="599321B5" w14:textId="6A8E5155" w:rsidR="004D61D1" w:rsidRPr="004D61D1" w:rsidRDefault="004D61D1" w:rsidP="00D54043">
            <w:pPr>
              <w:jc w:val="center"/>
              <w:rPr>
                <w:b/>
                <w:bCs/>
              </w:rPr>
            </w:pPr>
            <w:r w:rsidRPr="004D61D1">
              <w:rPr>
                <w:b/>
                <w:bCs/>
              </w:rPr>
              <w:t>Description</w:t>
            </w:r>
          </w:p>
        </w:tc>
      </w:tr>
      <w:tr w:rsidR="004D61D1" w:rsidRPr="004D61D1" w14:paraId="44EBDA2C" w14:textId="77777777" w:rsidTr="00D54043">
        <w:trPr>
          <w:trHeight w:val="300"/>
          <w:jc w:val="center"/>
        </w:trPr>
        <w:tc>
          <w:tcPr>
            <w:tcW w:w="3390" w:type="dxa"/>
            <w:shd w:val="clear" w:color="auto" w:fill="auto"/>
            <w:hideMark/>
          </w:tcPr>
          <w:p w14:paraId="7B446E18" w14:textId="70D321B0" w:rsidR="004D61D1" w:rsidRPr="004D61D1" w:rsidRDefault="004D61D1" w:rsidP="00D54043">
            <w:pPr>
              <w:jc w:val="center"/>
            </w:pPr>
            <w:r w:rsidRPr="004D61D1">
              <w:t>PICH</w:t>
            </w:r>
          </w:p>
        </w:tc>
        <w:tc>
          <w:tcPr>
            <w:tcW w:w="5610" w:type="dxa"/>
            <w:shd w:val="clear" w:color="auto" w:fill="auto"/>
            <w:hideMark/>
          </w:tcPr>
          <w:p w14:paraId="0B4082F0" w14:textId="6EC047C8" w:rsidR="004D61D1" w:rsidRPr="004D61D1" w:rsidRDefault="004D61D1" w:rsidP="00D54043">
            <w:pPr>
              <w:jc w:val="center"/>
            </w:pPr>
            <w:r w:rsidRPr="004D61D1">
              <w:t>Production of chemicals</w:t>
            </w:r>
          </w:p>
        </w:tc>
      </w:tr>
      <w:tr w:rsidR="004D61D1" w:rsidRPr="004D61D1" w14:paraId="1BCFA689" w14:textId="77777777" w:rsidTr="00D54043">
        <w:trPr>
          <w:trHeight w:val="300"/>
          <w:jc w:val="center"/>
        </w:trPr>
        <w:tc>
          <w:tcPr>
            <w:tcW w:w="3390" w:type="dxa"/>
            <w:shd w:val="clear" w:color="auto" w:fill="auto"/>
            <w:hideMark/>
          </w:tcPr>
          <w:p w14:paraId="271DB18A" w14:textId="618EC4C2" w:rsidR="004D61D1" w:rsidRPr="004D61D1" w:rsidRDefault="004D61D1" w:rsidP="00D54043">
            <w:pPr>
              <w:jc w:val="center"/>
            </w:pPr>
            <w:r w:rsidRPr="004D61D1">
              <w:t>PIIS</w:t>
            </w:r>
          </w:p>
        </w:tc>
        <w:tc>
          <w:tcPr>
            <w:tcW w:w="5610" w:type="dxa"/>
            <w:shd w:val="clear" w:color="auto" w:fill="auto"/>
            <w:hideMark/>
          </w:tcPr>
          <w:p w14:paraId="3930AFA9" w14:textId="3D1F1F1E" w:rsidR="004D61D1" w:rsidRPr="004D61D1" w:rsidRDefault="004D61D1" w:rsidP="00D54043">
            <w:pPr>
              <w:jc w:val="center"/>
            </w:pPr>
            <w:r w:rsidRPr="004D61D1">
              <w:t>Production of iron and steel</w:t>
            </w:r>
          </w:p>
        </w:tc>
      </w:tr>
      <w:tr w:rsidR="004D61D1" w:rsidRPr="004D61D1" w14:paraId="059F673A" w14:textId="77777777" w:rsidTr="00D54043">
        <w:trPr>
          <w:trHeight w:val="300"/>
          <w:jc w:val="center"/>
        </w:trPr>
        <w:tc>
          <w:tcPr>
            <w:tcW w:w="3390" w:type="dxa"/>
            <w:shd w:val="clear" w:color="auto" w:fill="auto"/>
            <w:hideMark/>
          </w:tcPr>
          <w:p w14:paraId="08349BD5" w14:textId="6DF9972A" w:rsidR="004D61D1" w:rsidRPr="004D61D1" w:rsidRDefault="004D61D1" w:rsidP="00D54043">
            <w:pPr>
              <w:jc w:val="center"/>
            </w:pPr>
            <w:r w:rsidRPr="004D61D1">
              <w:t>PINF</w:t>
            </w:r>
          </w:p>
        </w:tc>
        <w:tc>
          <w:tcPr>
            <w:tcW w:w="5610" w:type="dxa"/>
            <w:shd w:val="clear" w:color="auto" w:fill="auto"/>
            <w:hideMark/>
          </w:tcPr>
          <w:p w14:paraId="654AE77C" w14:textId="1B291B39" w:rsidR="004D61D1" w:rsidRPr="004D61D1" w:rsidRDefault="004D61D1" w:rsidP="00D54043">
            <w:pPr>
              <w:jc w:val="center"/>
            </w:pPr>
            <w:r w:rsidRPr="004D61D1">
              <w:t>Production of non-ferrous metals</w:t>
            </w:r>
          </w:p>
        </w:tc>
      </w:tr>
      <w:tr w:rsidR="004D61D1" w:rsidRPr="004D61D1" w14:paraId="75AC1920" w14:textId="77777777" w:rsidTr="00D54043">
        <w:trPr>
          <w:trHeight w:val="300"/>
          <w:jc w:val="center"/>
        </w:trPr>
        <w:tc>
          <w:tcPr>
            <w:tcW w:w="3390" w:type="dxa"/>
            <w:shd w:val="clear" w:color="auto" w:fill="auto"/>
            <w:hideMark/>
          </w:tcPr>
          <w:p w14:paraId="4F47D41E" w14:textId="13062204" w:rsidR="004D61D1" w:rsidRPr="004D61D1" w:rsidRDefault="004D61D1" w:rsidP="00D54043">
            <w:pPr>
              <w:jc w:val="center"/>
            </w:pPr>
            <w:r w:rsidRPr="004D61D1">
              <w:t>PINM</w:t>
            </w:r>
          </w:p>
        </w:tc>
        <w:tc>
          <w:tcPr>
            <w:tcW w:w="5610" w:type="dxa"/>
            <w:shd w:val="clear" w:color="auto" w:fill="auto"/>
            <w:hideMark/>
          </w:tcPr>
          <w:p w14:paraId="11A157A5" w14:textId="6D53B1CB" w:rsidR="004D61D1" w:rsidRPr="004D61D1" w:rsidRDefault="004D61D1" w:rsidP="00D54043">
            <w:pPr>
              <w:jc w:val="center"/>
            </w:pPr>
            <w:r w:rsidRPr="004D61D1">
              <w:t>Production of cement</w:t>
            </w:r>
          </w:p>
        </w:tc>
      </w:tr>
      <w:tr w:rsidR="004D61D1" w:rsidRPr="004D61D1" w14:paraId="5CCABAC7" w14:textId="77777777" w:rsidTr="00D54043">
        <w:trPr>
          <w:trHeight w:val="300"/>
          <w:jc w:val="center"/>
        </w:trPr>
        <w:tc>
          <w:tcPr>
            <w:tcW w:w="3390" w:type="dxa"/>
            <w:shd w:val="clear" w:color="auto" w:fill="auto"/>
            <w:hideMark/>
          </w:tcPr>
          <w:p w14:paraId="664CC5B4" w14:textId="3ED89762" w:rsidR="004D61D1" w:rsidRPr="004D61D1" w:rsidRDefault="004D61D1" w:rsidP="00D54043">
            <w:pPr>
              <w:jc w:val="center"/>
            </w:pPr>
            <w:r w:rsidRPr="004D61D1">
              <w:t>PILP</w:t>
            </w:r>
          </w:p>
        </w:tc>
        <w:tc>
          <w:tcPr>
            <w:tcW w:w="5610" w:type="dxa"/>
            <w:shd w:val="clear" w:color="auto" w:fill="auto"/>
            <w:hideMark/>
          </w:tcPr>
          <w:p w14:paraId="2A496594" w14:textId="16344DF7" w:rsidR="004D61D1" w:rsidRPr="004D61D1" w:rsidRDefault="004D61D1" w:rsidP="00D54043">
            <w:pPr>
              <w:jc w:val="center"/>
            </w:pPr>
            <w:r w:rsidRPr="004D61D1">
              <w:t>Production of pulp and paper</w:t>
            </w:r>
          </w:p>
        </w:tc>
      </w:tr>
      <w:tr w:rsidR="004D61D1" w:rsidRPr="004D61D1" w14:paraId="51C20482" w14:textId="77777777" w:rsidTr="00D54043">
        <w:trPr>
          <w:trHeight w:val="300"/>
          <w:jc w:val="center"/>
        </w:trPr>
        <w:tc>
          <w:tcPr>
            <w:tcW w:w="3390" w:type="dxa"/>
            <w:shd w:val="clear" w:color="auto" w:fill="auto"/>
            <w:hideMark/>
          </w:tcPr>
          <w:p w14:paraId="686C403A" w14:textId="6F9FBB85" w:rsidR="004D61D1" w:rsidRPr="004D61D1" w:rsidRDefault="004D61D1" w:rsidP="00D54043">
            <w:pPr>
              <w:jc w:val="center"/>
            </w:pPr>
            <w:r w:rsidRPr="004D61D1">
              <w:t>PIOI</w:t>
            </w:r>
          </w:p>
        </w:tc>
        <w:tc>
          <w:tcPr>
            <w:tcW w:w="5610" w:type="dxa"/>
            <w:shd w:val="clear" w:color="auto" w:fill="auto"/>
            <w:hideMark/>
          </w:tcPr>
          <w:p w14:paraId="1BE8EC68" w14:textId="5DE9BF65" w:rsidR="004D61D1" w:rsidRPr="004D61D1" w:rsidRDefault="004D61D1" w:rsidP="00D54043">
            <w:pPr>
              <w:jc w:val="center"/>
            </w:pPr>
            <w:r w:rsidRPr="004D61D1">
              <w:t>Production of other industries</w:t>
            </w:r>
          </w:p>
        </w:tc>
      </w:tr>
      <w:tr w:rsidR="004D61D1" w:rsidRPr="004D61D1" w14:paraId="4F7DC3DC" w14:textId="77777777" w:rsidTr="00D54043">
        <w:trPr>
          <w:trHeight w:val="300"/>
          <w:jc w:val="center"/>
        </w:trPr>
        <w:tc>
          <w:tcPr>
            <w:tcW w:w="3390" w:type="dxa"/>
            <w:shd w:val="clear" w:color="auto" w:fill="auto"/>
            <w:hideMark/>
          </w:tcPr>
          <w:p w14:paraId="1B33C7F2" w14:textId="6B607D0D" w:rsidR="004D61D1" w:rsidRPr="004D61D1" w:rsidRDefault="004D61D1" w:rsidP="00D54043">
            <w:pPr>
              <w:jc w:val="center"/>
            </w:pPr>
            <w:r w:rsidRPr="004D61D1">
              <w:t>PAGR</w:t>
            </w:r>
          </w:p>
        </w:tc>
        <w:tc>
          <w:tcPr>
            <w:tcW w:w="5610" w:type="dxa"/>
            <w:shd w:val="clear" w:color="auto" w:fill="auto"/>
            <w:hideMark/>
          </w:tcPr>
          <w:p w14:paraId="2C8A44CA" w14:textId="6FAA431F" w:rsidR="004D61D1" w:rsidRPr="004D61D1" w:rsidRDefault="004D61D1" w:rsidP="00D54043">
            <w:pPr>
              <w:jc w:val="center"/>
            </w:pPr>
            <w:r w:rsidRPr="004D61D1">
              <w:t>Production of agriculture (linked to calories consumed)</w:t>
            </w:r>
          </w:p>
        </w:tc>
      </w:tr>
      <w:tr w:rsidR="004D61D1" w:rsidRPr="004D61D1" w14:paraId="5085AA25" w14:textId="77777777" w:rsidTr="00D54043">
        <w:trPr>
          <w:trHeight w:val="300"/>
          <w:jc w:val="center"/>
        </w:trPr>
        <w:tc>
          <w:tcPr>
            <w:tcW w:w="3390" w:type="dxa"/>
            <w:shd w:val="clear" w:color="auto" w:fill="auto"/>
            <w:hideMark/>
          </w:tcPr>
          <w:p w14:paraId="26CFBDE4" w14:textId="71DDEF93" w:rsidR="004D61D1" w:rsidRPr="004D61D1" w:rsidRDefault="004D61D1" w:rsidP="00D54043">
            <w:pPr>
              <w:jc w:val="center"/>
            </w:pPr>
            <w:r w:rsidRPr="004D61D1">
              <w:t>PSER</w:t>
            </w:r>
          </w:p>
        </w:tc>
        <w:tc>
          <w:tcPr>
            <w:tcW w:w="5610" w:type="dxa"/>
            <w:shd w:val="clear" w:color="auto" w:fill="auto"/>
            <w:hideMark/>
          </w:tcPr>
          <w:p w14:paraId="0AB4AE0C" w14:textId="6A3CC938" w:rsidR="004D61D1" w:rsidRPr="004D61D1" w:rsidRDefault="004D61D1" w:rsidP="00D54043">
            <w:pPr>
              <w:jc w:val="center"/>
            </w:pPr>
            <w:r w:rsidRPr="004D61D1">
              <w:t>Services (directly linked to GDP growth)</w:t>
            </w:r>
          </w:p>
        </w:tc>
      </w:tr>
      <w:tr w:rsidR="004D61D1" w:rsidRPr="004D61D1" w14:paraId="43BA1926" w14:textId="77777777" w:rsidTr="00D54043">
        <w:trPr>
          <w:trHeight w:val="300"/>
          <w:jc w:val="center"/>
        </w:trPr>
        <w:tc>
          <w:tcPr>
            <w:tcW w:w="3390" w:type="dxa"/>
            <w:shd w:val="clear" w:color="auto" w:fill="auto"/>
            <w:hideMark/>
          </w:tcPr>
          <w:p w14:paraId="32DD3897" w14:textId="39005C0F" w:rsidR="004D61D1" w:rsidRPr="004D61D1" w:rsidRDefault="004D61D1" w:rsidP="00D54043">
            <w:pPr>
              <w:jc w:val="center"/>
            </w:pPr>
            <w:r w:rsidRPr="004D61D1">
              <w:t>HOU</w:t>
            </w:r>
          </w:p>
        </w:tc>
        <w:tc>
          <w:tcPr>
            <w:tcW w:w="5610" w:type="dxa"/>
            <w:shd w:val="clear" w:color="auto" w:fill="auto"/>
            <w:hideMark/>
          </w:tcPr>
          <w:p w14:paraId="6BD0C8F4" w14:textId="5DD888CF" w:rsidR="004D61D1" w:rsidRPr="004D61D1" w:rsidRDefault="004D61D1" w:rsidP="00D54043">
            <w:pPr>
              <w:jc w:val="center"/>
            </w:pPr>
            <w:r w:rsidRPr="004D61D1">
              <w:t>Number of households</w:t>
            </w:r>
          </w:p>
        </w:tc>
      </w:tr>
      <w:tr w:rsidR="004D61D1" w:rsidRPr="004D61D1" w14:paraId="2C28920D" w14:textId="77777777" w:rsidTr="00D54043">
        <w:trPr>
          <w:trHeight w:val="300"/>
          <w:jc w:val="center"/>
        </w:trPr>
        <w:tc>
          <w:tcPr>
            <w:tcW w:w="3390" w:type="dxa"/>
            <w:shd w:val="clear" w:color="auto" w:fill="auto"/>
            <w:hideMark/>
          </w:tcPr>
          <w:p w14:paraId="55639ED8" w14:textId="5705537A" w:rsidR="004D61D1" w:rsidRPr="004D61D1" w:rsidRDefault="004D61D1" w:rsidP="00D54043">
            <w:pPr>
              <w:jc w:val="center"/>
            </w:pPr>
            <w:r w:rsidRPr="004D61D1">
              <w:t>POP</w:t>
            </w:r>
          </w:p>
        </w:tc>
        <w:tc>
          <w:tcPr>
            <w:tcW w:w="5610" w:type="dxa"/>
            <w:shd w:val="clear" w:color="auto" w:fill="auto"/>
            <w:hideMark/>
          </w:tcPr>
          <w:p w14:paraId="69D1AEB7" w14:textId="026046D7" w:rsidR="004D61D1" w:rsidRPr="004D61D1" w:rsidRDefault="004D61D1" w:rsidP="00D54043">
            <w:pPr>
              <w:jc w:val="center"/>
            </w:pPr>
            <w:r w:rsidRPr="004D61D1">
              <w:t>Population</w:t>
            </w:r>
          </w:p>
        </w:tc>
      </w:tr>
      <w:tr w:rsidR="004D61D1" w:rsidRPr="004D61D1" w14:paraId="60209401" w14:textId="77777777" w:rsidTr="00D54043">
        <w:trPr>
          <w:trHeight w:val="300"/>
          <w:jc w:val="center"/>
        </w:trPr>
        <w:tc>
          <w:tcPr>
            <w:tcW w:w="3390" w:type="dxa"/>
            <w:shd w:val="clear" w:color="auto" w:fill="auto"/>
            <w:hideMark/>
          </w:tcPr>
          <w:p w14:paraId="2B77C1F5" w14:textId="428A5F93" w:rsidR="004D61D1" w:rsidRPr="004D61D1" w:rsidRDefault="004D61D1" w:rsidP="00D54043">
            <w:pPr>
              <w:jc w:val="center"/>
            </w:pPr>
            <w:r w:rsidRPr="004D61D1">
              <w:t>GDP</w:t>
            </w:r>
          </w:p>
        </w:tc>
        <w:tc>
          <w:tcPr>
            <w:tcW w:w="5610" w:type="dxa"/>
            <w:shd w:val="clear" w:color="auto" w:fill="auto"/>
            <w:hideMark/>
          </w:tcPr>
          <w:p w14:paraId="2C58A78D" w14:textId="51817075" w:rsidR="004D61D1" w:rsidRPr="004D61D1" w:rsidRDefault="004D61D1" w:rsidP="00D54043">
            <w:pPr>
              <w:jc w:val="center"/>
            </w:pPr>
            <w:r w:rsidRPr="004D61D1">
              <w:t>GDP</w:t>
            </w:r>
          </w:p>
        </w:tc>
      </w:tr>
      <w:tr w:rsidR="004D61D1" w:rsidRPr="004D61D1" w14:paraId="3CE5790C" w14:textId="77777777" w:rsidTr="00D54043">
        <w:trPr>
          <w:trHeight w:val="300"/>
          <w:jc w:val="center"/>
        </w:trPr>
        <w:tc>
          <w:tcPr>
            <w:tcW w:w="3390" w:type="dxa"/>
            <w:shd w:val="clear" w:color="auto" w:fill="auto"/>
            <w:hideMark/>
          </w:tcPr>
          <w:p w14:paraId="5CDAC4A7" w14:textId="6DC4121E" w:rsidR="004D61D1" w:rsidRPr="004D61D1" w:rsidRDefault="004D61D1" w:rsidP="00D54043">
            <w:pPr>
              <w:jc w:val="center"/>
            </w:pPr>
            <w:r w:rsidRPr="004D61D1">
              <w:t>GDPP</w:t>
            </w:r>
          </w:p>
        </w:tc>
        <w:tc>
          <w:tcPr>
            <w:tcW w:w="5610" w:type="dxa"/>
            <w:shd w:val="clear" w:color="auto" w:fill="auto"/>
            <w:hideMark/>
          </w:tcPr>
          <w:p w14:paraId="4FB70FC9" w14:textId="15F7EC08" w:rsidR="004D61D1" w:rsidRPr="004D61D1" w:rsidRDefault="004D61D1" w:rsidP="00D54043">
            <w:pPr>
              <w:jc w:val="center"/>
            </w:pPr>
            <w:r w:rsidRPr="004D61D1">
              <w:t>GDP per capita</w:t>
            </w:r>
          </w:p>
        </w:tc>
      </w:tr>
      <w:tr w:rsidR="004D61D1" w:rsidRPr="004D61D1" w14:paraId="3DB75A96" w14:textId="77777777" w:rsidTr="00D54043">
        <w:trPr>
          <w:trHeight w:val="300"/>
          <w:jc w:val="center"/>
        </w:trPr>
        <w:tc>
          <w:tcPr>
            <w:tcW w:w="3390" w:type="dxa"/>
            <w:shd w:val="clear" w:color="auto" w:fill="auto"/>
            <w:hideMark/>
          </w:tcPr>
          <w:p w14:paraId="4A6191D5" w14:textId="6326AE5E" w:rsidR="004D61D1" w:rsidRPr="004D61D1" w:rsidRDefault="004D61D1" w:rsidP="00D54043">
            <w:pPr>
              <w:jc w:val="center"/>
            </w:pPr>
            <w:r w:rsidRPr="004D61D1">
              <w:t>GDPPHOU</w:t>
            </w:r>
          </w:p>
        </w:tc>
        <w:tc>
          <w:tcPr>
            <w:tcW w:w="5610" w:type="dxa"/>
            <w:shd w:val="clear" w:color="auto" w:fill="auto"/>
            <w:hideMark/>
          </w:tcPr>
          <w:p w14:paraId="1C24755E" w14:textId="5DFC4694" w:rsidR="004D61D1" w:rsidRPr="004D61D1" w:rsidRDefault="004D61D1" w:rsidP="00D54043">
            <w:pPr>
              <w:jc w:val="center"/>
            </w:pPr>
            <w:r w:rsidRPr="004D61D1">
              <w:t>GDP per capita per household</w:t>
            </w:r>
          </w:p>
        </w:tc>
      </w:tr>
    </w:tbl>
    <w:p w14:paraId="3E1AF240" w14:textId="77777777" w:rsidR="004D61D1" w:rsidRPr="004D61D1" w:rsidRDefault="004D61D1" w:rsidP="004D61D1">
      <w:r w:rsidRPr="004D61D1">
        <w:t> </w:t>
      </w:r>
    </w:p>
    <w:p w14:paraId="1D60E8A7" w14:textId="2AE94A1A" w:rsidR="00703976" w:rsidRPr="00703976" w:rsidRDefault="009021E1" w:rsidP="00703976">
      <w:r w:rsidRPr="009021E1">
        <w:t xml:space="preserve">In this analysis, China’s key energy service demands—such as heating, cooling, and iron and steel production—are modelled using scenario-specific socio-economic assumptions (see SI Section 4). The evolution of these demands across China’s scenarios is shown in the </w:t>
      </w:r>
      <w:r w:rsidR="004C3758" w:rsidRPr="009021E1">
        <w:t>figure</w:t>
      </w:r>
      <w:r w:rsidR="004C3758">
        <w:t xml:space="preserve"> (SI</w:t>
      </w:r>
      <w:r w:rsidR="00B84D7E">
        <w:t xml:space="preserve"> figure 3) </w:t>
      </w:r>
      <w:r w:rsidRPr="009021E1">
        <w:t xml:space="preserve">below. For the rest of the world, energy service demands follow the SSP2 </w:t>
      </w:r>
      <w:r w:rsidR="00B84D7E">
        <w:t>drivers</w:t>
      </w:r>
      <w:r w:rsidRPr="009021E1">
        <w:t>.</w:t>
      </w:r>
    </w:p>
    <w:p w14:paraId="6460BB3C" w14:textId="25B53DB5" w:rsidR="00B632EE" w:rsidRPr="00B632EE" w:rsidRDefault="00BE365C" w:rsidP="00D20B5B">
      <w:pPr>
        <w:jc w:val="center"/>
      </w:pPr>
      <w:r>
        <w:rPr>
          <w:noProof/>
        </w:rPr>
        <w:lastRenderedPageBreak/>
        <w:drawing>
          <wp:inline distT="0" distB="0" distL="0" distR="0" wp14:anchorId="350D09CB" wp14:editId="44109A3D">
            <wp:extent cx="4979254" cy="2724713"/>
            <wp:effectExtent l="0" t="0" r="0" b="0"/>
            <wp:docPr id="200484113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41137" name="Graphic 2004841137"/>
                    <pic:cNvPicPr/>
                  </pic:nvPicPr>
                  <pic:blipFill>
                    <a:blip r:embed="rId15">
                      <a:extLst>
                        <a:ext uri="{96DAC541-7B7A-43D3-8B79-37D633B846F1}">
                          <asvg:svgBlip xmlns:asvg="http://schemas.microsoft.com/office/drawing/2016/SVG/main" r:embed="rId16"/>
                        </a:ext>
                      </a:extLst>
                    </a:blip>
                    <a:stretch>
                      <a:fillRect/>
                    </a:stretch>
                  </pic:blipFill>
                  <pic:spPr>
                    <a:xfrm>
                      <a:off x="0" y="0"/>
                      <a:ext cx="5001988" cy="2737154"/>
                    </a:xfrm>
                    <a:prstGeom prst="rect">
                      <a:avLst/>
                    </a:prstGeom>
                  </pic:spPr>
                </pic:pic>
              </a:graphicData>
            </a:graphic>
          </wp:inline>
        </w:drawing>
      </w:r>
    </w:p>
    <w:p w14:paraId="532DABAF" w14:textId="58E1688A" w:rsidR="00D57345" w:rsidRPr="00D57345" w:rsidRDefault="00514BC0" w:rsidP="00514BC0">
      <w:pPr>
        <w:jc w:val="center"/>
      </w:pPr>
      <w:r w:rsidRPr="00001654">
        <w:rPr>
          <w:b/>
          <w:bCs/>
        </w:rPr>
        <w:t xml:space="preserve">SI Figure </w:t>
      </w:r>
      <w:r w:rsidR="004C3758" w:rsidRPr="00001654">
        <w:rPr>
          <w:b/>
          <w:bCs/>
        </w:rPr>
        <w:t>5</w:t>
      </w:r>
      <w:r w:rsidRPr="00001654">
        <w:rPr>
          <w:b/>
          <w:bCs/>
        </w:rPr>
        <w:t>.</w:t>
      </w:r>
      <w:r w:rsidRPr="00514BC0">
        <w:t xml:space="preserve"> Projected growth in key energy service demands in China</w:t>
      </w:r>
      <w:r w:rsidR="004C3758" w:rsidRPr="004C3758">
        <w:t xml:space="preserve"> </w:t>
      </w:r>
      <w:r w:rsidR="004C3758" w:rsidRPr="00514BC0">
        <w:t>modelled in TIAM-UCL</w:t>
      </w:r>
      <w:r w:rsidRPr="00514BC0">
        <w:t xml:space="preserve"> </w:t>
      </w:r>
      <w:r w:rsidR="004C3758">
        <w:t>(</w:t>
      </w:r>
      <w:r w:rsidRPr="00514BC0">
        <w:t>relative to 2020</w:t>
      </w:r>
      <w:r w:rsidR="004C3758">
        <w:t>)</w:t>
      </w:r>
      <w:r w:rsidRPr="00514BC0">
        <w:t xml:space="preserve"> </w:t>
      </w:r>
    </w:p>
    <w:p w14:paraId="77EF5011" w14:textId="77777777" w:rsidR="00813AE3" w:rsidRDefault="00813AE3" w:rsidP="0067732E"/>
    <w:p w14:paraId="536FC889" w14:textId="77777777" w:rsidR="00BF5BFE" w:rsidRPr="00820EF1" w:rsidRDefault="00BF5BFE" w:rsidP="00A2411F">
      <w:pPr>
        <w:pStyle w:val="Heading1"/>
      </w:pPr>
      <w:r w:rsidRPr="00820EF1">
        <w:t>Reference</w:t>
      </w:r>
    </w:p>
    <w:p w14:paraId="5496E08B" w14:textId="77777777" w:rsidR="00BD3990" w:rsidRPr="00BD3990" w:rsidRDefault="00BF5BFE" w:rsidP="00BD3990">
      <w:pPr>
        <w:pStyle w:val="Bibliography"/>
        <w:rPr>
          <w:rFonts w:cs="Calibri"/>
        </w:rPr>
      </w:pPr>
      <w:r>
        <w:rPr>
          <w:rFonts w:asciiTheme="minorHAnsi" w:hAnsiTheme="minorHAnsi"/>
        </w:rPr>
        <w:fldChar w:fldCharType="begin"/>
      </w:r>
      <w:r w:rsidR="00BD3990">
        <w:instrText xml:space="preserve"> ADDIN ZOTERO_BIBL {"uncited":[],"omitted":[],"custom":[]} CSL_BIBLIOGRAPHY </w:instrText>
      </w:r>
      <w:r>
        <w:rPr>
          <w:rFonts w:asciiTheme="minorHAnsi" w:hAnsiTheme="minorHAnsi"/>
        </w:rPr>
        <w:fldChar w:fldCharType="separate"/>
      </w:r>
      <w:r w:rsidR="00BD3990" w:rsidRPr="00BD3990">
        <w:rPr>
          <w:rFonts w:cs="Calibri"/>
        </w:rPr>
        <w:t>1.</w:t>
      </w:r>
      <w:r w:rsidR="00BD3990" w:rsidRPr="00BD3990">
        <w:rPr>
          <w:rFonts w:cs="Calibri"/>
        </w:rPr>
        <w:tab/>
        <w:t xml:space="preserve">Markard, J., Raven, R. &amp; Truffer, B. Sustainability transitions: An emerging field of research and its prospects. </w:t>
      </w:r>
      <w:r w:rsidR="00BD3990" w:rsidRPr="00BD3990">
        <w:rPr>
          <w:rFonts w:cs="Calibri"/>
          <w:i/>
          <w:iCs/>
        </w:rPr>
        <w:t>Research Policy</w:t>
      </w:r>
      <w:r w:rsidR="00BD3990" w:rsidRPr="00BD3990">
        <w:rPr>
          <w:rFonts w:cs="Calibri"/>
        </w:rPr>
        <w:t xml:space="preserve"> </w:t>
      </w:r>
      <w:r w:rsidR="00BD3990" w:rsidRPr="00BD3990">
        <w:rPr>
          <w:rFonts w:cs="Calibri"/>
          <w:b/>
          <w:bCs/>
        </w:rPr>
        <w:t>41</w:t>
      </w:r>
      <w:r w:rsidR="00BD3990" w:rsidRPr="00BD3990">
        <w:rPr>
          <w:rFonts w:cs="Calibri"/>
        </w:rPr>
        <w:t>, 955–967 (2012).</w:t>
      </w:r>
    </w:p>
    <w:p w14:paraId="3B31093E" w14:textId="77777777" w:rsidR="00BD3990" w:rsidRPr="00BD3990" w:rsidRDefault="00BD3990" w:rsidP="00BD3990">
      <w:pPr>
        <w:pStyle w:val="Bibliography"/>
        <w:rPr>
          <w:rFonts w:cs="Calibri"/>
        </w:rPr>
      </w:pPr>
      <w:r w:rsidRPr="00BD3990">
        <w:rPr>
          <w:rFonts w:cs="Calibri"/>
        </w:rPr>
        <w:t>2.</w:t>
      </w:r>
      <w:r w:rsidRPr="00BD3990">
        <w:rPr>
          <w:rFonts w:cs="Calibri"/>
        </w:rPr>
        <w:tab/>
        <w:t xml:space="preserve">Nemet, G. F., Jakob, M., Steckel, J. C. &amp; Edenhofer, O. Addressing policy credibility problems for low-carbon investment. </w:t>
      </w:r>
      <w:r w:rsidRPr="00BD3990">
        <w:rPr>
          <w:rFonts w:cs="Calibri"/>
          <w:i/>
          <w:iCs/>
        </w:rPr>
        <w:t>Global Environmental Change</w:t>
      </w:r>
      <w:r w:rsidRPr="00BD3990">
        <w:rPr>
          <w:rFonts w:cs="Calibri"/>
        </w:rPr>
        <w:t xml:space="preserve"> </w:t>
      </w:r>
      <w:r w:rsidRPr="00BD3990">
        <w:rPr>
          <w:rFonts w:cs="Calibri"/>
          <w:b/>
          <w:bCs/>
        </w:rPr>
        <w:t>42</w:t>
      </w:r>
      <w:r w:rsidRPr="00BD3990">
        <w:rPr>
          <w:rFonts w:cs="Calibri"/>
        </w:rPr>
        <w:t>, 47–57 (2017).</w:t>
      </w:r>
    </w:p>
    <w:p w14:paraId="633C53B5" w14:textId="77777777" w:rsidR="00BD3990" w:rsidRPr="00BD3990" w:rsidRDefault="00BD3990" w:rsidP="00BD3990">
      <w:pPr>
        <w:pStyle w:val="Bibliography"/>
        <w:rPr>
          <w:rFonts w:cs="Calibri"/>
        </w:rPr>
      </w:pPr>
      <w:r w:rsidRPr="00BD3990">
        <w:rPr>
          <w:rFonts w:cs="Calibri"/>
        </w:rPr>
        <w:t>3.</w:t>
      </w:r>
      <w:r w:rsidRPr="00BD3990">
        <w:rPr>
          <w:rFonts w:cs="Calibri"/>
        </w:rPr>
        <w:tab/>
        <w:t xml:space="preserve">Rogelj, J. </w:t>
      </w:r>
      <w:r w:rsidRPr="00BD3990">
        <w:rPr>
          <w:rFonts w:cs="Calibri"/>
          <w:i/>
          <w:iCs/>
        </w:rPr>
        <w:t>et al.</w:t>
      </w:r>
      <w:r w:rsidRPr="00BD3990">
        <w:rPr>
          <w:rFonts w:cs="Calibri"/>
        </w:rPr>
        <w:t xml:space="preserve"> Credibility gap in net-zero climate targets leaves world at high risk. </w:t>
      </w:r>
      <w:r w:rsidRPr="00BD3990">
        <w:rPr>
          <w:rFonts w:cs="Calibri"/>
          <w:i/>
          <w:iCs/>
        </w:rPr>
        <w:t>Science</w:t>
      </w:r>
      <w:r w:rsidRPr="00BD3990">
        <w:rPr>
          <w:rFonts w:cs="Calibri"/>
        </w:rPr>
        <w:t xml:space="preserve"> </w:t>
      </w:r>
      <w:r w:rsidRPr="00BD3990">
        <w:rPr>
          <w:rFonts w:cs="Calibri"/>
          <w:b/>
          <w:bCs/>
        </w:rPr>
        <w:t>380</w:t>
      </w:r>
      <w:r w:rsidRPr="00BD3990">
        <w:rPr>
          <w:rFonts w:cs="Calibri"/>
        </w:rPr>
        <w:t>, 1014–1016 (2023).</w:t>
      </w:r>
    </w:p>
    <w:p w14:paraId="1C642BD6" w14:textId="77777777" w:rsidR="00BD3990" w:rsidRPr="00BD3990" w:rsidRDefault="00BD3990" w:rsidP="00BD3990">
      <w:pPr>
        <w:pStyle w:val="Bibliography"/>
        <w:rPr>
          <w:rFonts w:cs="Calibri"/>
        </w:rPr>
      </w:pPr>
      <w:r w:rsidRPr="00BD3990">
        <w:rPr>
          <w:rFonts w:cs="Calibri"/>
        </w:rPr>
        <w:t>4.</w:t>
      </w:r>
      <w:r w:rsidRPr="00BD3990">
        <w:rPr>
          <w:rFonts w:cs="Calibri"/>
        </w:rPr>
        <w:tab/>
        <w:t xml:space="preserve">Teng, F. Ambitious and credible pledges. </w:t>
      </w:r>
      <w:r w:rsidRPr="00BD3990">
        <w:rPr>
          <w:rFonts w:cs="Calibri"/>
          <w:i/>
          <w:iCs/>
        </w:rPr>
        <w:t>Nat. Clim. Chang.</w:t>
      </w:r>
      <w:r w:rsidRPr="00BD3990">
        <w:rPr>
          <w:rFonts w:cs="Calibri"/>
        </w:rPr>
        <w:t xml:space="preserve"> </w:t>
      </w:r>
      <w:r w:rsidRPr="00BD3990">
        <w:rPr>
          <w:rFonts w:cs="Calibri"/>
          <w:b/>
          <w:bCs/>
        </w:rPr>
        <w:t>12</w:t>
      </w:r>
      <w:r w:rsidRPr="00BD3990">
        <w:rPr>
          <w:rFonts w:cs="Calibri"/>
        </w:rPr>
        <w:t>, 779–780 (2022).</w:t>
      </w:r>
    </w:p>
    <w:p w14:paraId="49F2657E" w14:textId="77777777" w:rsidR="00BD3990" w:rsidRPr="00BD3990" w:rsidRDefault="00BD3990" w:rsidP="00BD3990">
      <w:pPr>
        <w:pStyle w:val="Bibliography"/>
        <w:rPr>
          <w:rFonts w:cs="Calibri"/>
        </w:rPr>
      </w:pPr>
      <w:r w:rsidRPr="00BD3990">
        <w:rPr>
          <w:rFonts w:cs="Calibri"/>
        </w:rPr>
        <w:lastRenderedPageBreak/>
        <w:t>5.</w:t>
      </w:r>
      <w:r w:rsidRPr="00BD3990">
        <w:rPr>
          <w:rFonts w:cs="Calibri"/>
        </w:rPr>
        <w:tab/>
        <w:t xml:space="preserve">Victor, D. G., Lumkowsky, M. &amp; Dannenberg, A. Determining the credibility of commitments in international climate policy. </w:t>
      </w:r>
      <w:r w:rsidRPr="00BD3990">
        <w:rPr>
          <w:rFonts w:cs="Calibri"/>
          <w:i/>
          <w:iCs/>
        </w:rPr>
        <w:t>Nat. Clim. Chang.</w:t>
      </w:r>
      <w:r w:rsidRPr="00BD3990">
        <w:rPr>
          <w:rFonts w:cs="Calibri"/>
        </w:rPr>
        <w:t xml:space="preserve"> </w:t>
      </w:r>
      <w:r w:rsidRPr="00BD3990">
        <w:rPr>
          <w:rFonts w:cs="Calibri"/>
          <w:b/>
          <w:bCs/>
        </w:rPr>
        <w:t>12</w:t>
      </w:r>
      <w:r w:rsidRPr="00BD3990">
        <w:rPr>
          <w:rFonts w:cs="Calibri"/>
        </w:rPr>
        <w:t>, 793–800 (2022).</w:t>
      </w:r>
    </w:p>
    <w:p w14:paraId="732C67D0" w14:textId="77777777" w:rsidR="00BD3990" w:rsidRPr="00BD3990" w:rsidRDefault="00BD3990" w:rsidP="00BD3990">
      <w:pPr>
        <w:pStyle w:val="Bibliography"/>
        <w:rPr>
          <w:rFonts w:cs="Calibri"/>
        </w:rPr>
      </w:pPr>
      <w:r w:rsidRPr="00BD3990">
        <w:rPr>
          <w:rFonts w:cs="Calibri"/>
        </w:rPr>
        <w:t>6.</w:t>
      </w:r>
      <w:r w:rsidRPr="00BD3990">
        <w:rPr>
          <w:rFonts w:cs="Calibri"/>
        </w:rPr>
        <w:tab/>
        <w:t xml:space="preserve">Brunner, S., Flachsland, C. &amp; Marschinski, R. Credible commitment in carbon policy. </w:t>
      </w:r>
      <w:r w:rsidRPr="00BD3990">
        <w:rPr>
          <w:rFonts w:cs="Calibri"/>
          <w:i/>
          <w:iCs/>
        </w:rPr>
        <w:t>Climate Policy</w:t>
      </w:r>
      <w:r w:rsidRPr="00BD3990">
        <w:rPr>
          <w:rFonts w:cs="Calibri"/>
        </w:rPr>
        <w:t xml:space="preserve"> </w:t>
      </w:r>
      <w:r w:rsidRPr="00BD3990">
        <w:rPr>
          <w:rFonts w:cs="Calibri"/>
          <w:b/>
          <w:bCs/>
        </w:rPr>
        <w:t>12</w:t>
      </w:r>
      <w:r w:rsidRPr="00BD3990">
        <w:rPr>
          <w:rFonts w:cs="Calibri"/>
        </w:rPr>
        <w:t>, 255–271 (2012).</w:t>
      </w:r>
    </w:p>
    <w:p w14:paraId="09979CFD" w14:textId="77777777" w:rsidR="00BD3990" w:rsidRPr="00BD3990" w:rsidRDefault="00BD3990" w:rsidP="00BD3990">
      <w:pPr>
        <w:pStyle w:val="Bibliography"/>
        <w:rPr>
          <w:rFonts w:cs="Calibri"/>
        </w:rPr>
      </w:pPr>
      <w:r w:rsidRPr="00BD3990">
        <w:rPr>
          <w:rFonts w:cs="Calibri"/>
        </w:rPr>
        <w:t>7.</w:t>
      </w:r>
      <w:r w:rsidRPr="00BD3990">
        <w:rPr>
          <w:rFonts w:cs="Calibri"/>
        </w:rPr>
        <w:tab/>
        <w:t xml:space="preserve">Jacobs, A. M. Policy Making for the Long Term in Advanced Democracies. </w:t>
      </w:r>
      <w:r w:rsidRPr="00BD3990">
        <w:rPr>
          <w:rFonts w:cs="Calibri"/>
          <w:i/>
          <w:iCs/>
        </w:rPr>
        <w:t>Annual Review of Political Science</w:t>
      </w:r>
      <w:r w:rsidRPr="00BD3990">
        <w:rPr>
          <w:rFonts w:cs="Calibri"/>
        </w:rPr>
        <w:t xml:space="preserve"> </w:t>
      </w:r>
      <w:r w:rsidRPr="00BD3990">
        <w:rPr>
          <w:rFonts w:cs="Calibri"/>
          <w:b/>
          <w:bCs/>
        </w:rPr>
        <w:t>19</w:t>
      </w:r>
      <w:r w:rsidRPr="00BD3990">
        <w:rPr>
          <w:rFonts w:cs="Calibri"/>
        </w:rPr>
        <w:t>, 433–454 (2016).</w:t>
      </w:r>
    </w:p>
    <w:p w14:paraId="186E444B" w14:textId="77777777" w:rsidR="00BD3990" w:rsidRPr="00BD3990" w:rsidRDefault="00BD3990" w:rsidP="00BD3990">
      <w:pPr>
        <w:pStyle w:val="Bibliography"/>
        <w:rPr>
          <w:rFonts w:cs="Calibri"/>
        </w:rPr>
      </w:pPr>
      <w:r w:rsidRPr="00BD3990">
        <w:rPr>
          <w:rFonts w:cs="Calibri"/>
        </w:rPr>
        <w:t>8.</w:t>
      </w:r>
      <w:r w:rsidRPr="00BD3990">
        <w:rPr>
          <w:rFonts w:cs="Calibri"/>
        </w:rPr>
        <w:tab/>
        <w:t xml:space="preserve">Rogge, K. S. &amp; Reichardt, K. Policy mixes for sustainability transitions: An extended concept and framework for analysis. </w:t>
      </w:r>
      <w:r w:rsidRPr="00BD3990">
        <w:rPr>
          <w:rFonts w:cs="Calibri"/>
          <w:i/>
          <w:iCs/>
        </w:rPr>
        <w:t>Research Policy</w:t>
      </w:r>
      <w:r w:rsidRPr="00BD3990">
        <w:rPr>
          <w:rFonts w:cs="Calibri"/>
        </w:rPr>
        <w:t xml:space="preserve"> </w:t>
      </w:r>
      <w:r w:rsidRPr="00BD3990">
        <w:rPr>
          <w:rFonts w:cs="Calibri"/>
          <w:b/>
          <w:bCs/>
        </w:rPr>
        <w:t>45</w:t>
      </w:r>
      <w:r w:rsidRPr="00BD3990">
        <w:rPr>
          <w:rFonts w:cs="Calibri"/>
        </w:rPr>
        <w:t>, 1620–1635 (2016).</w:t>
      </w:r>
    </w:p>
    <w:p w14:paraId="593EB56E" w14:textId="77777777" w:rsidR="00BD3990" w:rsidRPr="00BD3990" w:rsidRDefault="00BD3990" w:rsidP="00BD3990">
      <w:pPr>
        <w:pStyle w:val="Bibliography"/>
        <w:rPr>
          <w:rFonts w:cs="Calibri"/>
        </w:rPr>
      </w:pPr>
      <w:r w:rsidRPr="00BD3990">
        <w:rPr>
          <w:rFonts w:cs="Calibri"/>
        </w:rPr>
        <w:t>9.</w:t>
      </w:r>
      <w:r w:rsidRPr="00BD3990">
        <w:rPr>
          <w:rFonts w:cs="Calibri"/>
        </w:rPr>
        <w:tab/>
        <w:t>Zhu, M. The Rule of Climate Policy: How Do Chinese Judges Contribute to Climate Governance without Climate Law? | Transnational Environmental Law | Cambridge Core. https://www.cambridge.org/core/journals/transnational-environmental-law/article/rule-of-climate-policy-how-do-chinese-judges-contribute-to-climate-governance-without-climate-law/41A922D370E2E373389F521BEE54511F?utm_source=chatgpt.com (2021).</w:t>
      </w:r>
    </w:p>
    <w:p w14:paraId="55C3220A" w14:textId="77777777" w:rsidR="00BD3990" w:rsidRPr="00BD3990" w:rsidRDefault="00BD3990" w:rsidP="00BD3990">
      <w:pPr>
        <w:pStyle w:val="Bibliography"/>
        <w:rPr>
          <w:rFonts w:cs="Calibri"/>
        </w:rPr>
      </w:pPr>
      <w:r w:rsidRPr="00BD3990">
        <w:rPr>
          <w:rFonts w:cs="Calibri"/>
        </w:rPr>
        <w:t>10.</w:t>
      </w:r>
      <w:r w:rsidRPr="00BD3990">
        <w:rPr>
          <w:rFonts w:cs="Calibri"/>
        </w:rPr>
        <w:tab/>
        <w:t xml:space="preserve">Oxford Institute of Enegy Studies. Appendix A: Government Structure. </w:t>
      </w:r>
      <w:r w:rsidRPr="00BD3990">
        <w:rPr>
          <w:rFonts w:cs="Calibri"/>
          <w:i/>
          <w:iCs/>
        </w:rPr>
        <w:t>Guide to Chinese Climate Policy</w:t>
      </w:r>
      <w:r w:rsidRPr="00BD3990">
        <w:rPr>
          <w:rFonts w:cs="Calibri"/>
        </w:rPr>
        <w:t xml:space="preserve"> https://chineseclimatepolicy.oxfordenergy.org/book-content/appendicies/government-structure/ (2021).</w:t>
      </w:r>
    </w:p>
    <w:p w14:paraId="39FDB4BF" w14:textId="77777777" w:rsidR="00BD3990" w:rsidRPr="00BD3990" w:rsidRDefault="00BD3990" w:rsidP="00BD3990">
      <w:pPr>
        <w:pStyle w:val="Bibliography"/>
        <w:rPr>
          <w:rFonts w:cs="Calibri"/>
        </w:rPr>
      </w:pPr>
      <w:r w:rsidRPr="00BD3990">
        <w:rPr>
          <w:rFonts w:cs="Calibri"/>
        </w:rPr>
        <w:t>11.</w:t>
      </w:r>
      <w:r w:rsidRPr="00BD3990">
        <w:rPr>
          <w:rFonts w:cs="Calibri"/>
        </w:rPr>
        <w:tab/>
        <w:t xml:space="preserve">Xu, S. China’s climate governance for carbon neutrality: regulatory gaps and the ways forward. </w:t>
      </w:r>
      <w:r w:rsidRPr="00BD3990">
        <w:rPr>
          <w:rFonts w:cs="Calibri"/>
          <w:i/>
          <w:iCs/>
        </w:rPr>
        <w:t>Humanit Soc Sci Commun</w:t>
      </w:r>
      <w:r w:rsidRPr="00BD3990">
        <w:rPr>
          <w:rFonts w:cs="Calibri"/>
        </w:rPr>
        <w:t xml:space="preserve"> </w:t>
      </w:r>
      <w:r w:rsidRPr="00BD3990">
        <w:rPr>
          <w:rFonts w:cs="Calibri"/>
          <w:b/>
          <w:bCs/>
        </w:rPr>
        <w:t>10</w:t>
      </w:r>
      <w:r w:rsidRPr="00BD3990">
        <w:rPr>
          <w:rFonts w:cs="Calibri"/>
        </w:rPr>
        <w:t>, 1–10 (2023).</w:t>
      </w:r>
    </w:p>
    <w:p w14:paraId="550BD86E" w14:textId="77777777" w:rsidR="00BD3990" w:rsidRPr="00BD3990" w:rsidRDefault="00BD3990" w:rsidP="00BD3990">
      <w:pPr>
        <w:pStyle w:val="Bibliography"/>
        <w:rPr>
          <w:rFonts w:cs="Calibri"/>
        </w:rPr>
      </w:pPr>
      <w:r w:rsidRPr="00BD3990">
        <w:rPr>
          <w:rFonts w:cs="Calibri"/>
        </w:rPr>
        <w:t>12.</w:t>
      </w:r>
      <w:r w:rsidRPr="00BD3990">
        <w:rPr>
          <w:rFonts w:cs="Calibri"/>
        </w:rPr>
        <w:tab/>
        <w:t xml:space="preserve">Teng, F. &amp; Wang, P. The evolution of climate governance in China: drivers, features, and effectiveness. </w:t>
      </w:r>
      <w:r w:rsidRPr="00BD3990">
        <w:rPr>
          <w:rFonts w:cs="Calibri"/>
          <w:i/>
          <w:iCs/>
        </w:rPr>
        <w:t>Environmental Politics</w:t>
      </w:r>
      <w:r w:rsidRPr="00BD3990">
        <w:rPr>
          <w:rFonts w:cs="Calibri"/>
        </w:rPr>
        <w:t xml:space="preserve"> </w:t>
      </w:r>
      <w:r w:rsidRPr="00BD3990">
        <w:rPr>
          <w:rFonts w:cs="Calibri"/>
          <w:b/>
          <w:bCs/>
        </w:rPr>
        <w:t>30</w:t>
      </w:r>
      <w:r w:rsidRPr="00BD3990">
        <w:rPr>
          <w:rFonts w:cs="Calibri"/>
        </w:rPr>
        <w:t>, 141–161 (2021).</w:t>
      </w:r>
    </w:p>
    <w:p w14:paraId="427AD405" w14:textId="77777777" w:rsidR="00BD3990" w:rsidRPr="00BD3990" w:rsidRDefault="00BD3990" w:rsidP="00BD3990">
      <w:pPr>
        <w:pStyle w:val="Bibliography"/>
        <w:rPr>
          <w:rFonts w:cs="Calibri"/>
        </w:rPr>
      </w:pPr>
      <w:r w:rsidRPr="00BD3990">
        <w:rPr>
          <w:rFonts w:cs="Calibri"/>
        </w:rPr>
        <w:t>13.</w:t>
      </w:r>
      <w:r w:rsidRPr="00BD3990">
        <w:rPr>
          <w:rFonts w:cs="Calibri"/>
        </w:rPr>
        <w:tab/>
        <w:t xml:space="preserve">Ran, R. Perverse Incentive Structure and Policy Implementation Gap in China’s Local Environmental Politics. </w:t>
      </w:r>
      <w:r w:rsidRPr="00BD3990">
        <w:rPr>
          <w:rFonts w:cs="Calibri"/>
          <w:i/>
          <w:iCs/>
        </w:rPr>
        <w:t>Journal of Environmental Policy &amp; Planning</w:t>
      </w:r>
      <w:r w:rsidRPr="00BD3990">
        <w:rPr>
          <w:rFonts w:cs="Calibri"/>
        </w:rPr>
        <w:t xml:space="preserve"> </w:t>
      </w:r>
      <w:r w:rsidRPr="00BD3990">
        <w:rPr>
          <w:rFonts w:cs="Calibri"/>
          <w:b/>
          <w:bCs/>
        </w:rPr>
        <w:t>15</w:t>
      </w:r>
      <w:r w:rsidRPr="00BD3990">
        <w:rPr>
          <w:rFonts w:cs="Calibri"/>
        </w:rPr>
        <w:t>, 17–39 (2013).</w:t>
      </w:r>
    </w:p>
    <w:p w14:paraId="7D249868" w14:textId="77777777" w:rsidR="00BD3990" w:rsidRPr="00BD3990" w:rsidRDefault="00BD3990" w:rsidP="00BD3990">
      <w:pPr>
        <w:pStyle w:val="Bibliography"/>
        <w:rPr>
          <w:rFonts w:cs="Calibri"/>
        </w:rPr>
      </w:pPr>
      <w:r w:rsidRPr="00BD3990">
        <w:rPr>
          <w:rFonts w:cs="Calibri"/>
        </w:rPr>
        <w:t>14.</w:t>
      </w:r>
      <w:r w:rsidRPr="00BD3990">
        <w:rPr>
          <w:rFonts w:cs="Calibri"/>
        </w:rPr>
        <w:tab/>
        <w:t xml:space="preserve">Chen, H., Feng, L. &amp; Sun, X. Beyond central-local relations: the introduction of a new perspective on China’s environmental governance model. </w:t>
      </w:r>
      <w:r w:rsidRPr="00BD3990">
        <w:rPr>
          <w:rFonts w:cs="Calibri"/>
          <w:i/>
          <w:iCs/>
        </w:rPr>
        <w:t>Humanit Soc Sci Commun</w:t>
      </w:r>
      <w:r w:rsidRPr="00BD3990">
        <w:rPr>
          <w:rFonts w:cs="Calibri"/>
        </w:rPr>
        <w:t xml:space="preserve"> </w:t>
      </w:r>
      <w:r w:rsidRPr="00BD3990">
        <w:rPr>
          <w:rFonts w:cs="Calibri"/>
          <w:b/>
          <w:bCs/>
        </w:rPr>
        <w:t>11</w:t>
      </w:r>
      <w:r w:rsidRPr="00BD3990">
        <w:rPr>
          <w:rFonts w:cs="Calibri"/>
        </w:rPr>
        <w:t>, 1–12 (2024).</w:t>
      </w:r>
    </w:p>
    <w:p w14:paraId="7FF7D0C1" w14:textId="77777777" w:rsidR="00BD3990" w:rsidRPr="00BD3990" w:rsidRDefault="00BD3990" w:rsidP="00BD3990">
      <w:pPr>
        <w:pStyle w:val="Bibliography"/>
        <w:rPr>
          <w:rFonts w:cs="Calibri"/>
        </w:rPr>
      </w:pPr>
      <w:r w:rsidRPr="00BD3990">
        <w:rPr>
          <w:rFonts w:cs="Calibri"/>
        </w:rPr>
        <w:lastRenderedPageBreak/>
        <w:t>15.</w:t>
      </w:r>
      <w:r w:rsidRPr="00BD3990">
        <w:rPr>
          <w:rFonts w:cs="Calibri"/>
        </w:rPr>
        <w:tab/>
        <w:t xml:space="preserve">Wiedenbach, A. Divergent Central and Local Government Interests May Impede Implementation of China’s Climate Targets. </w:t>
      </w:r>
      <w:r w:rsidRPr="00BD3990">
        <w:rPr>
          <w:rFonts w:cs="Calibri"/>
          <w:i/>
          <w:iCs/>
        </w:rPr>
        <w:t>Climate Scorecard</w:t>
      </w:r>
      <w:r w:rsidRPr="00BD3990">
        <w:rPr>
          <w:rFonts w:cs="Calibri"/>
        </w:rPr>
        <w:t xml:space="preserve"> https://www.climatescorecard.org/2021/08/divergent-central-and-local-government-interests-may-impede-implementation-of-chinas-climate-targets/ (2021).</w:t>
      </w:r>
    </w:p>
    <w:p w14:paraId="6110696F" w14:textId="77777777" w:rsidR="00BD3990" w:rsidRPr="00BD3990" w:rsidRDefault="00BD3990" w:rsidP="00BD3990">
      <w:pPr>
        <w:pStyle w:val="Bibliography"/>
        <w:rPr>
          <w:rFonts w:cs="Calibri"/>
        </w:rPr>
      </w:pPr>
      <w:r w:rsidRPr="00BD3990">
        <w:rPr>
          <w:rFonts w:cs="Calibri"/>
        </w:rPr>
        <w:t>16.</w:t>
      </w:r>
      <w:r w:rsidRPr="00BD3990">
        <w:rPr>
          <w:rFonts w:cs="Calibri"/>
        </w:rPr>
        <w:tab/>
        <w:t xml:space="preserve">Li, X., Pattberg, P. &amp; Widerberg, O. China’s climate governance from 2009 to 2019: motivations, instruments, actors, and geopolitics. </w:t>
      </w:r>
      <w:r w:rsidRPr="00BD3990">
        <w:rPr>
          <w:rFonts w:cs="Calibri"/>
          <w:i/>
          <w:iCs/>
        </w:rPr>
        <w:t>Climate Policy</w:t>
      </w:r>
      <w:r w:rsidRPr="00BD3990">
        <w:rPr>
          <w:rFonts w:cs="Calibri"/>
        </w:rPr>
        <w:t xml:space="preserve"> </w:t>
      </w:r>
      <w:r w:rsidRPr="00BD3990">
        <w:rPr>
          <w:rFonts w:cs="Calibri"/>
          <w:b/>
          <w:bCs/>
        </w:rPr>
        <w:t>24</w:t>
      </w:r>
      <w:r w:rsidRPr="00BD3990">
        <w:rPr>
          <w:rFonts w:cs="Calibri"/>
        </w:rPr>
        <w:t>, 378–395 (2024).</w:t>
      </w:r>
    </w:p>
    <w:p w14:paraId="4DA9A1C3" w14:textId="77777777" w:rsidR="00BD3990" w:rsidRPr="00BD3990" w:rsidRDefault="00BD3990" w:rsidP="00BD3990">
      <w:pPr>
        <w:pStyle w:val="Bibliography"/>
        <w:rPr>
          <w:rFonts w:cs="Calibri"/>
        </w:rPr>
      </w:pPr>
      <w:r w:rsidRPr="00BD3990">
        <w:rPr>
          <w:rFonts w:cs="Calibri"/>
        </w:rPr>
        <w:t>17.</w:t>
      </w:r>
      <w:r w:rsidRPr="00BD3990">
        <w:rPr>
          <w:rFonts w:cs="Calibri"/>
        </w:rPr>
        <w:tab/>
        <w:t>Dai, A., Gordon, J. &amp; Zhu, Ri. Looking back and looking ahead: AN ANALYSIS OF PROVINCIAL TH FIVE-YEAR PLANS (2021-2025). (2024).</w:t>
      </w:r>
    </w:p>
    <w:p w14:paraId="7FAF98E4" w14:textId="77777777" w:rsidR="00BD3990" w:rsidRPr="00BD3990" w:rsidRDefault="00BD3990" w:rsidP="00BD3990">
      <w:pPr>
        <w:pStyle w:val="Bibliography"/>
        <w:rPr>
          <w:rFonts w:cs="Calibri"/>
        </w:rPr>
      </w:pPr>
      <w:r w:rsidRPr="00BD3990">
        <w:rPr>
          <w:rFonts w:cs="Calibri"/>
        </w:rPr>
        <w:t>18.</w:t>
      </w:r>
      <w:r w:rsidRPr="00BD3990">
        <w:rPr>
          <w:rFonts w:cs="Calibri"/>
        </w:rPr>
        <w:tab/>
        <w:t xml:space="preserve">Carbon Brief. What does China’s 14th ‘five year plan’ mean for climate change? </w:t>
      </w:r>
      <w:r w:rsidRPr="00BD3990">
        <w:rPr>
          <w:rFonts w:cs="Calibri"/>
          <w:i/>
          <w:iCs/>
        </w:rPr>
        <w:t>Carbon Brief</w:t>
      </w:r>
      <w:r w:rsidRPr="00BD3990">
        <w:rPr>
          <w:rFonts w:cs="Calibri"/>
        </w:rPr>
        <w:t xml:space="preserve"> https://www.carbonbrief.org/qa-what-does-chinas-14th-five-year-plan-mean-for-climate-change/ (2021).</w:t>
      </w:r>
    </w:p>
    <w:p w14:paraId="0E8967FB" w14:textId="77777777" w:rsidR="00BD3990" w:rsidRPr="00BD3990" w:rsidRDefault="00BD3990" w:rsidP="00BD3990">
      <w:pPr>
        <w:pStyle w:val="Bibliography"/>
        <w:rPr>
          <w:rFonts w:cs="Calibri"/>
        </w:rPr>
      </w:pPr>
      <w:r w:rsidRPr="00BD3990">
        <w:rPr>
          <w:rFonts w:cs="Calibri"/>
        </w:rPr>
        <w:t>19.</w:t>
      </w:r>
      <w:r w:rsidRPr="00BD3990">
        <w:rPr>
          <w:rFonts w:cs="Calibri"/>
        </w:rPr>
        <w:tab/>
        <w:t>NDRC. Mid-term evaluation report on the implementation of the Outline of the 14th Five-Year Plan for National Economic and Social Development of the People’s Republic of China and the Long-Term Objectives for 2035. https://www.ndrc.gov.cn/fzggw/wld/zsj/zyhd/202312/t20231227_1362958.html (2023).</w:t>
      </w:r>
    </w:p>
    <w:p w14:paraId="4866B31E" w14:textId="77777777" w:rsidR="00BD3990" w:rsidRPr="00BD3990" w:rsidRDefault="00BD3990" w:rsidP="00BD3990">
      <w:pPr>
        <w:pStyle w:val="Bibliography"/>
        <w:rPr>
          <w:rFonts w:cs="Calibri"/>
        </w:rPr>
      </w:pPr>
      <w:r w:rsidRPr="00BD3990">
        <w:rPr>
          <w:rFonts w:cs="Calibri"/>
        </w:rPr>
        <w:t>20.</w:t>
      </w:r>
      <w:r w:rsidRPr="00BD3990">
        <w:rPr>
          <w:rFonts w:cs="Calibri"/>
        </w:rPr>
        <w:tab/>
        <w:t>State Council. China to take action for energy conservation, carbon reduction. https://english.www.gov.cn/policies/latestreleases/202405/29/content_WS66570ed0c6d0868f4e8e79d0.html (2024).</w:t>
      </w:r>
    </w:p>
    <w:p w14:paraId="26F262D0" w14:textId="77777777" w:rsidR="00BD3990" w:rsidRPr="00BD3990" w:rsidRDefault="00BD3990" w:rsidP="00BD3990">
      <w:pPr>
        <w:pStyle w:val="Bibliography"/>
        <w:rPr>
          <w:rFonts w:cs="Calibri"/>
        </w:rPr>
      </w:pPr>
      <w:r w:rsidRPr="00BD3990">
        <w:rPr>
          <w:rFonts w:cs="Calibri"/>
        </w:rPr>
        <w:t>21.</w:t>
      </w:r>
      <w:r w:rsidRPr="00BD3990">
        <w:rPr>
          <w:rFonts w:cs="Calibri"/>
        </w:rPr>
        <w:tab/>
        <w:t>Ministry of Ecology and Environment. Progress on the Implementation of China’s Nationally Determined Contributions (2022). (2022).</w:t>
      </w:r>
    </w:p>
    <w:p w14:paraId="3BC58208" w14:textId="77777777" w:rsidR="00BD3990" w:rsidRPr="00BD3990" w:rsidRDefault="00BD3990" w:rsidP="00BD3990">
      <w:pPr>
        <w:pStyle w:val="Bibliography"/>
        <w:rPr>
          <w:rFonts w:cs="Calibri"/>
        </w:rPr>
      </w:pPr>
      <w:r w:rsidRPr="00BD3990">
        <w:rPr>
          <w:rFonts w:cs="Calibri"/>
        </w:rPr>
        <w:t>22.</w:t>
      </w:r>
      <w:r w:rsidRPr="00BD3990">
        <w:rPr>
          <w:rFonts w:cs="Calibri"/>
        </w:rPr>
        <w:tab/>
        <w:t xml:space="preserve">McConaughey, M. </w:t>
      </w:r>
      <w:r w:rsidRPr="00BD3990">
        <w:rPr>
          <w:rFonts w:cs="Calibri"/>
          <w:i/>
          <w:iCs/>
        </w:rPr>
        <w:t>Green Lights</w:t>
      </w:r>
      <w:r w:rsidRPr="00BD3990">
        <w:rPr>
          <w:rFonts w:cs="Calibri"/>
        </w:rPr>
        <w:t>. (Crown, 2020).</w:t>
      </w:r>
    </w:p>
    <w:p w14:paraId="231A36CA" w14:textId="77777777" w:rsidR="00BD3990" w:rsidRPr="00BD3990" w:rsidRDefault="00BD3990" w:rsidP="00BD3990">
      <w:pPr>
        <w:pStyle w:val="Bibliography"/>
        <w:rPr>
          <w:rFonts w:cs="Calibri"/>
        </w:rPr>
      </w:pPr>
      <w:r w:rsidRPr="00BD3990">
        <w:rPr>
          <w:rFonts w:cs="Calibri"/>
        </w:rPr>
        <w:t>23.</w:t>
      </w:r>
      <w:r w:rsidRPr="00BD3990">
        <w:rPr>
          <w:rFonts w:cs="Calibri"/>
        </w:rPr>
        <w:tab/>
        <w:t>The world bank. China Country Climate and Development Report. https://www.worldbank.org/en/country/china/publication/china-country-climate-and-development-report (2023).</w:t>
      </w:r>
    </w:p>
    <w:p w14:paraId="3FB49A9B" w14:textId="77777777" w:rsidR="00BD3990" w:rsidRPr="00BD3990" w:rsidRDefault="00BD3990" w:rsidP="00BD3990">
      <w:pPr>
        <w:pStyle w:val="Bibliography"/>
        <w:rPr>
          <w:rFonts w:cs="Calibri"/>
        </w:rPr>
      </w:pPr>
      <w:r w:rsidRPr="00BD3990">
        <w:rPr>
          <w:rFonts w:cs="Calibri"/>
        </w:rPr>
        <w:lastRenderedPageBreak/>
        <w:t>24.</w:t>
      </w:r>
      <w:r w:rsidRPr="00BD3990">
        <w:rPr>
          <w:rFonts w:cs="Calibri"/>
        </w:rPr>
        <w:tab/>
        <w:t>State Council. China’s new ‘dual circulation’ development paradigm. https://english.www.gov.cn/news/topnews/202103/28/content_WS60604adbc6d0719374afba4a.html (2021).</w:t>
      </w:r>
    </w:p>
    <w:p w14:paraId="0E9C0121" w14:textId="77777777" w:rsidR="00BD3990" w:rsidRPr="00BD3990" w:rsidRDefault="00BD3990" w:rsidP="00BD3990">
      <w:pPr>
        <w:pStyle w:val="Bibliography"/>
        <w:rPr>
          <w:rFonts w:cs="Calibri"/>
        </w:rPr>
      </w:pPr>
      <w:r w:rsidRPr="00BD3990">
        <w:rPr>
          <w:rFonts w:cs="Calibri"/>
        </w:rPr>
        <w:t>25.</w:t>
      </w:r>
      <w:r w:rsidRPr="00BD3990">
        <w:rPr>
          <w:rFonts w:cs="Calibri"/>
        </w:rPr>
        <w:tab/>
        <w:t>State Council. Strides made in advancing Beautiful China Initiative: official. https://english.www.gov.cn/news/topnews/202210/21/content_WS63526392c6d0a757729e17e0.html.</w:t>
      </w:r>
    </w:p>
    <w:p w14:paraId="11E41A25" w14:textId="77777777" w:rsidR="00BD3990" w:rsidRPr="00BD3990" w:rsidRDefault="00BD3990" w:rsidP="00BD3990">
      <w:pPr>
        <w:pStyle w:val="Bibliography"/>
        <w:rPr>
          <w:rFonts w:cs="Calibri"/>
        </w:rPr>
      </w:pPr>
      <w:r w:rsidRPr="00BD3990">
        <w:rPr>
          <w:rFonts w:cs="Calibri"/>
        </w:rPr>
        <w:t>26.</w:t>
      </w:r>
      <w:r w:rsidRPr="00BD3990">
        <w:rPr>
          <w:rFonts w:cs="Calibri"/>
        </w:rPr>
        <w:tab/>
        <w:t>State Council. China pushes ‘dual circulation’ to power growth in new development stage. https://english.www.gov.cn/news/topnews/202103/10/content_WS60486347c6d0719374afa854.html (2021).</w:t>
      </w:r>
    </w:p>
    <w:p w14:paraId="76CBB808" w14:textId="77777777" w:rsidR="00BD3990" w:rsidRPr="00BD3990" w:rsidRDefault="00BD3990" w:rsidP="00BD3990">
      <w:pPr>
        <w:pStyle w:val="Bibliography"/>
        <w:rPr>
          <w:rFonts w:cs="Calibri"/>
        </w:rPr>
      </w:pPr>
      <w:r w:rsidRPr="00BD3990">
        <w:rPr>
          <w:rFonts w:cs="Calibri"/>
        </w:rPr>
        <w:t>27.</w:t>
      </w:r>
      <w:r w:rsidRPr="00BD3990">
        <w:rPr>
          <w:rFonts w:cs="Calibri"/>
        </w:rPr>
        <w:tab/>
        <w:t xml:space="preserve">Central Committee of the Communist Party &amp; State Council. Opinions of the Central Committee of the Communist Party of China and the State Council on Comprehensively Promoting the Construction of a Beautiful China </w:t>
      </w:r>
      <w:r w:rsidRPr="00BD3990">
        <w:rPr>
          <w:rFonts w:cs="Calibri"/>
        </w:rPr>
        <w:t>中共中央</w:t>
      </w:r>
      <w:r w:rsidRPr="00BD3990">
        <w:rPr>
          <w:rFonts w:cs="Calibri"/>
        </w:rPr>
        <w:t> </w:t>
      </w:r>
      <w:r w:rsidRPr="00BD3990">
        <w:rPr>
          <w:rFonts w:cs="Calibri"/>
        </w:rPr>
        <w:t>国务院关于全面推进美丽中国建设的意见</w:t>
      </w:r>
      <w:r w:rsidRPr="00BD3990">
        <w:rPr>
          <w:rFonts w:cs="Calibri"/>
        </w:rPr>
        <w:t>_</w:t>
      </w:r>
      <w:r w:rsidRPr="00BD3990">
        <w:rPr>
          <w:rFonts w:cs="Calibri"/>
        </w:rPr>
        <w:t>中央有关文件</w:t>
      </w:r>
      <w:r w:rsidRPr="00BD3990">
        <w:rPr>
          <w:rFonts w:cs="Calibri"/>
        </w:rPr>
        <w:t>_</w:t>
      </w:r>
      <w:r w:rsidRPr="00BD3990">
        <w:rPr>
          <w:rFonts w:cs="Calibri"/>
        </w:rPr>
        <w:t>中国政府网</w:t>
      </w:r>
      <w:r w:rsidRPr="00BD3990">
        <w:rPr>
          <w:rFonts w:cs="Calibri"/>
        </w:rPr>
        <w:t>. https://www.gov.cn/zhengce/202401/content_6925405.htm (2024).</w:t>
      </w:r>
    </w:p>
    <w:p w14:paraId="00600CC3" w14:textId="77777777" w:rsidR="00BD3990" w:rsidRPr="00BD3990" w:rsidRDefault="00BD3990" w:rsidP="00BD3990">
      <w:pPr>
        <w:pStyle w:val="Bibliography"/>
        <w:rPr>
          <w:rFonts w:cs="Calibri"/>
        </w:rPr>
      </w:pPr>
      <w:r w:rsidRPr="00BD3990">
        <w:rPr>
          <w:rFonts w:cs="Calibri"/>
        </w:rPr>
        <w:t>28.</w:t>
      </w:r>
      <w:r w:rsidRPr="00BD3990">
        <w:rPr>
          <w:rFonts w:cs="Calibri"/>
        </w:rPr>
        <w:tab/>
        <w:t>State Council. Implementation stressed for manufacturing vision. https://english.www.gov.cn/policies/latest_releases/2015/05/19/content_281475110703534.htm.</w:t>
      </w:r>
    </w:p>
    <w:p w14:paraId="7FD64012" w14:textId="77777777" w:rsidR="00BD3990" w:rsidRPr="00BD3990" w:rsidRDefault="00BD3990" w:rsidP="00BD3990">
      <w:pPr>
        <w:pStyle w:val="Bibliography"/>
        <w:rPr>
          <w:rFonts w:cs="Calibri"/>
        </w:rPr>
      </w:pPr>
      <w:r w:rsidRPr="00BD3990">
        <w:rPr>
          <w:rFonts w:cs="Calibri"/>
        </w:rPr>
        <w:t>29.</w:t>
      </w:r>
      <w:r w:rsidRPr="00BD3990">
        <w:rPr>
          <w:rFonts w:cs="Calibri"/>
        </w:rPr>
        <w:tab/>
        <w:t xml:space="preserve">Conroy, G. How ‘Made in China 2025’ helped supercharge scientific development in China’s cities. </w:t>
      </w:r>
      <w:r w:rsidRPr="00BD3990">
        <w:rPr>
          <w:rFonts w:cs="Calibri"/>
          <w:i/>
          <w:iCs/>
        </w:rPr>
        <w:t>Nature</w:t>
      </w:r>
      <w:r w:rsidRPr="00BD3990">
        <w:rPr>
          <w:rFonts w:cs="Calibri"/>
        </w:rPr>
        <w:t xml:space="preserve"> d41586-024-03522-y (2024) doi:10.1038/d41586-024-03522-y.</w:t>
      </w:r>
    </w:p>
    <w:p w14:paraId="5964EB53" w14:textId="77777777" w:rsidR="00BD3990" w:rsidRPr="00BD3990" w:rsidRDefault="00BD3990" w:rsidP="00BD3990">
      <w:pPr>
        <w:pStyle w:val="Bibliography"/>
        <w:rPr>
          <w:rFonts w:cs="Calibri"/>
        </w:rPr>
      </w:pPr>
      <w:r w:rsidRPr="00BD3990">
        <w:rPr>
          <w:rFonts w:cs="Calibri"/>
        </w:rPr>
        <w:t>30.</w:t>
      </w:r>
      <w:r w:rsidRPr="00BD3990">
        <w:rPr>
          <w:rFonts w:cs="Calibri"/>
        </w:rPr>
        <w:tab/>
        <w:t xml:space="preserve">Arendse, H. China’s New Quality Productive Forces: An Explainer. </w:t>
      </w:r>
      <w:r w:rsidRPr="00BD3990">
        <w:rPr>
          <w:rFonts w:cs="Calibri"/>
          <w:i/>
          <w:iCs/>
        </w:rPr>
        <w:t>China Briefing News</w:t>
      </w:r>
      <w:r w:rsidRPr="00BD3990">
        <w:rPr>
          <w:rFonts w:cs="Calibri"/>
        </w:rPr>
        <w:t xml:space="preserve"> https://www.china-briefing.com/news/chinas-new-quality-productive-forces-an-explainer/ (2024).</w:t>
      </w:r>
    </w:p>
    <w:p w14:paraId="0FA4AFE3" w14:textId="77777777" w:rsidR="00BD3990" w:rsidRPr="00BD3990" w:rsidRDefault="00BD3990" w:rsidP="00BD3990">
      <w:pPr>
        <w:pStyle w:val="Bibliography"/>
        <w:rPr>
          <w:rFonts w:cs="Calibri"/>
        </w:rPr>
      </w:pPr>
      <w:r w:rsidRPr="00BD3990">
        <w:rPr>
          <w:rFonts w:cs="Calibri"/>
        </w:rPr>
        <w:t>31.</w:t>
      </w:r>
      <w:r w:rsidRPr="00BD3990">
        <w:rPr>
          <w:rFonts w:cs="Calibri"/>
        </w:rPr>
        <w:tab/>
        <w:t xml:space="preserve">Wang, P. </w:t>
      </w:r>
      <w:r w:rsidRPr="00BD3990">
        <w:rPr>
          <w:rFonts w:cs="Calibri"/>
          <w:i/>
          <w:iCs/>
        </w:rPr>
        <w:t>et al.</w:t>
      </w:r>
      <w:r w:rsidRPr="00BD3990">
        <w:rPr>
          <w:rFonts w:cs="Calibri"/>
        </w:rPr>
        <w:t xml:space="preserve"> CCUS development in China and forecast its contribution to emission reduction. </w:t>
      </w:r>
      <w:r w:rsidRPr="00BD3990">
        <w:rPr>
          <w:rFonts w:cs="Calibri"/>
          <w:i/>
          <w:iCs/>
        </w:rPr>
        <w:t>Sci Rep</w:t>
      </w:r>
      <w:r w:rsidRPr="00BD3990">
        <w:rPr>
          <w:rFonts w:cs="Calibri"/>
        </w:rPr>
        <w:t xml:space="preserve"> </w:t>
      </w:r>
      <w:r w:rsidRPr="00BD3990">
        <w:rPr>
          <w:rFonts w:cs="Calibri"/>
          <w:b/>
          <w:bCs/>
        </w:rPr>
        <w:t>13</w:t>
      </w:r>
      <w:r w:rsidRPr="00BD3990">
        <w:rPr>
          <w:rFonts w:cs="Calibri"/>
        </w:rPr>
        <w:t>, 17811 (2023).</w:t>
      </w:r>
    </w:p>
    <w:p w14:paraId="3BFC5E0C" w14:textId="77777777" w:rsidR="00BD3990" w:rsidRPr="00BD3990" w:rsidRDefault="00BD3990" w:rsidP="00BD3990">
      <w:pPr>
        <w:pStyle w:val="Bibliography"/>
        <w:rPr>
          <w:rFonts w:cs="Calibri"/>
        </w:rPr>
      </w:pPr>
      <w:r w:rsidRPr="00BD3990">
        <w:rPr>
          <w:rFonts w:cs="Calibri"/>
        </w:rPr>
        <w:lastRenderedPageBreak/>
        <w:t>32.</w:t>
      </w:r>
      <w:r w:rsidRPr="00BD3990">
        <w:rPr>
          <w:rFonts w:cs="Calibri"/>
        </w:rPr>
        <w:tab/>
        <w:t xml:space="preserve">Ministry of Ecology and Environment. China Carbon Dioxide Capture, Utilization and Storage (CCUS) Annual Report (2021)-China CCUS Pathway Research (2021)  </w:t>
      </w:r>
      <w:r w:rsidRPr="00BD3990">
        <w:rPr>
          <w:rFonts w:cs="Calibri"/>
        </w:rPr>
        <w:t>中国二氧化碳捕集利用与封</w:t>
      </w:r>
      <w:r w:rsidRPr="00BD3990">
        <w:rPr>
          <w:rFonts w:cs="Calibri"/>
        </w:rPr>
        <w:t xml:space="preserve"> </w:t>
      </w:r>
      <w:r w:rsidRPr="00BD3990">
        <w:rPr>
          <w:rFonts w:cs="Calibri"/>
        </w:rPr>
        <w:t>存</w:t>
      </w:r>
      <w:r w:rsidRPr="00BD3990">
        <w:rPr>
          <w:rFonts w:cs="Calibri"/>
        </w:rPr>
        <w:t xml:space="preserve"> (CCUS) </w:t>
      </w:r>
      <w:r w:rsidRPr="00BD3990">
        <w:rPr>
          <w:rFonts w:cs="Calibri"/>
        </w:rPr>
        <w:t>年度报告</w:t>
      </w:r>
      <w:r w:rsidRPr="00BD3990">
        <w:rPr>
          <w:rFonts w:cs="Calibri"/>
        </w:rPr>
        <w:t>. (2021).</w:t>
      </w:r>
    </w:p>
    <w:p w14:paraId="5BB0D03E" w14:textId="77777777" w:rsidR="00BD3990" w:rsidRPr="00BD3990" w:rsidRDefault="00BD3990" w:rsidP="00BD3990">
      <w:pPr>
        <w:pStyle w:val="Bibliography"/>
        <w:rPr>
          <w:rFonts w:cs="Calibri"/>
        </w:rPr>
      </w:pPr>
      <w:r w:rsidRPr="00BD3990">
        <w:rPr>
          <w:rFonts w:cs="Calibri"/>
        </w:rPr>
        <w:t>33.</w:t>
      </w:r>
      <w:r w:rsidRPr="00BD3990">
        <w:rPr>
          <w:rFonts w:cs="Calibri"/>
        </w:rPr>
        <w:tab/>
        <w:t>State Council. China’s home appliance sales surge in 2024 under trade-in scheme. https://english.www.gov.cn/archive/statistics/202501/19/content_WS678c38fac6d0868f4e8eef62.html.</w:t>
      </w:r>
    </w:p>
    <w:p w14:paraId="2931CB38" w14:textId="77777777" w:rsidR="00BD3990" w:rsidRPr="00BD3990" w:rsidRDefault="00BD3990" w:rsidP="00BD3990">
      <w:pPr>
        <w:pStyle w:val="Bibliography"/>
        <w:rPr>
          <w:rFonts w:cs="Calibri"/>
        </w:rPr>
      </w:pPr>
      <w:r w:rsidRPr="00BD3990">
        <w:rPr>
          <w:rFonts w:cs="Calibri"/>
        </w:rPr>
        <w:t>34.</w:t>
      </w:r>
      <w:r w:rsidRPr="00BD3990">
        <w:rPr>
          <w:rFonts w:cs="Calibri"/>
        </w:rPr>
        <w:tab/>
        <w:t>State Council. Consumption vouchers issued to boost spending in China. https://english.www.gov.cn/news/202409/26/content_WS66f51bc1c6d0868f4e8eb4af.html.</w:t>
      </w:r>
    </w:p>
    <w:p w14:paraId="764DDE02" w14:textId="77777777" w:rsidR="00BD3990" w:rsidRPr="00BD3990" w:rsidRDefault="00BD3990" w:rsidP="00BD3990">
      <w:pPr>
        <w:pStyle w:val="Bibliography"/>
        <w:rPr>
          <w:rFonts w:cs="Calibri"/>
        </w:rPr>
      </w:pPr>
      <w:r w:rsidRPr="00BD3990">
        <w:rPr>
          <w:rFonts w:cs="Calibri"/>
        </w:rPr>
        <w:t>35.</w:t>
      </w:r>
      <w:r w:rsidRPr="00BD3990">
        <w:rPr>
          <w:rFonts w:cs="Calibri"/>
        </w:rPr>
        <w:tab/>
        <w:t>State Council. China’s property market shows stronger signs of recovery. https://english.www.gov.cn/archive/statistics/202412/16/content_WS6760192fc6d0868f4e8ee041.html (2024).</w:t>
      </w:r>
    </w:p>
    <w:p w14:paraId="244AFB8C" w14:textId="77777777" w:rsidR="00BD3990" w:rsidRPr="00BD3990" w:rsidRDefault="00BD3990" w:rsidP="00BD3990">
      <w:pPr>
        <w:pStyle w:val="Bibliography"/>
        <w:rPr>
          <w:rFonts w:cs="Calibri"/>
        </w:rPr>
      </w:pPr>
      <w:r w:rsidRPr="00BD3990">
        <w:rPr>
          <w:rFonts w:cs="Calibri"/>
        </w:rPr>
        <w:t>36.</w:t>
      </w:r>
      <w:r w:rsidRPr="00BD3990">
        <w:rPr>
          <w:rFonts w:cs="Calibri"/>
        </w:rPr>
        <w:tab/>
        <w:t>State Council. New urbanization implementation plan approved. https://english.www.gov.cn/policies/latestreleases/202206/07/content_WS629f170ac6d02e533532bcf7.html (2022).</w:t>
      </w:r>
    </w:p>
    <w:p w14:paraId="6BA0F768" w14:textId="77777777" w:rsidR="00BD3990" w:rsidRPr="00BD3990" w:rsidRDefault="00BD3990" w:rsidP="00BD3990">
      <w:pPr>
        <w:pStyle w:val="Bibliography"/>
        <w:rPr>
          <w:rFonts w:cs="Calibri"/>
        </w:rPr>
      </w:pPr>
      <w:r w:rsidRPr="00BD3990">
        <w:rPr>
          <w:rFonts w:cs="Calibri"/>
        </w:rPr>
        <w:t>37.</w:t>
      </w:r>
      <w:r w:rsidRPr="00BD3990">
        <w:rPr>
          <w:rFonts w:cs="Calibri"/>
        </w:rPr>
        <w:tab/>
        <w:t>State Council. China unveils new measures to stabilize housing market. https://english.www.gov.cn/news/202410/17/content_WS67111067c6d0868f4e8ebfd0.html (2024).</w:t>
      </w:r>
    </w:p>
    <w:p w14:paraId="194050E9" w14:textId="77777777" w:rsidR="00BD3990" w:rsidRPr="00BD3990" w:rsidRDefault="00BD3990" w:rsidP="00BD3990">
      <w:pPr>
        <w:pStyle w:val="Bibliography"/>
        <w:rPr>
          <w:rFonts w:cs="Calibri"/>
        </w:rPr>
      </w:pPr>
      <w:r w:rsidRPr="00BD3990">
        <w:rPr>
          <w:rFonts w:cs="Calibri"/>
        </w:rPr>
        <w:t>38.</w:t>
      </w:r>
      <w:r w:rsidRPr="00BD3990">
        <w:rPr>
          <w:rFonts w:cs="Calibri"/>
        </w:rPr>
        <w:tab/>
        <w:t xml:space="preserve">Gao, C., Chang, S. &amp; Wang, Y. From global to national: The role of urban agglomerations in China’s new development paradigm. </w:t>
      </w:r>
      <w:r w:rsidRPr="00BD3990">
        <w:rPr>
          <w:rFonts w:cs="Calibri"/>
          <w:i/>
          <w:iCs/>
        </w:rPr>
        <w:t>PLoS ONE</w:t>
      </w:r>
      <w:r w:rsidRPr="00BD3990">
        <w:rPr>
          <w:rFonts w:cs="Calibri"/>
        </w:rPr>
        <w:t xml:space="preserve"> </w:t>
      </w:r>
      <w:r w:rsidRPr="00BD3990">
        <w:rPr>
          <w:rFonts w:cs="Calibri"/>
          <w:b/>
          <w:bCs/>
        </w:rPr>
        <w:t>19</w:t>
      </w:r>
      <w:r w:rsidRPr="00BD3990">
        <w:rPr>
          <w:rFonts w:cs="Calibri"/>
        </w:rPr>
        <w:t>, e0305594 (2024).</w:t>
      </w:r>
    </w:p>
    <w:p w14:paraId="536CC57F" w14:textId="77777777" w:rsidR="00BD3990" w:rsidRPr="00BD3990" w:rsidRDefault="00BD3990" w:rsidP="00BD3990">
      <w:pPr>
        <w:pStyle w:val="Bibliography"/>
        <w:rPr>
          <w:rFonts w:cs="Calibri"/>
        </w:rPr>
      </w:pPr>
      <w:r w:rsidRPr="00BD3990">
        <w:rPr>
          <w:rFonts w:cs="Calibri"/>
        </w:rPr>
        <w:t>39.</w:t>
      </w:r>
      <w:r w:rsidRPr="00BD3990">
        <w:rPr>
          <w:rFonts w:cs="Calibri"/>
        </w:rPr>
        <w:tab/>
        <w:t xml:space="preserve">Wang, S., Yang, C., Hou, D. &amp; Dai, L. How do urban agglomerations drive economic development? A policy implementation and spatial effects perspective. </w:t>
      </w:r>
      <w:r w:rsidRPr="00BD3990">
        <w:rPr>
          <w:rFonts w:cs="Calibri"/>
          <w:i/>
          <w:iCs/>
        </w:rPr>
        <w:t>Economic Analysis and Policy</w:t>
      </w:r>
      <w:r w:rsidRPr="00BD3990">
        <w:rPr>
          <w:rFonts w:cs="Calibri"/>
        </w:rPr>
        <w:t xml:space="preserve"> </w:t>
      </w:r>
      <w:r w:rsidRPr="00BD3990">
        <w:rPr>
          <w:rFonts w:cs="Calibri"/>
          <w:b/>
          <w:bCs/>
        </w:rPr>
        <w:t>80</w:t>
      </w:r>
      <w:r w:rsidRPr="00BD3990">
        <w:rPr>
          <w:rFonts w:cs="Calibri"/>
        </w:rPr>
        <w:t>, 1224–1238 (2023).</w:t>
      </w:r>
    </w:p>
    <w:p w14:paraId="0EE18496" w14:textId="77777777" w:rsidR="00BD3990" w:rsidRPr="00BD3990" w:rsidRDefault="00BD3990" w:rsidP="00BD3990">
      <w:pPr>
        <w:pStyle w:val="Bibliography"/>
        <w:rPr>
          <w:rFonts w:cs="Calibri"/>
        </w:rPr>
      </w:pPr>
      <w:r w:rsidRPr="00BD3990">
        <w:rPr>
          <w:rFonts w:cs="Calibri"/>
        </w:rPr>
        <w:t>40.</w:t>
      </w:r>
      <w:r w:rsidRPr="00BD3990">
        <w:rPr>
          <w:rFonts w:cs="Calibri"/>
        </w:rPr>
        <w:tab/>
        <w:t>UN. World Population Prospects 2024 | Population Division. https://www.un.org/development/desa/pd/world-population-prospects-2024 (2024).</w:t>
      </w:r>
    </w:p>
    <w:p w14:paraId="7CA83419" w14:textId="77777777" w:rsidR="00BD3990" w:rsidRPr="00BD3990" w:rsidRDefault="00BD3990" w:rsidP="00BD3990">
      <w:pPr>
        <w:pStyle w:val="Bibliography"/>
        <w:rPr>
          <w:rFonts w:cs="Calibri"/>
        </w:rPr>
      </w:pPr>
      <w:r w:rsidRPr="00BD3990">
        <w:rPr>
          <w:rFonts w:cs="Calibri"/>
        </w:rPr>
        <w:lastRenderedPageBreak/>
        <w:t>41.</w:t>
      </w:r>
      <w:r w:rsidRPr="00BD3990">
        <w:rPr>
          <w:rFonts w:cs="Calibri"/>
        </w:rPr>
        <w:tab/>
        <w:t>NDRC. Implementation Plan for New Urbanization in the 14th Five-Year Plan. (2022).</w:t>
      </w:r>
    </w:p>
    <w:p w14:paraId="5BE39978" w14:textId="77777777" w:rsidR="00BD3990" w:rsidRPr="00BD3990" w:rsidRDefault="00BD3990" w:rsidP="00BD3990">
      <w:pPr>
        <w:pStyle w:val="Bibliography"/>
        <w:rPr>
          <w:rFonts w:cs="Calibri"/>
        </w:rPr>
      </w:pPr>
      <w:r w:rsidRPr="00BD3990">
        <w:rPr>
          <w:rFonts w:cs="Calibri"/>
        </w:rPr>
        <w:t>42.</w:t>
      </w:r>
      <w:r w:rsidRPr="00BD3990">
        <w:rPr>
          <w:rFonts w:cs="Calibri"/>
        </w:rPr>
        <w:tab/>
        <w:t xml:space="preserve">Central Committee of the Chinese Communist Party &amp; State Council. Decision of the Central Committee of the Chinese Communist Party and of the State Council </w:t>
      </w:r>
      <w:r w:rsidRPr="00BD3990">
        <w:rPr>
          <w:rFonts w:cs="Calibri"/>
        </w:rPr>
        <w:t>中共中央</w:t>
      </w:r>
      <w:r w:rsidRPr="00BD3990">
        <w:rPr>
          <w:rFonts w:cs="Calibri"/>
        </w:rPr>
        <w:t xml:space="preserve"> </w:t>
      </w:r>
      <w:r w:rsidRPr="00BD3990">
        <w:rPr>
          <w:rFonts w:cs="Calibri"/>
        </w:rPr>
        <w:t>国务院关于优化生育政策促进人口长期均衡发展的决定</w:t>
      </w:r>
      <w:r w:rsidRPr="00BD3990">
        <w:rPr>
          <w:rFonts w:cs="Calibri"/>
        </w:rPr>
        <w:t>_</w:t>
      </w:r>
      <w:r w:rsidRPr="00BD3990">
        <w:rPr>
          <w:rFonts w:cs="Calibri"/>
        </w:rPr>
        <w:t>中央有关文件</w:t>
      </w:r>
      <w:r w:rsidRPr="00BD3990">
        <w:rPr>
          <w:rFonts w:cs="Calibri"/>
        </w:rPr>
        <w:t>_</w:t>
      </w:r>
      <w:r w:rsidRPr="00BD3990">
        <w:rPr>
          <w:rFonts w:cs="Calibri"/>
        </w:rPr>
        <w:t>中国政府网</w:t>
      </w:r>
      <w:r w:rsidRPr="00BD3990">
        <w:rPr>
          <w:rFonts w:cs="Calibri"/>
        </w:rPr>
        <w:t>. https://www.gov.cn/zhengce/2021-07/20/content_5626190.htm.</w:t>
      </w:r>
    </w:p>
    <w:p w14:paraId="45836A22" w14:textId="77777777" w:rsidR="00BD3990" w:rsidRPr="00BD3990" w:rsidRDefault="00BD3990" w:rsidP="00BD3990">
      <w:pPr>
        <w:pStyle w:val="Bibliography"/>
        <w:rPr>
          <w:rFonts w:cs="Calibri"/>
        </w:rPr>
      </w:pPr>
      <w:r w:rsidRPr="00BD3990">
        <w:rPr>
          <w:rFonts w:cs="Calibri"/>
        </w:rPr>
        <w:t>43.</w:t>
      </w:r>
      <w:r w:rsidRPr="00BD3990">
        <w:rPr>
          <w:rFonts w:cs="Calibri"/>
        </w:rPr>
        <w:tab/>
        <w:t>Arendse, H. Urbanization in China - New Action Plan to Facilitate Urban Migration. https://www.china-briefing.com/news/urbanization-in-china-action-plan-migration/.</w:t>
      </w:r>
    </w:p>
    <w:p w14:paraId="5D8B7683" w14:textId="77777777" w:rsidR="00BD3990" w:rsidRPr="00BD3990" w:rsidRDefault="00BD3990" w:rsidP="00BD3990">
      <w:pPr>
        <w:pStyle w:val="Bibliography"/>
        <w:rPr>
          <w:rFonts w:cs="Calibri"/>
        </w:rPr>
      </w:pPr>
      <w:r w:rsidRPr="00BD3990">
        <w:rPr>
          <w:rFonts w:cs="Calibri"/>
        </w:rPr>
        <w:t>44.</w:t>
      </w:r>
      <w:r w:rsidRPr="00BD3990">
        <w:rPr>
          <w:rFonts w:cs="Calibri"/>
        </w:rPr>
        <w:tab/>
        <w:t>Interesse, G. China Tourism in 2023: Outlook, Trends and Opportunities. https://www.china-briefing.com/news/chinas-tourism-in-2023-outlook-trends-and-opportunities/.</w:t>
      </w:r>
    </w:p>
    <w:p w14:paraId="4A4E6977" w14:textId="77777777" w:rsidR="00BD3990" w:rsidRPr="00BD3990" w:rsidRDefault="00BD3990" w:rsidP="00BD3990">
      <w:pPr>
        <w:pStyle w:val="Bibliography"/>
        <w:rPr>
          <w:rFonts w:cs="Calibri"/>
        </w:rPr>
      </w:pPr>
      <w:r w:rsidRPr="00BD3990">
        <w:rPr>
          <w:rFonts w:cs="Calibri"/>
        </w:rPr>
        <w:t>45.</w:t>
      </w:r>
      <w:r w:rsidRPr="00BD3990">
        <w:rPr>
          <w:rFonts w:cs="Calibri"/>
        </w:rPr>
        <w:tab/>
        <w:t>You, X. The ‘new three’: How China came to lead solar, battery and EV manufacturing. https://dialogue.earth/en/business/new-three-china-solar-cell-lithium-battery-ev/ (2023).</w:t>
      </w:r>
    </w:p>
    <w:p w14:paraId="3D30C6F5" w14:textId="77777777" w:rsidR="00BD3990" w:rsidRPr="00BD3990" w:rsidRDefault="00BD3990" w:rsidP="00BD3990">
      <w:pPr>
        <w:pStyle w:val="Bibliography"/>
        <w:rPr>
          <w:rFonts w:cs="Calibri"/>
        </w:rPr>
      </w:pPr>
      <w:r w:rsidRPr="00BD3990">
        <w:rPr>
          <w:rFonts w:cs="Calibri"/>
        </w:rPr>
        <w:t>46.</w:t>
      </w:r>
      <w:r w:rsidRPr="00BD3990">
        <w:rPr>
          <w:rFonts w:cs="Calibri"/>
        </w:rPr>
        <w:tab/>
        <w:t xml:space="preserve">Myllyvirta, L. Analysis: China’s emissions set to fall in 2024 after record growth in clean energy. </w:t>
      </w:r>
      <w:r w:rsidRPr="00BD3990">
        <w:rPr>
          <w:rFonts w:cs="Calibri"/>
          <w:i/>
          <w:iCs/>
        </w:rPr>
        <w:t>Carbon Brief</w:t>
      </w:r>
      <w:r w:rsidRPr="00BD3990">
        <w:rPr>
          <w:rFonts w:cs="Calibri"/>
        </w:rPr>
        <w:t xml:space="preserve"> https://www.carbonbrief.org/analysis-chinas-emissions-set-to-fall-in-2024-after-record-growth-in-clean-energy/ (2023).</w:t>
      </w:r>
    </w:p>
    <w:p w14:paraId="134D7ED9" w14:textId="77777777" w:rsidR="00BD3990" w:rsidRPr="00BD3990" w:rsidRDefault="00BD3990" w:rsidP="00BD3990">
      <w:pPr>
        <w:pStyle w:val="Bibliography"/>
        <w:rPr>
          <w:rFonts w:cs="Calibri"/>
        </w:rPr>
      </w:pPr>
      <w:r w:rsidRPr="00BD3990">
        <w:rPr>
          <w:rFonts w:cs="Calibri"/>
        </w:rPr>
        <w:t>47.</w:t>
      </w:r>
      <w:r w:rsidRPr="00BD3990">
        <w:rPr>
          <w:rFonts w:cs="Calibri"/>
        </w:rPr>
        <w:tab/>
        <w:t>IEA. World Energy Outlook 2024 – Analysis. https://www.iea.org/reports/world-energy-outlook-2024 (2024).</w:t>
      </w:r>
    </w:p>
    <w:p w14:paraId="1F07F625" w14:textId="77777777" w:rsidR="00BD3990" w:rsidRPr="00BD3990" w:rsidRDefault="00BD3990" w:rsidP="00BD3990">
      <w:pPr>
        <w:pStyle w:val="Bibliography"/>
        <w:rPr>
          <w:rFonts w:cs="Calibri"/>
        </w:rPr>
      </w:pPr>
      <w:r w:rsidRPr="00BD3990">
        <w:rPr>
          <w:rFonts w:cs="Calibri"/>
        </w:rPr>
        <w:t>48.</w:t>
      </w:r>
      <w:r w:rsidRPr="00BD3990">
        <w:rPr>
          <w:rFonts w:cs="Calibri"/>
        </w:rPr>
        <w:tab/>
        <w:t xml:space="preserve">IEA. World Energy Outlook 2023 – Analysis. </w:t>
      </w:r>
      <w:r w:rsidRPr="00BD3990">
        <w:rPr>
          <w:rFonts w:cs="Calibri"/>
          <w:i/>
          <w:iCs/>
        </w:rPr>
        <w:t>IEA</w:t>
      </w:r>
      <w:r w:rsidRPr="00BD3990">
        <w:rPr>
          <w:rFonts w:cs="Calibri"/>
        </w:rPr>
        <w:t xml:space="preserve"> https://www.iea.org/reports/world-energy-outlook-2023 (2023).</w:t>
      </w:r>
    </w:p>
    <w:p w14:paraId="0F7A9C79" w14:textId="77777777" w:rsidR="00BD3990" w:rsidRPr="00BD3990" w:rsidRDefault="00BD3990" w:rsidP="00BD3990">
      <w:pPr>
        <w:pStyle w:val="Bibliography"/>
        <w:rPr>
          <w:rFonts w:cs="Calibri"/>
        </w:rPr>
      </w:pPr>
      <w:r w:rsidRPr="00BD3990">
        <w:rPr>
          <w:rFonts w:cs="Calibri"/>
        </w:rPr>
        <w:t>49.</w:t>
      </w:r>
      <w:r w:rsidRPr="00BD3990">
        <w:rPr>
          <w:rFonts w:cs="Calibri"/>
        </w:rPr>
        <w:tab/>
        <w:t>The world bank. China Overview: Development news, research, data | World Bank. https://www.worldbank.org/en/country/china/overview (2024).</w:t>
      </w:r>
    </w:p>
    <w:p w14:paraId="6DD175D1" w14:textId="77777777" w:rsidR="00BD3990" w:rsidRPr="00BD3990" w:rsidRDefault="00BD3990" w:rsidP="00BD3990">
      <w:pPr>
        <w:pStyle w:val="Bibliography"/>
        <w:rPr>
          <w:rFonts w:cs="Calibri"/>
        </w:rPr>
      </w:pPr>
      <w:r w:rsidRPr="00BD3990">
        <w:rPr>
          <w:rFonts w:cs="Calibri"/>
        </w:rPr>
        <w:t>50.</w:t>
      </w:r>
      <w:r w:rsidRPr="00BD3990">
        <w:rPr>
          <w:rFonts w:cs="Calibri"/>
        </w:rPr>
        <w:tab/>
        <w:t xml:space="preserve">Rogoff, K. &amp; Yang, Y. Rethinking China’s growth. </w:t>
      </w:r>
      <w:r w:rsidRPr="00BD3990">
        <w:rPr>
          <w:rFonts w:cs="Calibri"/>
          <w:i/>
          <w:iCs/>
        </w:rPr>
        <w:t>Economic Policy</w:t>
      </w:r>
      <w:r w:rsidRPr="00BD3990">
        <w:rPr>
          <w:rFonts w:cs="Calibri"/>
        </w:rPr>
        <w:t xml:space="preserve"> </w:t>
      </w:r>
      <w:r w:rsidRPr="00BD3990">
        <w:rPr>
          <w:rFonts w:cs="Calibri"/>
          <w:b/>
          <w:bCs/>
        </w:rPr>
        <w:t>39</w:t>
      </w:r>
      <w:r w:rsidRPr="00BD3990">
        <w:rPr>
          <w:rFonts w:cs="Calibri"/>
        </w:rPr>
        <w:t>, 517–548 (2024).</w:t>
      </w:r>
    </w:p>
    <w:p w14:paraId="17A1C50B" w14:textId="77777777" w:rsidR="00BD3990" w:rsidRPr="00BD3990" w:rsidRDefault="00BD3990" w:rsidP="00BD3990">
      <w:pPr>
        <w:pStyle w:val="Bibliography"/>
        <w:rPr>
          <w:rFonts w:cs="Calibri"/>
        </w:rPr>
      </w:pPr>
      <w:r w:rsidRPr="00BD3990">
        <w:rPr>
          <w:rFonts w:cs="Calibri"/>
        </w:rPr>
        <w:t>51.</w:t>
      </w:r>
      <w:r w:rsidRPr="00BD3990">
        <w:rPr>
          <w:rFonts w:cs="Calibri"/>
        </w:rPr>
        <w:tab/>
        <w:t>IMF. China’s Real Estate Challenge. https://www.imf.org/en/Publications/fandd/issues/2024/12/chinas-real-estate-challenge-kenneth-rogoff (2024).</w:t>
      </w:r>
    </w:p>
    <w:p w14:paraId="3411030D" w14:textId="77777777" w:rsidR="00BD3990" w:rsidRPr="00BD3990" w:rsidRDefault="00BD3990" w:rsidP="00BD3990">
      <w:pPr>
        <w:pStyle w:val="Bibliography"/>
        <w:rPr>
          <w:rFonts w:cs="Calibri"/>
        </w:rPr>
      </w:pPr>
      <w:r w:rsidRPr="00BD3990">
        <w:rPr>
          <w:rFonts w:cs="Calibri"/>
        </w:rPr>
        <w:lastRenderedPageBreak/>
        <w:t>52.</w:t>
      </w:r>
      <w:r w:rsidRPr="00BD3990">
        <w:rPr>
          <w:rFonts w:cs="Calibri"/>
        </w:rPr>
        <w:tab/>
        <w:t xml:space="preserve">Wang, Y., Zhou, Y., Yu, X. &amp; Liu, X. Is domestic consumption dragged down by real estate sector?—Evidence from Chinese household wealth. </w:t>
      </w:r>
      <w:r w:rsidRPr="00BD3990">
        <w:rPr>
          <w:rFonts w:cs="Calibri"/>
          <w:i/>
          <w:iCs/>
        </w:rPr>
        <w:t>International Review of Financial Analysis</w:t>
      </w:r>
      <w:r w:rsidRPr="00BD3990">
        <w:rPr>
          <w:rFonts w:cs="Calibri"/>
        </w:rPr>
        <w:t xml:space="preserve"> </w:t>
      </w:r>
      <w:r w:rsidRPr="00BD3990">
        <w:rPr>
          <w:rFonts w:cs="Calibri"/>
          <w:b/>
          <w:bCs/>
        </w:rPr>
        <w:t>75</w:t>
      </w:r>
      <w:r w:rsidRPr="00BD3990">
        <w:rPr>
          <w:rFonts w:cs="Calibri"/>
        </w:rPr>
        <w:t>, 101749 (2021).</w:t>
      </w:r>
    </w:p>
    <w:p w14:paraId="0BAECB37" w14:textId="77777777" w:rsidR="00BD3990" w:rsidRPr="00BD3990" w:rsidRDefault="00BD3990" w:rsidP="00BD3990">
      <w:pPr>
        <w:pStyle w:val="Bibliography"/>
        <w:rPr>
          <w:rFonts w:cs="Calibri"/>
        </w:rPr>
      </w:pPr>
      <w:r w:rsidRPr="00BD3990">
        <w:rPr>
          <w:rFonts w:cs="Calibri"/>
        </w:rPr>
        <w:t>53.</w:t>
      </w:r>
      <w:r w:rsidRPr="00BD3990">
        <w:rPr>
          <w:rFonts w:cs="Calibri"/>
        </w:rPr>
        <w:tab/>
        <w:t xml:space="preserve">Ma, L. &amp; Christensen, T. Government Trust, Social Trust, and Citizens’ Risk Concerns: Evidence from Crisis Management in China. </w:t>
      </w:r>
      <w:r w:rsidRPr="00BD3990">
        <w:rPr>
          <w:rFonts w:cs="Calibri"/>
          <w:i/>
          <w:iCs/>
        </w:rPr>
        <w:t>Public Performance &amp; Management Review</w:t>
      </w:r>
      <w:r w:rsidRPr="00BD3990">
        <w:rPr>
          <w:rFonts w:cs="Calibri"/>
        </w:rPr>
        <w:t xml:space="preserve"> </w:t>
      </w:r>
      <w:r w:rsidRPr="00BD3990">
        <w:rPr>
          <w:rFonts w:cs="Calibri"/>
          <w:b/>
          <w:bCs/>
        </w:rPr>
        <w:t>42</w:t>
      </w:r>
      <w:r w:rsidRPr="00BD3990">
        <w:rPr>
          <w:rFonts w:cs="Calibri"/>
        </w:rPr>
        <w:t>, 383–404 (2019).</w:t>
      </w:r>
    </w:p>
    <w:p w14:paraId="4BB6A704" w14:textId="77777777" w:rsidR="00BD3990" w:rsidRPr="00BD3990" w:rsidRDefault="00BD3990" w:rsidP="00BD3990">
      <w:pPr>
        <w:pStyle w:val="Bibliography"/>
        <w:rPr>
          <w:rFonts w:cs="Calibri"/>
        </w:rPr>
      </w:pPr>
      <w:r w:rsidRPr="00BD3990">
        <w:rPr>
          <w:rFonts w:cs="Calibri"/>
        </w:rPr>
        <w:t>54.</w:t>
      </w:r>
      <w:r w:rsidRPr="00BD3990">
        <w:rPr>
          <w:rFonts w:cs="Calibri"/>
        </w:rPr>
        <w:tab/>
        <w:t xml:space="preserve">China off track on emissions goals as energy demand offsets renewables push, researchers say. </w:t>
      </w:r>
      <w:r w:rsidRPr="00BD3990">
        <w:rPr>
          <w:rFonts w:cs="Calibri"/>
          <w:i/>
          <w:iCs/>
        </w:rPr>
        <w:t>Reuters</w:t>
      </w:r>
      <w:r w:rsidRPr="00BD3990">
        <w:rPr>
          <w:rFonts w:cs="Calibri"/>
        </w:rPr>
        <w:t xml:space="preserve"> (2024).</w:t>
      </w:r>
    </w:p>
    <w:p w14:paraId="39321A79" w14:textId="77777777" w:rsidR="00BD3990" w:rsidRPr="00BD3990" w:rsidRDefault="00BD3990" w:rsidP="00BD3990">
      <w:pPr>
        <w:pStyle w:val="Bibliography"/>
        <w:rPr>
          <w:rFonts w:cs="Calibri"/>
        </w:rPr>
      </w:pPr>
      <w:r w:rsidRPr="00BD3990">
        <w:rPr>
          <w:rFonts w:cs="Calibri"/>
        </w:rPr>
        <w:t>55.</w:t>
      </w:r>
      <w:r w:rsidRPr="00BD3990">
        <w:rPr>
          <w:rFonts w:cs="Calibri"/>
        </w:rPr>
        <w:tab/>
        <w:t xml:space="preserve">The Straits Times. China at risk of missing 2025 climate targets, needs steep CO2 cuts: Study. </w:t>
      </w:r>
      <w:r w:rsidRPr="00BD3990">
        <w:rPr>
          <w:rFonts w:cs="Calibri"/>
          <w:i/>
          <w:iCs/>
        </w:rPr>
        <w:t>Carbon Brief</w:t>
      </w:r>
      <w:r w:rsidRPr="00BD3990">
        <w:rPr>
          <w:rFonts w:cs="Calibri"/>
        </w:rPr>
        <w:t xml:space="preserve"> https://www.carbonbrief.org/daily-brief/china-at-risk-of-missing-2025-climate-targets-needs-steep-co2-cuts-study/ (2024).</w:t>
      </w:r>
    </w:p>
    <w:p w14:paraId="522E5B83" w14:textId="77777777" w:rsidR="00BD3990" w:rsidRPr="00BD3990" w:rsidRDefault="00BD3990" w:rsidP="00BD3990">
      <w:pPr>
        <w:pStyle w:val="Bibliography"/>
        <w:rPr>
          <w:rFonts w:cs="Calibri"/>
        </w:rPr>
      </w:pPr>
      <w:r w:rsidRPr="00BD3990">
        <w:rPr>
          <w:rFonts w:cs="Calibri"/>
        </w:rPr>
        <w:t>56.</w:t>
      </w:r>
      <w:r w:rsidRPr="00BD3990">
        <w:rPr>
          <w:rFonts w:cs="Calibri"/>
        </w:rPr>
        <w:tab/>
        <w:t xml:space="preserve">Naughton, B. </w:t>
      </w:r>
      <w:r w:rsidRPr="00BD3990">
        <w:rPr>
          <w:rFonts w:cs="Calibri"/>
          <w:i/>
          <w:iCs/>
        </w:rPr>
        <w:t>The Chinese Economy: Transitions and Growth</w:t>
      </w:r>
      <w:r w:rsidRPr="00BD3990">
        <w:rPr>
          <w:rFonts w:cs="Calibri"/>
        </w:rPr>
        <w:t>. (MIT Press, Cambridge, Mass, 2007).</w:t>
      </w:r>
    </w:p>
    <w:p w14:paraId="57799C56" w14:textId="77777777" w:rsidR="00BD3990" w:rsidRPr="00BD3990" w:rsidRDefault="00BD3990" w:rsidP="00BD3990">
      <w:pPr>
        <w:pStyle w:val="Bibliography"/>
        <w:rPr>
          <w:rFonts w:cs="Calibri"/>
        </w:rPr>
      </w:pPr>
      <w:r w:rsidRPr="00BD3990">
        <w:rPr>
          <w:rFonts w:cs="Calibri"/>
        </w:rPr>
        <w:t>57.</w:t>
      </w:r>
      <w:r w:rsidRPr="00BD3990">
        <w:rPr>
          <w:rFonts w:cs="Calibri"/>
        </w:rPr>
        <w:tab/>
        <w:t xml:space="preserve">Naughton, B. J. The Chinese Economy: Adaptation and Growth, second edition. </w:t>
      </w:r>
      <w:r w:rsidRPr="00BD3990">
        <w:rPr>
          <w:rFonts w:cs="Calibri"/>
          <w:i/>
          <w:iCs/>
        </w:rPr>
        <w:t>MIT Press Books</w:t>
      </w:r>
      <w:r w:rsidRPr="00BD3990">
        <w:rPr>
          <w:rFonts w:cs="Calibri"/>
        </w:rPr>
        <w:t xml:space="preserve"> </w:t>
      </w:r>
      <w:r w:rsidRPr="00BD3990">
        <w:rPr>
          <w:rFonts w:cs="Calibri"/>
          <w:b/>
          <w:bCs/>
        </w:rPr>
        <w:t>1</w:t>
      </w:r>
      <w:r w:rsidRPr="00BD3990">
        <w:rPr>
          <w:rFonts w:cs="Calibri"/>
        </w:rPr>
        <w:t>, (2018).</w:t>
      </w:r>
    </w:p>
    <w:p w14:paraId="6F6F70B9" w14:textId="77777777" w:rsidR="00BD3990" w:rsidRPr="00BD3990" w:rsidRDefault="00BD3990" w:rsidP="00BD3990">
      <w:pPr>
        <w:pStyle w:val="Bibliography"/>
        <w:rPr>
          <w:rFonts w:cs="Calibri"/>
        </w:rPr>
      </w:pPr>
      <w:r w:rsidRPr="00BD3990">
        <w:rPr>
          <w:rFonts w:cs="Calibri"/>
        </w:rPr>
        <w:t>58.</w:t>
      </w:r>
      <w:r w:rsidRPr="00BD3990">
        <w:rPr>
          <w:rFonts w:cs="Calibri"/>
        </w:rPr>
        <w:tab/>
        <w:t xml:space="preserve">Knight, J. &amp; Ding, S. </w:t>
      </w:r>
      <w:r w:rsidRPr="00BD3990">
        <w:rPr>
          <w:rFonts w:cs="Calibri"/>
          <w:i/>
          <w:iCs/>
        </w:rPr>
        <w:t>China’s Remarkable Economic Growth</w:t>
      </w:r>
      <w:r w:rsidRPr="00BD3990">
        <w:rPr>
          <w:rFonts w:cs="Calibri"/>
        </w:rPr>
        <w:t>. (Oxford University Press, 2012). doi:10.1093/acprof:oso/9780199698691.001.0001.</w:t>
      </w:r>
    </w:p>
    <w:p w14:paraId="21444F1D" w14:textId="77777777" w:rsidR="00BD3990" w:rsidRPr="00BD3990" w:rsidRDefault="00BD3990" w:rsidP="00BD3990">
      <w:pPr>
        <w:pStyle w:val="Bibliography"/>
        <w:rPr>
          <w:rFonts w:cs="Calibri"/>
        </w:rPr>
      </w:pPr>
      <w:r w:rsidRPr="00BD3990">
        <w:rPr>
          <w:rFonts w:cs="Calibri"/>
        </w:rPr>
        <w:t>59.</w:t>
      </w:r>
      <w:r w:rsidRPr="00BD3990">
        <w:rPr>
          <w:rFonts w:cs="Calibri"/>
        </w:rPr>
        <w:tab/>
        <w:t xml:space="preserve">ICCSD. </w:t>
      </w:r>
      <w:r w:rsidRPr="00BD3990">
        <w:rPr>
          <w:rFonts w:cs="Calibri"/>
          <w:i/>
          <w:iCs/>
        </w:rPr>
        <w:t>China’s Long-Term Low-Carbon Development Strategies and Pathways: Comprehensive Report</w:t>
      </w:r>
      <w:r w:rsidRPr="00BD3990">
        <w:rPr>
          <w:rFonts w:cs="Calibri"/>
        </w:rPr>
        <w:t>. (Springer Singapore, Singapore, 2022). doi:10.1007/978-981-16-2524-4.</w:t>
      </w:r>
    </w:p>
    <w:p w14:paraId="549BC035" w14:textId="77777777" w:rsidR="00BD3990" w:rsidRPr="00BD3990" w:rsidRDefault="00BD3990" w:rsidP="00BD3990">
      <w:pPr>
        <w:pStyle w:val="Bibliography"/>
        <w:rPr>
          <w:rFonts w:cs="Calibri"/>
        </w:rPr>
      </w:pPr>
      <w:r w:rsidRPr="00BD3990">
        <w:rPr>
          <w:rFonts w:cs="Calibri"/>
        </w:rPr>
        <w:t>60.</w:t>
      </w:r>
      <w:r w:rsidRPr="00BD3990">
        <w:rPr>
          <w:rFonts w:cs="Calibri"/>
        </w:rPr>
        <w:tab/>
        <w:t>CNBC. China 2024 GDP forecasts by JPMorgan, Goldman, Citi, Morgan Stanley. https://www.cnbc.com/2024/01/17/china-2024-gdp-forecasts-by-jpmorgan-goldman-citi-morgan-stanley.html (2024).</w:t>
      </w:r>
    </w:p>
    <w:p w14:paraId="7629A5B1" w14:textId="77777777" w:rsidR="00BD3990" w:rsidRPr="00BD3990" w:rsidRDefault="00BD3990" w:rsidP="00BD3990">
      <w:pPr>
        <w:pStyle w:val="Bibliography"/>
        <w:rPr>
          <w:rFonts w:cs="Calibri"/>
        </w:rPr>
      </w:pPr>
      <w:r w:rsidRPr="00BD3990">
        <w:rPr>
          <w:rFonts w:cs="Calibri"/>
        </w:rPr>
        <w:t>61.</w:t>
      </w:r>
      <w:r w:rsidRPr="00BD3990">
        <w:rPr>
          <w:rFonts w:cs="Calibri"/>
        </w:rPr>
        <w:tab/>
        <w:t xml:space="preserve">IMF. </w:t>
      </w:r>
      <w:r w:rsidRPr="00BD3990">
        <w:rPr>
          <w:rFonts w:cs="Calibri"/>
          <w:i/>
          <w:iCs/>
        </w:rPr>
        <w:t>World Economic Outlook Update, January 2024: Moderating Inflation and Steady Growth Open Path to Soft Landing</w:t>
      </w:r>
      <w:r w:rsidRPr="00BD3990">
        <w:rPr>
          <w:rFonts w:cs="Calibri"/>
        </w:rPr>
        <w:t>. (2024).</w:t>
      </w:r>
    </w:p>
    <w:p w14:paraId="36C65B7B" w14:textId="77777777" w:rsidR="00BD3990" w:rsidRPr="00BD3990" w:rsidRDefault="00BD3990" w:rsidP="00BD3990">
      <w:pPr>
        <w:pStyle w:val="Bibliography"/>
        <w:rPr>
          <w:rFonts w:cs="Calibri"/>
        </w:rPr>
      </w:pPr>
      <w:r w:rsidRPr="00BD3990">
        <w:rPr>
          <w:rFonts w:cs="Calibri"/>
        </w:rPr>
        <w:t>62.</w:t>
      </w:r>
      <w:r w:rsidRPr="00BD3990">
        <w:rPr>
          <w:rFonts w:cs="Calibri"/>
        </w:rPr>
        <w:tab/>
        <w:t>JCER. China’s Growth Rate Below 3% after 2029 | Japan Center for Economic Research. https://www.jcer.or.jp/english/chinas-growth-rate-below-3-after-2029 (2023).</w:t>
      </w:r>
    </w:p>
    <w:p w14:paraId="72B051FA" w14:textId="77777777" w:rsidR="00BD3990" w:rsidRPr="00BD3990" w:rsidRDefault="00BD3990" w:rsidP="00BD3990">
      <w:pPr>
        <w:pStyle w:val="Bibliography"/>
        <w:rPr>
          <w:rFonts w:cs="Calibri"/>
        </w:rPr>
      </w:pPr>
      <w:r w:rsidRPr="00BD3990">
        <w:rPr>
          <w:rFonts w:cs="Calibri"/>
        </w:rPr>
        <w:lastRenderedPageBreak/>
        <w:t>63.</w:t>
      </w:r>
      <w:r w:rsidRPr="00BD3990">
        <w:rPr>
          <w:rFonts w:cs="Calibri"/>
        </w:rPr>
        <w:tab/>
        <w:t>Carnegie. Can China’s Long-Term Growth Rate Exceed 2–3 Percent? - Carnegie Endowment for International Peace. https://carnegieendowment.org/chinafinancialmarkets/89466 (2023).</w:t>
      </w:r>
    </w:p>
    <w:p w14:paraId="7145CAEB" w14:textId="77777777" w:rsidR="00BD3990" w:rsidRPr="00BD3990" w:rsidRDefault="00BD3990" w:rsidP="00BD3990">
      <w:pPr>
        <w:pStyle w:val="Bibliography"/>
        <w:rPr>
          <w:rFonts w:cs="Calibri"/>
        </w:rPr>
      </w:pPr>
      <w:r w:rsidRPr="00BD3990">
        <w:rPr>
          <w:rFonts w:cs="Calibri"/>
        </w:rPr>
        <w:t>64.</w:t>
      </w:r>
      <w:r w:rsidRPr="00BD3990">
        <w:rPr>
          <w:rFonts w:cs="Calibri"/>
        </w:rPr>
        <w:tab/>
        <w:t xml:space="preserve">O’Neill, B. C. </w:t>
      </w:r>
      <w:r w:rsidRPr="00BD3990">
        <w:rPr>
          <w:rFonts w:cs="Calibri"/>
          <w:i/>
          <w:iCs/>
        </w:rPr>
        <w:t>et al.</w:t>
      </w:r>
      <w:r w:rsidRPr="00BD3990">
        <w:rPr>
          <w:rFonts w:cs="Calibri"/>
        </w:rPr>
        <w:t xml:space="preserve"> The roads ahead: Narratives for shared socioeconomic pathways describing world futures in the 21st century. </w:t>
      </w:r>
      <w:r w:rsidRPr="00BD3990">
        <w:rPr>
          <w:rFonts w:cs="Calibri"/>
          <w:i/>
          <w:iCs/>
        </w:rPr>
        <w:t>Global Environmental Change</w:t>
      </w:r>
      <w:r w:rsidRPr="00BD3990">
        <w:rPr>
          <w:rFonts w:cs="Calibri"/>
        </w:rPr>
        <w:t xml:space="preserve"> </w:t>
      </w:r>
      <w:r w:rsidRPr="00BD3990">
        <w:rPr>
          <w:rFonts w:cs="Calibri"/>
          <w:b/>
          <w:bCs/>
        </w:rPr>
        <w:t>42</w:t>
      </w:r>
      <w:r w:rsidRPr="00BD3990">
        <w:rPr>
          <w:rFonts w:cs="Calibri"/>
        </w:rPr>
        <w:t>, 169–180 (2017).</w:t>
      </w:r>
    </w:p>
    <w:p w14:paraId="1D86972E" w14:textId="77777777" w:rsidR="00BD3990" w:rsidRPr="00BD3990" w:rsidRDefault="00BD3990" w:rsidP="00BD3990">
      <w:pPr>
        <w:pStyle w:val="Bibliography"/>
        <w:rPr>
          <w:rFonts w:cs="Calibri"/>
        </w:rPr>
      </w:pPr>
      <w:r w:rsidRPr="00BD3990">
        <w:rPr>
          <w:rFonts w:cs="Calibri"/>
        </w:rPr>
        <w:t>65.</w:t>
      </w:r>
      <w:r w:rsidRPr="00BD3990">
        <w:rPr>
          <w:rFonts w:cs="Calibri"/>
        </w:rPr>
        <w:tab/>
        <w:t xml:space="preserve">IIASA. Shared Socioeconomic Pathways Scenario Database (SSP) 3.0 realse. </w:t>
      </w:r>
      <w:r w:rsidRPr="00BD3990">
        <w:rPr>
          <w:rFonts w:cs="Calibri"/>
          <w:i/>
          <w:iCs/>
        </w:rPr>
        <w:t>IIASA - International Institute for Applied Systems Analysis</w:t>
      </w:r>
      <w:r w:rsidRPr="00BD3990">
        <w:rPr>
          <w:rFonts w:cs="Calibri"/>
        </w:rPr>
        <w:t xml:space="preserve"> http://iiasa.ac.at/models-tools-data/ssp (2024).</w:t>
      </w:r>
    </w:p>
    <w:p w14:paraId="4F627249" w14:textId="77777777" w:rsidR="00BD3990" w:rsidRPr="00BD3990" w:rsidRDefault="00BD3990" w:rsidP="00BD3990">
      <w:pPr>
        <w:pStyle w:val="Bibliography"/>
        <w:rPr>
          <w:rFonts w:cs="Calibri"/>
        </w:rPr>
      </w:pPr>
      <w:r w:rsidRPr="00BD3990">
        <w:rPr>
          <w:rFonts w:cs="Calibri"/>
        </w:rPr>
        <w:t>66.</w:t>
      </w:r>
      <w:r w:rsidRPr="00BD3990">
        <w:rPr>
          <w:rFonts w:cs="Calibri"/>
        </w:rPr>
        <w:tab/>
        <w:t>National Bureau of Statistics of China. Main Data of the Seventh National Population Census. https://www.stats.gov.cn/english/PressRelease/202105/t20210510_1817185.html (2021).</w:t>
      </w:r>
    </w:p>
    <w:p w14:paraId="0EC74BAA" w14:textId="77777777" w:rsidR="00BD3990" w:rsidRPr="00BD3990" w:rsidRDefault="00BD3990" w:rsidP="00BD3990">
      <w:pPr>
        <w:pStyle w:val="Bibliography"/>
        <w:rPr>
          <w:rFonts w:cs="Calibri"/>
        </w:rPr>
      </w:pPr>
      <w:r w:rsidRPr="00BD3990">
        <w:rPr>
          <w:rFonts w:cs="Calibri"/>
        </w:rPr>
        <w:t>67.</w:t>
      </w:r>
      <w:r w:rsidRPr="00BD3990">
        <w:rPr>
          <w:rFonts w:cs="Calibri"/>
        </w:rPr>
        <w:tab/>
        <w:t xml:space="preserve">Koch, J. &amp; Leimbach, M. SSP economic growth projections: Major changes of key drivers in integrated assessment modelling. </w:t>
      </w:r>
      <w:r w:rsidRPr="00BD3990">
        <w:rPr>
          <w:rFonts w:cs="Calibri"/>
          <w:i/>
          <w:iCs/>
        </w:rPr>
        <w:t>Ecological Economics</w:t>
      </w:r>
      <w:r w:rsidRPr="00BD3990">
        <w:rPr>
          <w:rFonts w:cs="Calibri"/>
        </w:rPr>
        <w:t xml:space="preserve"> </w:t>
      </w:r>
      <w:r w:rsidRPr="00BD3990">
        <w:rPr>
          <w:rFonts w:cs="Calibri"/>
          <w:b/>
          <w:bCs/>
        </w:rPr>
        <w:t>206</w:t>
      </w:r>
      <w:r w:rsidRPr="00BD3990">
        <w:rPr>
          <w:rFonts w:cs="Calibri"/>
        </w:rPr>
        <w:t>, 107751 (2023).</w:t>
      </w:r>
    </w:p>
    <w:p w14:paraId="0EAE76E0" w14:textId="77777777" w:rsidR="00BD3990" w:rsidRPr="00BD3990" w:rsidRDefault="00BD3990" w:rsidP="00BD3990">
      <w:pPr>
        <w:pStyle w:val="Bibliography"/>
        <w:rPr>
          <w:rFonts w:cs="Calibri"/>
        </w:rPr>
      </w:pPr>
      <w:r w:rsidRPr="00BD3990">
        <w:rPr>
          <w:rFonts w:cs="Calibri"/>
        </w:rPr>
        <w:t>68.</w:t>
      </w:r>
      <w:r w:rsidRPr="00BD3990">
        <w:rPr>
          <w:rFonts w:cs="Calibri"/>
        </w:rPr>
        <w:tab/>
        <w:t xml:space="preserve">Chen, Y. </w:t>
      </w:r>
      <w:r w:rsidRPr="00BD3990">
        <w:rPr>
          <w:rFonts w:cs="Calibri"/>
          <w:i/>
          <w:iCs/>
        </w:rPr>
        <w:t>et al.</w:t>
      </w:r>
      <w:r w:rsidRPr="00BD3990">
        <w:rPr>
          <w:rFonts w:cs="Calibri"/>
        </w:rPr>
        <w:t xml:space="preserve"> Provincial and gridded population projection for China under shared socioeconomic pathways from 2010 to 2100. </w:t>
      </w:r>
      <w:r w:rsidRPr="00BD3990">
        <w:rPr>
          <w:rFonts w:cs="Calibri"/>
          <w:i/>
          <w:iCs/>
        </w:rPr>
        <w:t>Sci Data</w:t>
      </w:r>
      <w:r w:rsidRPr="00BD3990">
        <w:rPr>
          <w:rFonts w:cs="Calibri"/>
        </w:rPr>
        <w:t xml:space="preserve"> </w:t>
      </w:r>
      <w:r w:rsidRPr="00BD3990">
        <w:rPr>
          <w:rFonts w:cs="Calibri"/>
          <w:b/>
          <w:bCs/>
        </w:rPr>
        <w:t>7</w:t>
      </w:r>
      <w:r w:rsidRPr="00BD3990">
        <w:rPr>
          <w:rFonts w:cs="Calibri"/>
        </w:rPr>
        <w:t>, 83 (2020).</w:t>
      </w:r>
    </w:p>
    <w:p w14:paraId="5613391A" w14:textId="77777777" w:rsidR="00BD3990" w:rsidRPr="00BD3990" w:rsidRDefault="00BD3990" w:rsidP="00BD3990">
      <w:pPr>
        <w:pStyle w:val="Bibliography"/>
        <w:rPr>
          <w:rFonts w:cs="Calibri"/>
        </w:rPr>
      </w:pPr>
      <w:r w:rsidRPr="00BD3990">
        <w:rPr>
          <w:rFonts w:cs="Calibri"/>
        </w:rPr>
        <w:t>69.</w:t>
      </w:r>
      <w:r w:rsidRPr="00BD3990">
        <w:rPr>
          <w:rFonts w:cs="Calibri"/>
        </w:rPr>
        <w:tab/>
        <w:t xml:space="preserve">Dai, K., Shen, S. &amp; Cheng, C. Evaluation and analysis of the projected population of China. </w:t>
      </w:r>
      <w:r w:rsidRPr="00BD3990">
        <w:rPr>
          <w:rFonts w:cs="Calibri"/>
          <w:i/>
          <w:iCs/>
        </w:rPr>
        <w:t>Sci Rep</w:t>
      </w:r>
      <w:r w:rsidRPr="00BD3990">
        <w:rPr>
          <w:rFonts w:cs="Calibri"/>
        </w:rPr>
        <w:t xml:space="preserve"> </w:t>
      </w:r>
      <w:r w:rsidRPr="00BD3990">
        <w:rPr>
          <w:rFonts w:cs="Calibri"/>
          <w:b/>
          <w:bCs/>
        </w:rPr>
        <w:t>12</w:t>
      </w:r>
      <w:r w:rsidRPr="00BD3990">
        <w:rPr>
          <w:rFonts w:cs="Calibri"/>
        </w:rPr>
        <w:t>, 3644 (2022).</w:t>
      </w:r>
    </w:p>
    <w:p w14:paraId="3A829075" w14:textId="77777777" w:rsidR="00BD3990" w:rsidRPr="00BD3990" w:rsidRDefault="00BD3990" w:rsidP="00BD3990">
      <w:pPr>
        <w:pStyle w:val="Bibliography"/>
        <w:rPr>
          <w:rFonts w:cs="Calibri"/>
        </w:rPr>
      </w:pPr>
      <w:r w:rsidRPr="00BD3990">
        <w:rPr>
          <w:rFonts w:cs="Calibri"/>
        </w:rPr>
        <w:t>70.</w:t>
      </w:r>
      <w:r w:rsidRPr="00BD3990">
        <w:rPr>
          <w:rFonts w:cs="Calibri"/>
        </w:rPr>
        <w:tab/>
        <w:t>Gao, A. J. Downscaling Global Spatial Population Projections from 1/8-degree to 1-km Grid Cells. (2017).</w:t>
      </w:r>
    </w:p>
    <w:p w14:paraId="3DECB591" w14:textId="77777777" w:rsidR="00BD3990" w:rsidRPr="00BD3990" w:rsidRDefault="00BD3990" w:rsidP="00BD3990">
      <w:pPr>
        <w:pStyle w:val="Bibliography"/>
        <w:rPr>
          <w:rFonts w:cs="Calibri"/>
        </w:rPr>
      </w:pPr>
      <w:r w:rsidRPr="00BD3990">
        <w:rPr>
          <w:rFonts w:cs="Calibri"/>
        </w:rPr>
        <w:t>71.</w:t>
      </w:r>
      <w:r w:rsidRPr="00BD3990">
        <w:rPr>
          <w:rFonts w:cs="Calibri"/>
        </w:rPr>
        <w:tab/>
        <w:t xml:space="preserve">Huang, J. </w:t>
      </w:r>
      <w:r w:rsidRPr="00BD3990">
        <w:rPr>
          <w:rFonts w:cs="Calibri"/>
          <w:i/>
          <w:iCs/>
        </w:rPr>
        <w:t>et al.</w:t>
      </w:r>
      <w:r w:rsidRPr="00BD3990">
        <w:rPr>
          <w:rFonts w:cs="Calibri"/>
        </w:rPr>
        <w:t xml:space="preserve"> Effect of Fertility Policy Changes on the Population Structure and Economy of China: From the Perspective of the Shared Socioeconomic Pathways. </w:t>
      </w:r>
      <w:r w:rsidRPr="00BD3990">
        <w:rPr>
          <w:rFonts w:cs="Calibri"/>
          <w:i/>
          <w:iCs/>
        </w:rPr>
        <w:t>Earth’s Future</w:t>
      </w:r>
      <w:r w:rsidRPr="00BD3990">
        <w:rPr>
          <w:rFonts w:cs="Calibri"/>
        </w:rPr>
        <w:t xml:space="preserve"> </w:t>
      </w:r>
      <w:r w:rsidRPr="00BD3990">
        <w:rPr>
          <w:rFonts w:cs="Calibri"/>
          <w:b/>
          <w:bCs/>
        </w:rPr>
        <w:t>7</w:t>
      </w:r>
      <w:r w:rsidRPr="00BD3990">
        <w:rPr>
          <w:rFonts w:cs="Calibri"/>
        </w:rPr>
        <w:t>, 250–265 (2019).</w:t>
      </w:r>
    </w:p>
    <w:p w14:paraId="3CFE4615" w14:textId="77777777" w:rsidR="00BD3990" w:rsidRPr="00BD3990" w:rsidRDefault="00BD3990" w:rsidP="00BD3990">
      <w:pPr>
        <w:pStyle w:val="Bibliography"/>
        <w:rPr>
          <w:rFonts w:cs="Calibri"/>
        </w:rPr>
      </w:pPr>
      <w:r w:rsidRPr="00BD3990">
        <w:rPr>
          <w:rFonts w:cs="Calibri"/>
        </w:rPr>
        <w:t>72.</w:t>
      </w:r>
      <w:r w:rsidRPr="00BD3990">
        <w:rPr>
          <w:rFonts w:cs="Calibri"/>
        </w:rPr>
        <w:tab/>
        <w:t>IHME. Homepage | Institute for Health Metrics and Evaluation. https://www.healthdata.org/ (2019).</w:t>
      </w:r>
    </w:p>
    <w:p w14:paraId="01D35545" w14:textId="77777777" w:rsidR="00BD3990" w:rsidRPr="00BD3990" w:rsidRDefault="00BD3990" w:rsidP="00BD3990">
      <w:pPr>
        <w:pStyle w:val="Bibliography"/>
        <w:rPr>
          <w:rFonts w:cs="Calibri"/>
        </w:rPr>
      </w:pPr>
      <w:r w:rsidRPr="00BD3990">
        <w:rPr>
          <w:rFonts w:cs="Calibri"/>
        </w:rPr>
        <w:t>73.</w:t>
      </w:r>
      <w:r w:rsidRPr="00BD3990">
        <w:rPr>
          <w:rFonts w:cs="Calibri"/>
        </w:rPr>
        <w:tab/>
        <w:t>WCDE. Wittgenstein Centre Human Capital Data Explorer. https://dataexplorer.wittgensteincentre.org/wcde-v2/ (2019).</w:t>
      </w:r>
    </w:p>
    <w:p w14:paraId="237AF00A" w14:textId="77777777" w:rsidR="00BD3990" w:rsidRPr="00BD3990" w:rsidRDefault="00BD3990" w:rsidP="00BD3990">
      <w:pPr>
        <w:pStyle w:val="Bibliography"/>
        <w:rPr>
          <w:rFonts w:cs="Calibri"/>
        </w:rPr>
      </w:pPr>
      <w:r w:rsidRPr="00BD3990">
        <w:rPr>
          <w:rFonts w:cs="Calibri"/>
        </w:rPr>
        <w:lastRenderedPageBreak/>
        <w:t>74.</w:t>
      </w:r>
      <w:r w:rsidRPr="00BD3990">
        <w:rPr>
          <w:rFonts w:cs="Calibri"/>
        </w:rPr>
        <w:tab/>
        <w:t>Meng, M., Krey, V., Way, R., Kim, J. &amp; Woo, J.-H. A generalized tool for projecting investment and fixed O&amp;M costs across technologies, scenarios, and regions. in (2024).</w:t>
      </w:r>
    </w:p>
    <w:p w14:paraId="3E577D69" w14:textId="77777777" w:rsidR="00BD3990" w:rsidRPr="00BD3990" w:rsidRDefault="00BD3990" w:rsidP="00BD3990">
      <w:pPr>
        <w:pStyle w:val="Bibliography"/>
        <w:rPr>
          <w:rFonts w:cs="Calibri"/>
        </w:rPr>
      </w:pPr>
      <w:r w:rsidRPr="00BD3990">
        <w:rPr>
          <w:rFonts w:cs="Calibri"/>
        </w:rPr>
        <w:t>75.</w:t>
      </w:r>
      <w:r w:rsidRPr="00BD3990">
        <w:rPr>
          <w:rFonts w:cs="Calibri"/>
        </w:rPr>
        <w:tab/>
        <w:t xml:space="preserve">Way, R., Ives, M. C., Mealy, P. &amp; Farmer, J. D. Empirically grounded technology forecasts and the energy transition. </w:t>
      </w:r>
      <w:r w:rsidRPr="00BD3990">
        <w:rPr>
          <w:rFonts w:cs="Calibri"/>
          <w:i/>
          <w:iCs/>
        </w:rPr>
        <w:t>Joule</w:t>
      </w:r>
      <w:r w:rsidRPr="00BD3990">
        <w:rPr>
          <w:rFonts w:cs="Calibri"/>
        </w:rPr>
        <w:t xml:space="preserve"> </w:t>
      </w:r>
      <w:r w:rsidRPr="00BD3990">
        <w:rPr>
          <w:rFonts w:cs="Calibri"/>
          <w:b/>
          <w:bCs/>
        </w:rPr>
        <w:t>6</w:t>
      </w:r>
      <w:r w:rsidRPr="00BD3990">
        <w:rPr>
          <w:rFonts w:cs="Calibri"/>
        </w:rPr>
        <w:t>, 2057–2082 (2022).</w:t>
      </w:r>
    </w:p>
    <w:p w14:paraId="3D730474" w14:textId="77777777" w:rsidR="00BD3990" w:rsidRPr="00BD3990" w:rsidRDefault="00BD3990" w:rsidP="00BD3990">
      <w:pPr>
        <w:pStyle w:val="Bibliography"/>
        <w:rPr>
          <w:rFonts w:cs="Calibri"/>
        </w:rPr>
      </w:pPr>
      <w:r w:rsidRPr="00BD3990">
        <w:rPr>
          <w:rFonts w:cs="Calibri"/>
        </w:rPr>
        <w:t>76.</w:t>
      </w:r>
      <w:r w:rsidRPr="00BD3990">
        <w:rPr>
          <w:rFonts w:cs="Calibri"/>
        </w:rPr>
        <w:tab/>
        <w:t>IEA. An energy sector roadmap to carbon neutrality in China. https://www.iea.org/reports/an-energy-sector-roadmap-to-carbon-neutrality-in-china (2021).</w:t>
      </w:r>
    </w:p>
    <w:p w14:paraId="007EB1C8" w14:textId="77777777" w:rsidR="00BD3990" w:rsidRPr="00BD3990" w:rsidRDefault="00BD3990" w:rsidP="00BD3990">
      <w:pPr>
        <w:pStyle w:val="Bibliography"/>
        <w:rPr>
          <w:rFonts w:cs="Calibri"/>
        </w:rPr>
      </w:pPr>
      <w:r w:rsidRPr="00BD3990">
        <w:rPr>
          <w:rFonts w:cs="Calibri"/>
        </w:rPr>
        <w:t>77.</w:t>
      </w:r>
      <w:r w:rsidRPr="00BD3990">
        <w:rPr>
          <w:rFonts w:cs="Calibri"/>
        </w:rPr>
        <w:tab/>
        <w:t xml:space="preserve">Chen, S., Liu, J., Zhang, Q., Teng, F. &amp; McLellan, B. C. A critical review on deployment planning and risk analysis of carbon capture, utilization, and storage (CCUS) toward carbon neutrality. </w:t>
      </w:r>
      <w:r w:rsidRPr="00BD3990">
        <w:rPr>
          <w:rFonts w:cs="Calibri"/>
          <w:i/>
          <w:iCs/>
        </w:rPr>
        <w:t>Renewable and Sustainable Energy Reviews</w:t>
      </w:r>
      <w:r w:rsidRPr="00BD3990">
        <w:rPr>
          <w:rFonts w:cs="Calibri"/>
        </w:rPr>
        <w:t xml:space="preserve"> </w:t>
      </w:r>
      <w:r w:rsidRPr="00BD3990">
        <w:rPr>
          <w:rFonts w:cs="Calibri"/>
          <w:b/>
          <w:bCs/>
        </w:rPr>
        <w:t>167</w:t>
      </w:r>
      <w:r w:rsidRPr="00BD3990">
        <w:rPr>
          <w:rFonts w:cs="Calibri"/>
        </w:rPr>
        <w:t>, 112537 (2022).</w:t>
      </w:r>
    </w:p>
    <w:p w14:paraId="21DF4D68" w14:textId="4B17F553" w:rsidR="0095121B" w:rsidRPr="003764FF" w:rsidRDefault="00BF5BFE" w:rsidP="00EA5D75">
      <w:pPr>
        <w:rPr>
          <w:rFonts w:cs="Calibri"/>
          <w:sz w:val="24"/>
        </w:rPr>
      </w:pPr>
      <w:r>
        <w:rPr>
          <w:rFonts w:cs="Calibri"/>
        </w:rPr>
        <w:fldChar w:fldCharType="end"/>
      </w:r>
    </w:p>
    <w:sectPr w:rsidR="0095121B" w:rsidRPr="003764FF" w:rsidSect="00770BA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90760" w14:textId="77777777" w:rsidR="00D23659" w:rsidRDefault="00D23659" w:rsidP="00BF5BFE">
      <w:pPr>
        <w:spacing w:after="0" w:line="240" w:lineRule="auto"/>
      </w:pPr>
      <w:r>
        <w:separator/>
      </w:r>
    </w:p>
  </w:endnote>
  <w:endnote w:type="continuationSeparator" w:id="0">
    <w:p w14:paraId="11F34E03" w14:textId="77777777" w:rsidR="00D23659" w:rsidRDefault="00D23659" w:rsidP="00BF5BFE">
      <w:pPr>
        <w:spacing w:after="0" w:line="240" w:lineRule="auto"/>
      </w:pPr>
      <w:r>
        <w:continuationSeparator/>
      </w:r>
    </w:p>
  </w:endnote>
  <w:endnote w:type="continuationNotice" w:id="1">
    <w:p w14:paraId="50A3D063" w14:textId="77777777" w:rsidR="00D23659" w:rsidRDefault="00D236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B04AEE" w14:textId="77777777" w:rsidR="00D23659" w:rsidRDefault="00D23659" w:rsidP="00BF5BFE">
      <w:pPr>
        <w:spacing w:after="0" w:line="240" w:lineRule="auto"/>
      </w:pPr>
      <w:r>
        <w:separator/>
      </w:r>
    </w:p>
  </w:footnote>
  <w:footnote w:type="continuationSeparator" w:id="0">
    <w:p w14:paraId="7C1A4C9E" w14:textId="77777777" w:rsidR="00D23659" w:rsidRDefault="00D23659" w:rsidP="00BF5BFE">
      <w:pPr>
        <w:spacing w:after="0" w:line="240" w:lineRule="auto"/>
      </w:pPr>
      <w:r>
        <w:continuationSeparator/>
      </w:r>
    </w:p>
  </w:footnote>
  <w:footnote w:type="continuationNotice" w:id="1">
    <w:p w14:paraId="74CA2E96" w14:textId="77777777" w:rsidR="00D23659" w:rsidRDefault="00D236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94FB2"/>
    <w:multiLevelType w:val="hybridMultilevel"/>
    <w:tmpl w:val="2BA01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6D40A49"/>
    <w:multiLevelType w:val="hybridMultilevel"/>
    <w:tmpl w:val="7DDE356C"/>
    <w:lvl w:ilvl="0" w:tplc="E7A441BC">
      <w:start w:val="1"/>
      <w:numFmt w:val="decimal"/>
      <w:lvlText w:val="(%1)"/>
      <w:lvlJc w:val="left"/>
      <w:pPr>
        <w:ind w:left="1440" w:hanging="360"/>
      </w:pPr>
    </w:lvl>
    <w:lvl w:ilvl="1" w:tplc="36A0F686">
      <w:start w:val="1"/>
      <w:numFmt w:val="decimal"/>
      <w:lvlText w:val="(%2)"/>
      <w:lvlJc w:val="left"/>
      <w:pPr>
        <w:ind w:left="1440" w:hanging="360"/>
      </w:pPr>
    </w:lvl>
    <w:lvl w:ilvl="2" w:tplc="00A8690E">
      <w:start w:val="1"/>
      <w:numFmt w:val="decimal"/>
      <w:lvlText w:val="(%3)"/>
      <w:lvlJc w:val="left"/>
      <w:pPr>
        <w:ind w:left="1440" w:hanging="360"/>
      </w:pPr>
    </w:lvl>
    <w:lvl w:ilvl="3" w:tplc="AC8A9CE4">
      <w:start w:val="1"/>
      <w:numFmt w:val="decimal"/>
      <w:lvlText w:val="(%4)"/>
      <w:lvlJc w:val="left"/>
      <w:pPr>
        <w:ind w:left="1440" w:hanging="360"/>
      </w:pPr>
    </w:lvl>
    <w:lvl w:ilvl="4" w:tplc="5F6C18A0">
      <w:start w:val="1"/>
      <w:numFmt w:val="decimal"/>
      <w:lvlText w:val="(%5)"/>
      <w:lvlJc w:val="left"/>
      <w:pPr>
        <w:ind w:left="1440" w:hanging="360"/>
      </w:pPr>
    </w:lvl>
    <w:lvl w:ilvl="5" w:tplc="2ABCF050">
      <w:start w:val="1"/>
      <w:numFmt w:val="decimal"/>
      <w:lvlText w:val="(%6)"/>
      <w:lvlJc w:val="left"/>
      <w:pPr>
        <w:ind w:left="1440" w:hanging="360"/>
      </w:pPr>
    </w:lvl>
    <w:lvl w:ilvl="6" w:tplc="CD2CCBEC">
      <w:start w:val="1"/>
      <w:numFmt w:val="decimal"/>
      <w:lvlText w:val="(%7)"/>
      <w:lvlJc w:val="left"/>
      <w:pPr>
        <w:ind w:left="1440" w:hanging="360"/>
      </w:pPr>
    </w:lvl>
    <w:lvl w:ilvl="7" w:tplc="B06801A8">
      <w:start w:val="1"/>
      <w:numFmt w:val="decimal"/>
      <w:lvlText w:val="(%8)"/>
      <w:lvlJc w:val="left"/>
      <w:pPr>
        <w:ind w:left="1440" w:hanging="360"/>
      </w:pPr>
    </w:lvl>
    <w:lvl w:ilvl="8" w:tplc="06E4AE24">
      <w:start w:val="1"/>
      <w:numFmt w:val="decimal"/>
      <w:lvlText w:val="(%9)"/>
      <w:lvlJc w:val="left"/>
      <w:pPr>
        <w:ind w:left="1440" w:hanging="360"/>
      </w:pPr>
    </w:lvl>
  </w:abstractNum>
  <w:abstractNum w:abstractNumId="2" w15:restartNumberingAfterBreak="0">
    <w:nsid w:val="33F56A4C"/>
    <w:multiLevelType w:val="hybridMultilevel"/>
    <w:tmpl w:val="A5065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BF7C01"/>
    <w:multiLevelType w:val="hybridMultilevel"/>
    <w:tmpl w:val="1C4837D6"/>
    <w:lvl w:ilvl="0" w:tplc="8E668750">
      <w:start w:val="1"/>
      <w:numFmt w:val="decimal"/>
      <w:lvlText w:val="%1."/>
      <w:lvlJc w:val="left"/>
      <w:pPr>
        <w:ind w:left="1440" w:hanging="360"/>
      </w:pPr>
    </w:lvl>
    <w:lvl w:ilvl="1" w:tplc="902EA636">
      <w:start w:val="1"/>
      <w:numFmt w:val="decimal"/>
      <w:lvlText w:val="%2."/>
      <w:lvlJc w:val="left"/>
      <w:pPr>
        <w:ind w:left="1440" w:hanging="360"/>
      </w:pPr>
    </w:lvl>
    <w:lvl w:ilvl="2" w:tplc="CDCA7A46">
      <w:start w:val="1"/>
      <w:numFmt w:val="decimal"/>
      <w:lvlText w:val="%3."/>
      <w:lvlJc w:val="left"/>
      <w:pPr>
        <w:ind w:left="1440" w:hanging="360"/>
      </w:pPr>
    </w:lvl>
    <w:lvl w:ilvl="3" w:tplc="6B1CB348">
      <w:start w:val="1"/>
      <w:numFmt w:val="decimal"/>
      <w:lvlText w:val="%4."/>
      <w:lvlJc w:val="left"/>
      <w:pPr>
        <w:ind w:left="1440" w:hanging="360"/>
      </w:pPr>
    </w:lvl>
    <w:lvl w:ilvl="4" w:tplc="60C86BDE">
      <w:start w:val="1"/>
      <w:numFmt w:val="decimal"/>
      <w:lvlText w:val="%5."/>
      <w:lvlJc w:val="left"/>
      <w:pPr>
        <w:ind w:left="1440" w:hanging="360"/>
      </w:pPr>
    </w:lvl>
    <w:lvl w:ilvl="5" w:tplc="7D4401CC">
      <w:start w:val="1"/>
      <w:numFmt w:val="decimal"/>
      <w:lvlText w:val="%6."/>
      <w:lvlJc w:val="left"/>
      <w:pPr>
        <w:ind w:left="1440" w:hanging="360"/>
      </w:pPr>
    </w:lvl>
    <w:lvl w:ilvl="6" w:tplc="710A23A0">
      <w:start w:val="1"/>
      <w:numFmt w:val="decimal"/>
      <w:lvlText w:val="%7."/>
      <w:lvlJc w:val="left"/>
      <w:pPr>
        <w:ind w:left="1440" w:hanging="360"/>
      </w:pPr>
    </w:lvl>
    <w:lvl w:ilvl="7" w:tplc="113EE0E8">
      <w:start w:val="1"/>
      <w:numFmt w:val="decimal"/>
      <w:lvlText w:val="%8."/>
      <w:lvlJc w:val="left"/>
      <w:pPr>
        <w:ind w:left="1440" w:hanging="360"/>
      </w:pPr>
    </w:lvl>
    <w:lvl w:ilvl="8" w:tplc="BE9A8D6C">
      <w:start w:val="1"/>
      <w:numFmt w:val="decimal"/>
      <w:lvlText w:val="%9."/>
      <w:lvlJc w:val="left"/>
      <w:pPr>
        <w:ind w:left="1440" w:hanging="360"/>
      </w:pPr>
    </w:lvl>
  </w:abstractNum>
  <w:abstractNum w:abstractNumId="4" w15:restartNumberingAfterBreak="0">
    <w:nsid w:val="4E2778DF"/>
    <w:multiLevelType w:val="hybridMultilevel"/>
    <w:tmpl w:val="A5948A78"/>
    <w:lvl w:ilvl="0" w:tplc="9A764782">
      <w:start w:val="1"/>
      <w:numFmt w:val="bullet"/>
      <w:lvlText w:val=""/>
      <w:lvlJc w:val="left"/>
      <w:pPr>
        <w:ind w:left="720" w:hanging="360"/>
      </w:pPr>
      <w:rPr>
        <w:rFonts w:ascii="Symbol" w:hAnsi="Symbol"/>
      </w:rPr>
    </w:lvl>
    <w:lvl w:ilvl="1" w:tplc="D3D4E99A">
      <w:start w:val="1"/>
      <w:numFmt w:val="bullet"/>
      <w:lvlText w:val=""/>
      <w:lvlJc w:val="left"/>
      <w:pPr>
        <w:ind w:left="720" w:hanging="360"/>
      </w:pPr>
      <w:rPr>
        <w:rFonts w:ascii="Symbol" w:hAnsi="Symbol"/>
      </w:rPr>
    </w:lvl>
    <w:lvl w:ilvl="2" w:tplc="73EEE25A">
      <w:start w:val="1"/>
      <w:numFmt w:val="bullet"/>
      <w:lvlText w:val=""/>
      <w:lvlJc w:val="left"/>
      <w:pPr>
        <w:ind w:left="720" w:hanging="360"/>
      </w:pPr>
      <w:rPr>
        <w:rFonts w:ascii="Symbol" w:hAnsi="Symbol"/>
      </w:rPr>
    </w:lvl>
    <w:lvl w:ilvl="3" w:tplc="3CEC8454">
      <w:start w:val="1"/>
      <w:numFmt w:val="bullet"/>
      <w:lvlText w:val=""/>
      <w:lvlJc w:val="left"/>
      <w:pPr>
        <w:ind w:left="720" w:hanging="360"/>
      </w:pPr>
      <w:rPr>
        <w:rFonts w:ascii="Symbol" w:hAnsi="Symbol"/>
      </w:rPr>
    </w:lvl>
    <w:lvl w:ilvl="4" w:tplc="2E864EBE">
      <w:start w:val="1"/>
      <w:numFmt w:val="bullet"/>
      <w:lvlText w:val=""/>
      <w:lvlJc w:val="left"/>
      <w:pPr>
        <w:ind w:left="720" w:hanging="360"/>
      </w:pPr>
      <w:rPr>
        <w:rFonts w:ascii="Symbol" w:hAnsi="Symbol"/>
      </w:rPr>
    </w:lvl>
    <w:lvl w:ilvl="5" w:tplc="5FCC7A74">
      <w:start w:val="1"/>
      <w:numFmt w:val="bullet"/>
      <w:lvlText w:val=""/>
      <w:lvlJc w:val="left"/>
      <w:pPr>
        <w:ind w:left="720" w:hanging="360"/>
      </w:pPr>
      <w:rPr>
        <w:rFonts w:ascii="Symbol" w:hAnsi="Symbol"/>
      </w:rPr>
    </w:lvl>
    <w:lvl w:ilvl="6" w:tplc="38C2B3FA">
      <w:start w:val="1"/>
      <w:numFmt w:val="bullet"/>
      <w:lvlText w:val=""/>
      <w:lvlJc w:val="left"/>
      <w:pPr>
        <w:ind w:left="720" w:hanging="360"/>
      </w:pPr>
      <w:rPr>
        <w:rFonts w:ascii="Symbol" w:hAnsi="Symbol"/>
      </w:rPr>
    </w:lvl>
    <w:lvl w:ilvl="7" w:tplc="045C92BE">
      <w:start w:val="1"/>
      <w:numFmt w:val="bullet"/>
      <w:lvlText w:val=""/>
      <w:lvlJc w:val="left"/>
      <w:pPr>
        <w:ind w:left="720" w:hanging="360"/>
      </w:pPr>
      <w:rPr>
        <w:rFonts w:ascii="Symbol" w:hAnsi="Symbol"/>
      </w:rPr>
    </w:lvl>
    <w:lvl w:ilvl="8" w:tplc="01103F48">
      <w:start w:val="1"/>
      <w:numFmt w:val="bullet"/>
      <w:lvlText w:val=""/>
      <w:lvlJc w:val="left"/>
      <w:pPr>
        <w:ind w:left="720" w:hanging="360"/>
      </w:pPr>
      <w:rPr>
        <w:rFonts w:ascii="Symbol" w:hAnsi="Symbol"/>
      </w:rPr>
    </w:lvl>
  </w:abstractNum>
  <w:abstractNum w:abstractNumId="5" w15:restartNumberingAfterBreak="0">
    <w:nsid w:val="586A1B4F"/>
    <w:multiLevelType w:val="multilevel"/>
    <w:tmpl w:val="C408D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9F13DD8"/>
    <w:multiLevelType w:val="hybridMultilevel"/>
    <w:tmpl w:val="6A7468C8"/>
    <w:lvl w:ilvl="0" w:tplc="34786F5A">
      <w:start w:val="1"/>
      <w:numFmt w:val="bullet"/>
      <w:lvlText w:val=""/>
      <w:lvlJc w:val="left"/>
      <w:pPr>
        <w:ind w:left="720" w:hanging="360"/>
      </w:pPr>
      <w:rPr>
        <w:rFonts w:ascii="Symbol" w:hAnsi="Symbol"/>
      </w:rPr>
    </w:lvl>
    <w:lvl w:ilvl="1" w:tplc="29028850">
      <w:start w:val="1"/>
      <w:numFmt w:val="bullet"/>
      <w:lvlText w:val=""/>
      <w:lvlJc w:val="left"/>
      <w:pPr>
        <w:ind w:left="720" w:hanging="360"/>
      </w:pPr>
      <w:rPr>
        <w:rFonts w:ascii="Symbol" w:hAnsi="Symbol"/>
      </w:rPr>
    </w:lvl>
    <w:lvl w:ilvl="2" w:tplc="ED567B48">
      <w:start w:val="1"/>
      <w:numFmt w:val="bullet"/>
      <w:lvlText w:val=""/>
      <w:lvlJc w:val="left"/>
      <w:pPr>
        <w:ind w:left="720" w:hanging="360"/>
      </w:pPr>
      <w:rPr>
        <w:rFonts w:ascii="Symbol" w:hAnsi="Symbol"/>
      </w:rPr>
    </w:lvl>
    <w:lvl w:ilvl="3" w:tplc="F8628034">
      <w:start w:val="1"/>
      <w:numFmt w:val="bullet"/>
      <w:lvlText w:val=""/>
      <w:lvlJc w:val="left"/>
      <w:pPr>
        <w:ind w:left="720" w:hanging="360"/>
      </w:pPr>
      <w:rPr>
        <w:rFonts w:ascii="Symbol" w:hAnsi="Symbol"/>
      </w:rPr>
    </w:lvl>
    <w:lvl w:ilvl="4" w:tplc="C30AEADA">
      <w:start w:val="1"/>
      <w:numFmt w:val="bullet"/>
      <w:lvlText w:val=""/>
      <w:lvlJc w:val="left"/>
      <w:pPr>
        <w:ind w:left="720" w:hanging="360"/>
      </w:pPr>
      <w:rPr>
        <w:rFonts w:ascii="Symbol" w:hAnsi="Symbol"/>
      </w:rPr>
    </w:lvl>
    <w:lvl w:ilvl="5" w:tplc="2ABCCFC2">
      <w:start w:val="1"/>
      <w:numFmt w:val="bullet"/>
      <w:lvlText w:val=""/>
      <w:lvlJc w:val="left"/>
      <w:pPr>
        <w:ind w:left="720" w:hanging="360"/>
      </w:pPr>
      <w:rPr>
        <w:rFonts w:ascii="Symbol" w:hAnsi="Symbol"/>
      </w:rPr>
    </w:lvl>
    <w:lvl w:ilvl="6" w:tplc="BF9664D4">
      <w:start w:val="1"/>
      <w:numFmt w:val="bullet"/>
      <w:lvlText w:val=""/>
      <w:lvlJc w:val="left"/>
      <w:pPr>
        <w:ind w:left="720" w:hanging="360"/>
      </w:pPr>
      <w:rPr>
        <w:rFonts w:ascii="Symbol" w:hAnsi="Symbol"/>
      </w:rPr>
    </w:lvl>
    <w:lvl w:ilvl="7" w:tplc="91F283DA">
      <w:start w:val="1"/>
      <w:numFmt w:val="bullet"/>
      <w:lvlText w:val=""/>
      <w:lvlJc w:val="left"/>
      <w:pPr>
        <w:ind w:left="720" w:hanging="360"/>
      </w:pPr>
      <w:rPr>
        <w:rFonts w:ascii="Symbol" w:hAnsi="Symbol"/>
      </w:rPr>
    </w:lvl>
    <w:lvl w:ilvl="8" w:tplc="C3E4B744">
      <w:start w:val="1"/>
      <w:numFmt w:val="bullet"/>
      <w:lvlText w:val=""/>
      <w:lvlJc w:val="left"/>
      <w:pPr>
        <w:ind w:left="720" w:hanging="360"/>
      </w:pPr>
      <w:rPr>
        <w:rFonts w:ascii="Symbol" w:hAnsi="Symbol"/>
      </w:rPr>
    </w:lvl>
  </w:abstractNum>
  <w:abstractNum w:abstractNumId="7" w15:restartNumberingAfterBreak="0">
    <w:nsid w:val="5A53601E"/>
    <w:multiLevelType w:val="hybridMultilevel"/>
    <w:tmpl w:val="640A318E"/>
    <w:lvl w:ilvl="0" w:tplc="60308934">
      <w:start w:val="1"/>
      <w:numFmt w:val="decimal"/>
      <w:lvlText w:val="(%1)"/>
      <w:lvlJc w:val="left"/>
      <w:pPr>
        <w:ind w:left="1440" w:hanging="360"/>
      </w:pPr>
    </w:lvl>
    <w:lvl w:ilvl="1" w:tplc="34F64440">
      <w:start w:val="1"/>
      <w:numFmt w:val="decimal"/>
      <w:lvlText w:val="(%2)"/>
      <w:lvlJc w:val="left"/>
      <w:pPr>
        <w:ind w:left="1440" w:hanging="360"/>
      </w:pPr>
    </w:lvl>
    <w:lvl w:ilvl="2" w:tplc="C268C7B6">
      <w:start w:val="1"/>
      <w:numFmt w:val="decimal"/>
      <w:lvlText w:val="(%3)"/>
      <w:lvlJc w:val="left"/>
      <w:pPr>
        <w:ind w:left="1440" w:hanging="360"/>
      </w:pPr>
    </w:lvl>
    <w:lvl w:ilvl="3" w:tplc="1A046A9A">
      <w:start w:val="1"/>
      <w:numFmt w:val="decimal"/>
      <w:lvlText w:val="(%4)"/>
      <w:lvlJc w:val="left"/>
      <w:pPr>
        <w:ind w:left="1440" w:hanging="360"/>
      </w:pPr>
    </w:lvl>
    <w:lvl w:ilvl="4" w:tplc="1FC06354">
      <w:start w:val="1"/>
      <w:numFmt w:val="decimal"/>
      <w:lvlText w:val="(%5)"/>
      <w:lvlJc w:val="left"/>
      <w:pPr>
        <w:ind w:left="1440" w:hanging="360"/>
      </w:pPr>
    </w:lvl>
    <w:lvl w:ilvl="5" w:tplc="FB7EBE72">
      <w:start w:val="1"/>
      <w:numFmt w:val="decimal"/>
      <w:lvlText w:val="(%6)"/>
      <w:lvlJc w:val="left"/>
      <w:pPr>
        <w:ind w:left="1440" w:hanging="360"/>
      </w:pPr>
    </w:lvl>
    <w:lvl w:ilvl="6" w:tplc="CC9ABB4A">
      <w:start w:val="1"/>
      <w:numFmt w:val="decimal"/>
      <w:lvlText w:val="(%7)"/>
      <w:lvlJc w:val="left"/>
      <w:pPr>
        <w:ind w:left="1440" w:hanging="360"/>
      </w:pPr>
    </w:lvl>
    <w:lvl w:ilvl="7" w:tplc="935CD4CA">
      <w:start w:val="1"/>
      <w:numFmt w:val="decimal"/>
      <w:lvlText w:val="(%8)"/>
      <w:lvlJc w:val="left"/>
      <w:pPr>
        <w:ind w:left="1440" w:hanging="360"/>
      </w:pPr>
    </w:lvl>
    <w:lvl w:ilvl="8" w:tplc="C0BED488">
      <w:start w:val="1"/>
      <w:numFmt w:val="decimal"/>
      <w:lvlText w:val="(%9)"/>
      <w:lvlJc w:val="left"/>
      <w:pPr>
        <w:ind w:left="1440" w:hanging="360"/>
      </w:pPr>
    </w:lvl>
  </w:abstractNum>
  <w:abstractNum w:abstractNumId="8" w15:restartNumberingAfterBreak="0">
    <w:nsid w:val="5A6A7038"/>
    <w:multiLevelType w:val="hybridMultilevel"/>
    <w:tmpl w:val="C3367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935F9E"/>
    <w:multiLevelType w:val="hybridMultilevel"/>
    <w:tmpl w:val="FFD07EDC"/>
    <w:lvl w:ilvl="0" w:tplc="3512450A">
      <w:start w:val="1"/>
      <w:numFmt w:val="decimal"/>
      <w:lvlText w:val="(%1)"/>
      <w:lvlJc w:val="left"/>
      <w:pPr>
        <w:ind w:left="1440" w:hanging="360"/>
      </w:pPr>
    </w:lvl>
    <w:lvl w:ilvl="1" w:tplc="E24E7780">
      <w:start w:val="1"/>
      <w:numFmt w:val="decimal"/>
      <w:lvlText w:val="(%2)"/>
      <w:lvlJc w:val="left"/>
      <w:pPr>
        <w:ind w:left="1440" w:hanging="360"/>
      </w:pPr>
    </w:lvl>
    <w:lvl w:ilvl="2" w:tplc="D13A56CE">
      <w:start w:val="1"/>
      <w:numFmt w:val="decimal"/>
      <w:lvlText w:val="(%3)"/>
      <w:lvlJc w:val="left"/>
      <w:pPr>
        <w:ind w:left="1440" w:hanging="360"/>
      </w:pPr>
    </w:lvl>
    <w:lvl w:ilvl="3" w:tplc="84F2CD88">
      <w:start w:val="1"/>
      <w:numFmt w:val="decimal"/>
      <w:lvlText w:val="(%4)"/>
      <w:lvlJc w:val="left"/>
      <w:pPr>
        <w:ind w:left="1440" w:hanging="360"/>
      </w:pPr>
    </w:lvl>
    <w:lvl w:ilvl="4" w:tplc="8CA4D996">
      <w:start w:val="1"/>
      <w:numFmt w:val="decimal"/>
      <w:lvlText w:val="(%5)"/>
      <w:lvlJc w:val="left"/>
      <w:pPr>
        <w:ind w:left="1440" w:hanging="360"/>
      </w:pPr>
    </w:lvl>
    <w:lvl w:ilvl="5" w:tplc="DA663C90">
      <w:start w:val="1"/>
      <w:numFmt w:val="decimal"/>
      <w:lvlText w:val="(%6)"/>
      <w:lvlJc w:val="left"/>
      <w:pPr>
        <w:ind w:left="1440" w:hanging="360"/>
      </w:pPr>
    </w:lvl>
    <w:lvl w:ilvl="6" w:tplc="C0726BF4">
      <w:start w:val="1"/>
      <w:numFmt w:val="decimal"/>
      <w:lvlText w:val="(%7)"/>
      <w:lvlJc w:val="left"/>
      <w:pPr>
        <w:ind w:left="1440" w:hanging="360"/>
      </w:pPr>
    </w:lvl>
    <w:lvl w:ilvl="7" w:tplc="0C6E5A22">
      <w:start w:val="1"/>
      <w:numFmt w:val="decimal"/>
      <w:lvlText w:val="(%8)"/>
      <w:lvlJc w:val="left"/>
      <w:pPr>
        <w:ind w:left="1440" w:hanging="360"/>
      </w:pPr>
    </w:lvl>
    <w:lvl w:ilvl="8" w:tplc="46F6D88E">
      <w:start w:val="1"/>
      <w:numFmt w:val="decimal"/>
      <w:lvlText w:val="(%9)"/>
      <w:lvlJc w:val="left"/>
      <w:pPr>
        <w:ind w:left="1440" w:hanging="360"/>
      </w:pPr>
    </w:lvl>
  </w:abstractNum>
  <w:abstractNum w:abstractNumId="10" w15:restartNumberingAfterBreak="0">
    <w:nsid w:val="67C828D3"/>
    <w:multiLevelType w:val="hybridMultilevel"/>
    <w:tmpl w:val="A7EED71A"/>
    <w:lvl w:ilvl="0" w:tplc="7A78D518">
      <w:start w:val="1"/>
      <w:numFmt w:val="decimal"/>
      <w:lvlText w:val="%1."/>
      <w:lvlJc w:val="left"/>
      <w:pPr>
        <w:ind w:left="1440" w:hanging="360"/>
      </w:pPr>
    </w:lvl>
    <w:lvl w:ilvl="1" w:tplc="B4709B1E">
      <w:start w:val="1"/>
      <w:numFmt w:val="decimal"/>
      <w:lvlText w:val="%2."/>
      <w:lvlJc w:val="left"/>
      <w:pPr>
        <w:ind w:left="1440" w:hanging="360"/>
      </w:pPr>
    </w:lvl>
    <w:lvl w:ilvl="2" w:tplc="7340C8D2">
      <w:start w:val="1"/>
      <w:numFmt w:val="decimal"/>
      <w:lvlText w:val="%3."/>
      <w:lvlJc w:val="left"/>
      <w:pPr>
        <w:ind w:left="1440" w:hanging="360"/>
      </w:pPr>
    </w:lvl>
    <w:lvl w:ilvl="3" w:tplc="9A38DD2E">
      <w:start w:val="1"/>
      <w:numFmt w:val="decimal"/>
      <w:lvlText w:val="%4."/>
      <w:lvlJc w:val="left"/>
      <w:pPr>
        <w:ind w:left="1440" w:hanging="360"/>
      </w:pPr>
    </w:lvl>
    <w:lvl w:ilvl="4" w:tplc="B6B0F266">
      <w:start w:val="1"/>
      <w:numFmt w:val="decimal"/>
      <w:lvlText w:val="%5."/>
      <w:lvlJc w:val="left"/>
      <w:pPr>
        <w:ind w:left="1440" w:hanging="360"/>
      </w:pPr>
    </w:lvl>
    <w:lvl w:ilvl="5" w:tplc="B420B4E0">
      <w:start w:val="1"/>
      <w:numFmt w:val="decimal"/>
      <w:lvlText w:val="%6."/>
      <w:lvlJc w:val="left"/>
      <w:pPr>
        <w:ind w:left="1440" w:hanging="360"/>
      </w:pPr>
    </w:lvl>
    <w:lvl w:ilvl="6" w:tplc="6960F0BE">
      <w:start w:val="1"/>
      <w:numFmt w:val="decimal"/>
      <w:lvlText w:val="%7."/>
      <w:lvlJc w:val="left"/>
      <w:pPr>
        <w:ind w:left="1440" w:hanging="360"/>
      </w:pPr>
    </w:lvl>
    <w:lvl w:ilvl="7" w:tplc="54E080E6">
      <w:start w:val="1"/>
      <w:numFmt w:val="decimal"/>
      <w:lvlText w:val="%8."/>
      <w:lvlJc w:val="left"/>
      <w:pPr>
        <w:ind w:left="1440" w:hanging="360"/>
      </w:pPr>
    </w:lvl>
    <w:lvl w:ilvl="8" w:tplc="80DC1848">
      <w:start w:val="1"/>
      <w:numFmt w:val="decimal"/>
      <w:lvlText w:val="%9."/>
      <w:lvlJc w:val="left"/>
      <w:pPr>
        <w:ind w:left="1440" w:hanging="360"/>
      </w:pPr>
    </w:lvl>
  </w:abstractNum>
  <w:abstractNum w:abstractNumId="11" w15:restartNumberingAfterBreak="0">
    <w:nsid w:val="697F7298"/>
    <w:multiLevelType w:val="hybridMultilevel"/>
    <w:tmpl w:val="0718A448"/>
    <w:lvl w:ilvl="0" w:tplc="F462D594">
      <w:start w:val="1"/>
      <w:numFmt w:val="decimal"/>
      <w:lvlText w:val="%1."/>
      <w:lvlJc w:val="left"/>
      <w:pPr>
        <w:ind w:left="1440" w:hanging="360"/>
      </w:pPr>
    </w:lvl>
    <w:lvl w:ilvl="1" w:tplc="08BA4816">
      <w:start w:val="1"/>
      <w:numFmt w:val="decimal"/>
      <w:lvlText w:val="%2."/>
      <w:lvlJc w:val="left"/>
      <w:pPr>
        <w:ind w:left="1440" w:hanging="360"/>
      </w:pPr>
    </w:lvl>
    <w:lvl w:ilvl="2" w:tplc="05AE2970">
      <w:start w:val="1"/>
      <w:numFmt w:val="decimal"/>
      <w:lvlText w:val="%3."/>
      <w:lvlJc w:val="left"/>
      <w:pPr>
        <w:ind w:left="1440" w:hanging="360"/>
      </w:pPr>
    </w:lvl>
    <w:lvl w:ilvl="3" w:tplc="2182BD7A">
      <w:start w:val="1"/>
      <w:numFmt w:val="decimal"/>
      <w:lvlText w:val="%4."/>
      <w:lvlJc w:val="left"/>
      <w:pPr>
        <w:ind w:left="1440" w:hanging="360"/>
      </w:pPr>
    </w:lvl>
    <w:lvl w:ilvl="4" w:tplc="7DA47360">
      <w:start w:val="1"/>
      <w:numFmt w:val="decimal"/>
      <w:lvlText w:val="%5."/>
      <w:lvlJc w:val="left"/>
      <w:pPr>
        <w:ind w:left="1440" w:hanging="360"/>
      </w:pPr>
    </w:lvl>
    <w:lvl w:ilvl="5" w:tplc="B24CB08C">
      <w:start w:val="1"/>
      <w:numFmt w:val="decimal"/>
      <w:lvlText w:val="%6."/>
      <w:lvlJc w:val="left"/>
      <w:pPr>
        <w:ind w:left="1440" w:hanging="360"/>
      </w:pPr>
    </w:lvl>
    <w:lvl w:ilvl="6" w:tplc="757CABB4">
      <w:start w:val="1"/>
      <w:numFmt w:val="decimal"/>
      <w:lvlText w:val="%7."/>
      <w:lvlJc w:val="left"/>
      <w:pPr>
        <w:ind w:left="1440" w:hanging="360"/>
      </w:pPr>
    </w:lvl>
    <w:lvl w:ilvl="7" w:tplc="BB6A8554">
      <w:start w:val="1"/>
      <w:numFmt w:val="decimal"/>
      <w:lvlText w:val="%8."/>
      <w:lvlJc w:val="left"/>
      <w:pPr>
        <w:ind w:left="1440" w:hanging="360"/>
      </w:pPr>
    </w:lvl>
    <w:lvl w:ilvl="8" w:tplc="7A4AD3A4">
      <w:start w:val="1"/>
      <w:numFmt w:val="decimal"/>
      <w:lvlText w:val="%9."/>
      <w:lvlJc w:val="left"/>
      <w:pPr>
        <w:ind w:left="1440" w:hanging="360"/>
      </w:pPr>
    </w:lvl>
  </w:abstractNum>
  <w:abstractNum w:abstractNumId="12" w15:restartNumberingAfterBreak="0">
    <w:nsid w:val="6DB34004"/>
    <w:multiLevelType w:val="hybridMultilevel"/>
    <w:tmpl w:val="38F22E9E"/>
    <w:lvl w:ilvl="0" w:tplc="F162C25C">
      <w:start w:val="1"/>
      <w:numFmt w:val="decimal"/>
      <w:lvlText w:val="%1."/>
      <w:lvlJc w:val="left"/>
      <w:pPr>
        <w:ind w:left="1440" w:hanging="360"/>
      </w:pPr>
    </w:lvl>
    <w:lvl w:ilvl="1" w:tplc="BAB2D674">
      <w:start w:val="1"/>
      <w:numFmt w:val="decimal"/>
      <w:lvlText w:val="%2."/>
      <w:lvlJc w:val="left"/>
      <w:pPr>
        <w:ind w:left="1440" w:hanging="360"/>
      </w:pPr>
    </w:lvl>
    <w:lvl w:ilvl="2" w:tplc="D5C444D6">
      <w:start w:val="1"/>
      <w:numFmt w:val="decimal"/>
      <w:lvlText w:val="%3."/>
      <w:lvlJc w:val="left"/>
      <w:pPr>
        <w:ind w:left="1440" w:hanging="360"/>
      </w:pPr>
    </w:lvl>
    <w:lvl w:ilvl="3" w:tplc="2FA06912">
      <w:start w:val="1"/>
      <w:numFmt w:val="decimal"/>
      <w:lvlText w:val="%4."/>
      <w:lvlJc w:val="left"/>
      <w:pPr>
        <w:ind w:left="1440" w:hanging="360"/>
      </w:pPr>
    </w:lvl>
    <w:lvl w:ilvl="4" w:tplc="6324D2DC">
      <w:start w:val="1"/>
      <w:numFmt w:val="decimal"/>
      <w:lvlText w:val="%5."/>
      <w:lvlJc w:val="left"/>
      <w:pPr>
        <w:ind w:left="1440" w:hanging="360"/>
      </w:pPr>
    </w:lvl>
    <w:lvl w:ilvl="5" w:tplc="BA62D60A">
      <w:start w:val="1"/>
      <w:numFmt w:val="decimal"/>
      <w:lvlText w:val="%6."/>
      <w:lvlJc w:val="left"/>
      <w:pPr>
        <w:ind w:left="1440" w:hanging="360"/>
      </w:pPr>
    </w:lvl>
    <w:lvl w:ilvl="6" w:tplc="F1447BA0">
      <w:start w:val="1"/>
      <w:numFmt w:val="decimal"/>
      <w:lvlText w:val="%7."/>
      <w:lvlJc w:val="left"/>
      <w:pPr>
        <w:ind w:left="1440" w:hanging="360"/>
      </w:pPr>
    </w:lvl>
    <w:lvl w:ilvl="7" w:tplc="19EA9E6A">
      <w:start w:val="1"/>
      <w:numFmt w:val="decimal"/>
      <w:lvlText w:val="%8."/>
      <w:lvlJc w:val="left"/>
      <w:pPr>
        <w:ind w:left="1440" w:hanging="360"/>
      </w:pPr>
    </w:lvl>
    <w:lvl w:ilvl="8" w:tplc="C70E13D8">
      <w:start w:val="1"/>
      <w:numFmt w:val="decimal"/>
      <w:lvlText w:val="%9."/>
      <w:lvlJc w:val="left"/>
      <w:pPr>
        <w:ind w:left="1440" w:hanging="360"/>
      </w:pPr>
    </w:lvl>
  </w:abstractNum>
  <w:abstractNum w:abstractNumId="13" w15:restartNumberingAfterBreak="0">
    <w:nsid w:val="76AF77C9"/>
    <w:multiLevelType w:val="hybridMultilevel"/>
    <w:tmpl w:val="6A049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391977"/>
    <w:multiLevelType w:val="hybridMultilevel"/>
    <w:tmpl w:val="D9925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3E04DF"/>
    <w:multiLevelType w:val="hybridMultilevel"/>
    <w:tmpl w:val="25E2B7C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82487551">
    <w:abstractNumId w:val="2"/>
  </w:num>
  <w:num w:numId="2" w16cid:durableId="461577011">
    <w:abstractNumId w:val="15"/>
  </w:num>
  <w:num w:numId="3" w16cid:durableId="1777749236">
    <w:abstractNumId w:val="14"/>
  </w:num>
  <w:num w:numId="4" w16cid:durableId="1477381516">
    <w:abstractNumId w:val="13"/>
  </w:num>
  <w:num w:numId="5" w16cid:durableId="642928164">
    <w:abstractNumId w:val="6"/>
  </w:num>
  <w:num w:numId="6" w16cid:durableId="888079209">
    <w:abstractNumId w:val="0"/>
  </w:num>
  <w:num w:numId="7" w16cid:durableId="260798884">
    <w:abstractNumId w:val="4"/>
  </w:num>
  <w:num w:numId="8" w16cid:durableId="2021078061">
    <w:abstractNumId w:val="11"/>
  </w:num>
  <w:num w:numId="9" w16cid:durableId="1069303273">
    <w:abstractNumId w:val="9"/>
  </w:num>
  <w:num w:numId="10" w16cid:durableId="2077586950">
    <w:abstractNumId w:val="3"/>
  </w:num>
  <w:num w:numId="11" w16cid:durableId="2007636468">
    <w:abstractNumId w:val="7"/>
  </w:num>
  <w:num w:numId="12" w16cid:durableId="40057232">
    <w:abstractNumId w:val="10"/>
  </w:num>
  <w:num w:numId="13" w16cid:durableId="537860506">
    <w:abstractNumId w:val="1"/>
  </w:num>
  <w:num w:numId="14" w16cid:durableId="1661738049">
    <w:abstractNumId w:val="12"/>
  </w:num>
  <w:num w:numId="15" w16cid:durableId="885725090">
    <w:abstractNumId w:val="8"/>
  </w:num>
  <w:num w:numId="16" w16cid:durableId="159698324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FA8"/>
    <w:rsid w:val="00001654"/>
    <w:rsid w:val="00001CA5"/>
    <w:rsid w:val="0000341B"/>
    <w:rsid w:val="00004F85"/>
    <w:rsid w:val="00006040"/>
    <w:rsid w:val="00007885"/>
    <w:rsid w:val="000101CB"/>
    <w:rsid w:val="00010BE4"/>
    <w:rsid w:val="00014594"/>
    <w:rsid w:val="00016585"/>
    <w:rsid w:val="00017B40"/>
    <w:rsid w:val="0002079D"/>
    <w:rsid w:val="000216EA"/>
    <w:rsid w:val="00022AF3"/>
    <w:rsid w:val="0002462B"/>
    <w:rsid w:val="000254D2"/>
    <w:rsid w:val="000264E6"/>
    <w:rsid w:val="00027EDC"/>
    <w:rsid w:val="00032DFD"/>
    <w:rsid w:val="000347AD"/>
    <w:rsid w:val="000353B4"/>
    <w:rsid w:val="00037316"/>
    <w:rsid w:val="00037410"/>
    <w:rsid w:val="0004068D"/>
    <w:rsid w:val="0004071E"/>
    <w:rsid w:val="00040BC9"/>
    <w:rsid w:val="000437C6"/>
    <w:rsid w:val="00047002"/>
    <w:rsid w:val="00047843"/>
    <w:rsid w:val="00050E94"/>
    <w:rsid w:val="00051002"/>
    <w:rsid w:val="0005221F"/>
    <w:rsid w:val="000533DD"/>
    <w:rsid w:val="00054350"/>
    <w:rsid w:val="00054549"/>
    <w:rsid w:val="000555CB"/>
    <w:rsid w:val="00057E25"/>
    <w:rsid w:val="0006148F"/>
    <w:rsid w:val="00062F25"/>
    <w:rsid w:val="00063D9A"/>
    <w:rsid w:val="00064B70"/>
    <w:rsid w:val="0006682A"/>
    <w:rsid w:val="000670B2"/>
    <w:rsid w:val="00067786"/>
    <w:rsid w:val="00071CD2"/>
    <w:rsid w:val="00072466"/>
    <w:rsid w:val="000730F3"/>
    <w:rsid w:val="000734CF"/>
    <w:rsid w:val="00074FDA"/>
    <w:rsid w:val="000777AD"/>
    <w:rsid w:val="0008019F"/>
    <w:rsid w:val="00080B21"/>
    <w:rsid w:val="0008277F"/>
    <w:rsid w:val="00084913"/>
    <w:rsid w:val="00086071"/>
    <w:rsid w:val="00087A03"/>
    <w:rsid w:val="00092D74"/>
    <w:rsid w:val="00094601"/>
    <w:rsid w:val="00096FAE"/>
    <w:rsid w:val="000A0C64"/>
    <w:rsid w:val="000B0D4B"/>
    <w:rsid w:val="000B7A13"/>
    <w:rsid w:val="000C1438"/>
    <w:rsid w:val="000C349E"/>
    <w:rsid w:val="000C54DF"/>
    <w:rsid w:val="000C64D4"/>
    <w:rsid w:val="000D1B49"/>
    <w:rsid w:val="000D2EB5"/>
    <w:rsid w:val="000D45B9"/>
    <w:rsid w:val="000D7B54"/>
    <w:rsid w:val="000E2E3C"/>
    <w:rsid w:val="000E3AB9"/>
    <w:rsid w:val="000E7087"/>
    <w:rsid w:val="000F06A9"/>
    <w:rsid w:val="000F1325"/>
    <w:rsid w:val="000F32F6"/>
    <w:rsid w:val="000F4380"/>
    <w:rsid w:val="000F5D1A"/>
    <w:rsid w:val="000F6C48"/>
    <w:rsid w:val="00100325"/>
    <w:rsid w:val="001013ED"/>
    <w:rsid w:val="00101500"/>
    <w:rsid w:val="0010698F"/>
    <w:rsid w:val="00106B7F"/>
    <w:rsid w:val="00107F5F"/>
    <w:rsid w:val="0011005F"/>
    <w:rsid w:val="00111706"/>
    <w:rsid w:val="00111777"/>
    <w:rsid w:val="001119DD"/>
    <w:rsid w:val="00111C29"/>
    <w:rsid w:val="001126C0"/>
    <w:rsid w:val="00113CD7"/>
    <w:rsid w:val="001205E8"/>
    <w:rsid w:val="0012061F"/>
    <w:rsid w:val="00120A03"/>
    <w:rsid w:val="00121BD2"/>
    <w:rsid w:val="001226AC"/>
    <w:rsid w:val="00123E5F"/>
    <w:rsid w:val="00125308"/>
    <w:rsid w:val="00126556"/>
    <w:rsid w:val="001311CF"/>
    <w:rsid w:val="00131314"/>
    <w:rsid w:val="001316D4"/>
    <w:rsid w:val="001319D4"/>
    <w:rsid w:val="00131C68"/>
    <w:rsid w:val="0013262A"/>
    <w:rsid w:val="00132906"/>
    <w:rsid w:val="00133FC7"/>
    <w:rsid w:val="00135309"/>
    <w:rsid w:val="00137FDD"/>
    <w:rsid w:val="001423C3"/>
    <w:rsid w:val="00144540"/>
    <w:rsid w:val="0014466F"/>
    <w:rsid w:val="00145844"/>
    <w:rsid w:val="00145C33"/>
    <w:rsid w:val="00147657"/>
    <w:rsid w:val="00152824"/>
    <w:rsid w:val="00152A7C"/>
    <w:rsid w:val="00152E92"/>
    <w:rsid w:val="00157061"/>
    <w:rsid w:val="00161581"/>
    <w:rsid w:val="00162D7B"/>
    <w:rsid w:val="00166A8E"/>
    <w:rsid w:val="001678CD"/>
    <w:rsid w:val="001678DF"/>
    <w:rsid w:val="00172A61"/>
    <w:rsid w:val="00174B42"/>
    <w:rsid w:val="001751E8"/>
    <w:rsid w:val="001757C8"/>
    <w:rsid w:val="00176881"/>
    <w:rsid w:val="00177289"/>
    <w:rsid w:val="001775A1"/>
    <w:rsid w:val="0018039F"/>
    <w:rsid w:val="00180CD1"/>
    <w:rsid w:val="001818DE"/>
    <w:rsid w:val="00182BFC"/>
    <w:rsid w:val="001830C0"/>
    <w:rsid w:val="001834C0"/>
    <w:rsid w:val="0018509A"/>
    <w:rsid w:val="001920E6"/>
    <w:rsid w:val="00193920"/>
    <w:rsid w:val="00193F49"/>
    <w:rsid w:val="001977F6"/>
    <w:rsid w:val="001A01F2"/>
    <w:rsid w:val="001A06A2"/>
    <w:rsid w:val="001A0830"/>
    <w:rsid w:val="001A083B"/>
    <w:rsid w:val="001A2C16"/>
    <w:rsid w:val="001A32BE"/>
    <w:rsid w:val="001A4F4C"/>
    <w:rsid w:val="001A517A"/>
    <w:rsid w:val="001A6187"/>
    <w:rsid w:val="001A7612"/>
    <w:rsid w:val="001A79C1"/>
    <w:rsid w:val="001B158E"/>
    <w:rsid w:val="001B1687"/>
    <w:rsid w:val="001B1B7C"/>
    <w:rsid w:val="001B21D0"/>
    <w:rsid w:val="001B2A5F"/>
    <w:rsid w:val="001B3111"/>
    <w:rsid w:val="001B3B4E"/>
    <w:rsid w:val="001B72B8"/>
    <w:rsid w:val="001C0E48"/>
    <w:rsid w:val="001C1D98"/>
    <w:rsid w:val="001C3D13"/>
    <w:rsid w:val="001C63DC"/>
    <w:rsid w:val="001C6A2E"/>
    <w:rsid w:val="001D06D3"/>
    <w:rsid w:val="001D2748"/>
    <w:rsid w:val="001D3A2D"/>
    <w:rsid w:val="001D6281"/>
    <w:rsid w:val="001D7C97"/>
    <w:rsid w:val="001E05E2"/>
    <w:rsid w:val="001E29C2"/>
    <w:rsid w:val="001E3252"/>
    <w:rsid w:val="001E4BF5"/>
    <w:rsid w:val="001E4C96"/>
    <w:rsid w:val="001E54EA"/>
    <w:rsid w:val="001E7B8E"/>
    <w:rsid w:val="001E7C3D"/>
    <w:rsid w:val="001F1CDF"/>
    <w:rsid w:val="001F26A1"/>
    <w:rsid w:val="001F29A6"/>
    <w:rsid w:val="001F72FC"/>
    <w:rsid w:val="001F73C5"/>
    <w:rsid w:val="001F7773"/>
    <w:rsid w:val="00200D02"/>
    <w:rsid w:val="00201DC1"/>
    <w:rsid w:val="002021F9"/>
    <w:rsid w:val="00202AC8"/>
    <w:rsid w:val="0020617C"/>
    <w:rsid w:val="00206F26"/>
    <w:rsid w:val="002118F1"/>
    <w:rsid w:val="00212028"/>
    <w:rsid w:val="002123F8"/>
    <w:rsid w:val="00214EE5"/>
    <w:rsid w:val="002152A7"/>
    <w:rsid w:val="00215D79"/>
    <w:rsid w:val="002164EE"/>
    <w:rsid w:val="002214E8"/>
    <w:rsid w:val="00221D90"/>
    <w:rsid w:val="0022228F"/>
    <w:rsid w:val="00222CC5"/>
    <w:rsid w:val="00222EEE"/>
    <w:rsid w:val="0022424C"/>
    <w:rsid w:val="00227512"/>
    <w:rsid w:val="00230288"/>
    <w:rsid w:val="00230590"/>
    <w:rsid w:val="002308F9"/>
    <w:rsid w:val="00230D61"/>
    <w:rsid w:val="00230FC6"/>
    <w:rsid w:val="002346FC"/>
    <w:rsid w:val="002357AC"/>
    <w:rsid w:val="00235F39"/>
    <w:rsid w:val="00237110"/>
    <w:rsid w:val="002379C1"/>
    <w:rsid w:val="00237E38"/>
    <w:rsid w:val="002409ED"/>
    <w:rsid w:val="00242AAB"/>
    <w:rsid w:val="00242BD3"/>
    <w:rsid w:val="00242E60"/>
    <w:rsid w:val="00243D14"/>
    <w:rsid w:val="00244586"/>
    <w:rsid w:val="00245ACE"/>
    <w:rsid w:val="00245CC2"/>
    <w:rsid w:val="00247A31"/>
    <w:rsid w:val="002507F8"/>
    <w:rsid w:val="0025166A"/>
    <w:rsid w:val="002547BE"/>
    <w:rsid w:val="0025639E"/>
    <w:rsid w:val="00257A13"/>
    <w:rsid w:val="00257DDD"/>
    <w:rsid w:val="0026021C"/>
    <w:rsid w:val="002609FA"/>
    <w:rsid w:val="00261675"/>
    <w:rsid w:val="0026268E"/>
    <w:rsid w:val="00262A75"/>
    <w:rsid w:val="00262CE1"/>
    <w:rsid w:val="002639D9"/>
    <w:rsid w:val="00265299"/>
    <w:rsid w:val="0026599A"/>
    <w:rsid w:val="00265CEE"/>
    <w:rsid w:val="00267FE3"/>
    <w:rsid w:val="00270378"/>
    <w:rsid w:val="00270AC4"/>
    <w:rsid w:val="002713C6"/>
    <w:rsid w:val="0027304A"/>
    <w:rsid w:val="0027330D"/>
    <w:rsid w:val="002736F3"/>
    <w:rsid w:val="00274337"/>
    <w:rsid w:val="00274A46"/>
    <w:rsid w:val="002754D4"/>
    <w:rsid w:val="00275E04"/>
    <w:rsid w:val="00276298"/>
    <w:rsid w:val="00280AD2"/>
    <w:rsid w:val="002819CE"/>
    <w:rsid w:val="00283335"/>
    <w:rsid w:val="00284479"/>
    <w:rsid w:val="00284FD6"/>
    <w:rsid w:val="00285194"/>
    <w:rsid w:val="00285890"/>
    <w:rsid w:val="00285B20"/>
    <w:rsid w:val="00285E4B"/>
    <w:rsid w:val="002866A7"/>
    <w:rsid w:val="00287F22"/>
    <w:rsid w:val="00287FB9"/>
    <w:rsid w:val="0029014E"/>
    <w:rsid w:val="00290B8B"/>
    <w:rsid w:val="00290C08"/>
    <w:rsid w:val="00290DD3"/>
    <w:rsid w:val="00294659"/>
    <w:rsid w:val="00294921"/>
    <w:rsid w:val="00294D69"/>
    <w:rsid w:val="0029518E"/>
    <w:rsid w:val="0029543E"/>
    <w:rsid w:val="002960FB"/>
    <w:rsid w:val="002A16C9"/>
    <w:rsid w:val="002A2033"/>
    <w:rsid w:val="002A31AA"/>
    <w:rsid w:val="002A38BA"/>
    <w:rsid w:val="002A3B4C"/>
    <w:rsid w:val="002A5A6E"/>
    <w:rsid w:val="002A642A"/>
    <w:rsid w:val="002A7787"/>
    <w:rsid w:val="002B07DD"/>
    <w:rsid w:val="002B22C6"/>
    <w:rsid w:val="002B3214"/>
    <w:rsid w:val="002B44F9"/>
    <w:rsid w:val="002B4A57"/>
    <w:rsid w:val="002B5AF1"/>
    <w:rsid w:val="002B5D90"/>
    <w:rsid w:val="002B6017"/>
    <w:rsid w:val="002B6A4C"/>
    <w:rsid w:val="002B73B8"/>
    <w:rsid w:val="002C0179"/>
    <w:rsid w:val="002C38F3"/>
    <w:rsid w:val="002C4510"/>
    <w:rsid w:val="002C482A"/>
    <w:rsid w:val="002C63C8"/>
    <w:rsid w:val="002C7079"/>
    <w:rsid w:val="002D0629"/>
    <w:rsid w:val="002D0DCB"/>
    <w:rsid w:val="002D14B0"/>
    <w:rsid w:val="002D1F6A"/>
    <w:rsid w:val="002D2DC1"/>
    <w:rsid w:val="002D3430"/>
    <w:rsid w:val="002D7402"/>
    <w:rsid w:val="002E169D"/>
    <w:rsid w:val="002E18CE"/>
    <w:rsid w:val="002E1A2D"/>
    <w:rsid w:val="002E3245"/>
    <w:rsid w:val="002E4483"/>
    <w:rsid w:val="002E53E9"/>
    <w:rsid w:val="002E63D5"/>
    <w:rsid w:val="002F270E"/>
    <w:rsid w:val="002F6180"/>
    <w:rsid w:val="002F7D58"/>
    <w:rsid w:val="00302E1A"/>
    <w:rsid w:val="00303A74"/>
    <w:rsid w:val="0030489F"/>
    <w:rsid w:val="00306BFB"/>
    <w:rsid w:val="00310FF4"/>
    <w:rsid w:val="00311068"/>
    <w:rsid w:val="00312B3C"/>
    <w:rsid w:val="00313959"/>
    <w:rsid w:val="0031395C"/>
    <w:rsid w:val="003140DD"/>
    <w:rsid w:val="00314913"/>
    <w:rsid w:val="00316641"/>
    <w:rsid w:val="0032017C"/>
    <w:rsid w:val="00320483"/>
    <w:rsid w:val="00320E0D"/>
    <w:rsid w:val="00321597"/>
    <w:rsid w:val="00325338"/>
    <w:rsid w:val="00326E03"/>
    <w:rsid w:val="00327FF6"/>
    <w:rsid w:val="003332DD"/>
    <w:rsid w:val="00333545"/>
    <w:rsid w:val="003349D4"/>
    <w:rsid w:val="003363F0"/>
    <w:rsid w:val="00341A11"/>
    <w:rsid w:val="00344A6B"/>
    <w:rsid w:val="00345D4E"/>
    <w:rsid w:val="00346EF5"/>
    <w:rsid w:val="00347FF2"/>
    <w:rsid w:val="003505FB"/>
    <w:rsid w:val="00350B86"/>
    <w:rsid w:val="00362956"/>
    <w:rsid w:val="00362BAB"/>
    <w:rsid w:val="00363CF0"/>
    <w:rsid w:val="00363DFD"/>
    <w:rsid w:val="00365837"/>
    <w:rsid w:val="003659EC"/>
    <w:rsid w:val="003758BB"/>
    <w:rsid w:val="003764FF"/>
    <w:rsid w:val="0037730D"/>
    <w:rsid w:val="003851D0"/>
    <w:rsid w:val="00386B5C"/>
    <w:rsid w:val="00390E05"/>
    <w:rsid w:val="00390F39"/>
    <w:rsid w:val="00391523"/>
    <w:rsid w:val="00391707"/>
    <w:rsid w:val="00393434"/>
    <w:rsid w:val="00393BAA"/>
    <w:rsid w:val="003946D3"/>
    <w:rsid w:val="0039781B"/>
    <w:rsid w:val="00397961"/>
    <w:rsid w:val="003A072F"/>
    <w:rsid w:val="003A1D87"/>
    <w:rsid w:val="003A228C"/>
    <w:rsid w:val="003A246D"/>
    <w:rsid w:val="003A3160"/>
    <w:rsid w:val="003A3CA2"/>
    <w:rsid w:val="003A3DC5"/>
    <w:rsid w:val="003A4308"/>
    <w:rsid w:val="003A56EE"/>
    <w:rsid w:val="003B2C7C"/>
    <w:rsid w:val="003B59CE"/>
    <w:rsid w:val="003B7500"/>
    <w:rsid w:val="003C38DA"/>
    <w:rsid w:val="003C6008"/>
    <w:rsid w:val="003C6E7A"/>
    <w:rsid w:val="003C7DAD"/>
    <w:rsid w:val="003D053C"/>
    <w:rsid w:val="003D3317"/>
    <w:rsid w:val="003D4570"/>
    <w:rsid w:val="003D59C1"/>
    <w:rsid w:val="003D607A"/>
    <w:rsid w:val="003D65DD"/>
    <w:rsid w:val="003E5081"/>
    <w:rsid w:val="003E73EB"/>
    <w:rsid w:val="003F096F"/>
    <w:rsid w:val="003F186D"/>
    <w:rsid w:val="003F27E7"/>
    <w:rsid w:val="003F3959"/>
    <w:rsid w:val="003F39E2"/>
    <w:rsid w:val="003F3B5E"/>
    <w:rsid w:val="003F3DBB"/>
    <w:rsid w:val="003F4EED"/>
    <w:rsid w:val="003F756C"/>
    <w:rsid w:val="00403B1F"/>
    <w:rsid w:val="004050D9"/>
    <w:rsid w:val="00410AB9"/>
    <w:rsid w:val="00413938"/>
    <w:rsid w:val="00414279"/>
    <w:rsid w:val="004156F5"/>
    <w:rsid w:val="00415A9E"/>
    <w:rsid w:val="00415E73"/>
    <w:rsid w:val="0041736A"/>
    <w:rsid w:val="0041753C"/>
    <w:rsid w:val="004175AF"/>
    <w:rsid w:val="00417909"/>
    <w:rsid w:val="00420701"/>
    <w:rsid w:val="00420A39"/>
    <w:rsid w:val="00421E6B"/>
    <w:rsid w:val="00423590"/>
    <w:rsid w:val="004260B1"/>
    <w:rsid w:val="00426390"/>
    <w:rsid w:val="00427065"/>
    <w:rsid w:val="00430F45"/>
    <w:rsid w:val="00436D62"/>
    <w:rsid w:val="004370F4"/>
    <w:rsid w:val="0043734F"/>
    <w:rsid w:val="00437383"/>
    <w:rsid w:val="00437F47"/>
    <w:rsid w:val="00440886"/>
    <w:rsid w:val="00442870"/>
    <w:rsid w:val="004503BF"/>
    <w:rsid w:val="004528B0"/>
    <w:rsid w:val="0045433F"/>
    <w:rsid w:val="0045445F"/>
    <w:rsid w:val="00455C68"/>
    <w:rsid w:val="00456EFF"/>
    <w:rsid w:val="00460610"/>
    <w:rsid w:val="00460B2F"/>
    <w:rsid w:val="00460B82"/>
    <w:rsid w:val="00462CB8"/>
    <w:rsid w:val="00463180"/>
    <w:rsid w:val="004649F3"/>
    <w:rsid w:val="00471503"/>
    <w:rsid w:val="004739D9"/>
    <w:rsid w:val="00475AB2"/>
    <w:rsid w:val="00476169"/>
    <w:rsid w:val="00476A3A"/>
    <w:rsid w:val="0048051B"/>
    <w:rsid w:val="00481383"/>
    <w:rsid w:val="004819E7"/>
    <w:rsid w:val="00483B47"/>
    <w:rsid w:val="00484540"/>
    <w:rsid w:val="00485A8B"/>
    <w:rsid w:val="00493F09"/>
    <w:rsid w:val="0049494F"/>
    <w:rsid w:val="00495041"/>
    <w:rsid w:val="00495066"/>
    <w:rsid w:val="0049730C"/>
    <w:rsid w:val="004A11C5"/>
    <w:rsid w:val="004A3B88"/>
    <w:rsid w:val="004A489A"/>
    <w:rsid w:val="004A6089"/>
    <w:rsid w:val="004A7050"/>
    <w:rsid w:val="004A712E"/>
    <w:rsid w:val="004B3502"/>
    <w:rsid w:val="004B413F"/>
    <w:rsid w:val="004B67B8"/>
    <w:rsid w:val="004B77C3"/>
    <w:rsid w:val="004C06E5"/>
    <w:rsid w:val="004C07CA"/>
    <w:rsid w:val="004C3758"/>
    <w:rsid w:val="004C4D39"/>
    <w:rsid w:val="004C5280"/>
    <w:rsid w:val="004D08F9"/>
    <w:rsid w:val="004D0AA8"/>
    <w:rsid w:val="004D0D6B"/>
    <w:rsid w:val="004D3FF7"/>
    <w:rsid w:val="004D4653"/>
    <w:rsid w:val="004D4A24"/>
    <w:rsid w:val="004D4BD2"/>
    <w:rsid w:val="004D52F6"/>
    <w:rsid w:val="004D61D1"/>
    <w:rsid w:val="004D7862"/>
    <w:rsid w:val="004D798A"/>
    <w:rsid w:val="004E19EB"/>
    <w:rsid w:val="004E200B"/>
    <w:rsid w:val="004E20D8"/>
    <w:rsid w:val="004E34F8"/>
    <w:rsid w:val="004E7A0C"/>
    <w:rsid w:val="004E7A8C"/>
    <w:rsid w:val="004E7B5D"/>
    <w:rsid w:val="004F16F4"/>
    <w:rsid w:val="004F1B10"/>
    <w:rsid w:val="004F23F9"/>
    <w:rsid w:val="004F625F"/>
    <w:rsid w:val="005030BF"/>
    <w:rsid w:val="00510172"/>
    <w:rsid w:val="005141D3"/>
    <w:rsid w:val="00514BC0"/>
    <w:rsid w:val="0052279F"/>
    <w:rsid w:val="00523AC4"/>
    <w:rsid w:val="00524FAC"/>
    <w:rsid w:val="00527188"/>
    <w:rsid w:val="00527A71"/>
    <w:rsid w:val="00530939"/>
    <w:rsid w:val="00530FF6"/>
    <w:rsid w:val="00533237"/>
    <w:rsid w:val="005332CD"/>
    <w:rsid w:val="00534950"/>
    <w:rsid w:val="0053599F"/>
    <w:rsid w:val="00535E64"/>
    <w:rsid w:val="00536926"/>
    <w:rsid w:val="00536EF6"/>
    <w:rsid w:val="00537C74"/>
    <w:rsid w:val="00537CC1"/>
    <w:rsid w:val="00540F15"/>
    <w:rsid w:val="00547B0B"/>
    <w:rsid w:val="00553D96"/>
    <w:rsid w:val="005543D2"/>
    <w:rsid w:val="0055472E"/>
    <w:rsid w:val="005549A7"/>
    <w:rsid w:val="00554B09"/>
    <w:rsid w:val="005667FF"/>
    <w:rsid w:val="005704EC"/>
    <w:rsid w:val="0057065E"/>
    <w:rsid w:val="00570979"/>
    <w:rsid w:val="005724DC"/>
    <w:rsid w:val="005747DC"/>
    <w:rsid w:val="005757F5"/>
    <w:rsid w:val="00575977"/>
    <w:rsid w:val="00577535"/>
    <w:rsid w:val="00581FBC"/>
    <w:rsid w:val="005824CF"/>
    <w:rsid w:val="00583753"/>
    <w:rsid w:val="00584060"/>
    <w:rsid w:val="005900EA"/>
    <w:rsid w:val="00591A83"/>
    <w:rsid w:val="00591B6C"/>
    <w:rsid w:val="0059265B"/>
    <w:rsid w:val="00593E6E"/>
    <w:rsid w:val="0059515A"/>
    <w:rsid w:val="0059552E"/>
    <w:rsid w:val="005A0CDF"/>
    <w:rsid w:val="005A1C40"/>
    <w:rsid w:val="005A77AE"/>
    <w:rsid w:val="005B263C"/>
    <w:rsid w:val="005B4E69"/>
    <w:rsid w:val="005C12F1"/>
    <w:rsid w:val="005C130C"/>
    <w:rsid w:val="005C1ED0"/>
    <w:rsid w:val="005C3BF7"/>
    <w:rsid w:val="005C48D4"/>
    <w:rsid w:val="005C4B60"/>
    <w:rsid w:val="005C5E1D"/>
    <w:rsid w:val="005C7402"/>
    <w:rsid w:val="005D03EA"/>
    <w:rsid w:val="005D089B"/>
    <w:rsid w:val="005D3524"/>
    <w:rsid w:val="005D3F0D"/>
    <w:rsid w:val="005E16E0"/>
    <w:rsid w:val="005E18CF"/>
    <w:rsid w:val="005E1C88"/>
    <w:rsid w:val="005E23FD"/>
    <w:rsid w:val="005E3586"/>
    <w:rsid w:val="005E3E9F"/>
    <w:rsid w:val="005E468D"/>
    <w:rsid w:val="005E4A99"/>
    <w:rsid w:val="005E4FB1"/>
    <w:rsid w:val="005E51A4"/>
    <w:rsid w:val="005F0BAA"/>
    <w:rsid w:val="005F1DF1"/>
    <w:rsid w:val="005F1F86"/>
    <w:rsid w:val="005F2AC0"/>
    <w:rsid w:val="005F4CF5"/>
    <w:rsid w:val="00601833"/>
    <w:rsid w:val="00602C04"/>
    <w:rsid w:val="0060473F"/>
    <w:rsid w:val="006063A3"/>
    <w:rsid w:val="00606F87"/>
    <w:rsid w:val="00607B9F"/>
    <w:rsid w:val="00610230"/>
    <w:rsid w:val="00610296"/>
    <w:rsid w:val="00611732"/>
    <w:rsid w:val="0061206B"/>
    <w:rsid w:val="00620315"/>
    <w:rsid w:val="006232CE"/>
    <w:rsid w:val="006235D9"/>
    <w:rsid w:val="00624CB8"/>
    <w:rsid w:val="00627110"/>
    <w:rsid w:val="00630733"/>
    <w:rsid w:val="00630E93"/>
    <w:rsid w:val="006317A8"/>
    <w:rsid w:val="00631916"/>
    <w:rsid w:val="00631FF1"/>
    <w:rsid w:val="006323B0"/>
    <w:rsid w:val="006329DA"/>
    <w:rsid w:val="00632B78"/>
    <w:rsid w:val="00632D10"/>
    <w:rsid w:val="00634888"/>
    <w:rsid w:val="00637597"/>
    <w:rsid w:val="006376D6"/>
    <w:rsid w:val="0064138E"/>
    <w:rsid w:val="00641D87"/>
    <w:rsid w:val="00643FA0"/>
    <w:rsid w:val="00647942"/>
    <w:rsid w:val="00647C14"/>
    <w:rsid w:val="0065147F"/>
    <w:rsid w:val="00651F6B"/>
    <w:rsid w:val="00653716"/>
    <w:rsid w:val="006539D4"/>
    <w:rsid w:val="00654254"/>
    <w:rsid w:val="006542E6"/>
    <w:rsid w:val="00654BBF"/>
    <w:rsid w:val="006550C5"/>
    <w:rsid w:val="00655890"/>
    <w:rsid w:val="00655FB2"/>
    <w:rsid w:val="0065756D"/>
    <w:rsid w:val="006606C7"/>
    <w:rsid w:val="00660F40"/>
    <w:rsid w:val="00662E94"/>
    <w:rsid w:val="00663649"/>
    <w:rsid w:val="0066472D"/>
    <w:rsid w:val="00664B00"/>
    <w:rsid w:val="00664B1A"/>
    <w:rsid w:val="0066586D"/>
    <w:rsid w:val="00665C86"/>
    <w:rsid w:val="00667539"/>
    <w:rsid w:val="00667756"/>
    <w:rsid w:val="00671FDD"/>
    <w:rsid w:val="00673CC6"/>
    <w:rsid w:val="0067732E"/>
    <w:rsid w:val="00682EE8"/>
    <w:rsid w:val="00686C4B"/>
    <w:rsid w:val="00687D9E"/>
    <w:rsid w:val="00690140"/>
    <w:rsid w:val="00693E69"/>
    <w:rsid w:val="00697E3D"/>
    <w:rsid w:val="006A010E"/>
    <w:rsid w:val="006A1F9D"/>
    <w:rsid w:val="006A3CB6"/>
    <w:rsid w:val="006A3E95"/>
    <w:rsid w:val="006A7433"/>
    <w:rsid w:val="006A77CA"/>
    <w:rsid w:val="006A7D0F"/>
    <w:rsid w:val="006B138C"/>
    <w:rsid w:val="006B2721"/>
    <w:rsid w:val="006B6DE1"/>
    <w:rsid w:val="006C1C11"/>
    <w:rsid w:val="006C2945"/>
    <w:rsid w:val="006C39D9"/>
    <w:rsid w:val="006C60DD"/>
    <w:rsid w:val="006C792D"/>
    <w:rsid w:val="006D209E"/>
    <w:rsid w:val="006D6D49"/>
    <w:rsid w:val="006D7E0F"/>
    <w:rsid w:val="006E01AF"/>
    <w:rsid w:val="006E3506"/>
    <w:rsid w:val="006E4628"/>
    <w:rsid w:val="006E5228"/>
    <w:rsid w:val="006E5356"/>
    <w:rsid w:val="006E55C3"/>
    <w:rsid w:val="006E5C2B"/>
    <w:rsid w:val="006E5EAF"/>
    <w:rsid w:val="006E62E7"/>
    <w:rsid w:val="006F22F0"/>
    <w:rsid w:val="006F6B6E"/>
    <w:rsid w:val="00700AA1"/>
    <w:rsid w:val="00702924"/>
    <w:rsid w:val="00702C46"/>
    <w:rsid w:val="00703976"/>
    <w:rsid w:val="007059A8"/>
    <w:rsid w:val="007122D3"/>
    <w:rsid w:val="00712BC5"/>
    <w:rsid w:val="00712E78"/>
    <w:rsid w:val="00713727"/>
    <w:rsid w:val="007141EE"/>
    <w:rsid w:val="00716F14"/>
    <w:rsid w:val="00717BFD"/>
    <w:rsid w:val="007211FD"/>
    <w:rsid w:val="00721554"/>
    <w:rsid w:val="0072256B"/>
    <w:rsid w:val="00722D6F"/>
    <w:rsid w:val="0072359A"/>
    <w:rsid w:val="00723AFF"/>
    <w:rsid w:val="00723EF7"/>
    <w:rsid w:val="00724048"/>
    <w:rsid w:val="00725FA1"/>
    <w:rsid w:val="00731244"/>
    <w:rsid w:val="00731358"/>
    <w:rsid w:val="00731435"/>
    <w:rsid w:val="007315A7"/>
    <w:rsid w:val="00733B1C"/>
    <w:rsid w:val="007342A6"/>
    <w:rsid w:val="0073477C"/>
    <w:rsid w:val="0073518A"/>
    <w:rsid w:val="0073728E"/>
    <w:rsid w:val="0074064A"/>
    <w:rsid w:val="0074462D"/>
    <w:rsid w:val="00750047"/>
    <w:rsid w:val="00751785"/>
    <w:rsid w:val="00752760"/>
    <w:rsid w:val="00752E56"/>
    <w:rsid w:val="007540D2"/>
    <w:rsid w:val="00757392"/>
    <w:rsid w:val="0076279E"/>
    <w:rsid w:val="00762D33"/>
    <w:rsid w:val="00764804"/>
    <w:rsid w:val="00767FE8"/>
    <w:rsid w:val="00770BA9"/>
    <w:rsid w:val="007714D8"/>
    <w:rsid w:val="00771740"/>
    <w:rsid w:val="0077487A"/>
    <w:rsid w:val="00776A37"/>
    <w:rsid w:val="00776DE2"/>
    <w:rsid w:val="00777BBE"/>
    <w:rsid w:val="00777C22"/>
    <w:rsid w:val="007820D4"/>
    <w:rsid w:val="0078442A"/>
    <w:rsid w:val="00785701"/>
    <w:rsid w:val="007864D1"/>
    <w:rsid w:val="007924B1"/>
    <w:rsid w:val="00792D10"/>
    <w:rsid w:val="00793453"/>
    <w:rsid w:val="007949C3"/>
    <w:rsid w:val="00794FD5"/>
    <w:rsid w:val="00795DE0"/>
    <w:rsid w:val="00797AAD"/>
    <w:rsid w:val="007A102C"/>
    <w:rsid w:val="007A142D"/>
    <w:rsid w:val="007A471B"/>
    <w:rsid w:val="007A48B6"/>
    <w:rsid w:val="007A4940"/>
    <w:rsid w:val="007B0245"/>
    <w:rsid w:val="007B2634"/>
    <w:rsid w:val="007B2797"/>
    <w:rsid w:val="007B3AD1"/>
    <w:rsid w:val="007B4132"/>
    <w:rsid w:val="007B4DE1"/>
    <w:rsid w:val="007B5261"/>
    <w:rsid w:val="007C027E"/>
    <w:rsid w:val="007C075C"/>
    <w:rsid w:val="007C13FF"/>
    <w:rsid w:val="007C1D15"/>
    <w:rsid w:val="007C4527"/>
    <w:rsid w:val="007C5582"/>
    <w:rsid w:val="007D187D"/>
    <w:rsid w:val="007D2E8C"/>
    <w:rsid w:val="007D3461"/>
    <w:rsid w:val="007D3814"/>
    <w:rsid w:val="007D38A5"/>
    <w:rsid w:val="007D4A33"/>
    <w:rsid w:val="007D67FF"/>
    <w:rsid w:val="007D6D9E"/>
    <w:rsid w:val="007D792B"/>
    <w:rsid w:val="007E0423"/>
    <w:rsid w:val="007E2FAC"/>
    <w:rsid w:val="007E4F4E"/>
    <w:rsid w:val="007E7371"/>
    <w:rsid w:val="007F0073"/>
    <w:rsid w:val="007F0749"/>
    <w:rsid w:val="007F12F6"/>
    <w:rsid w:val="007F1FA7"/>
    <w:rsid w:val="007F32C4"/>
    <w:rsid w:val="007F39F6"/>
    <w:rsid w:val="008008DB"/>
    <w:rsid w:val="0080093F"/>
    <w:rsid w:val="00802411"/>
    <w:rsid w:val="0080578D"/>
    <w:rsid w:val="00811943"/>
    <w:rsid w:val="008123C6"/>
    <w:rsid w:val="00813AE3"/>
    <w:rsid w:val="00814A61"/>
    <w:rsid w:val="00814F88"/>
    <w:rsid w:val="00815BEC"/>
    <w:rsid w:val="00817D92"/>
    <w:rsid w:val="00820B93"/>
    <w:rsid w:val="00823AA6"/>
    <w:rsid w:val="00824269"/>
    <w:rsid w:val="00826F74"/>
    <w:rsid w:val="00830208"/>
    <w:rsid w:val="0083333B"/>
    <w:rsid w:val="00834615"/>
    <w:rsid w:val="00835EC7"/>
    <w:rsid w:val="00835F61"/>
    <w:rsid w:val="00837619"/>
    <w:rsid w:val="00840CCC"/>
    <w:rsid w:val="00841B54"/>
    <w:rsid w:val="008432F2"/>
    <w:rsid w:val="00853553"/>
    <w:rsid w:val="00855245"/>
    <w:rsid w:val="0085618E"/>
    <w:rsid w:val="00861551"/>
    <w:rsid w:val="0086175E"/>
    <w:rsid w:val="00861926"/>
    <w:rsid w:val="008622FF"/>
    <w:rsid w:val="00862E80"/>
    <w:rsid w:val="008653BF"/>
    <w:rsid w:val="00866263"/>
    <w:rsid w:val="0086708E"/>
    <w:rsid w:val="00867178"/>
    <w:rsid w:val="00870804"/>
    <w:rsid w:val="008708D6"/>
    <w:rsid w:val="00870B1B"/>
    <w:rsid w:val="00871621"/>
    <w:rsid w:val="00872CB0"/>
    <w:rsid w:val="008748B3"/>
    <w:rsid w:val="00876493"/>
    <w:rsid w:val="00881554"/>
    <w:rsid w:val="0088307D"/>
    <w:rsid w:val="00883080"/>
    <w:rsid w:val="008841D8"/>
    <w:rsid w:val="00885775"/>
    <w:rsid w:val="00891730"/>
    <w:rsid w:val="00892DB5"/>
    <w:rsid w:val="00893025"/>
    <w:rsid w:val="008937EB"/>
    <w:rsid w:val="008958FF"/>
    <w:rsid w:val="00896207"/>
    <w:rsid w:val="008A04F2"/>
    <w:rsid w:val="008A16C4"/>
    <w:rsid w:val="008A1E0D"/>
    <w:rsid w:val="008A30CC"/>
    <w:rsid w:val="008A3BB6"/>
    <w:rsid w:val="008B0B64"/>
    <w:rsid w:val="008B0DF5"/>
    <w:rsid w:val="008B2D01"/>
    <w:rsid w:val="008B2D31"/>
    <w:rsid w:val="008B4D57"/>
    <w:rsid w:val="008C2088"/>
    <w:rsid w:val="008C406A"/>
    <w:rsid w:val="008C595E"/>
    <w:rsid w:val="008C59E1"/>
    <w:rsid w:val="008C7556"/>
    <w:rsid w:val="008C7889"/>
    <w:rsid w:val="008D0C31"/>
    <w:rsid w:val="008D24BD"/>
    <w:rsid w:val="008D3855"/>
    <w:rsid w:val="008D38F5"/>
    <w:rsid w:val="008D512D"/>
    <w:rsid w:val="008D7B5D"/>
    <w:rsid w:val="008E089F"/>
    <w:rsid w:val="008E29EB"/>
    <w:rsid w:val="008E36D6"/>
    <w:rsid w:val="008E690A"/>
    <w:rsid w:val="008F1A02"/>
    <w:rsid w:val="008F20BC"/>
    <w:rsid w:val="008F2439"/>
    <w:rsid w:val="008F3816"/>
    <w:rsid w:val="008F5AC2"/>
    <w:rsid w:val="009015E6"/>
    <w:rsid w:val="009021E1"/>
    <w:rsid w:val="00904665"/>
    <w:rsid w:val="00904865"/>
    <w:rsid w:val="00907B48"/>
    <w:rsid w:val="009106B8"/>
    <w:rsid w:val="00912176"/>
    <w:rsid w:val="00914F34"/>
    <w:rsid w:val="00916053"/>
    <w:rsid w:val="00920ACE"/>
    <w:rsid w:val="00922761"/>
    <w:rsid w:val="00922803"/>
    <w:rsid w:val="00923500"/>
    <w:rsid w:val="00924811"/>
    <w:rsid w:val="0092486E"/>
    <w:rsid w:val="00924F91"/>
    <w:rsid w:val="0093225A"/>
    <w:rsid w:val="009331D3"/>
    <w:rsid w:val="00933787"/>
    <w:rsid w:val="0093392B"/>
    <w:rsid w:val="00933DD0"/>
    <w:rsid w:val="009340F8"/>
    <w:rsid w:val="00937BBA"/>
    <w:rsid w:val="00937ED1"/>
    <w:rsid w:val="009421F1"/>
    <w:rsid w:val="00943283"/>
    <w:rsid w:val="00943804"/>
    <w:rsid w:val="00943AFC"/>
    <w:rsid w:val="009440B8"/>
    <w:rsid w:val="00944FB0"/>
    <w:rsid w:val="00945A89"/>
    <w:rsid w:val="009511BF"/>
    <w:rsid w:val="0095121B"/>
    <w:rsid w:val="00951307"/>
    <w:rsid w:val="009531BE"/>
    <w:rsid w:val="00956327"/>
    <w:rsid w:val="0096071A"/>
    <w:rsid w:val="0096109C"/>
    <w:rsid w:val="0096137D"/>
    <w:rsid w:val="00961D02"/>
    <w:rsid w:val="00963914"/>
    <w:rsid w:val="00970D89"/>
    <w:rsid w:val="009718C9"/>
    <w:rsid w:val="00972935"/>
    <w:rsid w:val="0097363D"/>
    <w:rsid w:val="009746D7"/>
    <w:rsid w:val="009760B6"/>
    <w:rsid w:val="00976612"/>
    <w:rsid w:val="00976E8A"/>
    <w:rsid w:val="009806EF"/>
    <w:rsid w:val="00980C76"/>
    <w:rsid w:val="00980D86"/>
    <w:rsid w:val="00981132"/>
    <w:rsid w:val="00981D94"/>
    <w:rsid w:val="00982007"/>
    <w:rsid w:val="009831F3"/>
    <w:rsid w:val="009862F1"/>
    <w:rsid w:val="009864D4"/>
    <w:rsid w:val="009868FB"/>
    <w:rsid w:val="00990853"/>
    <w:rsid w:val="0099415E"/>
    <w:rsid w:val="00994779"/>
    <w:rsid w:val="00995579"/>
    <w:rsid w:val="00995F0E"/>
    <w:rsid w:val="00997CAB"/>
    <w:rsid w:val="00997E31"/>
    <w:rsid w:val="009A379F"/>
    <w:rsid w:val="009A4C42"/>
    <w:rsid w:val="009A57EA"/>
    <w:rsid w:val="009B1729"/>
    <w:rsid w:val="009B1DA2"/>
    <w:rsid w:val="009B2286"/>
    <w:rsid w:val="009B2CCC"/>
    <w:rsid w:val="009B3FE5"/>
    <w:rsid w:val="009B4222"/>
    <w:rsid w:val="009C0348"/>
    <w:rsid w:val="009C13D4"/>
    <w:rsid w:val="009C2FA2"/>
    <w:rsid w:val="009C4393"/>
    <w:rsid w:val="009C4855"/>
    <w:rsid w:val="009C4C1B"/>
    <w:rsid w:val="009C4C51"/>
    <w:rsid w:val="009C6E2F"/>
    <w:rsid w:val="009C7678"/>
    <w:rsid w:val="009C7B29"/>
    <w:rsid w:val="009D2135"/>
    <w:rsid w:val="009D23E3"/>
    <w:rsid w:val="009D348A"/>
    <w:rsid w:val="009D49D9"/>
    <w:rsid w:val="009D4E0A"/>
    <w:rsid w:val="009D59D9"/>
    <w:rsid w:val="009D6B29"/>
    <w:rsid w:val="009D744A"/>
    <w:rsid w:val="009D75DB"/>
    <w:rsid w:val="009D79B1"/>
    <w:rsid w:val="009E1BFB"/>
    <w:rsid w:val="009E2C34"/>
    <w:rsid w:val="009E3978"/>
    <w:rsid w:val="009E441B"/>
    <w:rsid w:val="009E4F11"/>
    <w:rsid w:val="009E712A"/>
    <w:rsid w:val="009F6474"/>
    <w:rsid w:val="009F7123"/>
    <w:rsid w:val="009F7CA0"/>
    <w:rsid w:val="00A00F72"/>
    <w:rsid w:val="00A02165"/>
    <w:rsid w:val="00A02947"/>
    <w:rsid w:val="00A04520"/>
    <w:rsid w:val="00A04D26"/>
    <w:rsid w:val="00A06D56"/>
    <w:rsid w:val="00A077C6"/>
    <w:rsid w:val="00A13B47"/>
    <w:rsid w:val="00A15A14"/>
    <w:rsid w:val="00A16D17"/>
    <w:rsid w:val="00A17350"/>
    <w:rsid w:val="00A17DD3"/>
    <w:rsid w:val="00A2411F"/>
    <w:rsid w:val="00A257B7"/>
    <w:rsid w:val="00A25837"/>
    <w:rsid w:val="00A259AA"/>
    <w:rsid w:val="00A3071D"/>
    <w:rsid w:val="00A307C9"/>
    <w:rsid w:val="00A34E2F"/>
    <w:rsid w:val="00A35409"/>
    <w:rsid w:val="00A36888"/>
    <w:rsid w:val="00A37152"/>
    <w:rsid w:val="00A4395E"/>
    <w:rsid w:val="00A43F56"/>
    <w:rsid w:val="00A4425C"/>
    <w:rsid w:val="00A448A2"/>
    <w:rsid w:val="00A4730B"/>
    <w:rsid w:val="00A51584"/>
    <w:rsid w:val="00A52B94"/>
    <w:rsid w:val="00A52EF8"/>
    <w:rsid w:val="00A54916"/>
    <w:rsid w:val="00A56477"/>
    <w:rsid w:val="00A56A15"/>
    <w:rsid w:val="00A60BB4"/>
    <w:rsid w:val="00A613DC"/>
    <w:rsid w:val="00A61A4A"/>
    <w:rsid w:val="00A62461"/>
    <w:rsid w:val="00A63C83"/>
    <w:rsid w:val="00A70402"/>
    <w:rsid w:val="00A76FB8"/>
    <w:rsid w:val="00A77485"/>
    <w:rsid w:val="00A77AF1"/>
    <w:rsid w:val="00A80A31"/>
    <w:rsid w:val="00A829EC"/>
    <w:rsid w:val="00A82C84"/>
    <w:rsid w:val="00A82F88"/>
    <w:rsid w:val="00A84727"/>
    <w:rsid w:val="00A85DBE"/>
    <w:rsid w:val="00A920A7"/>
    <w:rsid w:val="00A94BF8"/>
    <w:rsid w:val="00A94E04"/>
    <w:rsid w:val="00AA07AB"/>
    <w:rsid w:val="00AA0E9B"/>
    <w:rsid w:val="00AA14C7"/>
    <w:rsid w:val="00AA20F4"/>
    <w:rsid w:val="00AA50CD"/>
    <w:rsid w:val="00AA7164"/>
    <w:rsid w:val="00AA7209"/>
    <w:rsid w:val="00AB0B05"/>
    <w:rsid w:val="00AB23B8"/>
    <w:rsid w:val="00AB2969"/>
    <w:rsid w:val="00AB35AC"/>
    <w:rsid w:val="00AB5AFC"/>
    <w:rsid w:val="00AC0A63"/>
    <w:rsid w:val="00AC0AF4"/>
    <w:rsid w:val="00AC2457"/>
    <w:rsid w:val="00AC3234"/>
    <w:rsid w:val="00AC38CD"/>
    <w:rsid w:val="00AC487C"/>
    <w:rsid w:val="00AD1ADE"/>
    <w:rsid w:val="00AD2916"/>
    <w:rsid w:val="00AE1A24"/>
    <w:rsid w:val="00AE4BC4"/>
    <w:rsid w:val="00AF0300"/>
    <w:rsid w:val="00AF044B"/>
    <w:rsid w:val="00AF09F3"/>
    <w:rsid w:val="00AF1928"/>
    <w:rsid w:val="00AF27E7"/>
    <w:rsid w:val="00AF3917"/>
    <w:rsid w:val="00AF44D0"/>
    <w:rsid w:val="00AF4F24"/>
    <w:rsid w:val="00AF4FEA"/>
    <w:rsid w:val="00AF5548"/>
    <w:rsid w:val="00AF636A"/>
    <w:rsid w:val="00AF6389"/>
    <w:rsid w:val="00AF7685"/>
    <w:rsid w:val="00B043E6"/>
    <w:rsid w:val="00B04E33"/>
    <w:rsid w:val="00B0619B"/>
    <w:rsid w:val="00B07410"/>
    <w:rsid w:val="00B10CBB"/>
    <w:rsid w:val="00B11658"/>
    <w:rsid w:val="00B1243E"/>
    <w:rsid w:val="00B131BB"/>
    <w:rsid w:val="00B13BB7"/>
    <w:rsid w:val="00B1492F"/>
    <w:rsid w:val="00B15295"/>
    <w:rsid w:val="00B159D1"/>
    <w:rsid w:val="00B205E5"/>
    <w:rsid w:val="00B2086C"/>
    <w:rsid w:val="00B2117B"/>
    <w:rsid w:val="00B22623"/>
    <w:rsid w:val="00B23A6B"/>
    <w:rsid w:val="00B24675"/>
    <w:rsid w:val="00B25772"/>
    <w:rsid w:val="00B25936"/>
    <w:rsid w:val="00B30F16"/>
    <w:rsid w:val="00B313E0"/>
    <w:rsid w:val="00B314F8"/>
    <w:rsid w:val="00B31CE7"/>
    <w:rsid w:val="00B320DB"/>
    <w:rsid w:val="00B3291D"/>
    <w:rsid w:val="00B3330D"/>
    <w:rsid w:val="00B36097"/>
    <w:rsid w:val="00B40124"/>
    <w:rsid w:val="00B40920"/>
    <w:rsid w:val="00B40AD2"/>
    <w:rsid w:val="00B43915"/>
    <w:rsid w:val="00B4466A"/>
    <w:rsid w:val="00B44873"/>
    <w:rsid w:val="00B450B1"/>
    <w:rsid w:val="00B45CB7"/>
    <w:rsid w:val="00B45FF5"/>
    <w:rsid w:val="00B5190C"/>
    <w:rsid w:val="00B550DF"/>
    <w:rsid w:val="00B60A17"/>
    <w:rsid w:val="00B61738"/>
    <w:rsid w:val="00B6176E"/>
    <w:rsid w:val="00B61F39"/>
    <w:rsid w:val="00B62D7A"/>
    <w:rsid w:val="00B632EE"/>
    <w:rsid w:val="00B6426F"/>
    <w:rsid w:val="00B64DCA"/>
    <w:rsid w:val="00B65851"/>
    <w:rsid w:val="00B66CE1"/>
    <w:rsid w:val="00B6714E"/>
    <w:rsid w:val="00B67DCC"/>
    <w:rsid w:val="00B67F16"/>
    <w:rsid w:val="00B70533"/>
    <w:rsid w:val="00B7070D"/>
    <w:rsid w:val="00B72D63"/>
    <w:rsid w:val="00B7786B"/>
    <w:rsid w:val="00B8034B"/>
    <w:rsid w:val="00B80AB0"/>
    <w:rsid w:val="00B8384E"/>
    <w:rsid w:val="00B8491B"/>
    <w:rsid w:val="00B84D7E"/>
    <w:rsid w:val="00B85495"/>
    <w:rsid w:val="00B869C1"/>
    <w:rsid w:val="00B900CD"/>
    <w:rsid w:val="00B91CFE"/>
    <w:rsid w:val="00B93B73"/>
    <w:rsid w:val="00B94EB4"/>
    <w:rsid w:val="00B95C2E"/>
    <w:rsid w:val="00B95D2C"/>
    <w:rsid w:val="00B96E0D"/>
    <w:rsid w:val="00BA6026"/>
    <w:rsid w:val="00BA78F5"/>
    <w:rsid w:val="00BB0187"/>
    <w:rsid w:val="00BB0B54"/>
    <w:rsid w:val="00BB41EE"/>
    <w:rsid w:val="00BB55BB"/>
    <w:rsid w:val="00BB67CA"/>
    <w:rsid w:val="00BB680F"/>
    <w:rsid w:val="00BC0908"/>
    <w:rsid w:val="00BC0FBE"/>
    <w:rsid w:val="00BC1460"/>
    <w:rsid w:val="00BC267F"/>
    <w:rsid w:val="00BC3709"/>
    <w:rsid w:val="00BC37A8"/>
    <w:rsid w:val="00BC3916"/>
    <w:rsid w:val="00BC4377"/>
    <w:rsid w:val="00BC5282"/>
    <w:rsid w:val="00BC5E1C"/>
    <w:rsid w:val="00BC5F20"/>
    <w:rsid w:val="00BC65D3"/>
    <w:rsid w:val="00BC777E"/>
    <w:rsid w:val="00BC7E40"/>
    <w:rsid w:val="00BD20B2"/>
    <w:rsid w:val="00BD21E4"/>
    <w:rsid w:val="00BD2648"/>
    <w:rsid w:val="00BD2754"/>
    <w:rsid w:val="00BD2CF3"/>
    <w:rsid w:val="00BD3990"/>
    <w:rsid w:val="00BD5E7A"/>
    <w:rsid w:val="00BD77F9"/>
    <w:rsid w:val="00BE1D40"/>
    <w:rsid w:val="00BE1FC8"/>
    <w:rsid w:val="00BE353C"/>
    <w:rsid w:val="00BE365C"/>
    <w:rsid w:val="00BE3912"/>
    <w:rsid w:val="00BE3EC0"/>
    <w:rsid w:val="00BE4CB9"/>
    <w:rsid w:val="00BE57A6"/>
    <w:rsid w:val="00BE633B"/>
    <w:rsid w:val="00BE6B41"/>
    <w:rsid w:val="00BE6D10"/>
    <w:rsid w:val="00BE7FEF"/>
    <w:rsid w:val="00BF034D"/>
    <w:rsid w:val="00BF2A07"/>
    <w:rsid w:val="00BF5368"/>
    <w:rsid w:val="00BF5BFE"/>
    <w:rsid w:val="00BF7B97"/>
    <w:rsid w:val="00C0119D"/>
    <w:rsid w:val="00C03570"/>
    <w:rsid w:val="00C04528"/>
    <w:rsid w:val="00C074EE"/>
    <w:rsid w:val="00C15C25"/>
    <w:rsid w:val="00C20738"/>
    <w:rsid w:val="00C20909"/>
    <w:rsid w:val="00C21B9C"/>
    <w:rsid w:val="00C230F3"/>
    <w:rsid w:val="00C23F0F"/>
    <w:rsid w:val="00C24326"/>
    <w:rsid w:val="00C2712D"/>
    <w:rsid w:val="00C2777E"/>
    <w:rsid w:val="00C308B3"/>
    <w:rsid w:val="00C32304"/>
    <w:rsid w:val="00C40801"/>
    <w:rsid w:val="00C424A0"/>
    <w:rsid w:val="00C42D61"/>
    <w:rsid w:val="00C42EAD"/>
    <w:rsid w:val="00C43C36"/>
    <w:rsid w:val="00C43FBF"/>
    <w:rsid w:val="00C46155"/>
    <w:rsid w:val="00C467E0"/>
    <w:rsid w:val="00C4749D"/>
    <w:rsid w:val="00C4785E"/>
    <w:rsid w:val="00C52789"/>
    <w:rsid w:val="00C53A61"/>
    <w:rsid w:val="00C54D56"/>
    <w:rsid w:val="00C56425"/>
    <w:rsid w:val="00C60581"/>
    <w:rsid w:val="00C60DAF"/>
    <w:rsid w:val="00C6228A"/>
    <w:rsid w:val="00C623C2"/>
    <w:rsid w:val="00C66B89"/>
    <w:rsid w:val="00C66C8F"/>
    <w:rsid w:val="00C66F15"/>
    <w:rsid w:val="00C70B9B"/>
    <w:rsid w:val="00C717C8"/>
    <w:rsid w:val="00C76139"/>
    <w:rsid w:val="00C77F3C"/>
    <w:rsid w:val="00C8260C"/>
    <w:rsid w:val="00C85FA9"/>
    <w:rsid w:val="00C90256"/>
    <w:rsid w:val="00C90A56"/>
    <w:rsid w:val="00C926C7"/>
    <w:rsid w:val="00C9307A"/>
    <w:rsid w:val="00C93BE4"/>
    <w:rsid w:val="00C94CE4"/>
    <w:rsid w:val="00C970D5"/>
    <w:rsid w:val="00CA0F95"/>
    <w:rsid w:val="00CA1021"/>
    <w:rsid w:val="00CA3FDF"/>
    <w:rsid w:val="00CA49E9"/>
    <w:rsid w:val="00CA4CDE"/>
    <w:rsid w:val="00CA506E"/>
    <w:rsid w:val="00CA5D53"/>
    <w:rsid w:val="00CA6B53"/>
    <w:rsid w:val="00CA786A"/>
    <w:rsid w:val="00CA7EAC"/>
    <w:rsid w:val="00CB2FA8"/>
    <w:rsid w:val="00CC06FD"/>
    <w:rsid w:val="00CC2832"/>
    <w:rsid w:val="00CC52B1"/>
    <w:rsid w:val="00CC5592"/>
    <w:rsid w:val="00CC6360"/>
    <w:rsid w:val="00CC7247"/>
    <w:rsid w:val="00CC78BB"/>
    <w:rsid w:val="00CD2357"/>
    <w:rsid w:val="00CD3597"/>
    <w:rsid w:val="00CD4008"/>
    <w:rsid w:val="00CD5B42"/>
    <w:rsid w:val="00CE1DB7"/>
    <w:rsid w:val="00CE411A"/>
    <w:rsid w:val="00CE450E"/>
    <w:rsid w:val="00CE4D19"/>
    <w:rsid w:val="00CE72E7"/>
    <w:rsid w:val="00CF007A"/>
    <w:rsid w:val="00CF0D01"/>
    <w:rsid w:val="00CF1BFC"/>
    <w:rsid w:val="00CF20D2"/>
    <w:rsid w:val="00CF2125"/>
    <w:rsid w:val="00CF2881"/>
    <w:rsid w:val="00CF2F6F"/>
    <w:rsid w:val="00CF3AF5"/>
    <w:rsid w:val="00CF5EDB"/>
    <w:rsid w:val="00CF5FF9"/>
    <w:rsid w:val="00CF70DA"/>
    <w:rsid w:val="00D016D1"/>
    <w:rsid w:val="00D01E6A"/>
    <w:rsid w:val="00D030B0"/>
    <w:rsid w:val="00D030FD"/>
    <w:rsid w:val="00D03B29"/>
    <w:rsid w:val="00D06018"/>
    <w:rsid w:val="00D07E71"/>
    <w:rsid w:val="00D10955"/>
    <w:rsid w:val="00D11F23"/>
    <w:rsid w:val="00D126EB"/>
    <w:rsid w:val="00D1452D"/>
    <w:rsid w:val="00D14706"/>
    <w:rsid w:val="00D155B3"/>
    <w:rsid w:val="00D170A2"/>
    <w:rsid w:val="00D172AD"/>
    <w:rsid w:val="00D17E13"/>
    <w:rsid w:val="00D20924"/>
    <w:rsid w:val="00D20B5B"/>
    <w:rsid w:val="00D20BF6"/>
    <w:rsid w:val="00D20C5B"/>
    <w:rsid w:val="00D23447"/>
    <w:rsid w:val="00D23659"/>
    <w:rsid w:val="00D2409E"/>
    <w:rsid w:val="00D25239"/>
    <w:rsid w:val="00D25891"/>
    <w:rsid w:val="00D25AF1"/>
    <w:rsid w:val="00D25C40"/>
    <w:rsid w:val="00D25FFC"/>
    <w:rsid w:val="00D3249E"/>
    <w:rsid w:val="00D3258E"/>
    <w:rsid w:val="00D36016"/>
    <w:rsid w:val="00D36775"/>
    <w:rsid w:val="00D37870"/>
    <w:rsid w:val="00D406E3"/>
    <w:rsid w:val="00D40B9F"/>
    <w:rsid w:val="00D41A1F"/>
    <w:rsid w:val="00D41F3F"/>
    <w:rsid w:val="00D421D3"/>
    <w:rsid w:val="00D42A63"/>
    <w:rsid w:val="00D42F95"/>
    <w:rsid w:val="00D43FDD"/>
    <w:rsid w:val="00D45728"/>
    <w:rsid w:val="00D45E53"/>
    <w:rsid w:val="00D47DF4"/>
    <w:rsid w:val="00D5332F"/>
    <w:rsid w:val="00D537BC"/>
    <w:rsid w:val="00D54043"/>
    <w:rsid w:val="00D56802"/>
    <w:rsid w:val="00D57345"/>
    <w:rsid w:val="00D63BEB"/>
    <w:rsid w:val="00D66CF4"/>
    <w:rsid w:val="00D71105"/>
    <w:rsid w:val="00D727A6"/>
    <w:rsid w:val="00D77F58"/>
    <w:rsid w:val="00D80777"/>
    <w:rsid w:val="00D8196F"/>
    <w:rsid w:val="00D827BB"/>
    <w:rsid w:val="00D828C1"/>
    <w:rsid w:val="00D8375E"/>
    <w:rsid w:val="00D845BA"/>
    <w:rsid w:val="00D84F47"/>
    <w:rsid w:val="00D8652C"/>
    <w:rsid w:val="00D921E3"/>
    <w:rsid w:val="00D92587"/>
    <w:rsid w:val="00D94968"/>
    <w:rsid w:val="00D94C5D"/>
    <w:rsid w:val="00D95535"/>
    <w:rsid w:val="00D959DF"/>
    <w:rsid w:val="00D95D3B"/>
    <w:rsid w:val="00DA14F5"/>
    <w:rsid w:val="00DA632D"/>
    <w:rsid w:val="00DA67E7"/>
    <w:rsid w:val="00DA6993"/>
    <w:rsid w:val="00DB0F62"/>
    <w:rsid w:val="00DB34A1"/>
    <w:rsid w:val="00DB5E3B"/>
    <w:rsid w:val="00DC0342"/>
    <w:rsid w:val="00DC71F1"/>
    <w:rsid w:val="00DD0C1A"/>
    <w:rsid w:val="00DD0F01"/>
    <w:rsid w:val="00DD21C7"/>
    <w:rsid w:val="00DD2D85"/>
    <w:rsid w:val="00DD3494"/>
    <w:rsid w:val="00DD462E"/>
    <w:rsid w:val="00DE1DF6"/>
    <w:rsid w:val="00DE2103"/>
    <w:rsid w:val="00DE2116"/>
    <w:rsid w:val="00DE2347"/>
    <w:rsid w:val="00DE31EC"/>
    <w:rsid w:val="00DE4DA3"/>
    <w:rsid w:val="00DE6D3D"/>
    <w:rsid w:val="00DF0B9E"/>
    <w:rsid w:val="00DF12B4"/>
    <w:rsid w:val="00DF330F"/>
    <w:rsid w:val="00DF3B7C"/>
    <w:rsid w:val="00DF4E77"/>
    <w:rsid w:val="00DF58A1"/>
    <w:rsid w:val="00DF6BB7"/>
    <w:rsid w:val="00DF6E86"/>
    <w:rsid w:val="00E01DEC"/>
    <w:rsid w:val="00E05EBE"/>
    <w:rsid w:val="00E07AA6"/>
    <w:rsid w:val="00E1053A"/>
    <w:rsid w:val="00E1590B"/>
    <w:rsid w:val="00E17547"/>
    <w:rsid w:val="00E221F1"/>
    <w:rsid w:val="00E23F22"/>
    <w:rsid w:val="00E240B3"/>
    <w:rsid w:val="00E251AF"/>
    <w:rsid w:val="00E254C9"/>
    <w:rsid w:val="00E26042"/>
    <w:rsid w:val="00E26C02"/>
    <w:rsid w:val="00E3160E"/>
    <w:rsid w:val="00E3169B"/>
    <w:rsid w:val="00E324DC"/>
    <w:rsid w:val="00E3299A"/>
    <w:rsid w:val="00E339B5"/>
    <w:rsid w:val="00E3442A"/>
    <w:rsid w:val="00E34C7D"/>
    <w:rsid w:val="00E3598F"/>
    <w:rsid w:val="00E3754D"/>
    <w:rsid w:val="00E37684"/>
    <w:rsid w:val="00E41C04"/>
    <w:rsid w:val="00E41E64"/>
    <w:rsid w:val="00E43056"/>
    <w:rsid w:val="00E433D7"/>
    <w:rsid w:val="00E439A0"/>
    <w:rsid w:val="00E43F70"/>
    <w:rsid w:val="00E454D3"/>
    <w:rsid w:val="00E45666"/>
    <w:rsid w:val="00E4591F"/>
    <w:rsid w:val="00E52056"/>
    <w:rsid w:val="00E53910"/>
    <w:rsid w:val="00E54145"/>
    <w:rsid w:val="00E56AC5"/>
    <w:rsid w:val="00E606A1"/>
    <w:rsid w:val="00E62E2B"/>
    <w:rsid w:val="00E637F5"/>
    <w:rsid w:val="00E64E8D"/>
    <w:rsid w:val="00E66502"/>
    <w:rsid w:val="00E66DCB"/>
    <w:rsid w:val="00E673F0"/>
    <w:rsid w:val="00E67CF4"/>
    <w:rsid w:val="00E73963"/>
    <w:rsid w:val="00E74C03"/>
    <w:rsid w:val="00E76CF9"/>
    <w:rsid w:val="00E77D72"/>
    <w:rsid w:val="00E80A01"/>
    <w:rsid w:val="00E80CFD"/>
    <w:rsid w:val="00E810BC"/>
    <w:rsid w:val="00E8563F"/>
    <w:rsid w:val="00E869D9"/>
    <w:rsid w:val="00E87891"/>
    <w:rsid w:val="00E91255"/>
    <w:rsid w:val="00E91D7A"/>
    <w:rsid w:val="00E9270F"/>
    <w:rsid w:val="00E92B3C"/>
    <w:rsid w:val="00E92FE0"/>
    <w:rsid w:val="00E93303"/>
    <w:rsid w:val="00E9332D"/>
    <w:rsid w:val="00E9607B"/>
    <w:rsid w:val="00E96BDA"/>
    <w:rsid w:val="00E97FB3"/>
    <w:rsid w:val="00EA01AB"/>
    <w:rsid w:val="00EA02CE"/>
    <w:rsid w:val="00EA2278"/>
    <w:rsid w:val="00EA293E"/>
    <w:rsid w:val="00EA345F"/>
    <w:rsid w:val="00EA39AC"/>
    <w:rsid w:val="00EA5D75"/>
    <w:rsid w:val="00EA6C26"/>
    <w:rsid w:val="00EB023F"/>
    <w:rsid w:val="00EB37BE"/>
    <w:rsid w:val="00EB3982"/>
    <w:rsid w:val="00EB3EC9"/>
    <w:rsid w:val="00EB454E"/>
    <w:rsid w:val="00EB56EC"/>
    <w:rsid w:val="00EB6721"/>
    <w:rsid w:val="00EB6B72"/>
    <w:rsid w:val="00EB75D2"/>
    <w:rsid w:val="00EC1175"/>
    <w:rsid w:val="00EC17F1"/>
    <w:rsid w:val="00EC31DC"/>
    <w:rsid w:val="00EC4626"/>
    <w:rsid w:val="00EC4F58"/>
    <w:rsid w:val="00ED1F52"/>
    <w:rsid w:val="00ED1FF2"/>
    <w:rsid w:val="00ED2C49"/>
    <w:rsid w:val="00ED2E93"/>
    <w:rsid w:val="00ED47CD"/>
    <w:rsid w:val="00ED5E04"/>
    <w:rsid w:val="00ED6FA7"/>
    <w:rsid w:val="00EE0946"/>
    <w:rsid w:val="00EE0D3F"/>
    <w:rsid w:val="00EE3B8E"/>
    <w:rsid w:val="00EE3E5E"/>
    <w:rsid w:val="00EE4DF2"/>
    <w:rsid w:val="00EE5955"/>
    <w:rsid w:val="00EE72D0"/>
    <w:rsid w:val="00EF0E21"/>
    <w:rsid w:val="00EF19C5"/>
    <w:rsid w:val="00EF6C04"/>
    <w:rsid w:val="00F007AE"/>
    <w:rsid w:val="00F0100E"/>
    <w:rsid w:val="00F02F83"/>
    <w:rsid w:val="00F045B5"/>
    <w:rsid w:val="00F0497A"/>
    <w:rsid w:val="00F07499"/>
    <w:rsid w:val="00F07AC1"/>
    <w:rsid w:val="00F10795"/>
    <w:rsid w:val="00F125AA"/>
    <w:rsid w:val="00F12AF1"/>
    <w:rsid w:val="00F13158"/>
    <w:rsid w:val="00F143EF"/>
    <w:rsid w:val="00F145A7"/>
    <w:rsid w:val="00F159FC"/>
    <w:rsid w:val="00F21CB4"/>
    <w:rsid w:val="00F2598E"/>
    <w:rsid w:val="00F25CAF"/>
    <w:rsid w:val="00F25D5D"/>
    <w:rsid w:val="00F2724F"/>
    <w:rsid w:val="00F3400F"/>
    <w:rsid w:val="00F34153"/>
    <w:rsid w:val="00F410EC"/>
    <w:rsid w:val="00F4253A"/>
    <w:rsid w:val="00F43032"/>
    <w:rsid w:val="00F433C1"/>
    <w:rsid w:val="00F54E74"/>
    <w:rsid w:val="00F55833"/>
    <w:rsid w:val="00F566A4"/>
    <w:rsid w:val="00F60DD3"/>
    <w:rsid w:val="00F628E0"/>
    <w:rsid w:val="00F646E9"/>
    <w:rsid w:val="00F64B66"/>
    <w:rsid w:val="00F65C38"/>
    <w:rsid w:val="00F70EAD"/>
    <w:rsid w:val="00F714AD"/>
    <w:rsid w:val="00F71912"/>
    <w:rsid w:val="00F72E44"/>
    <w:rsid w:val="00F7353A"/>
    <w:rsid w:val="00F75241"/>
    <w:rsid w:val="00F7567B"/>
    <w:rsid w:val="00F7686E"/>
    <w:rsid w:val="00F814A9"/>
    <w:rsid w:val="00F81703"/>
    <w:rsid w:val="00F81725"/>
    <w:rsid w:val="00F82B11"/>
    <w:rsid w:val="00F8575E"/>
    <w:rsid w:val="00F87232"/>
    <w:rsid w:val="00FA1AB0"/>
    <w:rsid w:val="00FA2899"/>
    <w:rsid w:val="00FA3B3A"/>
    <w:rsid w:val="00FA3CFB"/>
    <w:rsid w:val="00FA4B8A"/>
    <w:rsid w:val="00FA6139"/>
    <w:rsid w:val="00FA6236"/>
    <w:rsid w:val="00FA76CC"/>
    <w:rsid w:val="00FA7DA9"/>
    <w:rsid w:val="00FB0D4B"/>
    <w:rsid w:val="00FB0F9A"/>
    <w:rsid w:val="00FB1AD5"/>
    <w:rsid w:val="00FB22CD"/>
    <w:rsid w:val="00FB2802"/>
    <w:rsid w:val="00FB3CC6"/>
    <w:rsid w:val="00FB5647"/>
    <w:rsid w:val="00FB5A19"/>
    <w:rsid w:val="00FC273F"/>
    <w:rsid w:val="00FC423A"/>
    <w:rsid w:val="00FC4670"/>
    <w:rsid w:val="00FC5EE0"/>
    <w:rsid w:val="00FC7819"/>
    <w:rsid w:val="00FC7EA1"/>
    <w:rsid w:val="00FD1F27"/>
    <w:rsid w:val="00FD2AFB"/>
    <w:rsid w:val="00FD3E05"/>
    <w:rsid w:val="00FD4624"/>
    <w:rsid w:val="00FE2892"/>
    <w:rsid w:val="00FE29BB"/>
    <w:rsid w:val="00FE2A16"/>
    <w:rsid w:val="00FE2EA9"/>
    <w:rsid w:val="00FE3073"/>
    <w:rsid w:val="00FE70E9"/>
    <w:rsid w:val="00FF027B"/>
    <w:rsid w:val="00FF449A"/>
    <w:rsid w:val="00FF47C8"/>
    <w:rsid w:val="00FF516F"/>
    <w:rsid w:val="00FF65A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F0A74"/>
  <w15:chartTrackingRefBased/>
  <w15:docId w15:val="{B1677381-EDF4-4382-9707-780D37E4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950"/>
    <w:rPr>
      <w:rFonts w:ascii="Calibri" w:hAnsi="Calibri"/>
      <w:sz w:val="22"/>
    </w:rPr>
  </w:style>
  <w:style w:type="paragraph" w:styleId="Heading1">
    <w:name w:val="heading 1"/>
    <w:basedOn w:val="Normal"/>
    <w:next w:val="Normal"/>
    <w:link w:val="Heading1Char"/>
    <w:uiPriority w:val="9"/>
    <w:qFormat/>
    <w:rsid w:val="00157061"/>
    <w:pPr>
      <w:keepNext/>
      <w:keepLines/>
      <w:spacing w:before="360" w:after="80"/>
      <w:outlineLvl w:val="0"/>
    </w:pPr>
    <w:rPr>
      <w:rFonts w:asciiTheme="majorHAnsi" w:eastAsiaTheme="majorEastAsia" w:hAnsiTheme="majorHAnsi" w:cstheme="majorBidi"/>
      <w:color w:val="0F4761" w:themeColor="accent1" w:themeShade="BF"/>
      <w:sz w:val="28"/>
      <w:szCs w:val="40"/>
    </w:rPr>
  </w:style>
  <w:style w:type="paragraph" w:styleId="Heading2">
    <w:name w:val="heading 2"/>
    <w:basedOn w:val="Normal"/>
    <w:next w:val="Normal"/>
    <w:link w:val="Heading2Char"/>
    <w:uiPriority w:val="9"/>
    <w:unhideWhenUsed/>
    <w:qFormat/>
    <w:rsid w:val="00D3249E"/>
    <w:pPr>
      <w:keepNext/>
      <w:keepLines/>
      <w:spacing w:before="160" w:after="80"/>
      <w:outlineLvl w:val="1"/>
    </w:pPr>
    <w:rPr>
      <w:rFonts w:asciiTheme="majorHAnsi" w:eastAsiaTheme="majorEastAsia" w:hAnsiTheme="majorHAnsi" w:cstheme="majorBidi"/>
      <w:color w:val="0F4761" w:themeColor="accent1" w:themeShade="BF"/>
      <w:szCs w:val="32"/>
    </w:rPr>
  </w:style>
  <w:style w:type="paragraph" w:styleId="Heading3">
    <w:name w:val="heading 3"/>
    <w:basedOn w:val="Normal"/>
    <w:next w:val="Normal"/>
    <w:link w:val="Heading3Char"/>
    <w:uiPriority w:val="9"/>
    <w:unhideWhenUsed/>
    <w:qFormat/>
    <w:rsid w:val="00D45E53"/>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A17D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2F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2F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2F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2F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2F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061"/>
    <w:rPr>
      <w:rFonts w:asciiTheme="majorHAnsi" w:eastAsiaTheme="majorEastAsia" w:hAnsiTheme="majorHAnsi" w:cstheme="majorBidi"/>
      <w:color w:val="0F4761" w:themeColor="accent1" w:themeShade="BF"/>
      <w:sz w:val="28"/>
      <w:szCs w:val="40"/>
    </w:rPr>
  </w:style>
  <w:style w:type="character" w:customStyle="1" w:styleId="Heading2Char">
    <w:name w:val="Heading 2 Char"/>
    <w:basedOn w:val="DefaultParagraphFont"/>
    <w:link w:val="Heading2"/>
    <w:uiPriority w:val="9"/>
    <w:rsid w:val="00D3249E"/>
    <w:rPr>
      <w:rFonts w:asciiTheme="majorHAnsi" w:eastAsiaTheme="majorEastAsia" w:hAnsiTheme="majorHAnsi" w:cstheme="majorBidi"/>
      <w:color w:val="0F4761" w:themeColor="accent1" w:themeShade="BF"/>
      <w:szCs w:val="32"/>
    </w:rPr>
  </w:style>
  <w:style w:type="character" w:customStyle="1" w:styleId="Heading3Char">
    <w:name w:val="Heading 3 Char"/>
    <w:basedOn w:val="DefaultParagraphFont"/>
    <w:link w:val="Heading3"/>
    <w:uiPriority w:val="9"/>
    <w:rsid w:val="00D45E53"/>
    <w:rPr>
      <w:rFonts w:eastAsiaTheme="majorEastAsia" w:cstheme="majorBidi"/>
      <w:color w:val="0F4761" w:themeColor="accent1" w:themeShade="BF"/>
      <w:szCs w:val="28"/>
    </w:rPr>
  </w:style>
  <w:style w:type="character" w:customStyle="1" w:styleId="Heading4Char">
    <w:name w:val="Heading 4 Char"/>
    <w:basedOn w:val="DefaultParagraphFont"/>
    <w:link w:val="Heading4"/>
    <w:uiPriority w:val="9"/>
    <w:rsid w:val="00A17DD3"/>
    <w:rPr>
      <w:rFonts w:eastAsiaTheme="majorEastAsia" w:cstheme="majorBidi"/>
      <w:i/>
      <w:iCs/>
      <w:color w:val="0F4761" w:themeColor="accent1" w:themeShade="BF"/>
      <w:sz w:val="22"/>
    </w:rPr>
  </w:style>
  <w:style w:type="character" w:customStyle="1" w:styleId="Heading5Char">
    <w:name w:val="Heading 5 Char"/>
    <w:basedOn w:val="DefaultParagraphFont"/>
    <w:link w:val="Heading5"/>
    <w:uiPriority w:val="9"/>
    <w:semiHidden/>
    <w:rsid w:val="00CB2F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2F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2F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2F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2FA8"/>
    <w:rPr>
      <w:rFonts w:eastAsiaTheme="majorEastAsia" w:cstheme="majorBidi"/>
      <w:color w:val="272727" w:themeColor="text1" w:themeTint="D8"/>
    </w:rPr>
  </w:style>
  <w:style w:type="paragraph" w:styleId="Title">
    <w:name w:val="Title"/>
    <w:basedOn w:val="Normal"/>
    <w:next w:val="Normal"/>
    <w:link w:val="TitleChar"/>
    <w:uiPriority w:val="10"/>
    <w:qFormat/>
    <w:rsid w:val="00CB2F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2F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2F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2F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2FA8"/>
    <w:pPr>
      <w:spacing w:before="160"/>
      <w:jc w:val="center"/>
    </w:pPr>
    <w:rPr>
      <w:i/>
      <w:iCs/>
      <w:color w:val="404040" w:themeColor="text1" w:themeTint="BF"/>
    </w:rPr>
  </w:style>
  <w:style w:type="character" w:customStyle="1" w:styleId="QuoteChar">
    <w:name w:val="Quote Char"/>
    <w:basedOn w:val="DefaultParagraphFont"/>
    <w:link w:val="Quote"/>
    <w:uiPriority w:val="29"/>
    <w:rsid w:val="00CB2FA8"/>
    <w:rPr>
      <w:i/>
      <w:iCs/>
      <w:color w:val="404040" w:themeColor="text1" w:themeTint="BF"/>
    </w:rPr>
  </w:style>
  <w:style w:type="paragraph" w:styleId="ListParagraph">
    <w:name w:val="List Paragraph"/>
    <w:basedOn w:val="Normal"/>
    <w:uiPriority w:val="34"/>
    <w:qFormat/>
    <w:rsid w:val="00CB2FA8"/>
    <w:pPr>
      <w:ind w:left="720"/>
      <w:contextualSpacing/>
    </w:pPr>
  </w:style>
  <w:style w:type="character" w:styleId="IntenseEmphasis">
    <w:name w:val="Intense Emphasis"/>
    <w:basedOn w:val="DefaultParagraphFont"/>
    <w:uiPriority w:val="21"/>
    <w:qFormat/>
    <w:rsid w:val="00CB2FA8"/>
    <w:rPr>
      <w:i/>
      <w:iCs/>
      <w:color w:val="0F4761" w:themeColor="accent1" w:themeShade="BF"/>
    </w:rPr>
  </w:style>
  <w:style w:type="paragraph" w:styleId="IntenseQuote">
    <w:name w:val="Intense Quote"/>
    <w:basedOn w:val="Normal"/>
    <w:next w:val="Normal"/>
    <w:link w:val="IntenseQuoteChar"/>
    <w:uiPriority w:val="30"/>
    <w:qFormat/>
    <w:rsid w:val="00CB2F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2FA8"/>
    <w:rPr>
      <w:i/>
      <w:iCs/>
      <w:color w:val="0F4761" w:themeColor="accent1" w:themeShade="BF"/>
    </w:rPr>
  </w:style>
  <w:style w:type="character" w:styleId="IntenseReference">
    <w:name w:val="Intense Reference"/>
    <w:basedOn w:val="DefaultParagraphFont"/>
    <w:uiPriority w:val="32"/>
    <w:qFormat/>
    <w:rsid w:val="00CB2FA8"/>
    <w:rPr>
      <w:b/>
      <w:bCs/>
      <w:smallCaps/>
      <w:color w:val="0F4761" w:themeColor="accent1" w:themeShade="BF"/>
      <w:spacing w:val="5"/>
    </w:rPr>
  </w:style>
  <w:style w:type="table" w:styleId="TableGrid">
    <w:name w:val="Table Grid"/>
    <w:basedOn w:val="TableNormal"/>
    <w:uiPriority w:val="39"/>
    <w:rsid w:val="00770BA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F5BFE"/>
  </w:style>
  <w:style w:type="paragraph" w:customStyle="1" w:styleId="Style1">
    <w:name w:val="Style1"/>
    <w:basedOn w:val="Heading1"/>
    <w:link w:val="Style1Char"/>
    <w:autoRedefine/>
    <w:qFormat/>
    <w:rsid w:val="00BF5BFE"/>
    <w:pPr>
      <w:spacing w:before="240" w:after="0" w:line="259" w:lineRule="auto"/>
    </w:pPr>
    <w:rPr>
      <w:rFonts w:ascii="Times New Roman" w:hAnsi="Times New Roman"/>
      <w:b/>
      <w:color w:val="000000"/>
      <w:szCs w:val="32"/>
    </w:rPr>
  </w:style>
  <w:style w:type="character" w:customStyle="1" w:styleId="Style1Char">
    <w:name w:val="Style1 Char"/>
    <w:basedOn w:val="Heading1Char"/>
    <w:link w:val="Style1"/>
    <w:rsid w:val="00BF5BFE"/>
    <w:rPr>
      <w:rFonts w:ascii="Times New Roman" w:eastAsiaTheme="majorEastAsia" w:hAnsi="Times New Roman" w:cstheme="majorBidi"/>
      <w:b/>
      <w:color w:val="000000"/>
      <w:sz w:val="28"/>
      <w:szCs w:val="32"/>
    </w:rPr>
  </w:style>
  <w:style w:type="paragraph" w:styleId="Bibliography">
    <w:name w:val="Bibliography"/>
    <w:basedOn w:val="Normal"/>
    <w:next w:val="Normal"/>
    <w:uiPriority w:val="37"/>
    <w:unhideWhenUsed/>
    <w:rsid w:val="00BF5BFE"/>
    <w:pPr>
      <w:tabs>
        <w:tab w:val="left" w:pos="384"/>
      </w:tabs>
      <w:spacing w:after="0" w:line="480" w:lineRule="auto"/>
      <w:ind w:left="384" w:hanging="384"/>
    </w:pPr>
    <w:rPr>
      <w:szCs w:val="22"/>
    </w:rPr>
  </w:style>
  <w:style w:type="character" w:styleId="CommentReference">
    <w:name w:val="annotation reference"/>
    <w:basedOn w:val="DefaultParagraphFont"/>
    <w:uiPriority w:val="99"/>
    <w:semiHidden/>
    <w:unhideWhenUsed/>
    <w:rsid w:val="00BF5BFE"/>
    <w:rPr>
      <w:sz w:val="16"/>
      <w:szCs w:val="16"/>
    </w:rPr>
  </w:style>
  <w:style w:type="paragraph" w:styleId="CommentText">
    <w:name w:val="annotation text"/>
    <w:basedOn w:val="Normal"/>
    <w:link w:val="CommentTextChar"/>
    <w:uiPriority w:val="99"/>
    <w:unhideWhenUsed/>
    <w:rsid w:val="00BF5BFE"/>
    <w:pPr>
      <w:spacing w:line="240" w:lineRule="auto"/>
    </w:pPr>
    <w:rPr>
      <w:sz w:val="20"/>
      <w:szCs w:val="20"/>
    </w:rPr>
  </w:style>
  <w:style w:type="character" w:customStyle="1" w:styleId="CommentTextChar">
    <w:name w:val="Comment Text Char"/>
    <w:basedOn w:val="DefaultParagraphFont"/>
    <w:link w:val="CommentText"/>
    <w:uiPriority w:val="99"/>
    <w:rsid w:val="00BF5BFE"/>
    <w:rPr>
      <w:sz w:val="20"/>
      <w:szCs w:val="20"/>
    </w:rPr>
  </w:style>
  <w:style w:type="paragraph" w:styleId="CommentSubject">
    <w:name w:val="annotation subject"/>
    <w:basedOn w:val="CommentText"/>
    <w:next w:val="CommentText"/>
    <w:link w:val="CommentSubjectChar"/>
    <w:uiPriority w:val="99"/>
    <w:semiHidden/>
    <w:unhideWhenUsed/>
    <w:rsid w:val="00BF5BFE"/>
    <w:rPr>
      <w:b/>
      <w:bCs/>
    </w:rPr>
  </w:style>
  <w:style w:type="character" w:customStyle="1" w:styleId="CommentSubjectChar">
    <w:name w:val="Comment Subject Char"/>
    <w:basedOn w:val="CommentTextChar"/>
    <w:link w:val="CommentSubject"/>
    <w:uiPriority w:val="99"/>
    <w:semiHidden/>
    <w:rsid w:val="00BF5BFE"/>
    <w:rPr>
      <w:b/>
      <w:bCs/>
      <w:sz w:val="20"/>
      <w:szCs w:val="20"/>
    </w:rPr>
  </w:style>
  <w:style w:type="paragraph" w:styleId="Revision">
    <w:name w:val="Revision"/>
    <w:hidden/>
    <w:uiPriority w:val="99"/>
    <w:semiHidden/>
    <w:rsid w:val="00BF5BFE"/>
    <w:pPr>
      <w:spacing w:after="0" w:line="240" w:lineRule="auto"/>
    </w:pPr>
    <w:rPr>
      <w:sz w:val="22"/>
      <w:szCs w:val="22"/>
    </w:rPr>
  </w:style>
  <w:style w:type="paragraph" w:styleId="Date">
    <w:name w:val="Date"/>
    <w:basedOn w:val="Normal"/>
    <w:next w:val="Normal"/>
    <w:link w:val="DateChar"/>
    <w:uiPriority w:val="99"/>
    <w:semiHidden/>
    <w:unhideWhenUsed/>
    <w:rsid w:val="00BF5BFE"/>
    <w:pPr>
      <w:spacing w:line="259" w:lineRule="auto"/>
    </w:pPr>
    <w:rPr>
      <w:szCs w:val="22"/>
    </w:rPr>
  </w:style>
  <w:style w:type="character" w:customStyle="1" w:styleId="DateChar">
    <w:name w:val="Date Char"/>
    <w:basedOn w:val="DefaultParagraphFont"/>
    <w:link w:val="Date"/>
    <w:uiPriority w:val="99"/>
    <w:semiHidden/>
    <w:rsid w:val="00BF5BFE"/>
    <w:rPr>
      <w:sz w:val="22"/>
      <w:szCs w:val="22"/>
    </w:rPr>
  </w:style>
  <w:style w:type="paragraph" w:styleId="BalloonText">
    <w:name w:val="Balloon Text"/>
    <w:basedOn w:val="Normal"/>
    <w:link w:val="BalloonTextChar"/>
    <w:uiPriority w:val="99"/>
    <w:semiHidden/>
    <w:unhideWhenUsed/>
    <w:rsid w:val="00BF5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BFE"/>
    <w:rPr>
      <w:rFonts w:ascii="Segoe UI" w:hAnsi="Segoe UI" w:cs="Segoe UI"/>
      <w:sz w:val="18"/>
      <w:szCs w:val="18"/>
    </w:rPr>
  </w:style>
  <w:style w:type="paragraph" w:styleId="Header">
    <w:name w:val="header"/>
    <w:basedOn w:val="Normal"/>
    <w:link w:val="HeaderChar"/>
    <w:uiPriority w:val="99"/>
    <w:unhideWhenUsed/>
    <w:rsid w:val="00BF5BFE"/>
    <w:pPr>
      <w:tabs>
        <w:tab w:val="center" w:pos="4513"/>
        <w:tab w:val="right" w:pos="9026"/>
      </w:tabs>
      <w:spacing w:after="0" w:line="240" w:lineRule="auto"/>
    </w:pPr>
    <w:rPr>
      <w:szCs w:val="22"/>
    </w:rPr>
  </w:style>
  <w:style w:type="character" w:customStyle="1" w:styleId="HeaderChar">
    <w:name w:val="Header Char"/>
    <w:basedOn w:val="DefaultParagraphFont"/>
    <w:link w:val="Header"/>
    <w:uiPriority w:val="99"/>
    <w:rsid w:val="00BF5BFE"/>
    <w:rPr>
      <w:sz w:val="22"/>
      <w:szCs w:val="22"/>
    </w:rPr>
  </w:style>
  <w:style w:type="paragraph" w:styleId="Footer">
    <w:name w:val="footer"/>
    <w:basedOn w:val="Normal"/>
    <w:link w:val="FooterChar"/>
    <w:uiPriority w:val="99"/>
    <w:unhideWhenUsed/>
    <w:rsid w:val="00BF5BFE"/>
    <w:pPr>
      <w:tabs>
        <w:tab w:val="center" w:pos="4513"/>
        <w:tab w:val="right" w:pos="9026"/>
      </w:tabs>
      <w:spacing w:after="0" w:line="240" w:lineRule="auto"/>
    </w:pPr>
    <w:rPr>
      <w:szCs w:val="22"/>
    </w:rPr>
  </w:style>
  <w:style w:type="character" w:customStyle="1" w:styleId="FooterChar">
    <w:name w:val="Footer Char"/>
    <w:basedOn w:val="DefaultParagraphFont"/>
    <w:link w:val="Footer"/>
    <w:uiPriority w:val="99"/>
    <w:rsid w:val="00BF5BFE"/>
    <w:rPr>
      <w:sz w:val="22"/>
      <w:szCs w:val="22"/>
    </w:rPr>
  </w:style>
  <w:style w:type="paragraph" w:customStyle="1" w:styleId="Caption1">
    <w:name w:val="Caption1"/>
    <w:basedOn w:val="Normal"/>
    <w:next w:val="Normal"/>
    <w:uiPriority w:val="35"/>
    <w:unhideWhenUsed/>
    <w:qFormat/>
    <w:rsid w:val="00BF5BFE"/>
    <w:pPr>
      <w:spacing w:after="200" w:line="240" w:lineRule="auto"/>
    </w:pPr>
    <w:rPr>
      <w:i/>
      <w:iCs/>
      <w:color w:val="44546A"/>
      <w:sz w:val="18"/>
      <w:szCs w:val="18"/>
    </w:rPr>
  </w:style>
  <w:style w:type="character" w:customStyle="1" w:styleId="Hyperlink1">
    <w:name w:val="Hyperlink1"/>
    <w:basedOn w:val="DefaultParagraphFont"/>
    <w:uiPriority w:val="99"/>
    <w:unhideWhenUsed/>
    <w:rsid w:val="00BF5BFE"/>
    <w:rPr>
      <w:color w:val="0563C1"/>
      <w:u w:val="single"/>
    </w:rPr>
  </w:style>
  <w:style w:type="character" w:styleId="UnresolvedMention">
    <w:name w:val="Unresolved Mention"/>
    <w:basedOn w:val="DefaultParagraphFont"/>
    <w:uiPriority w:val="99"/>
    <w:semiHidden/>
    <w:unhideWhenUsed/>
    <w:rsid w:val="00BF5BFE"/>
    <w:rPr>
      <w:color w:val="605E5C"/>
      <w:shd w:val="clear" w:color="auto" w:fill="E1DFDD"/>
    </w:rPr>
  </w:style>
  <w:style w:type="paragraph" w:styleId="NormalWeb">
    <w:name w:val="Normal (Web)"/>
    <w:basedOn w:val="Normal"/>
    <w:uiPriority w:val="99"/>
    <w:semiHidden/>
    <w:unhideWhenUsed/>
    <w:rsid w:val="00BF5BFE"/>
    <w:pPr>
      <w:spacing w:before="100" w:beforeAutospacing="1" w:after="100" w:afterAutospacing="1" w:line="240" w:lineRule="auto"/>
    </w:pPr>
    <w:rPr>
      <w:rFonts w:ascii="Times New Roman" w:eastAsia="Times New Roman" w:hAnsi="Times New Roman" w:cs="Times New Roman"/>
      <w:kern w:val="0"/>
    </w:rPr>
  </w:style>
  <w:style w:type="character" w:customStyle="1" w:styleId="FollowedHyperlink1">
    <w:name w:val="FollowedHyperlink1"/>
    <w:basedOn w:val="DefaultParagraphFont"/>
    <w:uiPriority w:val="99"/>
    <w:semiHidden/>
    <w:unhideWhenUsed/>
    <w:rsid w:val="00BF5BFE"/>
    <w:rPr>
      <w:color w:val="954F72"/>
      <w:u w:val="single"/>
    </w:rPr>
  </w:style>
  <w:style w:type="character" w:customStyle="1" w:styleId="cf01">
    <w:name w:val="cf01"/>
    <w:basedOn w:val="DefaultParagraphFont"/>
    <w:rsid w:val="00BF5BFE"/>
    <w:rPr>
      <w:rFonts w:ascii="Segoe UI" w:hAnsi="Segoe UI" w:cs="Segoe UI" w:hint="default"/>
      <w:sz w:val="18"/>
      <w:szCs w:val="18"/>
    </w:rPr>
  </w:style>
  <w:style w:type="paragraph" w:styleId="FootnoteText">
    <w:name w:val="footnote text"/>
    <w:basedOn w:val="Normal"/>
    <w:link w:val="FootnoteTextChar"/>
    <w:uiPriority w:val="99"/>
    <w:semiHidden/>
    <w:unhideWhenUsed/>
    <w:rsid w:val="00BF5B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5BFE"/>
    <w:rPr>
      <w:sz w:val="20"/>
      <w:szCs w:val="20"/>
    </w:rPr>
  </w:style>
  <w:style w:type="character" w:styleId="FootnoteReference">
    <w:name w:val="footnote reference"/>
    <w:basedOn w:val="DefaultParagraphFont"/>
    <w:uiPriority w:val="99"/>
    <w:semiHidden/>
    <w:unhideWhenUsed/>
    <w:rsid w:val="00BF5BFE"/>
    <w:rPr>
      <w:vertAlign w:val="superscript"/>
    </w:rPr>
  </w:style>
  <w:style w:type="character" w:styleId="Hyperlink">
    <w:name w:val="Hyperlink"/>
    <w:basedOn w:val="DefaultParagraphFont"/>
    <w:uiPriority w:val="99"/>
    <w:unhideWhenUsed/>
    <w:rsid w:val="00BF5BFE"/>
    <w:rPr>
      <w:color w:val="467886" w:themeColor="hyperlink"/>
      <w:u w:val="single"/>
    </w:rPr>
  </w:style>
  <w:style w:type="character" w:styleId="FollowedHyperlink">
    <w:name w:val="FollowedHyperlink"/>
    <w:basedOn w:val="DefaultParagraphFont"/>
    <w:uiPriority w:val="99"/>
    <w:semiHidden/>
    <w:unhideWhenUsed/>
    <w:rsid w:val="00BF5BFE"/>
    <w:rPr>
      <w:color w:val="96607D" w:themeColor="followedHyperlink"/>
      <w:u w:val="single"/>
    </w:rPr>
  </w:style>
  <w:style w:type="character" w:customStyle="1" w:styleId="anchor-text">
    <w:name w:val="anchor-text"/>
    <w:basedOn w:val="DefaultParagraphFont"/>
    <w:rsid w:val="00BF5BFE"/>
  </w:style>
  <w:style w:type="paragraph" w:styleId="HTMLPreformatted">
    <w:name w:val="HTML Preformatted"/>
    <w:basedOn w:val="Normal"/>
    <w:link w:val="HTMLPreformattedChar"/>
    <w:uiPriority w:val="99"/>
    <w:semiHidden/>
    <w:unhideWhenUsed/>
    <w:rsid w:val="00BF5BF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F5BFE"/>
    <w:rPr>
      <w:rFonts w:ascii="Consolas" w:hAnsi="Consolas"/>
      <w:sz w:val="20"/>
      <w:szCs w:val="20"/>
    </w:rPr>
  </w:style>
  <w:style w:type="numbering" w:customStyle="1" w:styleId="NoList2">
    <w:name w:val="No List2"/>
    <w:next w:val="NoList"/>
    <w:uiPriority w:val="99"/>
    <w:semiHidden/>
    <w:unhideWhenUsed/>
    <w:rsid w:val="00BF5BFE"/>
  </w:style>
  <w:style w:type="paragraph" w:customStyle="1" w:styleId="msonormal0">
    <w:name w:val="msonormal"/>
    <w:basedOn w:val="Normal"/>
    <w:rsid w:val="00BF5BFE"/>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font5">
    <w:name w:val="font5"/>
    <w:basedOn w:val="Normal"/>
    <w:rsid w:val="00BF5BFE"/>
    <w:pPr>
      <w:spacing w:before="100" w:beforeAutospacing="1" w:after="100" w:afterAutospacing="1" w:line="240" w:lineRule="auto"/>
    </w:pPr>
    <w:rPr>
      <w:rFonts w:eastAsia="Times New Roman" w:cs="Calibri"/>
      <w:color w:val="000000"/>
      <w:kern w:val="0"/>
      <w:sz w:val="16"/>
      <w:szCs w:val="16"/>
      <w14:ligatures w14:val="none"/>
    </w:rPr>
  </w:style>
  <w:style w:type="paragraph" w:customStyle="1" w:styleId="font6">
    <w:name w:val="font6"/>
    <w:basedOn w:val="Normal"/>
    <w:rsid w:val="00BF5BFE"/>
    <w:pPr>
      <w:spacing w:before="100" w:beforeAutospacing="1" w:after="100" w:afterAutospacing="1" w:line="240" w:lineRule="auto"/>
    </w:pPr>
    <w:rPr>
      <w:rFonts w:eastAsia="Times New Roman" w:cs="Calibri"/>
      <w:b/>
      <w:bCs/>
      <w:color w:val="000000"/>
      <w:kern w:val="0"/>
      <w:sz w:val="16"/>
      <w:szCs w:val="16"/>
      <w14:ligatures w14:val="none"/>
    </w:rPr>
  </w:style>
  <w:style w:type="paragraph" w:customStyle="1" w:styleId="xl65">
    <w:name w:val="xl65"/>
    <w:basedOn w:val="Normal"/>
    <w:rsid w:val="00BF5BFE"/>
    <w:pPr>
      <w:spacing w:before="100" w:beforeAutospacing="1" w:after="100" w:afterAutospacing="1" w:line="240" w:lineRule="auto"/>
    </w:pPr>
    <w:rPr>
      <w:rFonts w:ascii="Times New Roman" w:eastAsia="Times New Roman" w:hAnsi="Times New Roman" w:cs="Times New Roman"/>
      <w:kern w:val="0"/>
      <w:sz w:val="16"/>
      <w:szCs w:val="16"/>
      <w14:ligatures w14:val="none"/>
    </w:rPr>
  </w:style>
  <w:style w:type="paragraph" w:customStyle="1" w:styleId="xl66">
    <w:name w:val="xl66"/>
    <w:basedOn w:val="Normal"/>
    <w:rsid w:val="00BF5BFE"/>
    <w:pP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67">
    <w:name w:val="xl67"/>
    <w:basedOn w:val="Normal"/>
    <w:rsid w:val="00BF5BFE"/>
    <w:pP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68">
    <w:name w:val="xl68"/>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14:ligatures w14:val="none"/>
    </w:rPr>
  </w:style>
  <w:style w:type="paragraph" w:customStyle="1" w:styleId="xl69">
    <w:name w:val="xl69"/>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70">
    <w:name w:val="xl70"/>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71">
    <w:name w:val="xl71"/>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14:ligatures w14:val="none"/>
    </w:rPr>
  </w:style>
  <w:style w:type="paragraph" w:customStyle="1" w:styleId="xl72">
    <w:name w:val="xl72"/>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14:ligatures w14:val="none"/>
    </w:rPr>
  </w:style>
  <w:style w:type="paragraph" w:customStyle="1" w:styleId="xl73">
    <w:name w:val="xl73"/>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14:ligatures w14:val="none"/>
    </w:rPr>
  </w:style>
  <w:style w:type="paragraph" w:customStyle="1" w:styleId="xl74">
    <w:name w:val="xl74"/>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14:ligatures w14:val="none"/>
    </w:rPr>
  </w:style>
  <w:style w:type="paragraph" w:customStyle="1" w:styleId="xl75">
    <w:name w:val="xl75"/>
    <w:basedOn w:val="Normal"/>
    <w:rsid w:val="00BF5BFE"/>
    <w:pP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76">
    <w:name w:val="xl76"/>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77">
    <w:name w:val="xl77"/>
    <w:basedOn w:val="Normal"/>
    <w:rsid w:val="00BF5BFE"/>
    <w:pPr>
      <w:spacing w:before="100" w:beforeAutospacing="1" w:after="100" w:afterAutospacing="1" w:line="240" w:lineRule="auto"/>
      <w:textAlignment w:val="top"/>
    </w:pPr>
    <w:rPr>
      <w:rFonts w:ascii="Times New Roman" w:eastAsia="Times New Roman" w:hAnsi="Times New Roman" w:cs="Times New Roman"/>
      <w:kern w:val="0"/>
      <w:sz w:val="16"/>
      <w:szCs w:val="16"/>
      <w14:ligatures w14:val="none"/>
    </w:rPr>
  </w:style>
  <w:style w:type="paragraph" w:customStyle="1" w:styleId="xl78">
    <w:name w:val="xl78"/>
    <w:basedOn w:val="Normal"/>
    <w:rsid w:val="00BF5BFE"/>
    <w:pPr>
      <w:spacing w:before="100" w:beforeAutospacing="1" w:after="100" w:afterAutospacing="1" w:line="240" w:lineRule="auto"/>
      <w:textAlignment w:val="top"/>
    </w:pPr>
    <w:rPr>
      <w:rFonts w:ascii="Times New Roman" w:eastAsia="Times New Roman" w:hAnsi="Times New Roman" w:cs="Times New Roman"/>
      <w:kern w:val="0"/>
      <w:sz w:val="16"/>
      <w:szCs w:val="16"/>
      <w14:ligatures w14:val="none"/>
    </w:rPr>
  </w:style>
  <w:style w:type="paragraph" w:customStyle="1" w:styleId="xl79">
    <w:name w:val="xl79"/>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14:ligatures w14:val="none"/>
    </w:rPr>
  </w:style>
  <w:style w:type="paragraph" w:customStyle="1" w:styleId="xl80">
    <w:name w:val="xl80"/>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14:ligatures w14:val="none"/>
    </w:rPr>
  </w:style>
  <w:style w:type="paragraph" w:customStyle="1" w:styleId="xl81">
    <w:name w:val="xl81"/>
    <w:basedOn w:val="Normal"/>
    <w:rsid w:val="00BF5BFE"/>
    <w:pPr>
      <w:spacing w:before="100" w:beforeAutospacing="1" w:after="100" w:afterAutospacing="1" w:line="240" w:lineRule="auto"/>
      <w:textAlignment w:val="top"/>
    </w:pPr>
    <w:rPr>
      <w:rFonts w:ascii="Times New Roman" w:eastAsia="Times New Roman" w:hAnsi="Times New Roman" w:cs="Times New Roman"/>
      <w:kern w:val="0"/>
      <w:sz w:val="16"/>
      <w:szCs w:val="16"/>
      <w14:ligatures w14:val="none"/>
    </w:rPr>
  </w:style>
  <w:style w:type="paragraph" w:customStyle="1" w:styleId="xl82">
    <w:name w:val="xl82"/>
    <w:basedOn w:val="Normal"/>
    <w:rsid w:val="00BF5BFE"/>
    <w:pP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14:ligatures w14:val="none"/>
    </w:rPr>
  </w:style>
  <w:style w:type="paragraph" w:customStyle="1" w:styleId="xl83">
    <w:name w:val="xl83"/>
    <w:basedOn w:val="Normal"/>
    <w:rsid w:val="00BF5BFE"/>
    <w:pPr>
      <w:spacing w:before="100" w:beforeAutospacing="1" w:after="100" w:afterAutospacing="1" w:line="240" w:lineRule="auto"/>
      <w:textAlignment w:val="top"/>
    </w:pPr>
    <w:rPr>
      <w:rFonts w:ascii="Times New Roman" w:eastAsia="Times New Roman" w:hAnsi="Times New Roman" w:cs="Times New Roman"/>
      <w:kern w:val="0"/>
      <w14:ligatures w14:val="none"/>
    </w:rPr>
  </w:style>
  <w:style w:type="paragraph" w:customStyle="1" w:styleId="xl84">
    <w:name w:val="xl84"/>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14:ligatures w14:val="none"/>
    </w:rPr>
  </w:style>
  <w:style w:type="paragraph" w:customStyle="1" w:styleId="xl85">
    <w:name w:val="xl85"/>
    <w:basedOn w:val="Normal"/>
    <w:rsid w:val="00BF5BFE"/>
    <w:pPr>
      <w:spacing w:before="100" w:beforeAutospacing="1" w:after="100" w:afterAutospacing="1" w:line="240" w:lineRule="auto"/>
      <w:textAlignment w:val="center"/>
    </w:pPr>
    <w:rPr>
      <w:rFonts w:ascii="Times New Roman" w:eastAsia="Times New Roman" w:hAnsi="Times New Roman" w:cs="Times New Roman"/>
      <w:b/>
      <w:bCs/>
      <w:kern w:val="0"/>
      <w:sz w:val="16"/>
      <w:szCs w:val="16"/>
      <w14:ligatures w14:val="none"/>
    </w:rPr>
  </w:style>
  <w:style w:type="paragraph" w:customStyle="1" w:styleId="xl86">
    <w:name w:val="xl86"/>
    <w:basedOn w:val="Normal"/>
    <w:rsid w:val="00BF5BF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kern w:val="0"/>
      <w:sz w:val="18"/>
      <w:szCs w:val="18"/>
      <w14:ligatures w14:val="none"/>
    </w:rPr>
  </w:style>
  <w:style w:type="paragraph" w:customStyle="1" w:styleId="xl87">
    <w:name w:val="xl87"/>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kern w:val="0"/>
      <w:sz w:val="18"/>
      <w:szCs w:val="18"/>
      <w14:ligatures w14:val="none"/>
    </w:rPr>
  </w:style>
  <w:style w:type="paragraph" w:customStyle="1" w:styleId="xl88">
    <w:name w:val="xl88"/>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8"/>
      <w:szCs w:val="18"/>
      <w14:ligatures w14:val="none"/>
    </w:rPr>
  </w:style>
  <w:style w:type="paragraph" w:customStyle="1" w:styleId="xl89">
    <w:name w:val="xl89"/>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18"/>
      <w:szCs w:val="18"/>
      <w14:ligatures w14:val="none"/>
    </w:rPr>
  </w:style>
  <w:style w:type="paragraph" w:customStyle="1" w:styleId="xl90">
    <w:name w:val="xl90"/>
    <w:basedOn w:val="Normal"/>
    <w:rsid w:val="00BF5BFE"/>
    <w:pPr>
      <w:spacing w:before="100" w:beforeAutospacing="1" w:after="100" w:afterAutospacing="1" w:line="240" w:lineRule="auto"/>
      <w:textAlignment w:val="top"/>
    </w:pPr>
    <w:rPr>
      <w:rFonts w:ascii="Times New Roman" w:eastAsia="Times New Roman" w:hAnsi="Times New Roman" w:cs="Times New Roman"/>
      <w:kern w:val="0"/>
      <w:sz w:val="18"/>
      <w:szCs w:val="18"/>
      <w14:ligatures w14:val="none"/>
    </w:rPr>
  </w:style>
  <w:style w:type="paragraph" w:customStyle="1" w:styleId="xl91">
    <w:name w:val="xl91"/>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14:ligatures w14:val="none"/>
    </w:rPr>
  </w:style>
  <w:style w:type="paragraph" w:customStyle="1" w:styleId="xl92">
    <w:name w:val="xl92"/>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32"/>
      <w:szCs w:val="32"/>
      <w14:ligatures w14:val="none"/>
    </w:rPr>
  </w:style>
  <w:style w:type="paragraph" w:customStyle="1" w:styleId="xl93">
    <w:name w:val="xl93"/>
    <w:basedOn w:val="Normal"/>
    <w:rsid w:val="00BF5BFE"/>
    <w:pPr>
      <w:pBdr>
        <w:top w:val="single" w:sz="4" w:space="0" w:color="auto"/>
        <w:left w:val="single" w:sz="4" w:space="0" w:color="auto"/>
        <w:bottom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kern w:val="0"/>
      <w:sz w:val="16"/>
      <w:szCs w:val="16"/>
      <w14:ligatures w14:val="none"/>
    </w:rPr>
  </w:style>
  <w:style w:type="paragraph" w:customStyle="1" w:styleId="xl94">
    <w:name w:val="xl94"/>
    <w:basedOn w:val="Normal"/>
    <w:rsid w:val="00BF5BFE"/>
    <w:pPr>
      <w:pBdr>
        <w:top w:val="single" w:sz="4" w:space="0" w:color="auto"/>
        <w:bottom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kern w:val="0"/>
      <w:sz w:val="16"/>
      <w:szCs w:val="16"/>
      <w14:ligatures w14:val="none"/>
    </w:rPr>
  </w:style>
  <w:style w:type="paragraph" w:customStyle="1" w:styleId="xl95">
    <w:name w:val="xl95"/>
    <w:basedOn w:val="Normal"/>
    <w:rsid w:val="00BF5BFE"/>
    <w:pPr>
      <w:pBdr>
        <w:top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top"/>
    </w:pPr>
    <w:rPr>
      <w:rFonts w:ascii="Times New Roman" w:eastAsia="Times New Roman" w:hAnsi="Times New Roman" w:cs="Times New Roman"/>
      <w:kern w:val="0"/>
      <w:sz w:val="16"/>
      <w:szCs w:val="16"/>
      <w14:ligatures w14:val="none"/>
    </w:rPr>
  </w:style>
  <w:style w:type="paragraph" w:customStyle="1" w:styleId="xl96">
    <w:name w:val="xl96"/>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97">
    <w:name w:val="xl97"/>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32"/>
      <w:szCs w:val="32"/>
      <w14:ligatures w14:val="none"/>
    </w:rPr>
  </w:style>
  <w:style w:type="paragraph" w:customStyle="1" w:styleId="xl98">
    <w:name w:val="xl98"/>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32"/>
      <w:szCs w:val="32"/>
      <w14:ligatures w14:val="none"/>
    </w:rPr>
  </w:style>
  <w:style w:type="paragraph" w:customStyle="1" w:styleId="xl99">
    <w:name w:val="xl99"/>
    <w:basedOn w:val="Normal"/>
    <w:rsid w:val="00BF5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32"/>
      <w:szCs w:val="32"/>
      <w14:ligatures w14:val="none"/>
    </w:rPr>
  </w:style>
  <w:style w:type="paragraph" w:customStyle="1" w:styleId="xl100">
    <w:name w:val="xl100"/>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32"/>
      <w:szCs w:val="32"/>
      <w14:ligatures w14:val="none"/>
    </w:rPr>
  </w:style>
  <w:style w:type="paragraph" w:customStyle="1" w:styleId="xl101">
    <w:name w:val="xl101"/>
    <w:basedOn w:val="Normal"/>
    <w:rsid w:val="00BF5BFE"/>
    <w:pPr>
      <w:spacing w:before="100" w:beforeAutospacing="1" w:after="100" w:afterAutospacing="1" w:line="240" w:lineRule="auto"/>
      <w:jc w:val="center"/>
      <w:textAlignment w:val="center"/>
    </w:pPr>
    <w:rPr>
      <w:rFonts w:ascii="Times New Roman" w:eastAsia="Times New Roman" w:hAnsi="Times New Roman" w:cs="Times New Roman"/>
      <w:kern w:val="0"/>
      <w:sz w:val="32"/>
      <w:szCs w:val="32"/>
      <w14:ligatures w14:val="none"/>
    </w:rPr>
  </w:style>
  <w:style w:type="paragraph" w:customStyle="1" w:styleId="xl102">
    <w:name w:val="xl102"/>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103">
    <w:name w:val="xl103"/>
    <w:basedOn w:val="Normal"/>
    <w:rsid w:val="00BF5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04">
    <w:name w:val="xl104"/>
    <w:basedOn w:val="Normal"/>
    <w:rsid w:val="00BF5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32"/>
      <w:szCs w:val="32"/>
      <w14:ligatures w14:val="none"/>
    </w:rPr>
  </w:style>
  <w:style w:type="paragraph" w:customStyle="1" w:styleId="xl105">
    <w:name w:val="xl105"/>
    <w:basedOn w:val="Normal"/>
    <w:rsid w:val="00BF5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06">
    <w:name w:val="xl106"/>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07">
    <w:name w:val="xl107"/>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08">
    <w:name w:val="xl108"/>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40"/>
      <w:szCs w:val="40"/>
      <w14:ligatures w14:val="none"/>
    </w:rPr>
  </w:style>
  <w:style w:type="paragraph" w:customStyle="1" w:styleId="xl109">
    <w:name w:val="xl109"/>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10">
    <w:name w:val="xl110"/>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14:ligatures w14:val="none"/>
    </w:rPr>
  </w:style>
  <w:style w:type="paragraph" w:customStyle="1" w:styleId="xl111">
    <w:name w:val="xl111"/>
    <w:basedOn w:val="Normal"/>
    <w:rsid w:val="00BF5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12">
    <w:name w:val="xl112"/>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13">
    <w:name w:val="xl113"/>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8"/>
      <w:szCs w:val="28"/>
      <w14:ligatures w14:val="none"/>
    </w:rPr>
  </w:style>
  <w:style w:type="paragraph" w:customStyle="1" w:styleId="xl114">
    <w:name w:val="xl114"/>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14:ligatures w14:val="none"/>
    </w:rPr>
  </w:style>
  <w:style w:type="paragraph" w:customStyle="1" w:styleId="xl115">
    <w:name w:val="xl115"/>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14:ligatures w14:val="none"/>
    </w:rPr>
  </w:style>
  <w:style w:type="paragraph" w:customStyle="1" w:styleId="xl116">
    <w:name w:val="xl116"/>
    <w:basedOn w:val="Normal"/>
    <w:rsid w:val="00BF5BFE"/>
    <w:pPr>
      <w:spacing w:before="100" w:beforeAutospacing="1" w:after="100" w:afterAutospacing="1" w:line="240" w:lineRule="auto"/>
      <w:jc w:val="center"/>
      <w:textAlignment w:val="center"/>
    </w:pPr>
    <w:rPr>
      <w:rFonts w:ascii="Times New Roman" w:eastAsia="Times New Roman" w:hAnsi="Times New Roman" w:cs="Times New Roman"/>
      <w:kern w:val="0"/>
      <w:sz w:val="16"/>
      <w:szCs w:val="16"/>
      <w14:ligatures w14:val="none"/>
    </w:rPr>
  </w:style>
  <w:style w:type="paragraph" w:customStyle="1" w:styleId="xl117">
    <w:name w:val="xl117"/>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32"/>
      <w:szCs w:val="32"/>
      <w14:ligatures w14:val="none"/>
    </w:rPr>
  </w:style>
  <w:style w:type="paragraph" w:customStyle="1" w:styleId="xl118">
    <w:name w:val="xl118"/>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14:ligatures w14:val="none"/>
    </w:rPr>
  </w:style>
  <w:style w:type="paragraph" w:customStyle="1" w:styleId="xl119">
    <w:name w:val="xl119"/>
    <w:basedOn w:val="Normal"/>
    <w:rsid w:val="00BF5BFE"/>
    <w:pPr>
      <w:spacing w:before="100" w:beforeAutospacing="1" w:after="100" w:afterAutospacing="1" w:line="240" w:lineRule="auto"/>
      <w:jc w:val="center"/>
      <w:textAlignment w:val="center"/>
    </w:pPr>
    <w:rPr>
      <w:rFonts w:ascii="Times New Roman" w:eastAsia="Times New Roman" w:hAnsi="Times New Roman" w:cs="Times New Roman"/>
      <w:kern w:val="0"/>
      <w:sz w:val="16"/>
      <w:szCs w:val="16"/>
      <w14:ligatures w14:val="none"/>
    </w:rPr>
  </w:style>
  <w:style w:type="paragraph" w:customStyle="1" w:styleId="xl120">
    <w:name w:val="xl120"/>
    <w:basedOn w:val="Normal"/>
    <w:rsid w:val="00BF5BFE"/>
    <w:pPr>
      <w:spacing w:before="100" w:beforeAutospacing="1" w:after="100" w:afterAutospacing="1" w:line="240" w:lineRule="auto"/>
      <w:jc w:val="center"/>
      <w:textAlignment w:val="center"/>
    </w:pPr>
    <w:rPr>
      <w:rFonts w:ascii="Times New Roman" w:eastAsia="Times New Roman" w:hAnsi="Times New Roman" w:cs="Times New Roman"/>
      <w:kern w:val="0"/>
      <w:sz w:val="16"/>
      <w:szCs w:val="16"/>
      <w14:ligatures w14:val="none"/>
    </w:rPr>
  </w:style>
  <w:style w:type="paragraph" w:customStyle="1" w:styleId="xl121">
    <w:name w:val="xl121"/>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122">
    <w:name w:val="xl122"/>
    <w:basedOn w:val="Normal"/>
    <w:rsid w:val="00BF5BFE"/>
    <w:pPr>
      <w:spacing w:before="100" w:beforeAutospacing="1" w:after="100" w:afterAutospacing="1" w:line="240" w:lineRule="auto"/>
      <w:textAlignment w:val="center"/>
    </w:pPr>
    <w:rPr>
      <w:rFonts w:ascii="Times New Roman" w:eastAsia="Times New Roman" w:hAnsi="Times New Roman" w:cs="Times New Roman"/>
      <w:kern w:val="0"/>
      <w:sz w:val="16"/>
      <w:szCs w:val="16"/>
      <w14:ligatures w14:val="none"/>
    </w:rPr>
  </w:style>
  <w:style w:type="paragraph" w:customStyle="1" w:styleId="xl123">
    <w:name w:val="xl123"/>
    <w:basedOn w:val="Normal"/>
    <w:rsid w:val="00BF5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36"/>
      <w:szCs w:val="36"/>
      <w14:ligatures w14:val="none"/>
    </w:rPr>
  </w:style>
  <w:style w:type="paragraph" w:customStyle="1" w:styleId="xl124">
    <w:name w:val="xl124"/>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25">
    <w:name w:val="xl125"/>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26">
    <w:name w:val="xl126"/>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40"/>
      <w:szCs w:val="40"/>
      <w14:ligatures w14:val="none"/>
    </w:rPr>
  </w:style>
  <w:style w:type="paragraph" w:customStyle="1" w:styleId="xl127">
    <w:name w:val="xl127"/>
    <w:basedOn w:val="Normal"/>
    <w:rsid w:val="00BF5BF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8"/>
      <w:szCs w:val="18"/>
      <w14:ligatures w14:val="none"/>
    </w:rPr>
  </w:style>
  <w:style w:type="character" w:styleId="Strong">
    <w:name w:val="Strong"/>
    <w:basedOn w:val="DefaultParagraphFont"/>
    <w:uiPriority w:val="22"/>
    <w:qFormat/>
    <w:rsid w:val="000F06A9"/>
    <w:rPr>
      <w:b/>
      <w:bCs/>
    </w:rPr>
  </w:style>
  <w:style w:type="character" w:styleId="Emphasis">
    <w:name w:val="Emphasis"/>
    <w:basedOn w:val="DefaultParagraphFont"/>
    <w:uiPriority w:val="20"/>
    <w:qFormat/>
    <w:rsid w:val="000F06A9"/>
    <w:rPr>
      <w:i/>
      <w:iCs/>
    </w:rPr>
  </w:style>
  <w:style w:type="character" w:styleId="EndnoteReference">
    <w:name w:val="endnote reference"/>
    <w:basedOn w:val="DefaultParagraphFont"/>
    <w:uiPriority w:val="99"/>
    <w:semiHidden/>
    <w:unhideWhenUsed/>
    <w:rsid w:val="007B0245"/>
    <w:rPr>
      <w:vertAlign w:val="superscript"/>
    </w:rPr>
  </w:style>
  <w:style w:type="character" w:styleId="LineNumber">
    <w:name w:val="line number"/>
    <w:basedOn w:val="DefaultParagraphFont"/>
    <w:uiPriority w:val="99"/>
    <w:semiHidden/>
    <w:unhideWhenUsed/>
    <w:rsid w:val="00725F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1368">
      <w:bodyDiv w:val="1"/>
      <w:marLeft w:val="0"/>
      <w:marRight w:val="0"/>
      <w:marTop w:val="0"/>
      <w:marBottom w:val="0"/>
      <w:divBdr>
        <w:top w:val="none" w:sz="0" w:space="0" w:color="auto"/>
        <w:left w:val="none" w:sz="0" w:space="0" w:color="auto"/>
        <w:bottom w:val="none" w:sz="0" w:space="0" w:color="auto"/>
        <w:right w:val="none" w:sz="0" w:space="0" w:color="auto"/>
      </w:divBdr>
    </w:div>
    <w:div w:id="237253782">
      <w:bodyDiv w:val="1"/>
      <w:marLeft w:val="0"/>
      <w:marRight w:val="0"/>
      <w:marTop w:val="0"/>
      <w:marBottom w:val="0"/>
      <w:divBdr>
        <w:top w:val="none" w:sz="0" w:space="0" w:color="auto"/>
        <w:left w:val="none" w:sz="0" w:space="0" w:color="auto"/>
        <w:bottom w:val="none" w:sz="0" w:space="0" w:color="auto"/>
        <w:right w:val="none" w:sz="0" w:space="0" w:color="auto"/>
      </w:divBdr>
    </w:div>
    <w:div w:id="250747696">
      <w:bodyDiv w:val="1"/>
      <w:marLeft w:val="0"/>
      <w:marRight w:val="0"/>
      <w:marTop w:val="0"/>
      <w:marBottom w:val="0"/>
      <w:divBdr>
        <w:top w:val="none" w:sz="0" w:space="0" w:color="auto"/>
        <w:left w:val="none" w:sz="0" w:space="0" w:color="auto"/>
        <w:bottom w:val="none" w:sz="0" w:space="0" w:color="auto"/>
        <w:right w:val="none" w:sz="0" w:space="0" w:color="auto"/>
      </w:divBdr>
    </w:div>
    <w:div w:id="519664038">
      <w:bodyDiv w:val="1"/>
      <w:marLeft w:val="0"/>
      <w:marRight w:val="0"/>
      <w:marTop w:val="0"/>
      <w:marBottom w:val="0"/>
      <w:divBdr>
        <w:top w:val="none" w:sz="0" w:space="0" w:color="auto"/>
        <w:left w:val="none" w:sz="0" w:space="0" w:color="auto"/>
        <w:bottom w:val="none" w:sz="0" w:space="0" w:color="auto"/>
        <w:right w:val="none" w:sz="0" w:space="0" w:color="auto"/>
      </w:divBdr>
    </w:div>
    <w:div w:id="1147238272">
      <w:bodyDiv w:val="1"/>
      <w:marLeft w:val="0"/>
      <w:marRight w:val="0"/>
      <w:marTop w:val="0"/>
      <w:marBottom w:val="0"/>
      <w:divBdr>
        <w:top w:val="none" w:sz="0" w:space="0" w:color="auto"/>
        <w:left w:val="none" w:sz="0" w:space="0" w:color="auto"/>
        <w:bottom w:val="none" w:sz="0" w:space="0" w:color="auto"/>
        <w:right w:val="none" w:sz="0" w:space="0" w:color="auto"/>
      </w:divBdr>
    </w:div>
    <w:div w:id="1155294703">
      <w:bodyDiv w:val="1"/>
      <w:marLeft w:val="0"/>
      <w:marRight w:val="0"/>
      <w:marTop w:val="0"/>
      <w:marBottom w:val="0"/>
      <w:divBdr>
        <w:top w:val="none" w:sz="0" w:space="0" w:color="auto"/>
        <w:left w:val="none" w:sz="0" w:space="0" w:color="auto"/>
        <w:bottom w:val="none" w:sz="0" w:space="0" w:color="auto"/>
        <w:right w:val="none" w:sz="0" w:space="0" w:color="auto"/>
      </w:divBdr>
    </w:div>
    <w:div w:id="1197933510">
      <w:bodyDiv w:val="1"/>
      <w:marLeft w:val="0"/>
      <w:marRight w:val="0"/>
      <w:marTop w:val="0"/>
      <w:marBottom w:val="0"/>
      <w:divBdr>
        <w:top w:val="none" w:sz="0" w:space="0" w:color="auto"/>
        <w:left w:val="none" w:sz="0" w:space="0" w:color="auto"/>
        <w:bottom w:val="none" w:sz="0" w:space="0" w:color="auto"/>
        <w:right w:val="none" w:sz="0" w:space="0" w:color="auto"/>
      </w:divBdr>
    </w:div>
    <w:div w:id="1206408152">
      <w:bodyDiv w:val="1"/>
      <w:marLeft w:val="0"/>
      <w:marRight w:val="0"/>
      <w:marTop w:val="0"/>
      <w:marBottom w:val="0"/>
      <w:divBdr>
        <w:top w:val="none" w:sz="0" w:space="0" w:color="auto"/>
        <w:left w:val="none" w:sz="0" w:space="0" w:color="auto"/>
        <w:bottom w:val="none" w:sz="0" w:space="0" w:color="auto"/>
        <w:right w:val="none" w:sz="0" w:space="0" w:color="auto"/>
      </w:divBdr>
    </w:div>
    <w:div w:id="1317609937">
      <w:bodyDiv w:val="1"/>
      <w:marLeft w:val="0"/>
      <w:marRight w:val="0"/>
      <w:marTop w:val="0"/>
      <w:marBottom w:val="0"/>
      <w:divBdr>
        <w:top w:val="none" w:sz="0" w:space="0" w:color="auto"/>
        <w:left w:val="none" w:sz="0" w:space="0" w:color="auto"/>
        <w:bottom w:val="none" w:sz="0" w:space="0" w:color="auto"/>
        <w:right w:val="none" w:sz="0" w:space="0" w:color="auto"/>
      </w:divBdr>
    </w:div>
    <w:div w:id="1433161999">
      <w:bodyDiv w:val="1"/>
      <w:marLeft w:val="0"/>
      <w:marRight w:val="0"/>
      <w:marTop w:val="0"/>
      <w:marBottom w:val="0"/>
      <w:divBdr>
        <w:top w:val="none" w:sz="0" w:space="0" w:color="auto"/>
        <w:left w:val="none" w:sz="0" w:space="0" w:color="auto"/>
        <w:bottom w:val="none" w:sz="0" w:space="0" w:color="auto"/>
        <w:right w:val="none" w:sz="0" w:space="0" w:color="auto"/>
      </w:divBdr>
    </w:div>
    <w:div w:id="1532497565">
      <w:bodyDiv w:val="1"/>
      <w:marLeft w:val="0"/>
      <w:marRight w:val="0"/>
      <w:marTop w:val="0"/>
      <w:marBottom w:val="0"/>
      <w:divBdr>
        <w:top w:val="none" w:sz="0" w:space="0" w:color="auto"/>
        <w:left w:val="none" w:sz="0" w:space="0" w:color="auto"/>
        <w:bottom w:val="none" w:sz="0" w:space="0" w:color="auto"/>
        <w:right w:val="none" w:sz="0" w:space="0" w:color="auto"/>
      </w:divBdr>
    </w:div>
    <w:div w:id="1554737102">
      <w:bodyDiv w:val="1"/>
      <w:marLeft w:val="0"/>
      <w:marRight w:val="0"/>
      <w:marTop w:val="0"/>
      <w:marBottom w:val="0"/>
      <w:divBdr>
        <w:top w:val="none" w:sz="0" w:space="0" w:color="auto"/>
        <w:left w:val="none" w:sz="0" w:space="0" w:color="auto"/>
        <w:bottom w:val="none" w:sz="0" w:space="0" w:color="auto"/>
        <w:right w:val="none" w:sz="0" w:space="0" w:color="auto"/>
      </w:divBdr>
      <w:divsChild>
        <w:div w:id="1389232613">
          <w:marLeft w:val="0"/>
          <w:marRight w:val="0"/>
          <w:marTop w:val="0"/>
          <w:marBottom w:val="0"/>
          <w:divBdr>
            <w:top w:val="none" w:sz="0" w:space="0" w:color="auto"/>
            <w:left w:val="none" w:sz="0" w:space="0" w:color="auto"/>
            <w:bottom w:val="none" w:sz="0" w:space="0" w:color="auto"/>
            <w:right w:val="none" w:sz="0" w:space="0" w:color="auto"/>
          </w:divBdr>
        </w:div>
        <w:div w:id="935402756">
          <w:marLeft w:val="0"/>
          <w:marRight w:val="0"/>
          <w:marTop w:val="0"/>
          <w:marBottom w:val="0"/>
          <w:divBdr>
            <w:top w:val="none" w:sz="0" w:space="0" w:color="auto"/>
            <w:left w:val="none" w:sz="0" w:space="0" w:color="auto"/>
            <w:bottom w:val="none" w:sz="0" w:space="0" w:color="auto"/>
            <w:right w:val="none" w:sz="0" w:space="0" w:color="auto"/>
          </w:divBdr>
        </w:div>
        <w:div w:id="1070999306">
          <w:marLeft w:val="0"/>
          <w:marRight w:val="0"/>
          <w:marTop w:val="0"/>
          <w:marBottom w:val="0"/>
          <w:divBdr>
            <w:top w:val="none" w:sz="0" w:space="0" w:color="auto"/>
            <w:left w:val="none" w:sz="0" w:space="0" w:color="auto"/>
            <w:bottom w:val="none" w:sz="0" w:space="0" w:color="auto"/>
            <w:right w:val="none" w:sz="0" w:space="0" w:color="auto"/>
          </w:divBdr>
        </w:div>
        <w:div w:id="1103302216">
          <w:marLeft w:val="0"/>
          <w:marRight w:val="0"/>
          <w:marTop w:val="0"/>
          <w:marBottom w:val="0"/>
          <w:divBdr>
            <w:top w:val="none" w:sz="0" w:space="0" w:color="auto"/>
            <w:left w:val="none" w:sz="0" w:space="0" w:color="auto"/>
            <w:bottom w:val="none" w:sz="0" w:space="0" w:color="auto"/>
            <w:right w:val="none" w:sz="0" w:space="0" w:color="auto"/>
          </w:divBdr>
        </w:div>
        <w:div w:id="1080833518">
          <w:marLeft w:val="-75"/>
          <w:marRight w:val="0"/>
          <w:marTop w:val="30"/>
          <w:marBottom w:val="30"/>
          <w:divBdr>
            <w:top w:val="none" w:sz="0" w:space="0" w:color="auto"/>
            <w:left w:val="none" w:sz="0" w:space="0" w:color="auto"/>
            <w:bottom w:val="none" w:sz="0" w:space="0" w:color="auto"/>
            <w:right w:val="none" w:sz="0" w:space="0" w:color="auto"/>
          </w:divBdr>
          <w:divsChild>
            <w:div w:id="186066801">
              <w:marLeft w:val="0"/>
              <w:marRight w:val="0"/>
              <w:marTop w:val="0"/>
              <w:marBottom w:val="0"/>
              <w:divBdr>
                <w:top w:val="none" w:sz="0" w:space="0" w:color="auto"/>
                <w:left w:val="none" w:sz="0" w:space="0" w:color="auto"/>
                <w:bottom w:val="none" w:sz="0" w:space="0" w:color="auto"/>
                <w:right w:val="none" w:sz="0" w:space="0" w:color="auto"/>
              </w:divBdr>
              <w:divsChild>
                <w:div w:id="1867474604">
                  <w:marLeft w:val="0"/>
                  <w:marRight w:val="0"/>
                  <w:marTop w:val="0"/>
                  <w:marBottom w:val="0"/>
                  <w:divBdr>
                    <w:top w:val="none" w:sz="0" w:space="0" w:color="auto"/>
                    <w:left w:val="none" w:sz="0" w:space="0" w:color="auto"/>
                    <w:bottom w:val="none" w:sz="0" w:space="0" w:color="auto"/>
                    <w:right w:val="none" w:sz="0" w:space="0" w:color="auto"/>
                  </w:divBdr>
                </w:div>
              </w:divsChild>
            </w:div>
            <w:div w:id="806432337">
              <w:marLeft w:val="0"/>
              <w:marRight w:val="0"/>
              <w:marTop w:val="0"/>
              <w:marBottom w:val="0"/>
              <w:divBdr>
                <w:top w:val="none" w:sz="0" w:space="0" w:color="auto"/>
                <w:left w:val="none" w:sz="0" w:space="0" w:color="auto"/>
                <w:bottom w:val="none" w:sz="0" w:space="0" w:color="auto"/>
                <w:right w:val="none" w:sz="0" w:space="0" w:color="auto"/>
              </w:divBdr>
              <w:divsChild>
                <w:div w:id="1036007726">
                  <w:marLeft w:val="0"/>
                  <w:marRight w:val="0"/>
                  <w:marTop w:val="0"/>
                  <w:marBottom w:val="0"/>
                  <w:divBdr>
                    <w:top w:val="none" w:sz="0" w:space="0" w:color="auto"/>
                    <w:left w:val="none" w:sz="0" w:space="0" w:color="auto"/>
                    <w:bottom w:val="none" w:sz="0" w:space="0" w:color="auto"/>
                    <w:right w:val="none" w:sz="0" w:space="0" w:color="auto"/>
                  </w:divBdr>
                </w:div>
              </w:divsChild>
            </w:div>
            <w:div w:id="1383364720">
              <w:marLeft w:val="0"/>
              <w:marRight w:val="0"/>
              <w:marTop w:val="0"/>
              <w:marBottom w:val="0"/>
              <w:divBdr>
                <w:top w:val="none" w:sz="0" w:space="0" w:color="auto"/>
                <w:left w:val="none" w:sz="0" w:space="0" w:color="auto"/>
                <w:bottom w:val="none" w:sz="0" w:space="0" w:color="auto"/>
                <w:right w:val="none" w:sz="0" w:space="0" w:color="auto"/>
              </w:divBdr>
              <w:divsChild>
                <w:div w:id="1774200543">
                  <w:marLeft w:val="0"/>
                  <w:marRight w:val="0"/>
                  <w:marTop w:val="0"/>
                  <w:marBottom w:val="0"/>
                  <w:divBdr>
                    <w:top w:val="none" w:sz="0" w:space="0" w:color="auto"/>
                    <w:left w:val="none" w:sz="0" w:space="0" w:color="auto"/>
                    <w:bottom w:val="none" w:sz="0" w:space="0" w:color="auto"/>
                    <w:right w:val="none" w:sz="0" w:space="0" w:color="auto"/>
                  </w:divBdr>
                </w:div>
              </w:divsChild>
            </w:div>
            <w:div w:id="1937790855">
              <w:marLeft w:val="0"/>
              <w:marRight w:val="0"/>
              <w:marTop w:val="0"/>
              <w:marBottom w:val="0"/>
              <w:divBdr>
                <w:top w:val="none" w:sz="0" w:space="0" w:color="auto"/>
                <w:left w:val="none" w:sz="0" w:space="0" w:color="auto"/>
                <w:bottom w:val="none" w:sz="0" w:space="0" w:color="auto"/>
                <w:right w:val="none" w:sz="0" w:space="0" w:color="auto"/>
              </w:divBdr>
              <w:divsChild>
                <w:div w:id="254945429">
                  <w:marLeft w:val="0"/>
                  <w:marRight w:val="0"/>
                  <w:marTop w:val="0"/>
                  <w:marBottom w:val="0"/>
                  <w:divBdr>
                    <w:top w:val="none" w:sz="0" w:space="0" w:color="auto"/>
                    <w:left w:val="none" w:sz="0" w:space="0" w:color="auto"/>
                    <w:bottom w:val="none" w:sz="0" w:space="0" w:color="auto"/>
                    <w:right w:val="none" w:sz="0" w:space="0" w:color="auto"/>
                  </w:divBdr>
                </w:div>
              </w:divsChild>
            </w:div>
            <w:div w:id="24721871">
              <w:marLeft w:val="0"/>
              <w:marRight w:val="0"/>
              <w:marTop w:val="0"/>
              <w:marBottom w:val="0"/>
              <w:divBdr>
                <w:top w:val="none" w:sz="0" w:space="0" w:color="auto"/>
                <w:left w:val="none" w:sz="0" w:space="0" w:color="auto"/>
                <w:bottom w:val="none" w:sz="0" w:space="0" w:color="auto"/>
                <w:right w:val="none" w:sz="0" w:space="0" w:color="auto"/>
              </w:divBdr>
              <w:divsChild>
                <w:div w:id="2014598987">
                  <w:marLeft w:val="0"/>
                  <w:marRight w:val="0"/>
                  <w:marTop w:val="0"/>
                  <w:marBottom w:val="0"/>
                  <w:divBdr>
                    <w:top w:val="none" w:sz="0" w:space="0" w:color="auto"/>
                    <w:left w:val="none" w:sz="0" w:space="0" w:color="auto"/>
                    <w:bottom w:val="none" w:sz="0" w:space="0" w:color="auto"/>
                    <w:right w:val="none" w:sz="0" w:space="0" w:color="auto"/>
                  </w:divBdr>
                </w:div>
              </w:divsChild>
            </w:div>
            <w:div w:id="1072384637">
              <w:marLeft w:val="0"/>
              <w:marRight w:val="0"/>
              <w:marTop w:val="0"/>
              <w:marBottom w:val="0"/>
              <w:divBdr>
                <w:top w:val="none" w:sz="0" w:space="0" w:color="auto"/>
                <w:left w:val="none" w:sz="0" w:space="0" w:color="auto"/>
                <w:bottom w:val="none" w:sz="0" w:space="0" w:color="auto"/>
                <w:right w:val="none" w:sz="0" w:space="0" w:color="auto"/>
              </w:divBdr>
              <w:divsChild>
                <w:div w:id="1137526063">
                  <w:marLeft w:val="0"/>
                  <w:marRight w:val="0"/>
                  <w:marTop w:val="0"/>
                  <w:marBottom w:val="0"/>
                  <w:divBdr>
                    <w:top w:val="none" w:sz="0" w:space="0" w:color="auto"/>
                    <w:left w:val="none" w:sz="0" w:space="0" w:color="auto"/>
                    <w:bottom w:val="none" w:sz="0" w:space="0" w:color="auto"/>
                    <w:right w:val="none" w:sz="0" w:space="0" w:color="auto"/>
                  </w:divBdr>
                </w:div>
              </w:divsChild>
            </w:div>
            <w:div w:id="1690402721">
              <w:marLeft w:val="0"/>
              <w:marRight w:val="0"/>
              <w:marTop w:val="0"/>
              <w:marBottom w:val="0"/>
              <w:divBdr>
                <w:top w:val="none" w:sz="0" w:space="0" w:color="auto"/>
                <w:left w:val="none" w:sz="0" w:space="0" w:color="auto"/>
                <w:bottom w:val="none" w:sz="0" w:space="0" w:color="auto"/>
                <w:right w:val="none" w:sz="0" w:space="0" w:color="auto"/>
              </w:divBdr>
              <w:divsChild>
                <w:div w:id="1156142809">
                  <w:marLeft w:val="0"/>
                  <w:marRight w:val="0"/>
                  <w:marTop w:val="0"/>
                  <w:marBottom w:val="0"/>
                  <w:divBdr>
                    <w:top w:val="none" w:sz="0" w:space="0" w:color="auto"/>
                    <w:left w:val="none" w:sz="0" w:space="0" w:color="auto"/>
                    <w:bottom w:val="none" w:sz="0" w:space="0" w:color="auto"/>
                    <w:right w:val="none" w:sz="0" w:space="0" w:color="auto"/>
                  </w:divBdr>
                </w:div>
              </w:divsChild>
            </w:div>
            <w:div w:id="1812792588">
              <w:marLeft w:val="0"/>
              <w:marRight w:val="0"/>
              <w:marTop w:val="0"/>
              <w:marBottom w:val="0"/>
              <w:divBdr>
                <w:top w:val="none" w:sz="0" w:space="0" w:color="auto"/>
                <w:left w:val="none" w:sz="0" w:space="0" w:color="auto"/>
                <w:bottom w:val="none" w:sz="0" w:space="0" w:color="auto"/>
                <w:right w:val="none" w:sz="0" w:space="0" w:color="auto"/>
              </w:divBdr>
              <w:divsChild>
                <w:div w:id="1792939799">
                  <w:marLeft w:val="0"/>
                  <w:marRight w:val="0"/>
                  <w:marTop w:val="0"/>
                  <w:marBottom w:val="0"/>
                  <w:divBdr>
                    <w:top w:val="none" w:sz="0" w:space="0" w:color="auto"/>
                    <w:left w:val="none" w:sz="0" w:space="0" w:color="auto"/>
                    <w:bottom w:val="none" w:sz="0" w:space="0" w:color="auto"/>
                    <w:right w:val="none" w:sz="0" w:space="0" w:color="auto"/>
                  </w:divBdr>
                </w:div>
              </w:divsChild>
            </w:div>
            <w:div w:id="2043552783">
              <w:marLeft w:val="0"/>
              <w:marRight w:val="0"/>
              <w:marTop w:val="0"/>
              <w:marBottom w:val="0"/>
              <w:divBdr>
                <w:top w:val="none" w:sz="0" w:space="0" w:color="auto"/>
                <w:left w:val="none" w:sz="0" w:space="0" w:color="auto"/>
                <w:bottom w:val="none" w:sz="0" w:space="0" w:color="auto"/>
                <w:right w:val="none" w:sz="0" w:space="0" w:color="auto"/>
              </w:divBdr>
              <w:divsChild>
                <w:div w:id="362369530">
                  <w:marLeft w:val="0"/>
                  <w:marRight w:val="0"/>
                  <w:marTop w:val="0"/>
                  <w:marBottom w:val="0"/>
                  <w:divBdr>
                    <w:top w:val="none" w:sz="0" w:space="0" w:color="auto"/>
                    <w:left w:val="none" w:sz="0" w:space="0" w:color="auto"/>
                    <w:bottom w:val="none" w:sz="0" w:space="0" w:color="auto"/>
                    <w:right w:val="none" w:sz="0" w:space="0" w:color="auto"/>
                  </w:divBdr>
                </w:div>
              </w:divsChild>
            </w:div>
            <w:div w:id="389614464">
              <w:marLeft w:val="0"/>
              <w:marRight w:val="0"/>
              <w:marTop w:val="0"/>
              <w:marBottom w:val="0"/>
              <w:divBdr>
                <w:top w:val="none" w:sz="0" w:space="0" w:color="auto"/>
                <w:left w:val="none" w:sz="0" w:space="0" w:color="auto"/>
                <w:bottom w:val="none" w:sz="0" w:space="0" w:color="auto"/>
                <w:right w:val="none" w:sz="0" w:space="0" w:color="auto"/>
              </w:divBdr>
              <w:divsChild>
                <w:div w:id="1587766787">
                  <w:marLeft w:val="0"/>
                  <w:marRight w:val="0"/>
                  <w:marTop w:val="0"/>
                  <w:marBottom w:val="0"/>
                  <w:divBdr>
                    <w:top w:val="none" w:sz="0" w:space="0" w:color="auto"/>
                    <w:left w:val="none" w:sz="0" w:space="0" w:color="auto"/>
                    <w:bottom w:val="none" w:sz="0" w:space="0" w:color="auto"/>
                    <w:right w:val="none" w:sz="0" w:space="0" w:color="auto"/>
                  </w:divBdr>
                </w:div>
              </w:divsChild>
            </w:div>
            <w:div w:id="1951080681">
              <w:marLeft w:val="0"/>
              <w:marRight w:val="0"/>
              <w:marTop w:val="0"/>
              <w:marBottom w:val="0"/>
              <w:divBdr>
                <w:top w:val="none" w:sz="0" w:space="0" w:color="auto"/>
                <w:left w:val="none" w:sz="0" w:space="0" w:color="auto"/>
                <w:bottom w:val="none" w:sz="0" w:space="0" w:color="auto"/>
                <w:right w:val="none" w:sz="0" w:space="0" w:color="auto"/>
              </w:divBdr>
              <w:divsChild>
                <w:div w:id="835998799">
                  <w:marLeft w:val="0"/>
                  <w:marRight w:val="0"/>
                  <w:marTop w:val="0"/>
                  <w:marBottom w:val="0"/>
                  <w:divBdr>
                    <w:top w:val="none" w:sz="0" w:space="0" w:color="auto"/>
                    <w:left w:val="none" w:sz="0" w:space="0" w:color="auto"/>
                    <w:bottom w:val="none" w:sz="0" w:space="0" w:color="auto"/>
                    <w:right w:val="none" w:sz="0" w:space="0" w:color="auto"/>
                  </w:divBdr>
                </w:div>
              </w:divsChild>
            </w:div>
            <w:div w:id="580801135">
              <w:marLeft w:val="0"/>
              <w:marRight w:val="0"/>
              <w:marTop w:val="0"/>
              <w:marBottom w:val="0"/>
              <w:divBdr>
                <w:top w:val="none" w:sz="0" w:space="0" w:color="auto"/>
                <w:left w:val="none" w:sz="0" w:space="0" w:color="auto"/>
                <w:bottom w:val="none" w:sz="0" w:space="0" w:color="auto"/>
                <w:right w:val="none" w:sz="0" w:space="0" w:color="auto"/>
              </w:divBdr>
              <w:divsChild>
                <w:div w:id="318273645">
                  <w:marLeft w:val="0"/>
                  <w:marRight w:val="0"/>
                  <w:marTop w:val="0"/>
                  <w:marBottom w:val="0"/>
                  <w:divBdr>
                    <w:top w:val="none" w:sz="0" w:space="0" w:color="auto"/>
                    <w:left w:val="none" w:sz="0" w:space="0" w:color="auto"/>
                    <w:bottom w:val="none" w:sz="0" w:space="0" w:color="auto"/>
                    <w:right w:val="none" w:sz="0" w:space="0" w:color="auto"/>
                  </w:divBdr>
                </w:div>
              </w:divsChild>
            </w:div>
            <w:div w:id="912810352">
              <w:marLeft w:val="0"/>
              <w:marRight w:val="0"/>
              <w:marTop w:val="0"/>
              <w:marBottom w:val="0"/>
              <w:divBdr>
                <w:top w:val="none" w:sz="0" w:space="0" w:color="auto"/>
                <w:left w:val="none" w:sz="0" w:space="0" w:color="auto"/>
                <w:bottom w:val="none" w:sz="0" w:space="0" w:color="auto"/>
                <w:right w:val="none" w:sz="0" w:space="0" w:color="auto"/>
              </w:divBdr>
              <w:divsChild>
                <w:div w:id="308677250">
                  <w:marLeft w:val="0"/>
                  <w:marRight w:val="0"/>
                  <w:marTop w:val="0"/>
                  <w:marBottom w:val="0"/>
                  <w:divBdr>
                    <w:top w:val="none" w:sz="0" w:space="0" w:color="auto"/>
                    <w:left w:val="none" w:sz="0" w:space="0" w:color="auto"/>
                    <w:bottom w:val="none" w:sz="0" w:space="0" w:color="auto"/>
                    <w:right w:val="none" w:sz="0" w:space="0" w:color="auto"/>
                  </w:divBdr>
                </w:div>
              </w:divsChild>
            </w:div>
            <w:div w:id="1317607738">
              <w:marLeft w:val="0"/>
              <w:marRight w:val="0"/>
              <w:marTop w:val="0"/>
              <w:marBottom w:val="0"/>
              <w:divBdr>
                <w:top w:val="none" w:sz="0" w:space="0" w:color="auto"/>
                <w:left w:val="none" w:sz="0" w:space="0" w:color="auto"/>
                <w:bottom w:val="none" w:sz="0" w:space="0" w:color="auto"/>
                <w:right w:val="none" w:sz="0" w:space="0" w:color="auto"/>
              </w:divBdr>
              <w:divsChild>
                <w:div w:id="969166529">
                  <w:marLeft w:val="0"/>
                  <w:marRight w:val="0"/>
                  <w:marTop w:val="0"/>
                  <w:marBottom w:val="0"/>
                  <w:divBdr>
                    <w:top w:val="none" w:sz="0" w:space="0" w:color="auto"/>
                    <w:left w:val="none" w:sz="0" w:space="0" w:color="auto"/>
                    <w:bottom w:val="none" w:sz="0" w:space="0" w:color="auto"/>
                    <w:right w:val="none" w:sz="0" w:space="0" w:color="auto"/>
                  </w:divBdr>
                </w:div>
              </w:divsChild>
            </w:div>
            <w:div w:id="120341221">
              <w:marLeft w:val="0"/>
              <w:marRight w:val="0"/>
              <w:marTop w:val="0"/>
              <w:marBottom w:val="0"/>
              <w:divBdr>
                <w:top w:val="none" w:sz="0" w:space="0" w:color="auto"/>
                <w:left w:val="none" w:sz="0" w:space="0" w:color="auto"/>
                <w:bottom w:val="none" w:sz="0" w:space="0" w:color="auto"/>
                <w:right w:val="none" w:sz="0" w:space="0" w:color="auto"/>
              </w:divBdr>
              <w:divsChild>
                <w:div w:id="1392772927">
                  <w:marLeft w:val="0"/>
                  <w:marRight w:val="0"/>
                  <w:marTop w:val="0"/>
                  <w:marBottom w:val="0"/>
                  <w:divBdr>
                    <w:top w:val="none" w:sz="0" w:space="0" w:color="auto"/>
                    <w:left w:val="none" w:sz="0" w:space="0" w:color="auto"/>
                    <w:bottom w:val="none" w:sz="0" w:space="0" w:color="auto"/>
                    <w:right w:val="none" w:sz="0" w:space="0" w:color="auto"/>
                  </w:divBdr>
                </w:div>
              </w:divsChild>
            </w:div>
            <w:div w:id="2029064548">
              <w:marLeft w:val="0"/>
              <w:marRight w:val="0"/>
              <w:marTop w:val="0"/>
              <w:marBottom w:val="0"/>
              <w:divBdr>
                <w:top w:val="none" w:sz="0" w:space="0" w:color="auto"/>
                <w:left w:val="none" w:sz="0" w:space="0" w:color="auto"/>
                <w:bottom w:val="none" w:sz="0" w:space="0" w:color="auto"/>
                <w:right w:val="none" w:sz="0" w:space="0" w:color="auto"/>
              </w:divBdr>
              <w:divsChild>
                <w:div w:id="1481268687">
                  <w:marLeft w:val="0"/>
                  <w:marRight w:val="0"/>
                  <w:marTop w:val="0"/>
                  <w:marBottom w:val="0"/>
                  <w:divBdr>
                    <w:top w:val="none" w:sz="0" w:space="0" w:color="auto"/>
                    <w:left w:val="none" w:sz="0" w:space="0" w:color="auto"/>
                    <w:bottom w:val="none" w:sz="0" w:space="0" w:color="auto"/>
                    <w:right w:val="none" w:sz="0" w:space="0" w:color="auto"/>
                  </w:divBdr>
                </w:div>
              </w:divsChild>
            </w:div>
            <w:div w:id="1587493031">
              <w:marLeft w:val="0"/>
              <w:marRight w:val="0"/>
              <w:marTop w:val="0"/>
              <w:marBottom w:val="0"/>
              <w:divBdr>
                <w:top w:val="none" w:sz="0" w:space="0" w:color="auto"/>
                <w:left w:val="none" w:sz="0" w:space="0" w:color="auto"/>
                <w:bottom w:val="none" w:sz="0" w:space="0" w:color="auto"/>
                <w:right w:val="none" w:sz="0" w:space="0" w:color="auto"/>
              </w:divBdr>
              <w:divsChild>
                <w:div w:id="1147014084">
                  <w:marLeft w:val="0"/>
                  <w:marRight w:val="0"/>
                  <w:marTop w:val="0"/>
                  <w:marBottom w:val="0"/>
                  <w:divBdr>
                    <w:top w:val="none" w:sz="0" w:space="0" w:color="auto"/>
                    <w:left w:val="none" w:sz="0" w:space="0" w:color="auto"/>
                    <w:bottom w:val="none" w:sz="0" w:space="0" w:color="auto"/>
                    <w:right w:val="none" w:sz="0" w:space="0" w:color="auto"/>
                  </w:divBdr>
                </w:div>
              </w:divsChild>
            </w:div>
            <w:div w:id="903101306">
              <w:marLeft w:val="0"/>
              <w:marRight w:val="0"/>
              <w:marTop w:val="0"/>
              <w:marBottom w:val="0"/>
              <w:divBdr>
                <w:top w:val="none" w:sz="0" w:space="0" w:color="auto"/>
                <w:left w:val="none" w:sz="0" w:space="0" w:color="auto"/>
                <w:bottom w:val="none" w:sz="0" w:space="0" w:color="auto"/>
                <w:right w:val="none" w:sz="0" w:space="0" w:color="auto"/>
              </w:divBdr>
              <w:divsChild>
                <w:div w:id="1936788262">
                  <w:marLeft w:val="0"/>
                  <w:marRight w:val="0"/>
                  <w:marTop w:val="0"/>
                  <w:marBottom w:val="0"/>
                  <w:divBdr>
                    <w:top w:val="none" w:sz="0" w:space="0" w:color="auto"/>
                    <w:left w:val="none" w:sz="0" w:space="0" w:color="auto"/>
                    <w:bottom w:val="none" w:sz="0" w:space="0" w:color="auto"/>
                    <w:right w:val="none" w:sz="0" w:space="0" w:color="auto"/>
                  </w:divBdr>
                </w:div>
              </w:divsChild>
            </w:div>
            <w:div w:id="1089739697">
              <w:marLeft w:val="0"/>
              <w:marRight w:val="0"/>
              <w:marTop w:val="0"/>
              <w:marBottom w:val="0"/>
              <w:divBdr>
                <w:top w:val="none" w:sz="0" w:space="0" w:color="auto"/>
                <w:left w:val="none" w:sz="0" w:space="0" w:color="auto"/>
                <w:bottom w:val="none" w:sz="0" w:space="0" w:color="auto"/>
                <w:right w:val="none" w:sz="0" w:space="0" w:color="auto"/>
              </w:divBdr>
              <w:divsChild>
                <w:div w:id="1261134586">
                  <w:marLeft w:val="0"/>
                  <w:marRight w:val="0"/>
                  <w:marTop w:val="0"/>
                  <w:marBottom w:val="0"/>
                  <w:divBdr>
                    <w:top w:val="none" w:sz="0" w:space="0" w:color="auto"/>
                    <w:left w:val="none" w:sz="0" w:space="0" w:color="auto"/>
                    <w:bottom w:val="none" w:sz="0" w:space="0" w:color="auto"/>
                    <w:right w:val="none" w:sz="0" w:space="0" w:color="auto"/>
                  </w:divBdr>
                </w:div>
              </w:divsChild>
            </w:div>
            <w:div w:id="1205095173">
              <w:marLeft w:val="0"/>
              <w:marRight w:val="0"/>
              <w:marTop w:val="0"/>
              <w:marBottom w:val="0"/>
              <w:divBdr>
                <w:top w:val="none" w:sz="0" w:space="0" w:color="auto"/>
                <w:left w:val="none" w:sz="0" w:space="0" w:color="auto"/>
                <w:bottom w:val="none" w:sz="0" w:space="0" w:color="auto"/>
                <w:right w:val="none" w:sz="0" w:space="0" w:color="auto"/>
              </w:divBdr>
              <w:divsChild>
                <w:div w:id="1406494362">
                  <w:marLeft w:val="0"/>
                  <w:marRight w:val="0"/>
                  <w:marTop w:val="0"/>
                  <w:marBottom w:val="0"/>
                  <w:divBdr>
                    <w:top w:val="none" w:sz="0" w:space="0" w:color="auto"/>
                    <w:left w:val="none" w:sz="0" w:space="0" w:color="auto"/>
                    <w:bottom w:val="none" w:sz="0" w:space="0" w:color="auto"/>
                    <w:right w:val="none" w:sz="0" w:space="0" w:color="auto"/>
                  </w:divBdr>
                </w:div>
              </w:divsChild>
            </w:div>
            <w:div w:id="181629606">
              <w:marLeft w:val="0"/>
              <w:marRight w:val="0"/>
              <w:marTop w:val="0"/>
              <w:marBottom w:val="0"/>
              <w:divBdr>
                <w:top w:val="none" w:sz="0" w:space="0" w:color="auto"/>
                <w:left w:val="none" w:sz="0" w:space="0" w:color="auto"/>
                <w:bottom w:val="none" w:sz="0" w:space="0" w:color="auto"/>
                <w:right w:val="none" w:sz="0" w:space="0" w:color="auto"/>
              </w:divBdr>
              <w:divsChild>
                <w:div w:id="749430561">
                  <w:marLeft w:val="0"/>
                  <w:marRight w:val="0"/>
                  <w:marTop w:val="0"/>
                  <w:marBottom w:val="0"/>
                  <w:divBdr>
                    <w:top w:val="none" w:sz="0" w:space="0" w:color="auto"/>
                    <w:left w:val="none" w:sz="0" w:space="0" w:color="auto"/>
                    <w:bottom w:val="none" w:sz="0" w:space="0" w:color="auto"/>
                    <w:right w:val="none" w:sz="0" w:space="0" w:color="auto"/>
                  </w:divBdr>
                </w:div>
              </w:divsChild>
            </w:div>
            <w:div w:id="2141148558">
              <w:marLeft w:val="0"/>
              <w:marRight w:val="0"/>
              <w:marTop w:val="0"/>
              <w:marBottom w:val="0"/>
              <w:divBdr>
                <w:top w:val="none" w:sz="0" w:space="0" w:color="auto"/>
                <w:left w:val="none" w:sz="0" w:space="0" w:color="auto"/>
                <w:bottom w:val="none" w:sz="0" w:space="0" w:color="auto"/>
                <w:right w:val="none" w:sz="0" w:space="0" w:color="auto"/>
              </w:divBdr>
              <w:divsChild>
                <w:div w:id="1873569159">
                  <w:marLeft w:val="0"/>
                  <w:marRight w:val="0"/>
                  <w:marTop w:val="0"/>
                  <w:marBottom w:val="0"/>
                  <w:divBdr>
                    <w:top w:val="none" w:sz="0" w:space="0" w:color="auto"/>
                    <w:left w:val="none" w:sz="0" w:space="0" w:color="auto"/>
                    <w:bottom w:val="none" w:sz="0" w:space="0" w:color="auto"/>
                    <w:right w:val="none" w:sz="0" w:space="0" w:color="auto"/>
                  </w:divBdr>
                </w:div>
              </w:divsChild>
            </w:div>
            <w:div w:id="1755710517">
              <w:marLeft w:val="0"/>
              <w:marRight w:val="0"/>
              <w:marTop w:val="0"/>
              <w:marBottom w:val="0"/>
              <w:divBdr>
                <w:top w:val="none" w:sz="0" w:space="0" w:color="auto"/>
                <w:left w:val="none" w:sz="0" w:space="0" w:color="auto"/>
                <w:bottom w:val="none" w:sz="0" w:space="0" w:color="auto"/>
                <w:right w:val="none" w:sz="0" w:space="0" w:color="auto"/>
              </w:divBdr>
              <w:divsChild>
                <w:div w:id="1227456403">
                  <w:marLeft w:val="0"/>
                  <w:marRight w:val="0"/>
                  <w:marTop w:val="0"/>
                  <w:marBottom w:val="0"/>
                  <w:divBdr>
                    <w:top w:val="none" w:sz="0" w:space="0" w:color="auto"/>
                    <w:left w:val="none" w:sz="0" w:space="0" w:color="auto"/>
                    <w:bottom w:val="none" w:sz="0" w:space="0" w:color="auto"/>
                    <w:right w:val="none" w:sz="0" w:space="0" w:color="auto"/>
                  </w:divBdr>
                </w:div>
              </w:divsChild>
            </w:div>
            <w:div w:id="1086414213">
              <w:marLeft w:val="0"/>
              <w:marRight w:val="0"/>
              <w:marTop w:val="0"/>
              <w:marBottom w:val="0"/>
              <w:divBdr>
                <w:top w:val="none" w:sz="0" w:space="0" w:color="auto"/>
                <w:left w:val="none" w:sz="0" w:space="0" w:color="auto"/>
                <w:bottom w:val="none" w:sz="0" w:space="0" w:color="auto"/>
                <w:right w:val="none" w:sz="0" w:space="0" w:color="auto"/>
              </w:divBdr>
              <w:divsChild>
                <w:div w:id="1977224845">
                  <w:marLeft w:val="0"/>
                  <w:marRight w:val="0"/>
                  <w:marTop w:val="0"/>
                  <w:marBottom w:val="0"/>
                  <w:divBdr>
                    <w:top w:val="none" w:sz="0" w:space="0" w:color="auto"/>
                    <w:left w:val="none" w:sz="0" w:space="0" w:color="auto"/>
                    <w:bottom w:val="none" w:sz="0" w:space="0" w:color="auto"/>
                    <w:right w:val="none" w:sz="0" w:space="0" w:color="auto"/>
                  </w:divBdr>
                </w:div>
              </w:divsChild>
            </w:div>
            <w:div w:id="211232766">
              <w:marLeft w:val="0"/>
              <w:marRight w:val="0"/>
              <w:marTop w:val="0"/>
              <w:marBottom w:val="0"/>
              <w:divBdr>
                <w:top w:val="none" w:sz="0" w:space="0" w:color="auto"/>
                <w:left w:val="none" w:sz="0" w:space="0" w:color="auto"/>
                <w:bottom w:val="none" w:sz="0" w:space="0" w:color="auto"/>
                <w:right w:val="none" w:sz="0" w:space="0" w:color="auto"/>
              </w:divBdr>
              <w:divsChild>
                <w:div w:id="1829783187">
                  <w:marLeft w:val="0"/>
                  <w:marRight w:val="0"/>
                  <w:marTop w:val="0"/>
                  <w:marBottom w:val="0"/>
                  <w:divBdr>
                    <w:top w:val="none" w:sz="0" w:space="0" w:color="auto"/>
                    <w:left w:val="none" w:sz="0" w:space="0" w:color="auto"/>
                    <w:bottom w:val="none" w:sz="0" w:space="0" w:color="auto"/>
                    <w:right w:val="none" w:sz="0" w:space="0" w:color="auto"/>
                  </w:divBdr>
                </w:div>
              </w:divsChild>
            </w:div>
            <w:div w:id="393357903">
              <w:marLeft w:val="0"/>
              <w:marRight w:val="0"/>
              <w:marTop w:val="0"/>
              <w:marBottom w:val="0"/>
              <w:divBdr>
                <w:top w:val="none" w:sz="0" w:space="0" w:color="auto"/>
                <w:left w:val="none" w:sz="0" w:space="0" w:color="auto"/>
                <w:bottom w:val="none" w:sz="0" w:space="0" w:color="auto"/>
                <w:right w:val="none" w:sz="0" w:space="0" w:color="auto"/>
              </w:divBdr>
              <w:divsChild>
                <w:div w:id="1061175434">
                  <w:marLeft w:val="0"/>
                  <w:marRight w:val="0"/>
                  <w:marTop w:val="0"/>
                  <w:marBottom w:val="0"/>
                  <w:divBdr>
                    <w:top w:val="none" w:sz="0" w:space="0" w:color="auto"/>
                    <w:left w:val="none" w:sz="0" w:space="0" w:color="auto"/>
                    <w:bottom w:val="none" w:sz="0" w:space="0" w:color="auto"/>
                    <w:right w:val="none" w:sz="0" w:space="0" w:color="auto"/>
                  </w:divBdr>
                </w:div>
              </w:divsChild>
            </w:div>
            <w:div w:id="1698775269">
              <w:marLeft w:val="0"/>
              <w:marRight w:val="0"/>
              <w:marTop w:val="0"/>
              <w:marBottom w:val="0"/>
              <w:divBdr>
                <w:top w:val="none" w:sz="0" w:space="0" w:color="auto"/>
                <w:left w:val="none" w:sz="0" w:space="0" w:color="auto"/>
                <w:bottom w:val="none" w:sz="0" w:space="0" w:color="auto"/>
                <w:right w:val="none" w:sz="0" w:space="0" w:color="auto"/>
              </w:divBdr>
              <w:divsChild>
                <w:div w:id="621301728">
                  <w:marLeft w:val="0"/>
                  <w:marRight w:val="0"/>
                  <w:marTop w:val="0"/>
                  <w:marBottom w:val="0"/>
                  <w:divBdr>
                    <w:top w:val="none" w:sz="0" w:space="0" w:color="auto"/>
                    <w:left w:val="none" w:sz="0" w:space="0" w:color="auto"/>
                    <w:bottom w:val="none" w:sz="0" w:space="0" w:color="auto"/>
                    <w:right w:val="none" w:sz="0" w:space="0" w:color="auto"/>
                  </w:divBdr>
                </w:div>
              </w:divsChild>
            </w:div>
            <w:div w:id="411700971">
              <w:marLeft w:val="0"/>
              <w:marRight w:val="0"/>
              <w:marTop w:val="0"/>
              <w:marBottom w:val="0"/>
              <w:divBdr>
                <w:top w:val="none" w:sz="0" w:space="0" w:color="auto"/>
                <w:left w:val="none" w:sz="0" w:space="0" w:color="auto"/>
                <w:bottom w:val="none" w:sz="0" w:space="0" w:color="auto"/>
                <w:right w:val="none" w:sz="0" w:space="0" w:color="auto"/>
              </w:divBdr>
              <w:divsChild>
                <w:div w:id="1027294891">
                  <w:marLeft w:val="0"/>
                  <w:marRight w:val="0"/>
                  <w:marTop w:val="0"/>
                  <w:marBottom w:val="0"/>
                  <w:divBdr>
                    <w:top w:val="none" w:sz="0" w:space="0" w:color="auto"/>
                    <w:left w:val="none" w:sz="0" w:space="0" w:color="auto"/>
                    <w:bottom w:val="none" w:sz="0" w:space="0" w:color="auto"/>
                    <w:right w:val="none" w:sz="0" w:space="0" w:color="auto"/>
                  </w:divBdr>
                </w:div>
              </w:divsChild>
            </w:div>
            <w:div w:id="1955626827">
              <w:marLeft w:val="0"/>
              <w:marRight w:val="0"/>
              <w:marTop w:val="0"/>
              <w:marBottom w:val="0"/>
              <w:divBdr>
                <w:top w:val="none" w:sz="0" w:space="0" w:color="auto"/>
                <w:left w:val="none" w:sz="0" w:space="0" w:color="auto"/>
                <w:bottom w:val="none" w:sz="0" w:space="0" w:color="auto"/>
                <w:right w:val="none" w:sz="0" w:space="0" w:color="auto"/>
              </w:divBdr>
              <w:divsChild>
                <w:div w:id="1290473476">
                  <w:marLeft w:val="0"/>
                  <w:marRight w:val="0"/>
                  <w:marTop w:val="0"/>
                  <w:marBottom w:val="0"/>
                  <w:divBdr>
                    <w:top w:val="none" w:sz="0" w:space="0" w:color="auto"/>
                    <w:left w:val="none" w:sz="0" w:space="0" w:color="auto"/>
                    <w:bottom w:val="none" w:sz="0" w:space="0" w:color="auto"/>
                    <w:right w:val="none" w:sz="0" w:space="0" w:color="auto"/>
                  </w:divBdr>
                </w:div>
              </w:divsChild>
            </w:div>
            <w:div w:id="1932615701">
              <w:marLeft w:val="0"/>
              <w:marRight w:val="0"/>
              <w:marTop w:val="0"/>
              <w:marBottom w:val="0"/>
              <w:divBdr>
                <w:top w:val="none" w:sz="0" w:space="0" w:color="auto"/>
                <w:left w:val="none" w:sz="0" w:space="0" w:color="auto"/>
                <w:bottom w:val="none" w:sz="0" w:space="0" w:color="auto"/>
                <w:right w:val="none" w:sz="0" w:space="0" w:color="auto"/>
              </w:divBdr>
              <w:divsChild>
                <w:div w:id="515268160">
                  <w:marLeft w:val="0"/>
                  <w:marRight w:val="0"/>
                  <w:marTop w:val="0"/>
                  <w:marBottom w:val="0"/>
                  <w:divBdr>
                    <w:top w:val="none" w:sz="0" w:space="0" w:color="auto"/>
                    <w:left w:val="none" w:sz="0" w:space="0" w:color="auto"/>
                    <w:bottom w:val="none" w:sz="0" w:space="0" w:color="auto"/>
                    <w:right w:val="none" w:sz="0" w:space="0" w:color="auto"/>
                  </w:divBdr>
                </w:div>
              </w:divsChild>
            </w:div>
            <w:div w:id="1413814040">
              <w:marLeft w:val="0"/>
              <w:marRight w:val="0"/>
              <w:marTop w:val="0"/>
              <w:marBottom w:val="0"/>
              <w:divBdr>
                <w:top w:val="none" w:sz="0" w:space="0" w:color="auto"/>
                <w:left w:val="none" w:sz="0" w:space="0" w:color="auto"/>
                <w:bottom w:val="none" w:sz="0" w:space="0" w:color="auto"/>
                <w:right w:val="none" w:sz="0" w:space="0" w:color="auto"/>
              </w:divBdr>
              <w:divsChild>
                <w:div w:id="719480034">
                  <w:marLeft w:val="0"/>
                  <w:marRight w:val="0"/>
                  <w:marTop w:val="0"/>
                  <w:marBottom w:val="0"/>
                  <w:divBdr>
                    <w:top w:val="none" w:sz="0" w:space="0" w:color="auto"/>
                    <w:left w:val="none" w:sz="0" w:space="0" w:color="auto"/>
                    <w:bottom w:val="none" w:sz="0" w:space="0" w:color="auto"/>
                    <w:right w:val="none" w:sz="0" w:space="0" w:color="auto"/>
                  </w:divBdr>
                </w:div>
              </w:divsChild>
            </w:div>
            <w:div w:id="286470388">
              <w:marLeft w:val="0"/>
              <w:marRight w:val="0"/>
              <w:marTop w:val="0"/>
              <w:marBottom w:val="0"/>
              <w:divBdr>
                <w:top w:val="none" w:sz="0" w:space="0" w:color="auto"/>
                <w:left w:val="none" w:sz="0" w:space="0" w:color="auto"/>
                <w:bottom w:val="none" w:sz="0" w:space="0" w:color="auto"/>
                <w:right w:val="none" w:sz="0" w:space="0" w:color="auto"/>
              </w:divBdr>
              <w:divsChild>
                <w:div w:id="161429582">
                  <w:marLeft w:val="0"/>
                  <w:marRight w:val="0"/>
                  <w:marTop w:val="0"/>
                  <w:marBottom w:val="0"/>
                  <w:divBdr>
                    <w:top w:val="none" w:sz="0" w:space="0" w:color="auto"/>
                    <w:left w:val="none" w:sz="0" w:space="0" w:color="auto"/>
                    <w:bottom w:val="none" w:sz="0" w:space="0" w:color="auto"/>
                    <w:right w:val="none" w:sz="0" w:space="0" w:color="auto"/>
                  </w:divBdr>
                </w:div>
              </w:divsChild>
            </w:div>
            <w:div w:id="203828576">
              <w:marLeft w:val="0"/>
              <w:marRight w:val="0"/>
              <w:marTop w:val="0"/>
              <w:marBottom w:val="0"/>
              <w:divBdr>
                <w:top w:val="none" w:sz="0" w:space="0" w:color="auto"/>
                <w:left w:val="none" w:sz="0" w:space="0" w:color="auto"/>
                <w:bottom w:val="none" w:sz="0" w:space="0" w:color="auto"/>
                <w:right w:val="none" w:sz="0" w:space="0" w:color="auto"/>
              </w:divBdr>
              <w:divsChild>
                <w:div w:id="695620360">
                  <w:marLeft w:val="0"/>
                  <w:marRight w:val="0"/>
                  <w:marTop w:val="0"/>
                  <w:marBottom w:val="0"/>
                  <w:divBdr>
                    <w:top w:val="none" w:sz="0" w:space="0" w:color="auto"/>
                    <w:left w:val="none" w:sz="0" w:space="0" w:color="auto"/>
                    <w:bottom w:val="none" w:sz="0" w:space="0" w:color="auto"/>
                    <w:right w:val="none" w:sz="0" w:space="0" w:color="auto"/>
                  </w:divBdr>
                </w:div>
              </w:divsChild>
            </w:div>
            <w:div w:id="1637682195">
              <w:marLeft w:val="0"/>
              <w:marRight w:val="0"/>
              <w:marTop w:val="0"/>
              <w:marBottom w:val="0"/>
              <w:divBdr>
                <w:top w:val="none" w:sz="0" w:space="0" w:color="auto"/>
                <w:left w:val="none" w:sz="0" w:space="0" w:color="auto"/>
                <w:bottom w:val="none" w:sz="0" w:space="0" w:color="auto"/>
                <w:right w:val="none" w:sz="0" w:space="0" w:color="auto"/>
              </w:divBdr>
              <w:divsChild>
                <w:div w:id="1249389400">
                  <w:marLeft w:val="0"/>
                  <w:marRight w:val="0"/>
                  <w:marTop w:val="0"/>
                  <w:marBottom w:val="0"/>
                  <w:divBdr>
                    <w:top w:val="none" w:sz="0" w:space="0" w:color="auto"/>
                    <w:left w:val="none" w:sz="0" w:space="0" w:color="auto"/>
                    <w:bottom w:val="none" w:sz="0" w:space="0" w:color="auto"/>
                    <w:right w:val="none" w:sz="0" w:space="0" w:color="auto"/>
                  </w:divBdr>
                </w:div>
              </w:divsChild>
            </w:div>
            <w:div w:id="868565851">
              <w:marLeft w:val="0"/>
              <w:marRight w:val="0"/>
              <w:marTop w:val="0"/>
              <w:marBottom w:val="0"/>
              <w:divBdr>
                <w:top w:val="none" w:sz="0" w:space="0" w:color="auto"/>
                <w:left w:val="none" w:sz="0" w:space="0" w:color="auto"/>
                <w:bottom w:val="none" w:sz="0" w:space="0" w:color="auto"/>
                <w:right w:val="none" w:sz="0" w:space="0" w:color="auto"/>
              </w:divBdr>
              <w:divsChild>
                <w:div w:id="1296792145">
                  <w:marLeft w:val="0"/>
                  <w:marRight w:val="0"/>
                  <w:marTop w:val="0"/>
                  <w:marBottom w:val="0"/>
                  <w:divBdr>
                    <w:top w:val="none" w:sz="0" w:space="0" w:color="auto"/>
                    <w:left w:val="none" w:sz="0" w:space="0" w:color="auto"/>
                    <w:bottom w:val="none" w:sz="0" w:space="0" w:color="auto"/>
                    <w:right w:val="none" w:sz="0" w:space="0" w:color="auto"/>
                  </w:divBdr>
                </w:div>
              </w:divsChild>
            </w:div>
            <w:div w:id="1664895384">
              <w:marLeft w:val="0"/>
              <w:marRight w:val="0"/>
              <w:marTop w:val="0"/>
              <w:marBottom w:val="0"/>
              <w:divBdr>
                <w:top w:val="none" w:sz="0" w:space="0" w:color="auto"/>
                <w:left w:val="none" w:sz="0" w:space="0" w:color="auto"/>
                <w:bottom w:val="none" w:sz="0" w:space="0" w:color="auto"/>
                <w:right w:val="none" w:sz="0" w:space="0" w:color="auto"/>
              </w:divBdr>
              <w:divsChild>
                <w:div w:id="674303119">
                  <w:marLeft w:val="0"/>
                  <w:marRight w:val="0"/>
                  <w:marTop w:val="0"/>
                  <w:marBottom w:val="0"/>
                  <w:divBdr>
                    <w:top w:val="none" w:sz="0" w:space="0" w:color="auto"/>
                    <w:left w:val="none" w:sz="0" w:space="0" w:color="auto"/>
                    <w:bottom w:val="none" w:sz="0" w:space="0" w:color="auto"/>
                    <w:right w:val="none" w:sz="0" w:space="0" w:color="auto"/>
                  </w:divBdr>
                </w:div>
              </w:divsChild>
            </w:div>
            <w:div w:id="2028826178">
              <w:marLeft w:val="0"/>
              <w:marRight w:val="0"/>
              <w:marTop w:val="0"/>
              <w:marBottom w:val="0"/>
              <w:divBdr>
                <w:top w:val="none" w:sz="0" w:space="0" w:color="auto"/>
                <w:left w:val="none" w:sz="0" w:space="0" w:color="auto"/>
                <w:bottom w:val="none" w:sz="0" w:space="0" w:color="auto"/>
                <w:right w:val="none" w:sz="0" w:space="0" w:color="auto"/>
              </w:divBdr>
              <w:divsChild>
                <w:div w:id="2079789711">
                  <w:marLeft w:val="0"/>
                  <w:marRight w:val="0"/>
                  <w:marTop w:val="0"/>
                  <w:marBottom w:val="0"/>
                  <w:divBdr>
                    <w:top w:val="none" w:sz="0" w:space="0" w:color="auto"/>
                    <w:left w:val="none" w:sz="0" w:space="0" w:color="auto"/>
                    <w:bottom w:val="none" w:sz="0" w:space="0" w:color="auto"/>
                    <w:right w:val="none" w:sz="0" w:space="0" w:color="auto"/>
                  </w:divBdr>
                </w:div>
              </w:divsChild>
            </w:div>
            <w:div w:id="171990541">
              <w:marLeft w:val="0"/>
              <w:marRight w:val="0"/>
              <w:marTop w:val="0"/>
              <w:marBottom w:val="0"/>
              <w:divBdr>
                <w:top w:val="none" w:sz="0" w:space="0" w:color="auto"/>
                <w:left w:val="none" w:sz="0" w:space="0" w:color="auto"/>
                <w:bottom w:val="none" w:sz="0" w:space="0" w:color="auto"/>
                <w:right w:val="none" w:sz="0" w:space="0" w:color="auto"/>
              </w:divBdr>
              <w:divsChild>
                <w:div w:id="1900364988">
                  <w:marLeft w:val="0"/>
                  <w:marRight w:val="0"/>
                  <w:marTop w:val="0"/>
                  <w:marBottom w:val="0"/>
                  <w:divBdr>
                    <w:top w:val="none" w:sz="0" w:space="0" w:color="auto"/>
                    <w:left w:val="none" w:sz="0" w:space="0" w:color="auto"/>
                    <w:bottom w:val="none" w:sz="0" w:space="0" w:color="auto"/>
                    <w:right w:val="none" w:sz="0" w:space="0" w:color="auto"/>
                  </w:divBdr>
                </w:div>
              </w:divsChild>
            </w:div>
            <w:div w:id="373165295">
              <w:marLeft w:val="0"/>
              <w:marRight w:val="0"/>
              <w:marTop w:val="0"/>
              <w:marBottom w:val="0"/>
              <w:divBdr>
                <w:top w:val="none" w:sz="0" w:space="0" w:color="auto"/>
                <w:left w:val="none" w:sz="0" w:space="0" w:color="auto"/>
                <w:bottom w:val="none" w:sz="0" w:space="0" w:color="auto"/>
                <w:right w:val="none" w:sz="0" w:space="0" w:color="auto"/>
              </w:divBdr>
              <w:divsChild>
                <w:div w:id="869951022">
                  <w:marLeft w:val="0"/>
                  <w:marRight w:val="0"/>
                  <w:marTop w:val="0"/>
                  <w:marBottom w:val="0"/>
                  <w:divBdr>
                    <w:top w:val="none" w:sz="0" w:space="0" w:color="auto"/>
                    <w:left w:val="none" w:sz="0" w:space="0" w:color="auto"/>
                    <w:bottom w:val="none" w:sz="0" w:space="0" w:color="auto"/>
                    <w:right w:val="none" w:sz="0" w:space="0" w:color="auto"/>
                  </w:divBdr>
                </w:div>
              </w:divsChild>
            </w:div>
            <w:div w:id="233468719">
              <w:marLeft w:val="0"/>
              <w:marRight w:val="0"/>
              <w:marTop w:val="0"/>
              <w:marBottom w:val="0"/>
              <w:divBdr>
                <w:top w:val="none" w:sz="0" w:space="0" w:color="auto"/>
                <w:left w:val="none" w:sz="0" w:space="0" w:color="auto"/>
                <w:bottom w:val="none" w:sz="0" w:space="0" w:color="auto"/>
                <w:right w:val="none" w:sz="0" w:space="0" w:color="auto"/>
              </w:divBdr>
              <w:divsChild>
                <w:div w:id="958877939">
                  <w:marLeft w:val="0"/>
                  <w:marRight w:val="0"/>
                  <w:marTop w:val="0"/>
                  <w:marBottom w:val="0"/>
                  <w:divBdr>
                    <w:top w:val="none" w:sz="0" w:space="0" w:color="auto"/>
                    <w:left w:val="none" w:sz="0" w:space="0" w:color="auto"/>
                    <w:bottom w:val="none" w:sz="0" w:space="0" w:color="auto"/>
                    <w:right w:val="none" w:sz="0" w:space="0" w:color="auto"/>
                  </w:divBdr>
                </w:div>
              </w:divsChild>
            </w:div>
            <w:div w:id="1990132857">
              <w:marLeft w:val="0"/>
              <w:marRight w:val="0"/>
              <w:marTop w:val="0"/>
              <w:marBottom w:val="0"/>
              <w:divBdr>
                <w:top w:val="none" w:sz="0" w:space="0" w:color="auto"/>
                <w:left w:val="none" w:sz="0" w:space="0" w:color="auto"/>
                <w:bottom w:val="none" w:sz="0" w:space="0" w:color="auto"/>
                <w:right w:val="none" w:sz="0" w:space="0" w:color="auto"/>
              </w:divBdr>
              <w:divsChild>
                <w:div w:id="2098750104">
                  <w:marLeft w:val="0"/>
                  <w:marRight w:val="0"/>
                  <w:marTop w:val="0"/>
                  <w:marBottom w:val="0"/>
                  <w:divBdr>
                    <w:top w:val="none" w:sz="0" w:space="0" w:color="auto"/>
                    <w:left w:val="none" w:sz="0" w:space="0" w:color="auto"/>
                    <w:bottom w:val="none" w:sz="0" w:space="0" w:color="auto"/>
                    <w:right w:val="none" w:sz="0" w:space="0" w:color="auto"/>
                  </w:divBdr>
                </w:div>
              </w:divsChild>
            </w:div>
            <w:div w:id="1891920311">
              <w:marLeft w:val="0"/>
              <w:marRight w:val="0"/>
              <w:marTop w:val="0"/>
              <w:marBottom w:val="0"/>
              <w:divBdr>
                <w:top w:val="none" w:sz="0" w:space="0" w:color="auto"/>
                <w:left w:val="none" w:sz="0" w:space="0" w:color="auto"/>
                <w:bottom w:val="none" w:sz="0" w:space="0" w:color="auto"/>
                <w:right w:val="none" w:sz="0" w:space="0" w:color="auto"/>
              </w:divBdr>
              <w:divsChild>
                <w:div w:id="273900757">
                  <w:marLeft w:val="0"/>
                  <w:marRight w:val="0"/>
                  <w:marTop w:val="0"/>
                  <w:marBottom w:val="0"/>
                  <w:divBdr>
                    <w:top w:val="none" w:sz="0" w:space="0" w:color="auto"/>
                    <w:left w:val="none" w:sz="0" w:space="0" w:color="auto"/>
                    <w:bottom w:val="none" w:sz="0" w:space="0" w:color="auto"/>
                    <w:right w:val="none" w:sz="0" w:space="0" w:color="auto"/>
                  </w:divBdr>
                </w:div>
              </w:divsChild>
            </w:div>
            <w:div w:id="880750870">
              <w:marLeft w:val="0"/>
              <w:marRight w:val="0"/>
              <w:marTop w:val="0"/>
              <w:marBottom w:val="0"/>
              <w:divBdr>
                <w:top w:val="none" w:sz="0" w:space="0" w:color="auto"/>
                <w:left w:val="none" w:sz="0" w:space="0" w:color="auto"/>
                <w:bottom w:val="none" w:sz="0" w:space="0" w:color="auto"/>
                <w:right w:val="none" w:sz="0" w:space="0" w:color="auto"/>
              </w:divBdr>
              <w:divsChild>
                <w:div w:id="918562169">
                  <w:marLeft w:val="0"/>
                  <w:marRight w:val="0"/>
                  <w:marTop w:val="0"/>
                  <w:marBottom w:val="0"/>
                  <w:divBdr>
                    <w:top w:val="none" w:sz="0" w:space="0" w:color="auto"/>
                    <w:left w:val="none" w:sz="0" w:space="0" w:color="auto"/>
                    <w:bottom w:val="none" w:sz="0" w:space="0" w:color="auto"/>
                    <w:right w:val="none" w:sz="0" w:space="0" w:color="auto"/>
                  </w:divBdr>
                </w:div>
              </w:divsChild>
            </w:div>
            <w:div w:id="2097818108">
              <w:marLeft w:val="0"/>
              <w:marRight w:val="0"/>
              <w:marTop w:val="0"/>
              <w:marBottom w:val="0"/>
              <w:divBdr>
                <w:top w:val="none" w:sz="0" w:space="0" w:color="auto"/>
                <w:left w:val="none" w:sz="0" w:space="0" w:color="auto"/>
                <w:bottom w:val="none" w:sz="0" w:space="0" w:color="auto"/>
                <w:right w:val="none" w:sz="0" w:space="0" w:color="auto"/>
              </w:divBdr>
              <w:divsChild>
                <w:div w:id="937181048">
                  <w:marLeft w:val="0"/>
                  <w:marRight w:val="0"/>
                  <w:marTop w:val="0"/>
                  <w:marBottom w:val="0"/>
                  <w:divBdr>
                    <w:top w:val="none" w:sz="0" w:space="0" w:color="auto"/>
                    <w:left w:val="none" w:sz="0" w:space="0" w:color="auto"/>
                    <w:bottom w:val="none" w:sz="0" w:space="0" w:color="auto"/>
                    <w:right w:val="none" w:sz="0" w:space="0" w:color="auto"/>
                  </w:divBdr>
                </w:div>
              </w:divsChild>
            </w:div>
            <w:div w:id="1393963615">
              <w:marLeft w:val="0"/>
              <w:marRight w:val="0"/>
              <w:marTop w:val="0"/>
              <w:marBottom w:val="0"/>
              <w:divBdr>
                <w:top w:val="none" w:sz="0" w:space="0" w:color="auto"/>
                <w:left w:val="none" w:sz="0" w:space="0" w:color="auto"/>
                <w:bottom w:val="none" w:sz="0" w:space="0" w:color="auto"/>
                <w:right w:val="none" w:sz="0" w:space="0" w:color="auto"/>
              </w:divBdr>
              <w:divsChild>
                <w:div w:id="973024875">
                  <w:marLeft w:val="0"/>
                  <w:marRight w:val="0"/>
                  <w:marTop w:val="0"/>
                  <w:marBottom w:val="0"/>
                  <w:divBdr>
                    <w:top w:val="none" w:sz="0" w:space="0" w:color="auto"/>
                    <w:left w:val="none" w:sz="0" w:space="0" w:color="auto"/>
                    <w:bottom w:val="none" w:sz="0" w:space="0" w:color="auto"/>
                    <w:right w:val="none" w:sz="0" w:space="0" w:color="auto"/>
                  </w:divBdr>
                </w:div>
              </w:divsChild>
            </w:div>
            <w:div w:id="640573848">
              <w:marLeft w:val="0"/>
              <w:marRight w:val="0"/>
              <w:marTop w:val="0"/>
              <w:marBottom w:val="0"/>
              <w:divBdr>
                <w:top w:val="none" w:sz="0" w:space="0" w:color="auto"/>
                <w:left w:val="none" w:sz="0" w:space="0" w:color="auto"/>
                <w:bottom w:val="none" w:sz="0" w:space="0" w:color="auto"/>
                <w:right w:val="none" w:sz="0" w:space="0" w:color="auto"/>
              </w:divBdr>
              <w:divsChild>
                <w:div w:id="1993632933">
                  <w:marLeft w:val="0"/>
                  <w:marRight w:val="0"/>
                  <w:marTop w:val="0"/>
                  <w:marBottom w:val="0"/>
                  <w:divBdr>
                    <w:top w:val="none" w:sz="0" w:space="0" w:color="auto"/>
                    <w:left w:val="none" w:sz="0" w:space="0" w:color="auto"/>
                    <w:bottom w:val="none" w:sz="0" w:space="0" w:color="auto"/>
                    <w:right w:val="none" w:sz="0" w:space="0" w:color="auto"/>
                  </w:divBdr>
                </w:div>
              </w:divsChild>
            </w:div>
            <w:div w:id="1490557631">
              <w:marLeft w:val="0"/>
              <w:marRight w:val="0"/>
              <w:marTop w:val="0"/>
              <w:marBottom w:val="0"/>
              <w:divBdr>
                <w:top w:val="none" w:sz="0" w:space="0" w:color="auto"/>
                <w:left w:val="none" w:sz="0" w:space="0" w:color="auto"/>
                <w:bottom w:val="none" w:sz="0" w:space="0" w:color="auto"/>
                <w:right w:val="none" w:sz="0" w:space="0" w:color="auto"/>
              </w:divBdr>
              <w:divsChild>
                <w:div w:id="796338655">
                  <w:marLeft w:val="0"/>
                  <w:marRight w:val="0"/>
                  <w:marTop w:val="0"/>
                  <w:marBottom w:val="0"/>
                  <w:divBdr>
                    <w:top w:val="none" w:sz="0" w:space="0" w:color="auto"/>
                    <w:left w:val="none" w:sz="0" w:space="0" w:color="auto"/>
                    <w:bottom w:val="none" w:sz="0" w:space="0" w:color="auto"/>
                    <w:right w:val="none" w:sz="0" w:space="0" w:color="auto"/>
                  </w:divBdr>
                </w:div>
              </w:divsChild>
            </w:div>
            <w:div w:id="1801220328">
              <w:marLeft w:val="0"/>
              <w:marRight w:val="0"/>
              <w:marTop w:val="0"/>
              <w:marBottom w:val="0"/>
              <w:divBdr>
                <w:top w:val="none" w:sz="0" w:space="0" w:color="auto"/>
                <w:left w:val="none" w:sz="0" w:space="0" w:color="auto"/>
                <w:bottom w:val="none" w:sz="0" w:space="0" w:color="auto"/>
                <w:right w:val="none" w:sz="0" w:space="0" w:color="auto"/>
              </w:divBdr>
              <w:divsChild>
                <w:div w:id="858274239">
                  <w:marLeft w:val="0"/>
                  <w:marRight w:val="0"/>
                  <w:marTop w:val="0"/>
                  <w:marBottom w:val="0"/>
                  <w:divBdr>
                    <w:top w:val="none" w:sz="0" w:space="0" w:color="auto"/>
                    <w:left w:val="none" w:sz="0" w:space="0" w:color="auto"/>
                    <w:bottom w:val="none" w:sz="0" w:space="0" w:color="auto"/>
                    <w:right w:val="none" w:sz="0" w:space="0" w:color="auto"/>
                  </w:divBdr>
                </w:div>
              </w:divsChild>
            </w:div>
            <w:div w:id="1051074543">
              <w:marLeft w:val="0"/>
              <w:marRight w:val="0"/>
              <w:marTop w:val="0"/>
              <w:marBottom w:val="0"/>
              <w:divBdr>
                <w:top w:val="none" w:sz="0" w:space="0" w:color="auto"/>
                <w:left w:val="none" w:sz="0" w:space="0" w:color="auto"/>
                <w:bottom w:val="none" w:sz="0" w:space="0" w:color="auto"/>
                <w:right w:val="none" w:sz="0" w:space="0" w:color="auto"/>
              </w:divBdr>
              <w:divsChild>
                <w:div w:id="503594257">
                  <w:marLeft w:val="0"/>
                  <w:marRight w:val="0"/>
                  <w:marTop w:val="0"/>
                  <w:marBottom w:val="0"/>
                  <w:divBdr>
                    <w:top w:val="none" w:sz="0" w:space="0" w:color="auto"/>
                    <w:left w:val="none" w:sz="0" w:space="0" w:color="auto"/>
                    <w:bottom w:val="none" w:sz="0" w:space="0" w:color="auto"/>
                    <w:right w:val="none" w:sz="0" w:space="0" w:color="auto"/>
                  </w:divBdr>
                </w:div>
              </w:divsChild>
            </w:div>
            <w:div w:id="329791345">
              <w:marLeft w:val="0"/>
              <w:marRight w:val="0"/>
              <w:marTop w:val="0"/>
              <w:marBottom w:val="0"/>
              <w:divBdr>
                <w:top w:val="none" w:sz="0" w:space="0" w:color="auto"/>
                <w:left w:val="none" w:sz="0" w:space="0" w:color="auto"/>
                <w:bottom w:val="none" w:sz="0" w:space="0" w:color="auto"/>
                <w:right w:val="none" w:sz="0" w:space="0" w:color="auto"/>
              </w:divBdr>
              <w:divsChild>
                <w:div w:id="684132937">
                  <w:marLeft w:val="0"/>
                  <w:marRight w:val="0"/>
                  <w:marTop w:val="0"/>
                  <w:marBottom w:val="0"/>
                  <w:divBdr>
                    <w:top w:val="none" w:sz="0" w:space="0" w:color="auto"/>
                    <w:left w:val="none" w:sz="0" w:space="0" w:color="auto"/>
                    <w:bottom w:val="none" w:sz="0" w:space="0" w:color="auto"/>
                    <w:right w:val="none" w:sz="0" w:space="0" w:color="auto"/>
                  </w:divBdr>
                </w:div>
              </w:divsChild>
            </w:div>
            <w:div w:id="439909920">
              <w:marLeft w:val="0"/>
              <w:marRight w:val="0"/>
              <w:marTop w:val="0"/>
              <w:marBottom w:val="0"/>
              <w:divBdr>
                <w:top w:val="none" w:sz="0" w:space="0" w:color="auto"/>
                <w:left w:val="none" w:sz="0" w:space="0" w:color="auto"/>
                <w:bottom w:val="none" w:sz="0" w:space="0" w:color="auto"/>
                <w:right w:val="none" w:sz="0" w:space="0" w:color="auto"/>
              </w:divBdr>
              <w:divsChild>
                <w:div w:id="1985045832">
                  <w:marLeft w:val="0"/>
                  <w:marRight w:val="0"/>
                  <w:marTop w:val="0"/>
                  <w:marBottom w:val="0"/>
                  <w:divBdr>
                    <w:top w:val="none" w:sz="0" w:space="0" w:color="auto"/>
                    <w:left w:val="none" w:sz="0" w:space="0" w:color="auto"/>
                    <w:bottom w:val="none" w:sz="0" w:space="0" w:color="auto"/>
                    <w:right w:val="none" w:sz="0" w:space="0" w:color="auto"/>
                  </w:divBdr>
                </w:div>
              </w:divsChild>
            </w:div>
            <w:div w:id="359622970">
              <w:marLeft w:val="0"/>
              <w:marRight w:val="0"/>
              <w:marTop w:val="0"/>
              <w:marBottom w:val="0"/>
              <w:divBdr>
                <w:top w:val="none" w:sz="0" w:space="0" w:color="auto"/>
                <w:left w:val="none" w:sz="0" w:space="0" w:color="auto"/>
                <w:bottom w:val="none" w:sz="0" w:space="0" w:color="auto"/>
                <w:right w:val="none" w:sz="0" w:space="0" w:color="auto"/>
              </w:divBdr>
              <w:divsChild>
                <w:div w:id="1356270860">
                  <w:marLeft w:val="0"/>
                  <w:marRight w:val="0"/>
                  <w:marTop w:val="0"/>
                  <w:marBottom w:val="0"/>
                  <w:divBdr>
                    <w:top w:val="none" w:sz="0" w:space="0" w:color="auto"/>
                    <w:left w:val="none" w:sz="0" w:space="0" w:color="auto"/>
                    <w:bottom w:val="none" w:sz="0" w:space="0" w:color="auto"/>
                    <w:right w:val="none" w:sz="0" w:space="0" w:color="auto"/>
                  </w:divBdr>
                </w:div>
              </w:divsChild>
            </w:div>
            <w:div w:id="1318799345">
              <w:marLeft w:val="0"/>
              <w:marRight w:val="0"/>
              <w:marTop w:val="0"/>
              <w:marBottom w:val="0"/>
              <w:divBdr>
                <w:top w:val="none" w:sz="0" w:space="0" w:color="auto"/>
                <w:left w:val="none" w:sz="0" w:space="0" w:color="auto"/>
                <w:bottom w:val="none" w:sz="0" w:space="0" w:color="auto"/>
                <w:right w:val="none" w:sz="0" w:space="0" w:color="auto"/>
              </w:divBdr>
              <w:divsChild>
                <w:div w:id="102071370">
                  <w:marLeft w:val="0"/>
                  <w:marRight w:val="0"/>
                  <w:marTop w:val="0"/>
                  <w:marBottom w:val="0"/>
                  <w:divBdr>
                    <w:top w:val="none" w:sz="0" w:space="0" w:color="auto"/>
                    <w:left w:val="none" w:sz="0" w:space="0" w:color="auto"/>
                    <w:bottom w:val="none" w:sz="0" w:space="0" w:color="auto"/>
                    <w:right w:val="none" w:sz="0" w:space="0" w:color="auto"/>
                  </w:divBdr>
                </w:div>
              </w:divsChild>
            </w:div>
            <w:div w:id="1670408569">
              <w:marLeft w:val="0"/>
              <w:marRight w:val="0"/>
              <w:marTop w:val="0"/>
              <w:marBottom w:val="0"/>
              <w:divBdr>
                <w:top w:val="none" w:sz="0" w:space="0" w:color="auto"/>
                <w:left w:val="none" w:sz="0" w:space="0" w:color="auto"/>
                <w:bottom w:val="none" w:sz="0" w:space="0" w:color="auto"/>
                <w:right w:val="none" w:sz="0" w:space="0" w:color="auto"/>
              </w:divBdr>
              <w:divsChild>
                <w:div w:id="1985155966">
                  <w:marLeft w:val="0"/>
                  <w:marRight w:val="0"/>
                  <w:marTop w:val="0"/>
                  <w:marBottom w:val="0"/>
                  <w:divBdr>
                    <w:top w:val="none" w:sz="0" w:space="0" w:color="auto"/>
                    <w:left w:val="none" w:sz="0" w:space="0" w:color="auto"/>
                    <w:bottom w:val="none" w:sz="0" w:space="0" w:color="auto"/>
                    <w:right w:val="none" w:sz="0" w:space="0" w:color="auto"/>
                  </w:divBdr>
                </w:div>
              </w:divsChild>
            </w:div>
            <w:div w:id="1145660609">
              <w:marLeft w:val="0"/>
              <w:marRight w:val="0"/>
              <w:marTop w:val="0"/>
              <w:marBottom w:val="0"/>
              <w:divBdr>
                <w:top w:val="none" w:sz="0" w:space="0" w:color="auto"/>
                <w:left w:val="none" w:sz="0" w:space="0" w:color="auto"/>
                <w:bottom w:val="none" w:sz="0" w:space="0" w:color="auto"/>
                <w:right w:val="none" w:sz="0" w:space="0" w:color="auto"/>
              </w:divBdr>
              <w:divsChild>
                <w:div w:id="1956517060">
                  <w:marLeft w:val="0"/>
                  <w:marRight w:val="0"/>
                  <w:marTop w:val="0"/>
                  <w:marBottom w:val="0"/>
                  <w:divBdr>
                    <w:top w:val="none" w:sz="0" w:space="0" w:color="auto"/>
                    <w:left w:val="none" w:sz="0" w:space="0" w:color="auto"/>
                    <w:bottom w:val="none" w:sz="0" w:space="0" w:color="auto"/>
                    <w:right w:val="none" w:sz="0" w:space="0" w:color="auto"/>
                  </w:divBdr>
                </w:div>
              </w:divsChild>
            </w:div>
            <w:div w:id="892272700">
              <w:marLeft w:val="0"/>
              <w:marRight w:val="0"/>
              <w:marTop w:val="0"/>
              <w:marBottom w:val="0"/>
              <w:divBdr>
                <w:top w:val="none" w:sz="0" w:space="0" w:color="auto"/>
                <w:left w:val="none" w:sz="0" w:space="0" w:color="auto"/>
                <w:bottom w:val="none" w:sz="0" w:space="0" w:color="auto"/>
                <w:right w:val="none" w:sz="0" w:space="0" w:color="auto"/>
              </w:divBdr>
              <w:divsChild>
                <w:div w:id="1853254371">
                  <w:marLeft w:val="0"/>
                  <w:marRight w:val="0"/>
                  <w:marTop w:val="0"/>
                  <w:marBottom w:val="0"/>
                  <w:divBdr>
                    <w:top w:val="none" w:sz="0" w:space="0" w:color="auto"/>
                    <w:left w:val="none" w:sz="0" w:space="0" w:color="auto"/>
                    <w:bottom w:val="none" w:sz="0" w:space="0" w:color="auto"/>
                    <w:right w:val="none" w:sz="0" w:space="0" w:color="auto"/>
                  </w:divBdr>
                </w:div>
              </w:divsChild>
            </w:div>
            <w:div w:id="1252349265">
              <w:marLeft w:val="0"/>
              <w:marRight w:val="0"/>
              <w:marTop w:val="0"/>
              <w:marBottom w:val="0"/>
              <w:divBdr>
                <w:top w:val="none" w:sz="0" w:space="0" w:color="auto"/>
                <w:left w:val="none" w:sz="0" w:space="0" w:color="auto"/>
                <w:bottom w:val="none" w:sz="0" w:space="0" w:color="auto"/>
                <w:right w:val="none" w:sz="0" w:space="0" w:color="auto"/>
              </w:divBdr>
              <w:divsChild>
                <w:div w:id="1983264257">
                  <w:marLeft w:val="0"/>
                  <w:marRight w:val="0"/>
                  <w:marTop w:val="0"/>
                  <w:marBottom w:val="0"/>
                  <w:divBdr>
                    <w:top w:val="none" w:sz="0" w:space="0" w:color="auto"/>
                    <w:left w:val="none" w:sz="0" w:space="0" w:color="auto"/>
                    <w:bottom w:val="none" w:sz="0" w:space="0" w:color="auto"/>
                    <w:right w:val="none" w:sz="0" w:space="0" w:color="auto"/>
                  </w:divBdr>
                </w:div>
              </w:divsChild>
            </w:div>
            <w:div w:id="1995988137">
              <w:marLeft w:val="0"/>
              <w:marRight w:val="0"/>
              <w:marTop w:val="0"/>
              <w:marBottom w:val="0"/>
              <w:divBdr>
                <w:top w:val="none" w:sz="0" w:space="0" w:color="auto"/>
                <w:left w:val="none" w:sz="0" w:space="0" w:color="auto"/>
                <w:bottom w:val="none" w:sz="0" w:space="0" w:color="auto"/>
                <w:right w:val="none" w:sz="0" w:space="0" w:color="auto"/>
              </w:divBdr>
              <w:divsChild>
                <w:div w:id="602496693">
                  <w:marLeft w:val="0"/>
                  <w:marRight w:val="0"/>
                  <w:marTop w:val="0"/>
                  <w:marBottom w:val="0"/>
                  <w:divBdr>
                    <w:top w:val="none" w:sz="0" w:space="0" w:color="auto"/>
                    <w:left w:val="none" w:sz="0" w:space="0" w:color="auto"/>
                    <w:bottom w:val="none" w:sz="0" w:space="0" w:color="auto"/>
                    <w:right w:val="none" w:sz="0" w:space="0" w:color="auto"/>
                  </w:divBdr>
                </w:div>
              </w:divsChild>
            </w:div>
            <w:div w:id="26956202">
              <w:marLeft w:val="0"/>
              <w:marRight w:val="0"/>
              <w:marTop w:val="0"/>
              <w:marBottom w:val="0"/>
              <w:divBdr>
                <w:top w:val="none" w:sz="0" w:space="0" w:color="auto"/>
                <w:left w:val="none" w:sz="0" w:space="0" w:color="auto"/>
                <w:bottom w:val="none" w:sz="0" w:space="0" w:color="auto"/>
                <w:right w:val="none" w:sz="0" w:space="0" w:color="auto"/>
              </w:divBdr>
              <w:divsChild>
                <w:div w:id="1503082026">
                  <w:marLeft w:val="0"/>
                  <w:marRight w:val="0"/>
                  <w:marTop w:val="0"/>
                  <w:marBottom w:val="0"/>
                  <w:divBdr>
                    <w:top w:val="none" w:sz="0" w:space="0" w:color="auto"/>
                    <w:left w:val="none" w:sz="0" w:space="0" w:color="auto"/>
                    <w:bottom w:val="none" w:sz="0" w:space="0" w:color="auto"/>
                    <w:right w:val="none" w:sz="0" w:space="0" w:color="auto"/>
                  </w:divBdr>
                </w:div>
              </w:divsChild>
            </w:div>
            <w:div w:id="148329532">
              <w:marLeft w:val="0"/>
              <w:marRight w:val="0"/>
              <w:marTop w:val="0"/>
              <w:marBottom w:val="0"/>
              <w:divBdr>
                <w:top w:val="none" w:sz="0" w:space="0" w:color="auto"/>
                <w:left w:val="none" w:sz="0" w:space="0" w:color="auto"/>
                <w:bottom w:val="none" w:sz="0" w:space="0" w:color="auto"/>
                <w:right w:val="none" w:sz="0" w:space="0" w:color="auto"/>
              </w:divBdr>
              <w:divsChild>
                <w:div w:id="251202517">
                  <w:marLeft w:val="0"/>
                  <w:marRight w:val="0"/>
                  <w:marTop w:val="0"/>
                  <w:marBottom w:val="0"/>
                  <w:divBdr>
                    <w:top w:val="none" w:sz="0" w:space="0" w:color="auto"/>
                    <w:left w:val="none" w:sz="0" w:space="0" w:color="auto"/>
                    <w:bottom w:val="none" w:sz="0" w:space="0" w:color="auto"/>
                    <w:right w:val="none" w:sz="0" w:space="0" w:color="auto"/>
                  </w:divBdr>
                </w:div>
              </w:divsChild>
            </w:div>
            <w:div w:id="769277002">
              <w:marLeft w:val="0"/>
              <w:marRight w:val="0"/>
              <w:marTop w:val="0"/>
              <w:marBottom w:val="0"/>
              <w:divBdr>
                <w:top w:val="none" w:sz="0" w:space="0" w:color="auto"/>
                <w:left w:val="none" w:sz="0" w:space="0" w:color="auto"/>
                <w:bottom w:val="none" w:sz="0" w:space="0" w:color="auto"/>
                <w:right w:val="none" w:sz="0" w:space="0" w:color="auto"/>
              </w:divBdr>
              <w:divsChild>
                <w:div w:id="687101772">
                  <w:marLeft w:val="0"/>
                  <w:marRight w:val="0"/>
                  <w:marTop w:val="0"/>
                  <w:marBottom w:val="0"/>
                  <w:divBdr>
                    <w:top w:val="none" w:sz="0" w:space="0" w:color="auto"/>
                    <w:left w:val="none" w:sz="0" w:space="0" w:color="auto"/>
                    <w:bottom w:val="none" w:sz="0" w:space="0" w:color="auto"/>
                    <w:right w:val="none" w:sz="0" w:space="0" w:color="auto"/>
                  </w:divBdr>
                </w:div>
              </w:divsChild>
            </w:div>
            <w:div w:id="865949861">
              <w:marLeft w:val="0"/>
              <w:marRight w:val="0"/>
              <w:marTop w:val="0"/>
              <w:marBottom w:val="0"/>
              <w:divBdr>
                <w:top w:val="none" w:sz="0" w:space="0" w:color="auto"/>
                <w:left w:val="none" w:sz="0" w:space="0" w:color="auto"/>
                <w:bottom w:val="none" w:sz="0" w:space="0" w:color="auto"/>
                <w:right w:val="none" w:sz="0" w:space="0" w:color="auto"/>
              </w:divBdr>
              <w:divsChild>
                <w:div w:id="1959217886">
                  <w:marLeft w:val="0"/>
                  <w:marRight w:val="0"/>
                  <w:marTop w:val="0"/>
                  <w:marBottom w:val="0"/>
                  <w:divBdr>
                    <w:top w:val="none" w:sz="0" w:space="0" w:color="auto"/>
                    <w:left w:val="none" w:sz="0" w:space="0" w:color="auto"/>
                    <w:bottom w:val="none" w:sz="0" w:space="0" w:color="auto"/>
                    <w:right w:val="none" w:sz="0" w:space="0" w:color="auto"/>
                  </w:divBdr>
                </w:div>
              </w:divsChild>
            </w:div>
            <w:div w:id="1505779351">
              <w:marLeft w:val="0"/>
              <w:marRight w:val="0"/>
              <w:marTop w:val="0"/>
              <w:marBottom w:val="0"/>
              <w:divBdr>
                <w:top w:val="none" w:sz="0" w:space="0" w:color="auto"/>
                <w:left w:val="none" w:sz="0" w:space="0" w:color="auto"/>
                <w:bottom w:val="none" w:sz="0" w:space="0" w:color="auto"/>
                <w:right w:val="none" w:sz="0" w:space="0" w:color="auto"/>
              </w:divBdr>
              <w:divsChild>
                <w:div w:id="1235238031">
                  <w:marLeft w:val="0"/>
                  <w:marRight w:val="0"/>
                  <w:marTop w:val="0"/>
                  <w:marBottom w:val="0"/>
                  <w:divBdr>
                    <w:top w:val="none" w:sz="0" w:space="0" w:color="auto"/>
                    <w:left w:val="none" w:sz="0" w:space="0" w:color="auto"/>
                    <w:bottom w:val="none" w:sz="0" w:space="0" w:color="auto"/>
                    <w:right w:val="none" w:sz="0" w:space="0" w:color="auto"/>
                  </w:divBdr>
                </w:div>
              </w:divsChild>
            </w:div>
            <w:div w:id="2079133750">
              <w:marLeft w:val="0"/>
              <w:marRight w:val="0"/>
              <w:marTop w:val="0"/>
              <w:marBottom w:val="0"/>
              <w:divBdr>
                <w:top w:val="none" w:sz="0" w:space="0" w:color="auto"/>
                <w:left w:val="none" w:sz="0" w:space="0" w:color="auto"/>
                <w:bottom w:val="none" w:sz="0" w:space="0" w:color="auto"/>
                <w:right w:val="none" w:sz="0" w:space="0" w:color="auto"/>
              </w:divBdr>
              <w:divsChild>
                <w:div w:id="1621571938">
                  <w:marLeft w:val="0"/>
                  <w:marRight w:val="0"/>
                  <w:marTop w:val="0"/>
                  <w:marBottom w:val="0"/>
                  <w:divBdr>
                    <w:top w:val="none" w:sz="0" w:space="0" w:color="auto"/>
                    <w:left w:val="none" w:sz="0" w:space="0" w:color="auto"/>
                    <w:bottom w:val="none" w:sz="0" w:space="0" w:color="auto"/>
                    <w:right w:val="none" w:sz="0" w:space="0" w:color="auto"/>
                  </w:divBdr>
                </w:div>
              </w:divsChild>
            </w:div>
            <w:div w:id="691806404">
              <w:marLeft w:val="0"/>
              <w:marRight w:val="0"/>
              <w:marTop w:val="0"/>
              <w:marBottom w:val="0"/>
              <w:divBdr>
                <w:top w:val="none" w:sz="0" w:space="0" w:color="auto"/>
                <w:left w:val="none" w:sz="0" w:space="0" w:color="auto"/>
                <w:bottom w:val="none" w:sz="0" w:space="0" w:color="auto"/>
                <w:right w:val="none" w:sz="0" w:space="0" w:color="auto"/>
              </w:divBdr>
              <w:divsChild>
                <w:div w:id="2025009753">
                  <w:marLeft w:val="0"/>
                  <w:marRight w:val="0"/>
                  <w:marTop w:val="0"/>
                  <w:marBottom w:val="0"/>
                  <w:divBdr>
                    <w:top w:val="none" w:sz="0" w:space="0" w:color="auto"/>
                    <w:left w:val="none" w:sz="0" w:space="0" w:color="auto"/>
                    <w:bottom w:val="none" w:sz="0" w:space="0" w:color="auto"/>
                    <w:right w:val="none" w:sz="0" w:space="0" w:color="auto"/>
                  </w:divBdr>
                </w:div>
              </w:divsChild>
            </w:div>
            <w:div w:id="816412724">
              <w:marLeft w:val="0"/>
              <w:marRight w:val="0"/>
              <w:marTop w:val="0"/>
              <w:marBottom w:val="0"/>
              <w:divBdr>
                <w:top w:val="none" w:sz="0" w:space="0" w:color="auto"/>
                <w:left w:val="none" w:sz="0" w:space="0" w:color="auto"/>
                <w:bottom w:val="none" w:sz="0" w:space="0" w:color="auto"/>
                <w:right w:val="none" w:sz="0" w:space="0" w:color="auto"/>
              </w:divBdr>
              <w:divsChild>
                <w:div w:id="545025593">
                  <w:marLeft w:val="0"/>
                  <w:marRight w:val="0"/>
                  <w:marTop w:val="0"/>
                  <w:marBottom w:val="0"/>
                  <w:divBdr>
                    <w:top w:val="none" w:sz="0" w:space="0" w:color="auto"/>
                    <w:left w:val="none" w:sz="0" w:space="0" w:color="auto"/>
                    <w:bottom w:val="none" w:sz="0" w:space="0" w:color="auto"/>
                    <w:right w:val="none" w:sz="0" w:space="0" w:color="auto"/>
                  </w:divBdr>
                </w:div>
              </w:divsChild>
            </w:div>
            <w:div w:id="1954243569">
              <w:marLeft w:val="0"/>
              <w:marRight w:val="0"/>
              <w:marTop w:val="0"/>
              <w:marBottom w:val="0"/>
              <w:divBdr>
                <w:top w:val="none" w:sz="0" w:space="0" w:color="auto"/>
                <w:left w:val="none" w:sz="0" w:space="0" w:color="auto"/>
                <w:bottom w:val="none" w:sz="0" w:space="0" w:color="auto"/>
                <w:right w:val="none" w:sz="0" w:space="0" w:color="auto"/>
              </w:divBdr>
              <w:divsChild>
                <w:div w:id="385881005">
                  <w:marLeft w:val="0"/>
                  <w:marRight w:val="0"/>
                  <w:marTop w:val="0"/>
                  <w:marBottom w:val="0"/>
                  <w:divBdr>
                    <w:top w:val="none" w:sz="0" w:space="0" w:color="auto"/>
                    <w:left w:val="none" w:sz="0" w:space="0" w:color="auto"/>
                    <w:bottom w:val="none" w:sz="0" w:space="0" w:color="auto"/>
                    <w:right w:val="none" w:sz="0" w:space="0" w:color="auto"/>
                  </w:divBdr>
                </w:div>
              </w:divsChild>
            </w:div>
            <w:div w:id="1683044111">
              <w:marLeft w:val="0"/>
              <w:marRight w:val="0"/>
              <w:marTop w:val="0"/>
              <w:marBottom w:val="0"/>
              <w:divBdr>
                <w:top w:val="none" w:sz="0" w:space="0" w:color="auto"/>
                <w:left w:val="none" w:sz="0" w:space="0" w:color="auto"/>
                <w:bottom w:val="none" w:sz="0" w:space="0" w:color="auto"/>
                <w:right w:val="none" w:sz="0" w:space="0" w:color="auto"/>
              </w:divBdr>
              <w:divsChild>
                <w:div w:id="1024942423">
                  <w:marLeft w:val="0"/>
                  <w:marRight w:val="0"/>
                  <w:marTop w:val="0"/>
                  <w:marBottom w:val="0"/>
                  <w:divBdr>
                    <w:top w:val="none" w:sz="0" w:space="0" w:color="auto"/>
                    <w:left w:val="none" w:sz="0" w:space="0" w:color="auto"/>
                    <w:bottom w:val="none" w:sz="0" w:space="0" w:color="auto"/>
                    <w:right w:val="none" w:sz="0" w:space="0" w:color="auto"/>
                  </w:divBdr>
                </w:div>
              </w:divsChild>
            </w:div>
            <w:div w:id="754016129">
              <w:marLeft w:val="0"/>
              <w:marRight w:val="0"/>
              <w:marTop w:val="0"/>
              <w:marBottom w:val="0"/>
              <w:divBdr>
                <w:top w:val="none" w:sz="0" w:space="0" w:color="auto"/>
                <w:left w:val="none" w:sz="0" w:space="0" w:color="auto"/>
                <w:bottom w:val="none" w:sz="0" w:space="0" w:color="auto"/>
                <w:right w:val="none" w:sz="0" w:space="0" w:color="auto"/>
              </w:divBdr>
              <w:divsChild>
                <w:div w:id="1153986495">
                  <w:marLeft w:val="0"/>
                  <w:marRight w:val="0"/>
                  <w:marTop w:val="0"/>
                  <w:marBottom w:val="0"/>
                  <w:divBdr>
                    <w:top w:val="none" w:sz="0" w:space="0" w:color="auto"/>
                    <w:left w:val="none" w:sz="0" w:space="0" w:color="auto"/>
                    <w:bottom w:val="none" w:sz="0" w:space="0" w:color="auto"/>
                    <w:right w:val="none" w:sz="0" w:space="0" w:color="auto"/>
                  </w:divBdr>
                </w:div>
              </w:divsChild>
            </w:div>
            <w:div w:id="1970894514">
              <w:marLeft w:val="0"/>
              <w:marRight w:val="0"/>
              <w:marTop w:val="0"/>
              <w:marBottom w:val="0"/>
              <w:divBdr>
                <w:top w:val="none" w:sz="0" w:space="0" w:color="auto"/>
                <w:left w:val="none" w:sz="0" w:space="0" w:color="auto"/>
                <w:bottom w:val="none" w:sz="0" w:space="0" w:color="auto"/>
                <w:right w:val="none" w:sz="0" w:space="0" w:color="auto"/>
              </w:divBdr>
              <w:divsChild>
                <w:div w:id="1947686394">
                  <w:marLeft w:val="0"/>
                  <w:marRight w:val="0"/>
                  <w:marTop w:val="0"/>
                  <w:marBottom w:val="0"/>
                  <w:divBdr>
                    <w:top w:val="none" w:sz="0" w:space="0" w:color="auto"/>
                    <w:left w:val="none" w:sz="0" w:space="0" w:color="auto"/>
                    <w:bottom w:val="none" w:sz="0" w:space="0" w:color="auto"/>
                    <w:right w:val="none" w:sz="0" w:space="0" w:color="auto"/>
                  </w:divBdr>
                </w:div>
              </w:divsChild>
            </w:div>
            <w:div w:id="1309893960">
              <w:marLeft w:val="0"/>
              <w:marRight w:val="0"/>
              <w:marTop w:val="0"/>
              <w:marBottom w:val="0"/>
              <w:divBdr>
                <w:top w:val="none" w:sz="0" w:space="0" w:color="auto"/>
                <w:left w:val="none" w:sz="0" w:space="0" w:color="auto"/>
                <w:bottom w:val="none" w:sz="0" w:space="0" w:color="auto"/>
                <w:right w:val="none" w:sz="0" w:space="0" w:color="auto"/>
              </w:divBdr>
              <w:divsChild>
                <w:div w:id="1147211892">
                  <w:marLeft w:val="0"/>
                  <w:marRight w:val="0"/>
                  <w:marTop w:val="0"/>
                  <w:marBottom w:val="0"/>
                  <w:divBdr>
                    <w:top w:val="none" w:sz="0" w:space="0" w:color="auto"/>
                    <w:left w:val="none" w:sz="0" w:space="0" w:color="auto"/>
                    <w:bottom w:val="none" w:sz="0" w:space="0" w:color="auto"/>
                    <w:right w:val="none" w:sz="0" w:space="0" w:color="auto"/>
                  </w:divBdr>
                </w:div>
              </w:divsChild>
            </w:div>
            <w:div w:id="717702377">
              <w:marLeft w:val="0"/>
              <w:marRight w:val="0"/>
              <w:marTop w:val="0"/>
              <w:marBottom w:val="0"/>
              <w:divBdr>
                <w:top w:val="none" w:sz="0" w:space="0" w:color="auto"/>
                <w:left w:val="none" w:sz="0" w:space="0" w:color="auto"/>
                <w:bottom w:val="none" w:sz="0" w:space="0" w:color="auto"/>
                <w:right w:val="none" w:sz="0" w:space="0" w:color="auto"/>
              </w:divBdr>
              <w:divsChild>
                <w:div w:id="651449961">
                  <w:marLeft w:val="0"/>
                  <w:marRight w:val="0"/>
                  <w:marTop w:val="0"/>
                  <w:marBottom w:val="0"/>
                  <w:divBdr>
                    <w:top w:val="none" w:sz="0" w:space="0" w:color="auto"/>
                    <w:left w:val="none" w:sz="0" w:space="0" w:color="auto"/>
                    <w:bottom w:val="none" w:sz="0" w:space="0" w:color="auto"/>
                    <w:right w:val="none" w:sz="0" w:space="0" w:color="auto"/>
                  </w:divBdr>
                </w:div>
              </w:divsChild>
            </w:div>
            <w:div w:id="1373966768">
              <w:marLeft w:val="0"/>
              <w:marRight w:val="0"/>
              <w:marTop w:val="0"/>
              <w:marBottom w:val="0"/>
              <w:divBdr>
                <w:top w:val="none" w:sz="0" w:space="0" w:color="auto"/>
                <w:left w:val="none" w:sz="0" w:space="0" w:color="auto"/>
                <w:bottom w:val="none" w:sz="0" w:space="0" w:color="auto"/>
                <w:right w:val="none" w:sz="0" w:space="0" w:color="auto"/>
              </w:divBdr>
              <w:divsChild>
                <w:div w:id="1060249231">
                  <w:marLeft w:val="0"/>
                  <w:marRight w:val="0"/>
                  <w:marTop w:val="0"/>
                  <w:marBottom w:val="0"/>
                  <w:divBdr>
                    <w:top w:val="none" w:sz="0" w:space="0" w:color="auto"/>
                    <w:left w:val="none" w:sz="0" w:space="0" w:color="auto"/>
                    <w:bottom w:val="none" w:sz="0" w:space="0" w:color="auto"/>
                    <w:right w:val="none" w:sz="0" w:space="0" w:color="auto"/>
                  </w:divBdr>
                </w:div>
              </w:divsChild>
            </w:div>
            <w:div w:id="1793863272">
              <w:marLeft w:val="0"/>
              <w:marRight w:val="0"/>
              <w:marTop w:val="0"/>
              <w:marBottom w:val="0"/>
              <w:divBdr>
                <w:top w:val="none" w:sz="0" w:space="0" w:color="auto"/>
                <w:left w:val="none" w:sz="0" w:space="0" w:color="auto"/>
                <w:bottom w:val="none" w:sz="0" w:space="0" w:color="auto"/>
                <w:right w:val="none" w:sz="0" w:space="0" w:color="auto"/>
              </w:divBdr>
              <w:divsChild>
                <w:div w:id="406657852">
                  <w:marLeft w:val="0"/>
                  <w:marRight w:val="0"/>
                  <w:marTop w:val="0"/>
                  <w:marBottom w:val="0"/>
                  <w:divBdr>
                    <w:top w:val="none" w:sz="0" w:space="0" w:color="auto"/>
                    <w:left w:val="none" w:sz="0" w:space="0" w:color="auto"/>
                    <w:bottom w:val="none" w:sz="0" w:space="0" w:color="auto"/>
                    <w:right w:val="none" w:sz="0" w:space="0" w:color="auto"/>
                  </w:divBdr>
                </w:div>
              </w:divsChild>
            </w:div>
            <w:div w:id="2141611238">
              <w:marLeft w:val="0"/>
              <w:marRight w:val="0"/>
              <w:marTop w:val="0"/>
              <w:marBottom w:val="0"/>
              <w:divBdr>
                <w:top w:val="none" w:sz="0" w:space="0" w:color="auto"/>
                <w:left w:val="none" w:sz="0" w:space="0" w:color="auto"/>
                <w:bottom w:val="none" w:sz="0" w:space="0" w:color="auto"/>
                <w:right w:val="none" w:sz="0" w:space="0" w:color="auto"/>
              </w:divBdr>
              <w:divsChild>
                <w:div w:id="1440177749">
                  <w:marLeft w:val="0"/>
                  <w:marRight w:val="0"/>
                  <w:marTop w:val="0"/>
                  <w:marBottom w:val="0"/>
                  <w:divBdr>
                    <w:top w:val="none" w:sz="0" w:space="0" w:color="auto"/>
                    <w:left w:val="none" w:sz="0" w:space="0" w:color="auto"/>
                    <w:bottom w:val="none" w:sz="0" w:space="0" w:color="auto"/>
                    <w:right w:val="none" w:sz="0" w:space="0" w:color="auto"/>
                  </w:divBdr>
                </w:div>
              </w:divsChild>
            </w:div>
            <w:div w:id="1370104016">
              <w:marLeft w:val="0"/>
              <w:marRight w:val="0"/>
              <w:marTop w:val="0"/>
              <w:marBottom w:val="0"/>
              <w:divBdr>
                <w:top w:val="none" w:sz="0" w:space="0" w:color="auto"/>
                <w:left w:val="none" w:sz="0" w:space="0" w:color="auto"/>
                <w:bottom w:val="none" w:sz="0" w:space="0" w:color="auto"/>
                <w:right w:val="none" w:sz="0" w:space="0" w:color="auto"/>
              </w:divBdr>
              <w:divsChild>
                <w:div w:id="1722096651">
                  <w:marLeft w:val="0"/>
                  <w:marRight w:val="0"/>
                  <w:marTop w:val="0"/>
                  <w:marBottom w:val="0"/>
                  <w:divBdr>
                    <w:top w:val="none" w:sz="0" w:space="0" w:color="auto"/>
                    <w:left w:val="none" w:sz="0" w:space="0" w:color="auto"/>
                    <w:bottom w:val="none" w:sz="0" w:space="0" w:color="auto"/>
                    <w:right w:val="none" w:sz="0" w:space="0" w:color="auto"/>
                  </w:divBdr>
                </w:div>
              </w:divsChild>
            </w:div>
            <w:div w:id="488910520">
              <w:marLeft w:val="0"/>
              <w:marRight w:val="0"/>
              <w:marTop w:val="0"/>
              <w:marBottom w:val="0"/>
              <w:divBdr>
                <w:top w:val="none" w:sz="0" w:space="0" w:color="auto"/>
                <w:left w:val="none" w:sz="0" w:space="0" w:color="auto"/>
                <w:bottom w:val="none" w:sz="0" w:space="0" w:color="auto"/>
                <w:right w:val="none" w:sz="0" w:space="0" w:color="auto"/>
              </w:divBdr>
              <w:divsChild>
                <w:div w:id="1525359282">
                  <w:marLeft w:val="0"/>
                  <w:marRight w:val="0"/>
                  <w:marTop w:val="0"/>
                  <w:marBottom w:val="0"/>
                  <w:divBdr>
                    <w:top w:val="none" w:sz="0" w:space="0" w:color="auto"/>
                    <w:left w:val="none" w:sz="0" w:space="0" w:color="auto"/>
                    <w:bottom w:val="none" w:sz="0" w:space="0" w:color="auto"/>
                    <w:right w:val="none" w:sz="0" w:space="0" w:color="auto"/>
                  </w:divBdr>
                </w:div>
              </w:divsChild>
            </w:div>
            <w:div w:id="834109099">
              <w:marLeft w:val="0"/>
              <w:marRight w:val="0"/>
              <w:marTop w:val="0"/>
              <w:marBottom w:val="0"/>
              <w:divBdr>
                <w:top w:val="none" w:sz="0" w:space="0" w:color="auto"/>
                <w:left w:val="none" w:sz="0" w:space="0" w:color="auto"/>
                <w:bottom w:val="none" w:sz="0" w:space="0" w:color="auto"/>
                <w:right w:val="none" w:sz="0" w:space="0" w:color="auto"/>
              </w:divBdr>
              <w:divsChild>
                <w:div w:id="1555042206">
                  <w:marLeft w:val="0"/>
                  <w:marRight w:val="0"/>
                  <w:marTop w:val="0"/>
                  <w:marBottom w:val="0"/>
                  <w:divBdr>
                    <w:top w:val="none" w:sz="0" w:space="0" w:color="auto"/>
                    <w:left w:val="none" w:sz="0" w:space="0" w:color="auto"/>
                    <w:bottom w:val="none" w:sz="0" w:space="0" w:color="auto"/>
                    <w:right w:val="none" w:sz="0" w:space="0" w:color="auto"/>
                  </w:divBdr>
                </w:div>
              </w:divsChild>
            </w:div>
            <w:div w:id="1611008650">
              <w:marLeft w:val="0"/>
              <w:marRight w:val="0"/>
              <w:marTop w:val="0"/>
              <w:marBottom w:val="0"/>
              <w:divBdr>
                <w:top w:val="none" w:sz="0" w:space="0" w:color="auto"/>
                <w:left w:val="none" w:sz="0" w:space="0" w:color="auto"/>
                <w:bottom w:val="none" w:sz="0" w:space="0" w:color="auto"/>
                <w:right w:val="none" w:sz="0" w:space="0" w:color="auto"/>
              </w:divBdr>
              <w:divsChild>
                <w:div w:id="114494227">
                  <w:marLeft w:val="0"/>
                  <w:marRight w:val="0"/>
                  <w:marTop w:val="0"/>
                  <w:marBottom w:val="0"/>
                  <w:divBdr>
                    <w:top w:val="none" w:sz="0" w:space="0" w:color="auto"/>
                    <w:left w:val="none" w:sz="0" w:space="0" w:color="auto"/>
                    <w:bottom w:val="none" w:sz="0" w:space="0" w:color="auto"/>
                    <w:right w:val="none" w:sz="0" w:space="0" w:color="auto"/>
                  </w:divBdr>
                </w:div>
              </w:divsChild>
            </w:div>
            <w:div w:id="1062025770">
              <w:marLeft w:val="0"/>
              <w:marRight w:val="0"/>
              <w:marTop w:val="0"/>
              <w:marBottom w:val="0"/>
              <w:divBdr>
                <w:top w:val="none" w:sz="0" w:space="0" w:color="auto"/>
                <w:left w:val="none" w:sz="0" w:space="0" w:color="auto"/>
                <w:bottom w:val="none" w:sz="0" w:space="0" w:color="auto"/>
                <w:right w:val="none" w:sz="0" w:space="0" w:color="auto"/>
              </w:divBdr>
              <w:divsChild>
                <w:div w:id="1832062258">
                  <w:marLeft w:val="0"/>
                  <w:marRight w:val="0"/>
                  <w:marTop w:val="0"/>
                  <w:marBottom w:val="0"/>
                  <w:divBdr>
                    <w:top w:val="none" w:sz="0" w:space="0" w:color="auto"/>
                    <w:left w:val="none" w:sz="0" w:space="0" w:color="auto"/>
                    <w:bottom w:val="none" w:sz="0" w:space="0" w:color="auto"/>
                    <w:right w:val="none" w:sz="0" w:space="0" w:color="auto"/>
                  </w:divBdr>
                </w:div>
              </w:divsChild>
            </w:div>
            <w:div w:id="815797390">
              <w:marLeft w:val="0"/>
              <w:marRight w:val="0"/>
              <w:marTop w:val="0"/>
              <w:marBottom w:val="0"/>
              <w:divBdr>
                <w:top w:val="none" w:sz="0" w:space="0" w:color="auto"/>
                <w:left w:val="none" w:sz="0" w:space="0" w:color="auto"/>
                <w:bottom w:val="none" w:sz="0" w:space="0" w:color="auto"/>
                <w:right w:val="none" w:sz="0" w:space="0" w:color="auto"/>
              </w:divBdr>
              <w:divsChild>
                <w:div w:id="2099672300">
                  <w:marLeft w:val="0"/>
                  <w:marRight w:val="0"/>
                  <w:marTop w:val="0"/>
                  <w:marBottom w:val="0"/>
                  <w:divBdr>
                    <w:top w:val="none" w:sz="0" w:space="0" w:color="auto"/>
                    <w:left w:val="none" w:sz="0" w:space="0" w:color="auto"/>
                    <w:bottom w:val="none" w:sz="0" w:space="0" w:color="auto"/>
                    <w:right w:val="none" w:sz="0" w:space="0" w:color="auto"/>
                  </w:divBdr>
                </w:div>
              </w:divsChild>
            </w:div>
            <w:div w:id="321394351">
              <w:marLeft w:val="0"/>
              <w:marRight w:val="0"/>
              <w:marTop w:val="0"/>
              <w:marBottom w:val="0"/>
              <w:divBdr>
                <w:top w:val="none" w:sz="0" w:space="0" w:color="auto"/>
                <w:left w:val="none" w:sz="0" w:space="0" w:color="auto"/>
                <w:bottom w:val="none" w:sz="0" w:space="0" w:color="auto"/>
                <w:right w:val="none" w:sz="0" w:space="0" w:color="auto"/>
              </w:divBdr>
              <w:divsChild>
                <w:div w:id="385030500">
                  <w:marLeft w:val="0"/>
                  <w:marRight w:val="0"/>
                  <w:marTop w:val="0"/>
                  <w:marBottom w:val="0"/>
                  <w:divBdr>
                    <w:top w:val="none" w:sz="0" w:space="0" w:color="auto"/>
                    <w:left w:val="none" w:sz="0" w:space="0" w:color="auto"/>
                    <w:bottom w:val="none" w:sz="0" w:space="0" w:color="auto"/>
                    <w:right w:val="none" w:sz="0" w:space="0" w:color="auto"/>
                  </w:divBdr>
                </w:div>
              </w:divsChild>
            </w:div>
            <w:div w:id="1406222431">
              <w:marLeft w:val="0"/>
              <w:marRight w:val="0"/>
              <w:marTop w:val="0"/>
              <w:marBottom w:val="0"/>
              <w:divBdr>
                <w:top w:val="none" w:sz="0" w:space="0" w:color="auto"/>
                <w:left w:val="none" w:sz="0" w:space="0" w:color="auto"/>
                <w:bottom w:val="none" w:sz="0" w:space="0" w:color="auto"/>
                <w:right w:val="none" w:sz="0" w:space="0" w:color="auto"/>
              </w:divBdr>
              <w:divsChild>
                <w:div w:id="900485598">
                  <w:marLeft w:val="0"/>
                  <w:marRight w:val="0"/>
                  <w:marTop w:val="0"/>
                  <w:marBottom w:val="0"/>
                  <w:divBdr>
                    <w:top w:val="none" w:sz="0" w:space="0" w:color="auto"/>
                    <w:left w:val="none" w:sz="0" w:space="0" w:color="auto"/>
                    <w:bottom w:val="none" w:sz="0" w:space="0" w:color="auto"/>
                    <w:right w:val="none" w:sz="0" w:space="0" w:color="auto"/>
                  </w:divBdr>
                </w:div>
              </w:divsChild>
            </w:div>
            <w:div w:id="1532376016">
              <w:marLeft w:val="0"/>
              <w:marRight w:val="0"/>
              <w:marTop w:val="0"/>
              <w:marBottom w:val="0"/>
              <w:divBdr>
                <w:top w:val="none" w:sz="0" w:space="0" w:color="auto"/>
                <w:left w:val="none" w:sz="0" w:space="0" w:color="auto"/>
                <w:bottom w:val="none" w:sz="0" w:space="0" w:color="auto"/>
                <w:right w:val="none" w:sz="0" w:space="0" w:color="auto"/>
              </w:divBdr>
              <w:divsChild>
                <w:div w:id="541405236">
                  <w:marLeft w:val="0"/>
                  <w:marRight w:val="0"/>
                  <w:marTop w:val="0"/>
                  <w:marBottom w:val="0"/>
                  <w:divBdr>
                    <w:top w:val="none" w:sz="0" w:space="0" w:color="auto"/>
                    <w:left w:val="none" w:sz="0" w:space="0" w:color="auto"/>
                    <w:bottom w:val="none" w:sz="0" w:space="0" w:color="auto"/>
                    <w:right w:val="none" w:sz="0" w:space="0" w:color="auto"/>
                  </w:divBdr>
                </w:div>
              </w:divsChild>
            </w:div>
            <w:div w:id="742263019">
              <w:marLeft w:val="0"/>
              <w:marRight w:val="0"/>
              <w:marTop w:val="0"/>
              <w:marBottom w:val="0"/>
              <w:divBdr>
                <w:top w:val="none" w:sz="0" w:space="0" w:color="auto"/>
                <w:left w:val="none" w:sz="0" w:space="0" w:color="auto"/>
                <w:bottom w:val="none" w:sz="0" w:space="0" w:color="auto"/>
                <w:right w:val="none" w:sz="0" w:space="0" w:color="auto"/>
              </w:divBdr>
              <w:divsChild>
                <w:div w:id="1402023627">
                  <w:marLeft w:val="0"/>
                  <w:marRight w:val="0"/>
                  <w:marTop w:val="0"/>
                  <w:marBottom w:val="0"/>
                  <w:divBdr>
                    <w:top w:val="none" w:sz="0" w:space="0" w:color="auto"/>
                    <w:left w:val="none" w:sz="0" w:space="0" w:color="auto"/>
                    <w:bottom w:val="none" w:sz="0" w:space="0" w:color="auto"/>
                    <w:right w:val="none" w:sz="0" w:space="0" w:color="auto"/>
                  </w:divBdr>
                </w:div>
              </w:divsChild>
            </w:div>
            <w:div w:id="626934113">
              <w:marLeft w:val="0"/>
              <w:marRight w:val="0"/>
              <w:marTop w:val="0"/>
              <w:marBottom w:val="0"/>
              <w:divBdr>
                <w:top w:val="none" w:sz="0" w:space="0" w:color="auto"/>
                <w:left w:val="none" w:sz="0" w:space="0" w:color="auto"/>
                <w:bottom w:val="none" w:sz="0" w:space="0" w:color="auto"/>
                <w:right w:val="none" w:sz="0" w:space="0" w:color="auto"/>
              </w:divBdr>
              <w:divsChild>
                <w:div w:id="971057866">
                  <w:marLeft w:val="0"/>
                  <w:marRight w:val="0"/>
                  <w:marTop w:val="0"/>
                  <w:marBottom w:val="0"/>
                  <w:divBdr>
                    <w:top w:val="none" w:sz="0" w:space="0" w:color="auto"/>
                    <w:left w:val="none" w:sz="0" w:space="0" w:color="auto"/>
                    <w:bottom w:val="none" w:sz="0" w:space="0" w:color="auto"/>
                    <w:right w:val="none" w:sz="0" w:space="0" w:color="auto"/>
                  </w:divBdr>
                </w:div>
              </w:divsChild>
            </w:div>
            <w:div w:id="2120643294">
              <w:marLeft w:val="0"/>
              <w:marRight w:val="0"/>
              <w:marTop w:val="0"/>
              <w:marBottom w:val="0"/>
              <w:divBdr>
                <w:top w:val="none" w:sz="0" w:space="0" w:color="auto"/>
                <w:left w:val="none" w:sz="0" w:space="0" w:color="auto"/>
                <w:bottom w:val="none" w:sz="0" w:space="0" w:color="auto"/>
                <w:right w:val="none" w:sz="0" w:space="0" w:color="auto"/>
              </w:divBdr>
              <w:divsChild>
                <w:div w:id="1006904616">
                  <w:marLeft w:val="0"/>
                  <w:marRight w:val="0"/>
                  <w:marTop w:val="0"/>
                  <w:marBottom w:val="0"/>
                  <w:divBdr>
                    <w:top w:val="none" w:sz="0" w:space="0" w:color="auto"/>
                    <w:left w:val="none" w:sz="0" w:space="0" w:color="auto"/>
                    <w:bottom w:val="none" w:sz="0" w:space="0" w:color="auto"/>
                    <w:right w:val="none" w:sz="0" w:space="0" w:color="auto"/>
                  </w:divBdr>
                </w:div>
              </w:divsChild>
            </w:div>
            <w:div w:id="847599266">
              <w:marLeft w:val="0"/>
              <w:marRight w:val="0"/>
              <w:marTop w:val="0"/>
              <w:marBottom w:val="0"/>
              <w:divBdr>
                <w:top w:val="none" w:sz="0" w:space="0" w:color="auto"/>
                <w:left w:val="none" w:sz="0" w:space="0" w:color="auto"/>
                <w:bottom w:val="none" w:sz="0" w:space="0" w:color="auto"/>
                <w:right w:val="none" w:sz="0" w:space="0" w:color="auto"/>
              </w:divBdr>
              <w:divsChild>
                <w:div w:id="1296714505">
                  <w:marLeft w:val="0"/>
                  <w:marRight w:val="0"/>
                  <w:marTop w:val="0"/>
                  <w:marBottom w:val="0"/>
                  <w:divBdr>
                    <w:top w:val="none" w:sz="0" w:space="0" w:color="auto"/>
                    <w:left w:val="none" w:sz="0" w:space="0" w:color="auto"/>
                    <w:bottom w:val="none" w:sz="0" w:space="0" w:color="auto"/>
                    <w:right w:val="none" w:sz="0" w:space="0" w:color="auto"/>
                  </w:divBdr>
                </w:div>
              </w:divsChild>
            </w:div>
            <w:div w:id="483665766">
              <w:marLeft w:val="0"/>
              <w:marRight w:val="0"/>
              <w:marTop w:val="0"/>
              <w:marBottom w:val="0"/>
              <w:divBdr>
                <w:top w:val="none" w:sz="0" w:space="0" w:color="auto"/>
                <w:left w:val="none" w:sz="0" w:space="0" w:color="auto"/>
                <w:bottom w:val="none" w:sz="0" w:space="0" w:color="auto"/>
                <w:right w:val="none" w:sz="0" w:space="0" w:color="auto"/>
              </w:divBdr>
              <w:divsChild>
                <w:div w:id="522518769">
                  <w:marLeft w:val="0"/>
                  <w:marRight w:val="0"/>
                  <w:marTop w:val="0"/>
                  <w:marBottom w:val="0"/>
                  <w:divBdr>
                    <w:top w:val="none" w:sz="0" w:space="0" w:color="auto"/>
                    <w:left w:val="none" w:sz="0" w:space="0" w:color="auto"/>
                    <w:bottom w:val="none" w:sz="0" w:space="0" w:color="auto"/>
                    <w:right w:val="none" w:sz="0" w:space="0" w:color="auto"/>
                  </w:divBdr>
                </w:div>
              </w:divsChild>
            </w:div>
            <w:div w:id="1770924507">
              <w:marLeft w:val="0"/>
              <w:marRight w:val="0"/>
              <w:marTop w:val="0"/>
              <w:marBottom w:val="0"/>
              <w:divBdr>
                <w:top w:val="none" w:sz="0" w:space="0" w:color="auto"/>
                <w:left w:val="none" w:sz="0" w:space="0" w:color="auto"/>
                <w:bottom w:val="none" w:sz="0" w:space="0" w:color="auto"/>
                <w:right w:val="none" w:sz="0" w:space="0" w:color="auto"/>
              </w:divBdr>
              <w:divsChild>
                <w:div w:id="147139399">
                  <w:marLeft w:val="0"/>
                  <w:marRight w:val="0"/>
                  <w:marTop w:val="0"/>
                  <w:marBottom w:val="0"/>
                  <w:divBdr>
                    <w:top w:val="none" w:sz="0" w:space="0" w:color="auto"/>
                    <w:left w:val="none" w:sz="0" w:space="0" w:color="auto"/>
                    <w:bottom w:val="none" w:sz="0" w:space="0" w:color="auto"/>
                    <w:right w:val="none" w:sz="0" w:space="0" w:color="auto"/>
                  </w:divBdr>
                </w:div>
              </w:divsChild>
            </w:div>
            <w:div w:id="2103259993">
              <w:marLeft w:val="0"/>
              <w:marRight w:val="0"/>
              <w:marTop w:val="0"/>
              <w:marBottom w:val="0"/>
              <w:divBdr>
                <w:top w:val="none" w:sz="0" w:space="0" w:color="auto"/>
                <w:left w:val="none" w:sz="0" w:space="0" w:color="auto"/>
                <w:bottom w:val="none" w:sz="0" w:space="0" w:color="auto"/>
                <w:right w:val="none" w:sz="0" w:space="0" w:color="auto"/>
              </w:divBdr>
              <w:divsChild>
                <w:div w:id="1032531948">
                  <w:marLeft w:val="0"/>
                  <w:marRight w:val="0"/>
                  <w:marTop w:val="0"/>
                  <w:marBottom w:val="0"/>
                  <w:divBdr>
                    <w:top w:val="none" w:sz="0" w:space="0" w:color="auto"/>
                    <w:left w:val="none" w:sz="0" w:space="0" w:color="auto"/>
                    <w:bottom w:val="none" w:sz="0" w:space="0" w:color="auto"/>
                    <w:right w:val="none" w:sz="0" w:space="0" w:color="auto"/>
                  </w:divBdr>
                </w:div>
              </w:divsChild>
            </w:div>
            <w:div w:id="816800721">
              <w:marLeft w:val="0"/>
              <w:marRight w:val="0"/>
              <w:marTop w:val="0"/>
              <w:marBottom w:val="0"/>
              <w:divBdr>
                <w:top w:val="none" w:sz="0" w:space="0" w:color="auto"/>
                <w:left w:val="none" w:sz="0" w:space="0" w:color="auto"/>
                <w:bottom w:val="none" w:sz="0" w:space="0" w:color="auto"/>
                <w:right w:val="none" w:sz="0" w:space="0" w:color="auto"/>
              </w:divBdr>
              <w:divsChild>
                <w:div w:id="1701198803">
                  <w:marLeft w:val="0"/>
                  <w:marRight w:val="0"/>
                  <w:marTop w:val="0"/>
                  <w:marBottom w:val="0"/>
                  <w:divBdr>
                    <w:top w:val="none" w:sz="0" w:space="0" w:color="auto"/>
                    <w:left w:val="none" w:sz="0" w:space="0" w:color="auto"/>
                    <w:bottom w:val="none" w:sz="0" w:space="0" w:color="auto"/>
                    <w:right w:val="none" w:sz="0" w:space="0" w:color="auto"/>
                  </w:divBdr>
                </w:div>
              </w:divsChild>
            </w:div>
            <w:div w:id="2043044259">
              <w:marLeft w:val="0"/>
              <w:marRight w:val="0"/>
              <w:marTop w:val="0"/>
              <w:marBottom w:val="0"/>
              <w:divBdr>
                <w:top w:val="none" w:sz="0" w:space="0" w:color="auto"/>
                <w:left w:val="none" w:sz="0" w:space="0" w:color="auto"/>
                <w:bottom w:val="none" w:sz="0" w:space="0" w:color="auto"/>
                <w:right w:val="none" w:sz="0" w:space="0" w:color="auto"/>
              </w:divBdr>
              <w:divsChild>
                <w:div w:id="13193682">
                  <w:marLeft w:val="0"/>
                  <w:marRight w:val="0"/>
                  <w:marTop w:val="0"/>
                  <w:marBottom w:val="0"/>
                  <w:divBdr>
                    <w:top w:val="none" w:sz="0" w:space="0" w:color="auto"/>
                    <w:left w:val="none" w:sz="0" w:space="0" w:color="auto"/>
                    <w:bottom w:val="none" w:sz="0" w:space="0" w:color="auto"/>
                    <w:right w:val="none" w:sz="0" w:space="0" w:color="auto"/>
                  </w:divBdr>
                </w:div>
              </w:divsChild>
            </w:div>
            <w:div w:id="1703365098">
              <w:marLeft w:val="0"/>
              <w:marRight w:val="0"/>
              <w:marTop w:val="0"/>
              <w:marBottom w:val="0"/>
              <w:divBdr>
                <w:top w:val="none" w:sz="0" w:space="0" w:color="auto"/>
                <w:left w:val="none" w:sz="0" w:space="0" w:color="auto"/>
                <w:bottom w:val="none" w:sz="0" w:space="0" w:color="auto"/>
                <w:right w:val="none" w:sz="0" w:space="0" w:color="auto"/>
              </w:divBdr>
              <w:divsChild>
                <w:div w:id="1555585947">
                  <w:marLeft w:val="0"/>
                  <w:marRight w:val="0"/>
                  <w:marTop w:val="0"/>
                  <w:marBottom w:val="0"/>
                  <w:divBdr>
                    <w:top w:val="none" w:sz="0" w:space="0" w:color="auto"/>
                    <w:left w:val="none" w:sz="0" w:space="0" w:color="auto"/>
                    <w:bottom w:val="none" w:sz="0" w:space="0" w:color="auto"/>
                    <w:right w:val="none" w:sz="0" w:space="0" w:color="auto"/>
                  </w:divBdr>
                </w:div>
              </w:divsChild>
            </w:div>
            <w:div w:id="666058326">
              <w:marLeft w:val="0"/>
              <w:marRight w:val="0"/>
              <w:marTop w:val="0"/>
              <w:marBottom w:val="0"/>
              <w:divBdr>
                <w:top w:val="none" w:sz="0" w:space="0" w:color="auto"/>
                <w:left w:val="none" w:sz="0" w:space="0" w:color="auto"/>
                <w:bottom w:val="none" w:sz="0" w:space="0" w:color="auto"/>
                <w:right w:val="none" w:sz="0" w:space="0" w:color="auto"/>
              </w:divBdr>
              <w:divsChild>
                <w:div w:id="1166633749">
                  <w:marLeft w:val="0"/>
                  <w:marRight w:val="0"/>
                  <w:marTop w:val="0"/>
                  <w:marBottom w:val="0"/>
                  <w:divBdr>
                    <w:top w:val="none" w:sz="0" w:space="0" w:color="auto"/>
                    <w:left w:val="none" w:sz="0" w:space="0" w:color="auto"/>
                    <w:bottom w:val="none" w:sz="0" w:space="0" w:color="auto"/>
                    <w:right w:val="none" w:sz="0" w:space="0" w:color="auto"/>
                  </w:divBdr>
                </w:div>
              </w:divsChild>
            </w:div>
            <w:div w:id="1316642129">
              <w:marLeft w:val="0"/>
              <w:marRight w:val="0"/>
              <w:marTop w:val="0"/>
              <w:marBottom w:val="0"/>
              <w:divBdr>
                <w:top w:val="none" w:sz="0" w:space="0" w:color="auto"/>
                <w:left w:val="none" w:sz="0" w:space="0" w:color="auto"/>
                <w:bottom w:val="none" w:sz="0" w:space="0" w:color="auto"/>
                <w:right w:val="none" w:sz="0" w:space="0" w:color="auto"/>
              </w:divBdr>
              <w:divsChild>
                <w:div w:id="51774156">
                  <w:marLeft w:val="0"/>
                  <w:marRight w:val="0"/>
                  <w:marTop w:val="0"/>
                  <w:marBottom w:val="0"/>
                  <w:divBdr>
                    <w:top w:val="none" w:sz="0" w:space="0" w:color="auto"/>
                    <w:left w:val="none" w:sz="0" w:space="0" w:color="auto"/>
                    <w:bottom w:val="none" w:sz="0" w:space="0" w:color="auto"/>
                    <w:right w:val="none" w:sz="0" w:space="0" w:color="auto"/>
                  </w:divBdr>
                </w:div>
              </w:divsChild>
            </w:div>
            <w:div w:id="1723553525">
              <w:marLeft w:val="0"/>
              <w:marRight w:val="0"/>
              <w:marTop w:val="0"/>
              <w:marBottom w:val="0"/>
              <w:divBdr>
                <w:top w:val="none" w:sz="0" w:space="0" w:color="auto"/>
                <w:left w:val="none" w:sz="0" w:space="0" w:color="auto"/>
                <w:bottom w:val="none" w:sz="0" w:space="0" w:color="auto"/>
                <w:right w:val="none" w:sz="0" w:space="0" w:color="auto"/>
              </w:divBdr>
              <w:divsChild>
                <w:div w:id="141435335">
                  <w:marLeft w:val="0"/>
                  <w:marRight w:val="0"/>
                  <w:marTop w:val="0"/>
                  <w:marBottom w:val="0"/>
                  <w:divBdr>
                    <w:top w:val="none" w:sz="0" w:space="0" w:color="auto"/>
                    <w:left w:val="none" w:sz="0" w:space="0" w:color="auto"/>
                    <w:bottom w:val="none" w:sz="0" w:space="0" w:color="auto"/>
                    <w:right w:val="none" w:sz="0" w:space="0" w:color="auto"/>
                  </w:divBdr>
                </w:div>
              </w:divsChild>
            </w:div>
            <w:div w:id="1508443855">
              <w:marLeft w:val="0"/>
              <w:marRight w:val="0"/>
              <w:marTop w:val="0"/>
              <w:marBottom w:val="0"/>
              <w:divBdr>
                <w:top w:val="none" w:sz="0" w:space="0" w:color="auto"/>
                <w:left w:val="none" w:sz="0" w:space="0" w:color="auto"/>
                <w:bottom w:val="none" w:sz="0" w:space="0" w:color="auto"/>
                <w:right w:val="none" w:sz="0" w:space="0" w:color="auto"/>
              </w:divBdr>
              <w:divsChild>
                <w:div w:id="340204858">
                  <w:marLeft w:val="0"/>
                  <w:marRight w:val="0"/>
                  <w:marTop w:val="0"/>
                  <w:marBottom w:val="0"/>
                  <w:divBdr>
                    <w:top w:val="none" w:sz="0" w:space="0" w:color="auto"/>
                    <w:left w:val="none" w:sz="0" w:space="0" w:color="auto"/>
                    <w:bottom w:val="none" w:sz="0" w:space="0" w:color="auto"/>
                    <w:right w:val="none" w:sz="0" w:space="0" w:color="auto"/>
                  </w:divBdr>
                </w:div>
              </w:divsChild>
            </w:div>
            <w:div w:id="1446848268">
              <w:marLeft w:val="0"/>
              <w:marRight w:val="0"/>
              <w:marTop w:val="0"/>
              <w:marBottom w:val="0"/>
              <w:divBdr>
                <w:top w:val="none" w:sz="0" w:space="0" w:color="auto"/>
                <w:left w:val="none" w:sz="0" w:space="0" w:color="auto"/>
                <w:bottom w:val="none" w:sz="0" w:space="0" w:color="auto"/>
                <w:right w:val="none" w:sz="0" w:space="0" w:color="auto"/>
              </w:divBdr>
              <w:divsChild>
                <w:div w:id="1189178641">
                  <w:marLeft w:val="0"/>
                  <w:marRight w:val="0"/>
                  <w:marTop w:val="0"/>
                  <w:marBottom w:val="0"/>
                  <w:divBdr>
                    <w:top w:val="none" w:sz="0" w:space="0" w:color="auto"/>
                    <w:left w:val="none" w:sz="0" w:space="0" w:color="auto"/>
                    <w:bottom w:val="none" w:sz="0" w:space="0" w:color="auto"/>
                    <w:right w:val="none" w:sz="0" w:space="0" w:color="auto"/>
                  </w:divBdr>
                </w:div>
              </w:divsChild>
            </w:div>
            <w:div w:id="890848924">
              <w:marLeft w:val="0"/>
              <w:marRight w:val="0"/>
              <w:marTop w:val="0"/>
              <w:marBottom w:val="0"/>
              <w:divBdr>
                <w:top w:val="none" w:sz="0" w:space="0" w:color="auto"/>
                <w:left w:val="none" w:sz="0" w:space="0" w:color="auto"/>
                <w:bottom w:val="none" w:sz="0" w:space="0" w:color="auto"/>
                <w:right w:val="none" w:sz="0" w:space="0" w:color="auto"/>
              </w:divBdr>
              <w:divsChild>
                <w:div w:id="2132819029">
                  <w:marLeft w:val="0"/>
                  <w:marRight w:val="0"/>
                  <w:marTop w:val="0"/>
                  <w:marBottom w:val="0"/>
                  <w:divBdr>
                    <w:top w:val="none" w:sz="0" w:space="0" w:color="auto"/>
                    <w:left w:val="none" w:sz="0" w:space="0" w:color="auto"/>
                    <w:bottom w:val="none" w:sz="0" w:space="0" w:color="auto"/>
                    <w:right w:val="none" w:sz="0" w:space="0" w:color="auto"/>
                  </w:divBdr>
                </w:div>
              </w:divsChild>
            </w:div>
            <w:div w:id="1072436434">
              <w:marLeft w:val="0"/>
              <w:marRight w:val="0"/>
              <w:marTop w:val="0"/>
              <w:marBottom w:val="0"/>
              <w:divBdr>
                <w:top w:val="none" w:sz="0" w:space="0" w:color="auto"/>
                <w:left w:val="none" w:sz="0" w:space="0" w:color="auto"/>
                <w:bottom w:val="none" w:sz="0" w:space="0" w:color="auto"/>
                <w:right w:val="none" w:sz="0" w:space="0" w:color="auto"/>
              </w:divBdr>
              <w:divsChild>
                <w:div w:id="2035810689">
                  <w:marLeft w:val="0"/>
                  <w:marRight w:val="0"/>
                  <w:marTop w:val="0"/>
                  <w:marBottom w:val="0"/>
                  <w:divBdr>
                    <w:top w:val="none" w:sz="0" w:space="0" w:color="auto"/>
                    <w:left w:val="none" w:sz="0" w:space="0" w:color="auto"/>
                    <w:bottom w:val="none" w:sz="0" w:space="0" w:color="auto"/>
                    <w:right w:val="none" w:sz="0" w:space="0" w:color="auto"/>
                  </w:divBdr>
                </w:div>
              </w:divsChild>
            </w:div>
            <w:div w:id="768625497">
              <w:marLeft w:val="0"/>
              <w:marRight w:val="0"/>
              <w:marTop w:val="0"/>
              <w:marBottom w:val="0"/>
              <w:divBdr>
                <w:top w:val="none" w:sz="0" w:space="0" w:color="auto"/>
                <w:left w:val="none" w:sz="0" w:space="0" w:color="auto"/>
                <w:bottom w:val="none" w:sz="0" w:space="0" w:color="auto"/>
                <w:right w:val="none" w:sz="0" w:space="0" w:color="auto"/>
              </w:divBdr>
              <w:divsChild>
                <w:div w:id="1276870032">
                  <w:marLeft w:val="0"/>
                  <w:marRight w:val="0"/>
                  <w:marTop w:val="0"/>
                  <w:marBottom w:val="0"/>
                  <w:divBdr>
                    <w:top w:val="none" w:sz="0" w:space="0" w:color="auto"/>
                    <w:left w:val="none" w:sz="0" w:space="0" w:color="auto"/>
                    <w:bottom w:val="none" w:sz="0" w:space="0" w:color="auto"/>
                    <w:right w:val="none" w:sz="0" w:space="0" w:color="auto"/>
                  </w:divBdr>
                </w:div>
              </w:divsChild>
            </w:div>
            <w:div w:id="553547350">
              <w:marLeft w:val="0"/>
              <w:marRight w:val="0"/>
              <w:marTop w:val="0"/>
              <w:marBottom w:val="0"/>
              <w:divBdr>
                <w:top w:val="none" w:sz="0" w:space="0" w:color="auto"/>
                <w:left w:val="none" w:sz="0" w:space="0" w:color="auto"/>
                <w:bottom w:val="none" w:sz="0" w:space="0" w:color="auto"/>
                <w:right w:val="none" w:sz="0" w:space="0" w:color="auto"/>
              </w:divBdr>
              <w:divsChild>
                <w:div w:id="1184900223">
                  <w:marLeft w:val="0"/>
                  <w:marRight w:val="0"/>
                  <w:marTop w:val="0"/>
                  <w:marBottom w:val="0"/>
                  <w:divBdr>
                    <w:top w:val="none" w:sz="0" w:space="0" w:color="auto"/>
                    <w:left w:val="none" w:sz="0" w:space="0" w:color="auto"/>
                    <w:bottom w:val="none" w:sz="0" w:space="0" w:color="auto"/>
                    <w:right w:val="none" w:sz="0" w:space="0" w:color="auto"/>
                  </w:divBdr>
                </w:div>
              </w:divsChild>
            </w:div>
            <w:div w:id="59718325">
              <w:marLeft w:val="0"/>
              <w:marRight w:val="0"/>
              <w:marTop w:val="0"/>
              <w:marBottom w:val="0"/>
              <w:divBdr>
                <w:top w:val="none" w:sz="0" w:space="0" w:color="auto"/>
                <w:left w:val="none" w:sz="0" w:space="0" w:color="auto"/>
                <w:bottom w:val="none" w:sz="0" w:space="0" w:color="auto"/>
                <w:right w:val="none" w:sz="0" w:space="0" w:color="auto"/>
              </w:divBdr>
              <w:divsChild>
                <w:div w:id="1971861668">
                  <w:marLeft w:val="0"/>
                  <w:marRight w:val="0"/>
                  <w:marTop w:val="0"/>
                  <w:marBottom w:val="0"/>
                  <w:divBdr>
                    <w:top w:val="none" w:sz="0" w:space="0" w:color="auto"/>
                    <w:left w:val="none" w:sz="0" w:space="0" w:color="auto"/>
                    <w:bottom w:val="none" w:sz="0" w:space="0" w:color="auto"/>
                    <w:right w:val="none" w:sz="0" w:space="0" w:color="auto"/>
                  </w:divBdr>
                </w:div>
              </w:divsChild>
            </w:div>
            <w:div w:id="1745646649">
              <w:marLeft w:val="0"/>
              <w:marRight w:val="0"/>
              <w:marTop w:val="0"/>
              <w:marBottom w:val="0"/>
              <w:divBdr>
                <w:top w:val="none" w:sz="0" w:space="0" w:color="auto"/>
                <w:left w:val="none" w:sz="0" w:space="0" w:color="auto"/>
                <w:bottom w:val="none" w:sz="0" w:space="0" w:color="auto"/>
                <w:right w:val="none" w:sz="0" w:space="0" w:color="auto"/>
              </w:divBdr>
              <w:divsChild>
                <w:div w:id="1316572622">
                  <w:marLeft w:val="0"/>
                  <w:marRight w:val="0"/>
                  <w:marTop w:val="0"/>
                  <w:marBottom w:val="0"/>
                  <w:divBdr>
                    <w:top w:val="none" w:sz="0" w:space="0" w:color="auto"/>
                    <w:left w:val="none" w:sz="0" w:space="0" w:color="auto"/>
                    <w:bottom w:val="none" w:sz="0" w:space="0" w:color="auto"/>
                    <w:right w:val="none" w:sz="0" w:space="0" w:color="auto"/>
                  </w:divBdr>
                </w:div>
              </w:divsChild>
            </w:div>
            <w:div w:id="176703181">
              <w:marLeft w:val="0"/>
              <w:marRight w:val="0"/>
              <w:marTop w:val="0"/>
              <w:marBottom w:val="0"/>
              <w:divBdr>
                <w:top w:val="none" w:sz="0" w:space="0" w:color="auto"/>
                <w:left w:val="none" w:sz="0" w:space="0" w:color="auto"/>
                <w:bottom w:val="none" w:sz="0" w:space="0" w:color="auto"/>
                <w:right w:val="none" w:sz="0" w:space="0" w:color="auto"/>
              </w:divBdr>
              <w:divsChild>
                <w:div w:id="1658224489">
                  <w:marLeft w:val="0"/>
                  <w:marRight w:val="0"/>
                  <w:marTop w:val="0"/>
                  <w:marBottom w:val="0"/>
                  <w:divBdr>
                    <w:top w:val="none" w:sz="0" w:space="0" w:color="auto"/>
                    <w:left w:val="none" w:sz="0" w:space="0" w:color="auto"/>
                    <w:bottom w:val="none" w:sz="0" w:space="0" w:color="auto"/>
                    <w:right w:val="none" w:sz="0" w:space="0" w:color="auto"/>
                  </w:divBdr>
                </w:div>
              </w:divsChild>
            </w:div>
            <w:div w:id="1973169679">
              <w:marLeft w:val="0"/>
              <w:marRight w:val="0"/>
              <w:marTop w:val="0"/>
              <w:marBottom w:val="0"/>
              <w:divBdr>
                <w:top w:val="none" w:sz="0" w:space="0" w:color="auto"/>
                <w:left w:val="none" w:sz="0" w:space="0" w:color="auto"/>
                <w:bottom w:val="none" w:sz="0" w:space="0" w:color="auto"/>
                <w:right w:val="none" w:sz="0" w:space="0" w:color="auto"/>
              </w:divBdr>
              <w:divsChild>
                <w:div w:id="1138108272">
                  <w:marLeft w:val="0"/>
                  <w:marRight w:val="0"/>
                  <w:marTop w:val="0"/>
                  <w:marBottom w:val="0"/>
                  <w:divBdr>
                    <w:top w:val="none" w:sz="0" w:space="0" w:color="auto"/>
                    <w:left w:val="none" w:sz="0" w:space="0" w:color="auto"/>
                    <w:bottom w:val="none" w:sz="0" w:space="0" w:color="auto"/>
                    <w:right w:val="none" w:sz="0" w:space="0" w:color="auto"/>
                  </w:divBdr>
                </w:div>
              </w:divsChild>
            </w:div>
            <w:div w:id="1973706424">
              <w:marLeft w:val="0"/>
              <w:marRight w:val="0"/>
              <w:marTop w:val="0"/>
              <w:marBottom w:val="0"/>
              <w:divBdr>
                <w:top w:val="none" w:sz="0" w:space="0" w:color="auto"/>
                <w:left w:val="none" w:sz="0" w:space="0" w:color="auto"/>
                <w:bottom w:val="none" w:sz="0" w:space="0" w:color="auto"/>
                <w:right w:val="none" w:sz="0" w:space="0" w:color="auto"/>
              </w:divBdr>
              <w:divsChild>
                <w:div w:id="16860254">
                  <w:marLeft w:val="0"/>
                  <w:marRight w:val="0"/>
                  <w:marTop w:val="0"/>
                  <w:marBottom w:val="0"/>
                  <w:divBdr>
                    <w:top w:val="none" w:sz="0" w:space="0" w:color="auto"/>
                    <w:left w:val="none" w:sz="0" w:space="0" w:color="auto"/>
                    <w:bottom w:val="none" w:sz="0" w:space="0" w:color="auto"/>
                    <w:right w:val="none" w:sz="0" w:space="0" w:color="auto"/>
                  </w:divBdr>
                </w:div>
              </w:divsChild>
            </w:div>
            <w:div w:id="621812921">
              <w:marLeft w:val="0"/>
              <w:marRight w:val="0"/>
              <w:marTop w:val="0"/>
              <w:marBottom w:val="0"/>
              <w:divBdr>
                <w:top w:val="none" w:sz="0" w:space="0" w:color="auto"/>
                <w:left w:val="none" w:sz="0" w:space="0" w:color="auto"/>
                <w:bottom w:val="none" w:sz="0" w:space="0" w:color="auto"/>
                <w:right w:val="none" w:sz="0" w:space="0" w:color="auto"/>
              </w:divBdr>
              <w:divsChild>
                <w:div w:id="1455562682">
                  <w:marLeft w:val="0"/>
                  <w:marRight w:val="0"/>
                  <w:marTop w:val="0"/>
                  <w:marBottom w:val="0"/>
                  <w:divBdr>
                    <w:top w:val="none" w:sz="0" w:space="0" w:color="auto"/>
                    <w:left w:val="none" w:sz="0" w:space="0" w:color="auto"/>
                    <w:bottom w:val="none" w:sz="0" w:space="0" w:color="auto"/>
                    <w:right w:val="none" w:sz="0" w:space="0" w:color="auto"/>
                  </w:divBdr>
                </w:div>
              </w:divsChild>
            </w:div>
            <w:div w:id="933242778">
              <w:marLeft w:val="0"/>
              <w:marRight w:val="0"/>
              <w:marTop w:val="0"/>
              <w:marBottom w:val="0"/>
              <w:divBdr>
                <w:top w:val="none" w:sz="0" w:space="0" w:color="auto"/>
                <w:left w:val="none" w:sz="0" w:space="0" w:color="auto"/>
                <w:bottom w:val="none" w:sz="0" w:space="0" w:color="auto"/>
                <w:right w:val="none" w:sz="0" w:space="0" w:color="auto"/>
              </w:divBdr>
              <w:divsChild>
                <w:div w:id="15352474">
                  <w:marLeft w:val="0"/>
                  <w:marRight w:val="0"/>
                  <w:marTop w:val="0"/>
                  <w:marBottom w:val="0"/>
                  <w:divBdr>
                    <w:top w:val="none" w:sz="0" w:space="0" w:color="auto"/>
                    <w:left w:val="none" w:sz="0" w:space="0" w:color="auto"/>
                    <w:bottom w:val="none" w:sz="0" w:space="0" w:color="auto"/>
                    <w:right w:val="none" w:sz="0" w:space="0" w:color="auto"/>
                  </w:divBdr>
                </w:div>
              </w:divsChild>
            </w:div>
            <w:div w:id="1416439042">
              <w:marLeft w:val="0"/>
              <w:marRight w:val="0"/>
              <w:marTop w:val="0"/>
              <w:marBottom w:val="0"/>
              <w:divBdr>
                <w:top w:val="none" w:sz="0" w:space="0" w:color="auto"/>
                <w:left w:val="none" w:sz="0" w:space="0" w:color="auto"/>
                <w:bottom w:val="none" w:sz="0" w:space="0" w:color="auto"/>
                <w:right w:val="none" w:sz="0" w:space="0" w:color="auto"/>
              </w:divBdr>
              <w:divsChild>
                <w:div w:id="1671522223">
                  <w:marLeft w:val="0"/>
                  <w:marRight w:val="0"/>
                  <w:marTop w:val="0"/>
                  <w:marBottom w:val="0"/>
                  <w:divBdr>
                    <w:top w:val="none" w:sz="0" w:space="0" w:color="auto"/>
                    <w:left w:val="none" w:sz="0" w:space="0" w:color="auto"/>
                    <w:bottom w:val="none" w:sz="0" w:space="0" w:color="auto"/>
                    <w:right w:val="none" w:sz="0" w:space="0" w:color="auto"/>
                  </w:divBdr>
                </w:div>
              </w:divsChild>
            </w:div>
            <w:div w:id="641232053">
              <w:marLeft w:val="0"/>
              <w:marRight w:val="0"/>
              <w:marTop w:val="0"/>
              <w:marBottom w:val="0"/>
              <w:divBdr>
                <w:top w:val="none" w:sz="0" w:space="0" w:color="auto"/>
                <w:left w:val="none" w:sz="0" w:space="0" w:color="auto"/>
                <w:bottom w:val="none" w:sz="0" w:space="0" w:color="auto"/>
                <w:right w:val="none" w:sz="0" w:space="0" w:color="auto"/>
              </w:divBdr>
              <w:divsChild>
                <w:div w:id="1416709913">
                  <w:marLeft w:val="0"/>
                  <w:marRight w:val="0"/>
                  <w:marTop w:val="0"/>
                  <w:marBottom w:val="0"/>
                  <w:divBdr>
                    <w:top w:val="none" w:sz="0" w:space="0" w:color="auto"/>
                    <w:left w:val="none" w:sz="0" w:space="0" w:color="auto"/>
                    <w:bottom w:val="none" w:sz="0" w:space="0" w:color="auto"/>
                    <w:right w:val="none" w:sz="0" w:space="0" w:color="auto"/>
                  </w:divBdr>
                </w:div>
              </w:divsChild>
            </w:div>
            <w:div w:id="533814876">
              <w:marLeft w:val="0"/>
              <w:marRight w:val="0"/>
              <w:marTop w:val="0"/>
              <w:marBottom w:val="0"/>
              <w:divBdr>
                <w:top w:val="none" w:sz="0" w:space="0" w:color="auto"/>
                <w:left w:val="none" w:sz="0" w:space="0" w:color="auto"/>
                <w:bottom w:val="none" w:sz="0" w:space="0" w:color="auto"/>
                <w:right w:val="none" w:sz="0" w:space="0" w:color="auto"/>
              </w:divBdr>
              <w:divsChild>
                <w:div w:id="8144658">
                  <w:marLeft w:val="0"/>
                  <w:marRight w:val="0"/>
                  <w:marTop w:val="0"/>
                  <w:marBottom w:val="0"/>
                  <w:divBdr>
                    <w:top w:val="none" w:sz="0" w:space="0" w:color="auto"/>
                    <w:left w:val="none" w:sz="0" w:space="0" w:color="auto"/>
                    <w:bottom w:val="none" w:sz="0" w:space="0" w:color="auto"/>
                    <w:right w:val="none" w:sz="0" w:space="0" w:color="auto"/>
                  </w:divBdr>
                </w:div>
              </w:divsChild>
            </w:div>
            <w:div w:id="156072169">
              <w:marLeft w:val="0"/>
              <w:marRight w:val="0"/>
              <w:marTop w:val="0"/>
              <w:marBottom w:val="0"/>
              <w:divBdr>
                <w:top w:val="none" w:sz="0" w:space="0" w:color="auto"/>
                <w:left w:val="none" w:sz="0" w:space="0" w:color="auto"/>
                <w:bottom w:val="none" w:sz="0" w:space="0" w:color="auto"/>
                <w:right w:val="none" w:sz="0" w:space="0" w:color="auto"/>
              </w:divBdr>
              <w:divsChild>
                <w:div w:id="564687904">
                  <w:marLeft w:val="0"/>
                  <w:marRight w:val="0"/>
                  <w:marTop w:val="0"/>
                  <w:marBottom w:val="0"/>
                  <w:divBdr>
                    <w:top w:val="none" w:sz="0" w:space="0" w:color="auto"/>
                    <w:left w:val="none" w:sz="0" w:space="0" w:color="auto"/>
                    <w:bottom w:val="none" w:sz="0" w:space="0" w:color="auto"/>
                    <w:right w:val="none" w:sz="0" w:space="0" w:color="auto"/>
                  </w:divBdr>
                </w:div>
              </w:divsChild>
            </w:div>
            <w:div w:id="832258256">
              <w:marLeft w:val="0"/>
              <w:marRight w:val="0"/>
              <w:marTop w:val="0"/>
              <w:marBottom w:val="0"/>
              <w:divBdr>
                <w:top w:val="none" w:sz="0" w:space="0" w:color="auto"/>
                <w:left w:val="none" w:sz="0" w:space="0" w:color="auto"/>
                <w:bottom w:val="none" w:sz="0" w:space="0" w:color="auto"/>
                <w:right w:val="none" w:sz="0" w:space="0" w:color="auto"/>
              </w:divBdr>
              <w:divsChild>
                <w:div w:id="815949005">
                  <w:marLeft w:val="0"/>
                  <w:marRight w:val="0"/>
                  <w:marTop w:val="0"/>
                  <w:marBottom w:val="0"/>
                  <w:divBdr>
                    <w:top w:val="none" w:sz="0" w:space="0" w:color="auto"/>
                    <w:left w:val="none" w:sz="0" w:space="0" w:color="auto"/>
                    <w:bottom w:val="none" w:sz="0" w:space="0" w:color="auto"/>
                    <w:right w:val="none" w:sz="0" w:space="0" w:color="auto"/>
                  </w:divBdr>
                </w:div>
              </w:divsChild>
            </w:div>
            <w:div w:id="909729940">
              <w:marLeft w:val="0"/>
              <w:marRight w:val="0"/>
              <w:marTop w:val="0"/>
              <w:marBottom w:val="0"/>
              <w:divBdr>
                <w:top w:val="none" w:sz="0" w:space="0" w:color="auto"/>
                <w:left w:val="none" w:sz="0" w:space="0" w:color="auto"/>
                <w:bottom w:val="none" w:sz="0" w:space="0" w:color="auto"/>
                <w:right w:val="none" w:sz="0" w:space="0" w:color="auto"/>
              </w:divBdr>
              <w:divsChild>
                <w:div w:id="158467043">
                  <w:marLeft w:val="0"/>
                  <w:marRight w:val="0"/>
                  <w:marTop w:val="0"/>
                  <w:marBottom w:val="0"/>
                  <w:divBdr>
                    <w:top w:val="none" w:sz="0" w:space="0" w:color="auto"/>
                    <w:left w:val="none" w:sz="0" w:space="0" w:color="auto"/>
                    <w:bottom w:val="none" w:sz="0" w:space="0" w:color="auto"/>
                    <w:right w:val="none" w:sz="0" w:space="0" w:color="auto"/>
                  </w:divBdr>
                </w:div>
              </w:divsChild>
            </w:div>
            <w:div w:id="6520331">
              <w:marLeft w:val="0"/>
              <w:marRight w:val="0"/>
              <w:marTop w:val="0"/>
              <w:marBottom w:val="0"/>
              <w:divBdr>
                <w:top w:val="none" w:sz="0" w:space="0" w:color="auto"/>
                <w:left w:val="none" w:sz="0" w:space="0" w:color="auto"/>
                <w:bottom w:val="none" w:sz="0" w:space="0" w:color="auto"/>
                <w:right w:val="none" w:sz="0" w:space="0" w:color="auto"/>
              </w:divBdr>
              <w:divsChild>
                <w:div w:id="614557893">
                  <w:marLeft w:val="0"/>
                  <w:marRight w:val="0"/>
                  <w:marTop w:val="0"/>
                  <w:marBottom w:val="0"/>
                  <w:divBdr>
                    <w:top w:val="none" w:sz="0" w:space="0" w:color="auto"/>
                    <w:left w:val="none" w:sz="0" w:space="0" w:color="auto"/>
                    <w:bottom w:val="none" w:sz="0" w:space="0" w:color="auto"/>
                    <w:right w:val="none" w:sz="0" w:space="0" w:color="auto"/>
                  </w:divBdr>
                </w:div>
              </w:divsChild>
            </w:div>
            <w:div w:id="1196776466">
              <w:marLeft w:val="0"/>
              <w:marRight w:val="0"/>
              <w:marTop w:val="0"/>
              <w:marBottom w:val="0"/>
              <w:divBdr>
                <w:top w:val="none" w:sz="0" w:space="0" w:color="auto"/>
                <w:left w:val="none" w:sz="0" w:space="0" w:color="auto"/>
                <w:bottom w:val="none" w:sz="0" w:space="0" w:color="auto"/>
                <w:right w:val="none" w:sz="0" w:space="0" w:color="auto"/>
              </w:divBdr>
              <w:divsChild>
                <w:div w:id="742601817">
                  <w:marLeft w:val="0"/>
                  <w:marRight w:val="0"/>
                  <w:marTop w:val="0"/>
                  <w:marBottom w:val="0"/>
                  <w:divBdr>
                    <w:top w:val="none" w:sz="0" w:space="0" w:color="auto"/>
                    <w:left w:val="none" w:sz="0" w:space="0" w:color="auto"/>
                    <w:bottom w:val="none" w:sz="0" w:space="0" w:color="auto"/>
                    <w:right w:val="none" w:sz="0" w:space="0" w:color="auto"/>
                  </w:divBdr>
                </w:div>
              </w:divsChild>
            </w:div>
            <w:div w:id="375079855">
              <w:marLeft w:val="0"/>
              <w:marRight w:val="0"/>
              <w:marTop w:val="0"/>
              <w:marBottom w:val="0"/>
              <w:divBdr>
                <w:top w:val="none" w:sz="0" w:space="0" w:color="auto"/>
                <w:left w:val="none" w:sz="0" w:space="0" w:color="auto"/>
                <w:bottom w:val="none" w:sz="0" w:space="0" w:color="auto"/>
                <w:right w:val="none" w:sz="0" w:space="0" w:color="auto"/>
              </w:divBdr>
              <w:divsChild>
                <w:div w:id="1334410443">
                  <w:marLeft w:val="0"/>
                  <w:marRight w:val="0"/>
                  <w:marTop w:val="0"/>
                  <w:marBottom w:val="0"/>
                  <w:divBdr>
                    <w:top w:val="none" w:sz="0" w:space="0" w:color="auto"/>
                    <w:left w:val="none" w:sz="0" w:space="0" w:color="auto"/>
                    <w:bottom w:val="none" w:sz="0" w:space="0" w:color="auto"/>
                    <w:right w:val="none" w:sz="0" w:space="0" w:color="auto"/>
                  </w:divBdr>
                </w:div>
              </w:divsChild>
            </w:div>
            <w:div w:id="532306150">
              <w:marLeft w:val="0"/>
              <w:marRight w:val="0"/>
              <w:marTop w:val="0"/>
              <w:marBottom w:val="0"/>
              <w:divBdr>
                <w:top w:val="none" w:sz="0" w:space="0" w:color="auto"/>
                <w:left w:val="none" w:sz="0" w:space="0" w:color="auto"/>
                <w:bottom w:val="none" w:sz="0" w:space="0" w:color="auto"/>
                <w:right w:val="none" w:sz="0" w:space="0" w:color="auto"/>
              </w:divBdr>
              <w:divsChild>
                <w:div w:id="1063941226">
                  <w:marLeft w:val="0"/>
                  <w:marRight w:val="0"/>
                  <w:marTop w:val="0"/>
                  <w:marBottom w:val="0"/>
                  <w:divBdr>
                    <w:top w:val="none" w:sz="0" w:space="0" w:color="auto"/>
                    <w:left w:val="none" w:sz="0" w:space="0" w:color="auto"/>
                    <w:bottom w:val="none" w:sz="0" w:space="0" w:color="auto"/>
                    <w:right w:val="none" w:sz="0" w:space="0" w:color="auto"/>
                  </w:divBdr>
                </w:div>
              </w:divsChild>
            </w:div>
            <w:div w:id="1432438057">
              <w:marLeft w:val="0"/>
              <w:marRight w:val="0"/>
              <w:marTop w:val="0"/>
              <w:marBottom w:val="0"/>
              <w:divBdr>
                <w:top w:val="none" w:sz="0" w:space="0" w:color="auto"/>
                <w:left w:val="none" w:sz="0" w:space="0" w:color="auto"/>
                <w:bottom w:val="none" w:sz="0" w:space="0" w:color="auto"/>
                <w:right w:val="none" w:sz="0" w:space="0" w:color="auto"/>
              </w:divBdr>
              <w:divsChild>
                <w:div w:id="18627106">
                  <w:marLeft w:val="0"/>
                  <w:marRight w:val="0"/>
                  <w:marTop w:val="0"/>
                  <w:marBottom w:val="0"/>
                  <w:divBdr>
                    <w:top w:val="none" w:sz="0" w:space="0" w:color="auto"/>
                    <w:left w:val="none" w:sz="0" w:space="0" w:color="auto"/>
                    <w:bottom w:val="none" w:sz="0" w:space="0" w:color="auto"/>
                    <w:right w:val="none" w:sz="0" w:space="0" w:color="auto"/>
                  </w:divBdr>
                </w:div>
              </w:divsChild>
            </w:div>
            <w:div w:id="1818836109">
              <w:marLeft w:val="0"/>
              <w:marRight w:val="0"/>
              <w:marTop w:val="0"/>
              <w:marBottom w:val="0"/>
              <w:divBdr>
                <w:top w:val="none" w:sz="0" w:space="0" w:color="auto"/>
                <w:left w:val="none" w:sz="0" w:space="0" w:color="auto"/>
                <w:bottom w:val="none" w:sz="0" w:space="0" w:color="auto"/>
                <w:right w:val="none" w:sz="0" w:space="0" w:color="auto"/>
              </w:divBdr>
              <w:divsChild>
                <w:div w:id="1253860242">
                  <w:marLeft w:val="0"/>
                  <w:marRight w:val="0"/>
                  <w:marTop w:val="0"/>
                  <w:marBottom w:val="0"/>
                  <w:divBdr>
                    <w:top w:val="none" w:sz="0" w:space="0" w:color="auto"/>
                    <w:left w:val="none" w:sz="0" w:space="0" w:color="auto"/>
                    <w:bottom w:val="none" w:sz="0" w:space="0" w:color="auto"/>
                    <w:right w:val="none" w:sz="0" w:space="0" w:color="auto"/>
                  </w:divBdr>
                </w:div>
              </w:divsChild>
            </w:div>
            <w:div w:id="283079916">
              <w:marLeft w:val="0"/>
              <w:marRight w:val="0"/>
              <w:marTop w:val="0"/>
              <w:marBottom w:val="0"/>
              <w:divBdr>
                <w:top w:val="none" w:sz="0" w:space="0" w:color="auto"/>
                <w:left w:val="none" w:sz="0" w:space="0" w:color="auto"/>
                <w:bottom w:val="none" w:sz="0" w:space="0" w:color="auto"/>
                <w:right w:val="none" w:sz="0" w:space="0" w:color="auto"/>
              </w:divBdr>
              <w:divsChild>
                <w:div w:id="431125352">
                  <w:marLeft w:val="0"/>
                  <w:marRight w:val="0"/>
                  <w:marTop w:val="0"/>
                  <w:marBottom w:val="0"/>
                  <w:divBdr>
                    <w:top w:val="none" w:sz="0" w:space="0" w:color="auto"/>
                    <w:left w:val="none" w:sz="0" w:space="0" w:color="auto"/>
                    <w:bottom w:val="none" w:sz="0" w:space="0" w:color="auto"/>
                    <w:right w:val="none" w:sz="0" w:space="0" w:color="auto"/>
                  </w:divBdr>
                </w:div>
              </w:divsChild>
            </w:div>
            <w:div w:id="50888389">
              <w:marLeft w:val="0"/>
              <w:marRight w:val="0"/>
              <w:marTop w:val="0"/>
              <w:marBottom w:val="0"/>
              <w:divBdr>
                <w:top w:val="none" w:sz="0" w:space="0" w:color="auto"/>
                <w:left w:val="none" w:sz="0" w:space="0" w:color="auto"/>
                <w:bottom w:val="none" w:sz="0" w:space="0" w:color="auto"/>
                <w:right w:val="none" w:sz="0" w:space="0" w:color="auto"/>
              </w:divBdr>
              <w:divsChild>
                <w:div w:id="704793725">
                  <w:marLeft w:val="0"/>
                  <w:marRight w:val="0"/>
                  <w:marTop w:val="0"/>
                  <w:marBottom w:val="0"/>
                  <w:divBdr>
                    <w:top w:val="none" w:sz="0" w:space="0" w:color="auto"/>
                    <w:left w:val="none" w:sz="0" w:space="0" w:color="auto"/>
                    <w:bottom w:val="none" w:sz="0" w:space="0" w:color="auto"/>
                    <w:right w:val="none" w:sz="0" w:space="0" w:color="auto"/>
                  </w:divBdr>
                </w:div>
              </w:divsChild>
            </w:div>
            <w:div w:id="935406647">
              <w:marLeft w:val="0"/>
              <w:marRight w:val="0"/>
              <w:marTop w:val="0"/>
              <w:marBottom w:val="0"/>
              <w:divBdr>
                <w:top w:val="none" w:sz="0" w:space="0" w:color="auto"/>
                <w:left w:val="none" w:sz="0" w:space="0" w:color="auto"/>
                <w:bottom w:val="none" w:sz="0" w:space="0" w:color="auto"/>
                <w:right w:val="none" w:sz="0" w:space="0" w:color="auto"/>
              </w:divBdr>
              <w:divsChild>
                <w:div w:id="1981838869">
                  <w:marLeft w:val="0"/>
                  <w:marRight w:val="0"/>
                  <w:marTop w:val="0"/>
                  <w:marBottom w:val="0"/>
                  <w:divBdr>
                    <w:top w:val="none" w:sz="0" w:space="0" w:color="auto"/>
                    <w:left w:val="none" w:sz="0" w:space="0" w:color="auto"/>
                    <w:bottom w:val="none" w:sz="0" w:space="0" w:color="auto"/>
                    <w:right w:val="none" w:sz="0" w:space="0" w:color="auto"/>
                  </w:divBdr>
                </w:div>
              </w:divsChild>
            </w:div>
            <w:div w:id="2126801631">
              <w:marLeft w:val="0"/>
              <w:marRight w:val="0"/>
              <w:marTop w:val="0"/>
              <w:marBottom w:val="0"/>
              <w:divBdr>
                <w:top w:val="none" w:sz="0" w:space="0" w:color="auto"/>
                <w:left w:val="none" w:sz="0" w:space="0" w:color="auto"/>
                <w:bottom w:val="none" w:sz="0" w:space="0" w:color="auto"/>
                <w:right w:val="none" w:sz="0" w:space="0" w:color="auto"/>
              </w:divBdr>
              <w:divsChild>
                <w:div w:id="1463424045">
                  <w:marLeft w:val="0"/>
                  <w:marRight w:val="0"/>
                  <w:marTop w:val="0"/>
                  <w:marBottom w:val="0"/>
                  <w:divBdr>
                    <w:top w:val="none" w:sz="0" w:space="0" w:color="auto"/>
                    <w:left w:val="none" w:sz="0" w:space="0" w:color="auto"/>
                    <w:bottom w:val="none" w:sz="0" w:space="0" w:color="auto"/>
                    <w:right w:val="none" w:sz="0" w:space="0" w:color="auto"/>
                  </w:divBdr>
                </w:div>
              </w:divsChild>
            </w:div>
            <w:div w:id="1494712263">
              <w:marLeft w:val="0"/>
              <w:marRight w:val="0"/>
              <w:marTop w:val="0"/>
              <w:marBottom w:val="0"/>
              <w:divBdr>
                <w:top w:val="none" w:sz="0" w:space="0" w:color="auto"/>
                <w:left w:val="none" w:sz="0" w:space="0" w:color="auto"/>
                <w:bottom w:val="none" w:sz="0" w:space="0" w:color="auto"/>
                <w:right w:val="none" w:sz="0" w:space="0" w:color="auto"/>
              </w:divBdr>
              <w:divsChild>
                <w:div w:id="344869575">
                  <w:marLeft w:val="0"/>
                  <w:marRight w:val="0"/>
                  <w:marTop w:val="0"/>
                  <w:marBottom w:val="0"/>
                  <w:divBdr>
                    <w:top w:val="none" w:sz="0" w:space="0" w:color="auto"/>
                    <w:left w:val="none" w:sz="0" w:space="0" w:color="auto"/>
                    <w:bottom w:val="none" w:sz="0" w:space="0" w:color="auto"/>
                    <w:right w:val="none" w:sz="0" w:space="0" w:color="auto"/>
                  </w:divBdr>
                </w:div>
              </w:divsChild>
            </w:div>
            <w:div w:id="37827476">
              <w:marLeft w:val="0"/>
              <w:marRight w:val="0"/>
              <w:marTop w:val="0"/>
              <w:marBottom w:val="0"/>
              <w:divBdr>
                <w:top w:val="none" w:sz="0" w:space="0" w:color="auto"/>
                <w:left w:val="none" w:sz="0" w:space="0" w:color="auto"/>
                <w:bottom w:val="none" w:sz="0" w:space="0" w:color="auto"/>
                <w:right w:val="none" w:sz="0" w:space="0" w:color="auto"/>
              </w:divBdr>
              <w:divsChild>
                <w:div w:id="311569561">
                  <w:marLeft w:val="0"/>
                  <w:marRight w:val="0"/>
                  <w:marTop w:val="0"/>
                  <w:marBottom w:val="0"/>
                  <w:divBdr>
                    <w:top w:val="none" w:sz="0" w:space="0" w:color="auto"/>
                    <w:left w:val="none" w:sz="0" w:space="0" w:color="auto"/>
                    <w:bottom w:val="none" w:sz="0" w:space="0" w:color="auto"/>
                    <w:right w:val="none" w:sz="0" w:space="0" w:color="auto"/>
                  </w:divBdr>
                </w:div>
              </w:divsChild>
            </w:div>
            <w:div w:id="995568173">
              <w:marLeft w:val="0"/>
              <w:marRight w:val="0"/>
              <w:marTop w:val="0"/>
              <w:marBottom w:val="0"/>
              <w:divBdr>
                <w:top w:val="none" w:sz="0" w:space="0" w:color="auto"/>
                <w:left w:val="none" w:sz="0" w:space="0" w:color="auto"/>
                <w:bottom w:val="none" w:sz="0" w:space="0" w:color="auto"/>
                <w:right w:val="none" w:sz="0" w:space="0" w:color="auto"/>
              </w:divBdr>
              <w:divsChild>
                <w:div w:id="1267081560">
                  <w:marLeft w:val="0"/>
                  <w:marRight w:val="0"/>
                  <w:marTop w:val="0"/>
                  <w:marBottom w:val="0"/>
                  <w:divBdr>
                    <w:top w:val="none" w:sz="0" w:space="0" w:color="auto"/>
                    <w:left w:val="none" w:sz="0" w:space="0" w:color="auto"/>
                    <w:bottom w:val="none" w:sz="0" w:space="0" w:color="auto"/>
                    <w:right w:val="none" w:sz="0" w:space="0" w:color="auto"/>
                  </w:divBdr>
                </w:div>
              </w:divsChild>
            </w:div>
            <w:div w:id="2091270648">
              <w:marLeft w:val="0"/>
              <w:marRight w:val="0"/>
              <w:marTop w:val="0"/>
              <w:marBottom w:val="0"/>
              <w:divBdr>
                <w:top w:val="none" w:sz="0" w:space="0" w:color="auto"/>
                <w:left w:val="none" w:sz="0" w:space="0" w:color="auto"/>
                <w:bottom w:val="none" w:sz="0" w:space="0" w:color="auto"/>
                <w:right w:val="none" w:sz="0" w:space="0" w:color="auto"/>
              </w:divBdr>
              <w:divsChild>
                <w:div w:id="93206468">
                  <w:marLeft w:val="0"/>
                  <w:marRight w:val="0"/>
                  <w:marTop w:val="0"/>
                  <w:marBottom w:val="0"/>
                  <w:divBdr>
                    <w:top w:val="none" w:sz="0" w:space="0" w:color="auto"/>
                    <w:left w:val="none" w:sz="0" w:space="0" w:color="auto"/>
                    <w:bottom w:val="none" w:sz="0" w:space="0" w:color="auto"/>
                    <w:right w:val="none" w:sz="0" w:space="0" w:color="auto"/>
                  </w:divBdr>
                </w:div>
              </w:divsChild>
            </w:div>
            <w:div w:id="733703483">
              <w:marLeft w:val="0"/>
              <w:marRight w:val="0"/>
              <w:marTop w:val="0"/>
              <w:marBottom w:val="0"/>
              <w:divBdr>
                <w:top w:val="none" w:sz="0" w:space="0" w:color="auto"/>
                <w:left w:val="none" w:sz="0" w:space="0" w:color="auto"/>
                <w:bottom w:val="none" w:sz="0" w:space="0" w:color="auto"/>
                <w:right w:val="none" w:sz="0" w:space="0" w:color="auto"/>
              </w:divBdr>
              <w:divsChild>
                <w:div w:id="1914661856">
                  <w:marLeft w:val="0"/>
                  <w:marRight w:val="0"/>
                  <w:marTop w:val="0"/>
                  <w:marBottom w:val="0"/>
                  <w:divBdr>
                    <w:top w:val="none" w:sz="0" w:space="0" w:color="auto"/>
                    <w:left w:val="none" w:sz="0" w:space="0" w:color="auto"/>
                    <w:bottom w:val="none" w:sz="0" w:space="0" w:color="auto"/>
                    <w:right w:val="none" w:sz="0" w:space="0" w:color="auto"/>
                  </w:divBdr>
                </w:div>
              </w:divsChild>
            </w:div>
            <w:div w:id="754129873">
              <w:marLeft w:val="0"/>
              <w:marRight w:val="0"/>
              <w:marTop w:val="0"/>
              <w:marBottom w:val="0"/>
              <w:divBdr>
                <w:top w:val="none" w:sz="0" w:space="0" w:color="auto"/>
                <w:left w:val="none" w:sz="0" w:space="0" w:color="auto"/>
                <w:bottom w:val="none" w:sz="0" w:space="0" w:color="auto"/>
                <w:right w:val="none" w:sz="0" w:space="0" w:color="auto"/>
              </w:divBdr>
              <w:divsChild>
                <w:div w:id="576328580">
                  <w:marLeft w:val="0"/>
                  <w:marRight w:val="0"/>
                  <w:marTop w:val="0"/>
                  <w:marBottom w:val="0"/>
                  <w:divBdr>
                    <w:top w:val="none" w:sz="0" w:space="0" w:color="auto"/>
                    <w:left w:val="none" w:sz="0" w:space="0" w:color="auto"/>
                    <w:bottom w:val="none" w:sz="0" w:space="0" w:color="auto"/>
                    <w:right w:val="none" w:sz="0" w:space="0" w:color="auto"/>
                  </w:divBdr>
                </w:div>
              </w:divsChild>
            </w:div>
            <w:div w:id="191917803">
              <w:marLeft w:val="0"/>
              <w:marRight w:val="0"/>
              <w:marTop w:val="0"/>
              <w:marBottom w:val="0"/>
              <w:divBdr>
                <w:top w:val="none" w:sz="0" w:space="0" w:color="auto"/>
                <w:left w:val="none" w:sz="0" w:space="0" w:color="auto"/>
                <w:bottom w:val="none" w:sz="0" w:space="0" w:color="auto"/>
                <w:right w:val="none" w:sz="0" w:space="0" w:color="auto"/>
              </w:divBdr>
              <w:divsChild>
                <w:div w:id="1005716297">
                  <w:marLeft w:val="0"/>
                  <w:marRight w:val="0"/>
                  <w:marTop w:val="0"/>
                  <w:marBottom w:val="0"/>
                  <w:divBdr>
                    <w:top w:val="none" w:sz="0" w:space="0" w:color="auto"/>
                    <w:left w:val="none" w:sz="0" w:space="0" w:color="auto"/>
                    <w:bottom w:val="none" w:sz="0" w:space="0" w:color="auto"/>
                    <w:right w:val="none" w:sz="0" w:space="0" w:color="auto"/>
                  </w:divBdr>
                </w:div>
              </w:divsChild>
            </w:div>
            <w:div w:id="1665012347">
              <w:marLeft w:val="0"/>
              <w:marRight w:val="0"/>
              <w:marTop w:val="0"/>
              <w:marBottom w:val="0"/>
              <w:divBdr>
                <w:top w:val="none" w:sz="0" w:space="0" w:color="auto"/>
                <w:left w:val="none" w:sz="0" w:space="0" w:color="auto"/>
                <w:bottom w:val="none" w:sz="0" w:space="0" w:color="auto"/>
                <w:right w:val="none" w:sz="0" w:space="0" w:color="auto"/>
              </w:divBdr>
              <w:divsChild>
                <w:div w:id="1558708270">
                  <w:marLeft w:val="0"/>
                  <w:marRight w:val="0"/>
                  <w:marTop w:val="0"/>
                  <w:marBottom w:val="0"/>
                  <w:divBdr>
                    <w:top w:val="none" w:sz="0" w:space="0" w:color="auto"/>
                    <w:left w:val="none" w:sz="0" w:space="0" w:color="auto"/>
                    <w:bottom w:val="none" w:sz="0" w:space="0" w:color="auto"/>
                    <w:right w:val="none" w:sz="0" w:space="0" w:color="auto"/>
                  </w:divBdr>
                </w:div>
              </w:divsChild>
            </w:div>
            <w:div w:id="744453204">
              <w:marLeft w:val="0"/>
              <w:marRight w:val="0"/>
              <w:marTop w:val="0"/>
              <w:marBottom w:val="0"/>
              <w:divBdr>
                <w:top w:val="none" w:sz="0" w:space="0" w:color="auto"/>
                <w:left w:val="none" w:sz="0" w:space="0" w:color="auto"/>
                <w:bottom w:val="none" w:sz="0" w:space="0" w:color="auto"/>
                <w:right w:val="none" w:sz="0" w:space="0" w:color="auto"/>
              </w:divBdr>
              <w:divsChild>
                <w:div w:id="205218427">
                  <w:marLeft w:val="0"/>
                  <w:marRight w:val="0"/>
                  <w:marTop w:val="0"/>
                  <w:marBottom w:val="0"/>
                  <w:divBdr>
                    <w:top w:val="none" w:sz="0" w:space="0" w:color="auto"/>
                    <w:left w:val="none" w:sz="0" w:space="0" w:color="auto"/>
                    <w:bottom w:val="none" w:sz="0" w:space="0" w:color="auto"/>
                    <w:right w:val="none" w:sz="0" w:space="0" w:color="auto"/>
                  </w:divBdr>
                </w:div>
              </w:divsChild>
            </w:div>
            <w:div w:id="1454132407">
              <w:marLeft w:val="0"/>
              <w:marRight w:val="0"/>
              <w:marTop w:val="0"/>
              <w:marBottom w:val="0"/>
              <w:divBdr>
                <w:top w:val="none" w:sz="0" w:space="0" w:color="auto"/>
                <w:left w:val="none" w:sz="0" w:space="0" w:color="auto"/>
                <w:bottom w:val="none" w:sz="0" w:space="0" w:color="auto"/>
                <w:right w:val="none" w:sz="0" w:space="0" w:color="auto"/>
              </w:divBdr>
              <w:divsChild>
                <w:div w:id="1813911332">
                  <w:marLeft w:val="0"/>
                  <w:marRight w:val="0"/>
                  <w:marTop w:val="0"/>
                  <w:marBottom w:val="0"/>
                  <w:divBdr>
                    <w:top w:val="none" w:sz="0" w:space="0" w:color="auto"/>
                    <w:left w:val="none" w:sz="0" w:space="0" w:color="auto"/>
                    <w:bottom w:val="none" w:sz="0" w:space="0" w:color="auto"/>
                    <w:right w:val="none" w:sz="0" w:space="0" w:color="auto"/>
                  </w:divBdr>
                </w:div>
              </w:divsChild>
            </w:div>
            <w:div w:id="303049606">
              <w:marLeft w:val="0"/>
              <w:marRight w:val="0"/>
              <w:marTop w:val="0"/>
              <w:marBottom w:val="0"/>
              <w:divBdr>
                <w:top w:val="none" w:sz="0" w:space="0" w:color="auto"/>
                <w:left w:val="none" w:sz="0" w:space="0" w:color="auto"/>
                <w:bottom w:val="none" w:sz="0" w:space="0" w:color="auto"/>
                <w:right w:val="none" w:sz="0" w:space="0" w:color="auto"/>
              </w:divBdr>
              <w:divsChild>
                <w:div w:id="558052539">
                  <w:marLeft w:val="0"/>
                  <w:marRight w:val="0"/>
                  <w:marTop w:val="0"/>
                  <w:marBottom w:val="0"/>
                  <w:divBdr>
                    <w:top w:val="none" w:sz="0" w:space="0" w:color="auto"/>
                    <w:left w:val="none" w:sz="0" w:space="0" w:color="auto"/>
                    <w:bottom w:val="none" w:sz="0" w:space="0" w:color="auto"/>
                    <w:right w:val="none" w:sz="0" w:space="0" w:color="auto"/>
                  </w:divBdr>
                </w:div>
              </w:divsChild>
            </w:div>
            <w:div w:id="1000042256">
              <w:marLeft w:val="0"/>
              <w:marRight w:val="0"/>
              <w:marTop w:val="0"/>
              <w:marBottom w:val="0"/>
              <w:divBdr>
                <w:top w:val="none" w:sz="0" w:space="0" w:color="auto"/>
                <w:left w:val="none" w:sz="0" w:space="0" w:color="auto"/>
                <w:bottom w:val="none" w:sz="0" w:space="0" w:color="auto"/>
                <w:right w:val="none" w:sz="0" w:space="0" w:color="auto"/>
              </w:divBdr>
              <w:divsChild>
                <w:div w:id="1328047706">
                  <w:marLeft w:val="0"/>
                  <w:marRight w:val="0"/>
                  <w:marTop w:val="0"/>
                  <w:marBottom w:val="0"/>
                  <w:divBdr>
                    <w:top w:val="none" w:sz="0" w:space="0" w:color="auto"/>
                    <w:left w:val="none" w:sz="0" w:space="0" w:color="auto"/>
                    <w:bottom w:val="none" w:sz="0" w:space="0" w:color="auto"/>
                    <w:right w:val="none" w:sz="0" w:space="0" w:color="auto"/>
                  </w:divBdr>
                </w:div>
              </w:divsChild>
            </w:div>
            <w:div w:id="360938111">
              <w:marLeft w:val="0"/>
              <w:marRight w:val="0"/>
              <w:marTop w:val="0"/>
              <w:marBottom w:val="0"/>
              <w:divBdr>
                <w:top w:val="none" w:sz="0" w:space="0" w:color="auto"/>
                <w:left w:val="none" w:sz="0" w:space="0" w:color="auto"/>
                <w:bottom w:val="none" w:sz="0" w:space="0" w:color="auto"/>
                <w:right w:val="none" w:sz="0" w:space="0" w:color="auto"/>
              </w:divBdr>
              <w:divsChild>
                <w:div w:id="1420954071">
                  <w:marLeft w:val="0"/>
                  <w:marRight w:val="0"/>
                  <w:marTop w:val="0"/>
                  <w:marBottom w:val="0"/>
                  <w:divBdr>
                    <w:top w:val="none" w:sz="0" w:space="0" w:color="auto"/>
                    <w:left w:val="none" w:sz="0" w:space="0" w:color="auto"/>
                    <w:bottom w:val="none" w:sz="0" w:space="0" w:color="auto"/>
                    <w:right w:val="none" w:sz="0" w:space="0" w:color="auto"/>
                  </w:divBdr>
                </w:div>
              </w:divsChild>
            </w:div>
            <w:div w:id="1382096220">
              <w:marLeft w:val="0"/>
              <w:marRight w:val="0"/>
              <w:marTop w:val="0"/>
              <w:marBottom w:val="0"/>
              <w:divBdr>
                <w:top w:val="none" w:sz="0" w:space="0" w:color="auto"/>
                <w:left w:val="none" w:sz="0" w:space="0" w:color="auto"/>
                <w:bottom w:val="none" w:sz="0" w:space="0" w:color="auto"/>
                <w:right w:val="none" w:sz="0" w:space="0" w:color="auto"/>
              </w:divBdr>
              <w:divsChild>
                <w:div w:id="261646425">
                  <w:marLeft w:val="0"/>
                  <w:marRight w:val="0"/>
                  <w:marTop w:val="0"/>
                  <w:marBottom w:val="0"/>
                  <w:divBdr>
                    <w:top w:val="none" w:sz="0" w:space="0" w:color="auto"/>
                    <w:left w:val="none" w:sz="0" w:space="0" w:color="auto"/>
                    <w:bottom w:val="none" w:sz="0" w:space="0" w:color="auto"/>
                    <w:right w:val="none" w:sz="0" w:space="0" w:color="auto"/>
                  </w:divBdr>
                </w:div>
              </w:divsChild>
            </w:div>
            <w:div w:id="188102569">
              <w:marLeft w:val="0"/>
              <w:marRight w:val="0"/>
              <w:marTop w:val="0"/>
              <w:marBottom w:val="0"/>
              <w:divBdr>
                <w:top w:val="none" w:sz="0" w:space="0" w:color="auto"/>
                <w:left w:val="none" w:sz="0" w:space="0" w:color="auto"/>
                <w:bottom w:val="none" w:sz="0" w:space="0" w:color="auto"/>
                <w:right w:val="none" w:sz="0" w:space="0" w:color="auto"/>
              </w:divBdr>
              <w:divsChild>
                <w:div w:id="1821194234">
                  <w:marLeft w:val="0"/>
                  <w:marRight w:val="0"/>
                  <w:marTop w:val="0"/>
                  <w:marBottom w:val="0"/>
                  <w:divBdr>
                    <w:top w:val="none" w:sz="0" w:space="0" w:color="auto"/>
                    <w:left w:val="none" w:sz="0" w:space="0" w:color="auto"/>
                    <w:bottom w:val="none" w:sz="0" w:space="0" w:color="auto"/>
                    <w:right w:val="none" w:sz="0" w:space="0" w:color="auto"/>
                  </w:divBdr>
                </w:div>
              </w:divsChild>
            </w:div>
            <w:div w:id="1600017365">
              <w:marLeft w:val="0"/>
              <w:marRight w:val="0"/>
              <w:marTop w:val="0"/>
              <w:marBottom w:val="0"/>
              <w:divBdr>
                <w:top w:val="none" w:sz="0" w:space="0" w:color="auto"/>
                <w:left w:val="none" w:sz="0" w:space="0" w:color="auto"/>
                <w:bottom w:val="none" w:sz="0" w:space="0" w:color="auto"/>
                <w:right w:val="none" w:sz="0" w:space="0" w:color="auto"/>
              </w:divBdr>
              <w:divsChild>
                <w:div w:id="2020811774">
                  <w:marLeft w:val="0"/>
                  <w:marRight w:val="0"/>
                  <w:marTop w:val="0"/>
                  <w:marBottom w:val="0"/>
                  <w:divBdr>
                    <w:top w:val="none" w:sz="0" w:space="0" w:color="auto"/>
                    <w:left w:val="none" w:sz="0" w:space="0" w:color="auto"/>
                    <w:bottom w:val="none" w:sz="0" w:space="0" w:color="auto"/>
                    <w:right w:val="none" w:sz="0" w:space="0" w:color="auto"/>
                  </w:divBdr>
                </w:div>
              </w:divsChild>
            </w:div>
            <w:div w:id="560749085">
              <w:marLeft w:val="0"/>
              <w:marRight w:val="0"/>
              <w:marTop w:val="0"/>
              <w:marBottom w:val="0"/>
              <w:divBdr>
                <w:top w:val="none" w:sz="0" w:space="0" w:color="auto"/>
                <w:left w:val="none" w:sz="0" w:space="0" w:color="auto"/>
                <w:bottom w:val="none" w:sz="0" w:space="0" w:color="auto"/>
                <w:right w:val="none" w:sz="0" w:space="0" w:color="auto"/>
              </w:divBdr>
              <w:divsChild>
                <w:div w:id="612977426">
                  <w:marLeft w:val="0"/>
                  <w:marRight w:val="0"/>
                  <w:marTop w:val="0"/>
                  <w:marBottom w:val="0"/>
                  <w:divBdr>
                    <w:top w:val="none" w:sz="0" w:space="0" w:color="auto"/>
                    <w:left w:val="none" w:sz="0" w:space="0" w:color="auto"/>
                    <w:bottom w:val="none" w:sz="0" w:space="0" w:color="auto"/>
                    <w:right w:val="none" w:sz="0" w:space="0" w:color="auto"/>
                  </w:divBdr>
                </w:div>
              </w:divsChild>
            </w:div>
            <w:div w:id="2003653938">
              <w:marLeft w:val="0"/>
              <w:marRight w:val="0"/>
              <w:marTop w:val="0"/>
              <w:marBottom w:val="0"/>
              <w:divBdr>
                <w:top w:val="none" w:sz="0" w:space="0" w:color="auto"/>
                <w:left w:val="none" w:sz="0" w:space="0" w:color="auto"/>
                <w:bottom w:val="none" w:sz="0" w:space="0" w:color="auto"/>
                <w:right w:val="none" w:sz="0" w:space="0" w:color="auto"/>
              </w:divBdr>
              <w:divsChild>
                <w:div w:id="973406428">
                  <w:marLeft w:val="0"/>
                  <w:marRight w:val="0"/>
                  <w:marTop w:val="0"/>
                  <w:marBottom w:val="0"/>
                  <w:divBdr>
                    <w:top w:val="none" w:sz="0" w:space="0" w:color="auto"/>
                    <w:left w:val="none" w:sz="0" w:space="0" w:color="auto"/>
                    <w:bottom w:val="none" w:sz="0" w:space="0" w:color="auto"/>
                    <w:right w:val="none" w:sz="0" w:space="0" w:color="auto"/>
                  </w:divBdr>
                </w:div>
              </w:divsChild>
            </w:div>
            <w:div w:id="834760971">
              <w:marLeft w:val="0"/>
              <w:marRight w:val="0"/>
              <w:marTop w:val="0"/>
              <w:marBottom w:val="0"/>
              <w:divBdr>
                <w:top w:val="none" w:sz="0" w:space="0" w:color="auto"/>
                <w:left w:val="none" w:sz="0" w:space="0" w:color="auto"/>
                <w:bottom w:val="none" w:sz="0" w:space="0" w:color="auto"/>
                <w:right w:val="none" w:sz="0" w:space="0" w:color="auto"/>
              </w:divBdr>
              <w:divsChild>
                <w:div w:id="200634287">
                  <w:marLeft w:val="0"/>
                  <w:marRight w:val="0"/>
                  <w:marTop w:val="0"/>
                  <w:marBottom w:val="0"/>
                  <w:divBdr>
                    <w:top w:val="none" w:sz="0" w:space="0" w:color="auto"/>
                    <w:left w:val="none" w:sz="0" w:space="0" w:color="auto"/>
                    <w:bottom w:val="none" w:sz="0" w:space="0" w:color="auto"/>
                    <w:right w:val="none" w:sz="0" w:space="0" w:color="auto"/>
                  </w:divBdr>
                </w:div>
              </w:divsChild>
            </w:div>
            <w:div w:id="770011327">
              <w:marLeft w:val="0"/>
              <w:marRight w:val="0"/>
              <w:marTop w:val="0"/>
              <w:marBottom w:val="0"/>
              <w:divBdr>
                <w:top w:val="none" w:sz="0" w:space="0" w:color="auto"/>
                <w:left w:val="none" w:sz="0" w:space="0" w:color="auto"/>
                <w:bottom w:val="none" w:sz="0" w:space="0" w:color="auto"/>
                <w:right w:val="none" w:sz="0" w:space="0" w:color="auto"/>
              </w:divBdr>
              <w:divsChild>
                <w:div w:id="1346709424">
                  <w:marLeft w:val="0"/>
                  <w:marRight w:val="0"/>
                  <w:marTop w:val="0"/>
                  <w:marBottom w:val="0"/>
                  <w:divBdr>
                    <w:top w:val="none" w:sz="0" w:space="0" w:color="auto"/>
                    <w:left w:val="none" w:sz="0" w:space="0" w:color="auto"/>
                    <w:bottom w:val="none" w:sz="0" w:space="0" w:color="auto"/>
                    <w:right w:val="none" w:sz="0" w:space="0" w:color="auto"/>
                  </w:divBdr>
                </w:div>
              </w:divsChild>
            </w:div>
            <w:div w:id="1053117746">
              <w:marLeft w:val="0"/>
              <w:marRight w:val="0"/>
              <w:marTop w:val="0"/>
              <w:marBottom w:val="0"/>
              <w:divBdr>
                <w:top w:val="none" w:sz="0" w:space="0" w:color="auto"/>
                <w:left w:val="none" w:sz="0" w:space="0" w:color="auto"/>
                <w:bottom w:val="none" w:sz="0" w:space="0" w:color="auto"/>
                <w:right w:val="none" w:sz="0" w:space="0" w:color="auto"/>
              </w:divBdr>
              <w:divsChild>
                <w:div w:id="2021202657">
                  <w:marLeft w:val="0"/>
                  <w:marRight w:val="0"/>
                  <w:marTop w:val="0"/>
                  <w:marBottom w:val="0"/>
                  <w:divBdr>
                    <w:top w:val="none" w:sz="0" w:space="0" w:color="auto"/>
                    <w:left w:val="none" w:sz="0" w:space="0" w:color="auto"/>
                    <w:bottom w:val="none" w:sz="0" w:space="0" w:color="auto"/>
                    <w:right w:val="none" w:sz="0" w:space="0" w:color="auto"/>
                  </w:divBdr>
                </w:div>
              </w:divsChild>
            </w:div>
            <w:div w:id="1769230913">
              <w:marLeft w:val="0"/>
              <w:marRight w:val="0"/>
              <w:marTop w:val="0"/>
              <w:marBottom w:val="0"/>
              <w:divBdr>
                <w:top w:val="none" w:sz="0" w:space="0" w:color="auto"/>
                <w:left w:val="none" w:sz="0" w:space="0" w:color="auto"/>
                <w:bottom w:val="none" w:sz="0" w:space="0" w:color="auto"/>
                <w:right w:val="none" w:sz="0" w:space="0" w:color="auto"/>
              </w:divBdr>
              <w:divsChild>
                <w:div w:id="393086979">
                  <w:marLeft w:val="0"/>
                  <w:marRight w:val="0"/>
                  <w:marTop w:val="0"/>
                  <w:marBottom w:val="0"/>
                  <w:divBdr>
                    <w:top w:val="none" w:sz="0" w:space="0" w:color="auto"/>
                    <w:left w:val="none" w:sz="0" w:space="0" w:color="auto"/>
                    <w:bottom w:val="none" w:sz="0" w:space="0" w:color="auto"/>
                    <w:right w:val="none" w:sz="0" w:space="0" w:color="auto"/>
                  </w:divBdr>
                </w:div>
              </w:divsChild>
            </w:div>
            <w:div w:id="423308272">
              <w:marLeft w:val="0"/>
              <w:marRight w:val="0"/>
              <w:marTop w:val="0"/>
              <w:marBottom w:val="0"/>
              <w:divBdr>
                <w:top w:val="none" w:sz="0" w:space="0" w:color="auto"/>
                <w:left w:val="none" w:sz="0" w:space="0" w:color="auto"/>
                <w:bottom w:val="none" w:sz="0" w:space="0" w:color="auto"/>
                <w:right w:val="none" w:sz="0" w:space="0" w:color="auto"/>
              </w:divBdr>
              <w:divsChild>
                <w:div w:id="892542371">
                  <w:marLeft w:val="0"/>
                  <w:marRight w:val="0"/>
                  <w:marTop w:val="0"/>
                  <w:marBottom w:val="0"/>
                  <w:divBdr>
                    <w:top w:val="none" w:sz="0" w:space="0" w:color="auto"/>
                    <w:left w:val="none" w:sz="0" w:space="0" w:color="auto"/>
                    <w:bottom w:val="none" w:sz="0" w:space="0" w:color="auto"/>
                    <w:right w:val="none" w:sz="0" w:space="0" w:color="auto"/>
                  </w:divBdr>
                </w:div>
              </w:divsChild>
            </w:div>
            <w:div w:id="255289062">
              <w:marLeft w:val="0"/>
              <w:marRight w:val="0"/>
              <w:marTop w:val="0"/>
              <w:marBottom w:val="0"/>
              <w:divBdr>
                <w:top w:val="none" w:sz="0" w:space="0" w:color="auto"/>
                <w:left w:val="none" w:sz="0" w:space="0" w:color="auto"/>
                <w:bottom w:val="none" w:sz="0" w:space="0" w:color="auto"/>
                <w:right w:val="none" w:sz="0" w:space="0" w:color="auto"/>
              </w:divBdr>
              <w:divsChild>
                <w:div w:id="934433875">
                  <w:marLeft w:val="0"/>
                  <w:marRight w:val="0"/>
                  <w:marTop w:val="0"/>
                  <w:marBottom w:val="0"/>
                  <w:divBdr>
                    <w:top w:val="none" w:sz="0" w:space="0" w:color="auto"/>
                    <w:left w:val="none" w:sz="0" w:space="0" w:color="auto"/>
                    <w:bottom w:val="none" w:sz="0" w:space="0" w:color="auto"/>
                    <w:right w:val="none" w:sz="0" w:space="0" w:color="auto"/>
                  </w:divBdr>
                </w:div>
              </w:divsChild>
            </w:div>
            <w:div w:id="1004941606">
              <w:marLeft w:val="0"/>
              <w:marRight w:val="0"/>
              <w:marTop w:val="0"/>
              <w:marBottom w:val="0"/>
              <w:divBdr>
                <w:top w:val="none" w:sz="0" w:space="0" w:color="auto"/>
                <w:left w:val="none" w:sz="0" w:space="0" w:color="auto"/>
                <w:bottom w:val="none" w:sz="0" w:space="0" w:color="auto"/>
                <w:right w:val="none" w:sz="0" w:space="0" w:color="auto"/>
              </w:divBdr>
              <w:divsChild>
                <w:div w:id="692532526">
                  <w:marLeft w:val="0"/>
                  <w:marRight w:val="0"/>
                  <w:marTop w:val="0"/>
                  <w:marBottom w:val="0"/>
                  <w:divBdr>
                    <w:top w:val="none" w:sz="0" w:space="0" w:color="auto"/>
                    <w:left w:val="none" w:sz="0" w:space="0" w:color="auto"/>
                    <w:bottom w:val="none" w:sz="0" w:space="0" w:color="auto"/>
                    <w:right w:val="none" w:sz="0" w:space="0" w:color="auto"/>
                  </w:divBdr>
                </w:div>
              </w:divsChild>
            </w:div>
            <w:div w:id="651181165">
              <w:marLeft w:val="0"/>
              <w:marRight w:val="0"/>
              <w:marTop w:val="0"/>
              <w:marBottom w:val="0"/>
              <w:divBdr>
                <w:top w:val="none" w:sz="0" w:space="0" w:color="auto"/>
                <w:left w:val="none" w:sz="0" w:space="0" w:color="auto"/>
                <w:bottom w:val="none" w:sz="0" w:space="0" w:color="auto"/>
                <w:right w:val="none" w:sz="0" w:space="0" w:color="auto"/>
              </w:divBdr>
              <w:divsChild>
                <w:div w:id="329529662">
                  <w:marLeft w:val="0"/>
                  <w:marRight w:val="0"/>
                  <w:marTop w:val="0"/>
                  <w:marBottom w:val="0"/>
                  <w:divBdr>
                    <w:top w:val="none" w:sz="0" w:space="0" w:color="auto"/>
                    <w:left w:val="none" w:sz="0" w:space="0" w:color="auto"/>
                    <w:bottom w:val="none" w:sz="0" w:space="0" w:color="auto"/>
                    <w:right w:val="none" w:sz="0" w:space="0" w:color="auto"/>
                  </w:divBdr>
                </w:div>
              </w:divsChild>
            </w:div>
            <w:div w:id="1434204300">
              <w:marLeft w:val="0"/>
              <w:marRight w:val="0"/>
              <w:marTop w:val="0"/>
              <w:marBottom w:val="0"/>
              <w:divBdr>
                <w:top w:val="none" w:sz="0" w:space="0" w:color="auto"/>
                <w:left w:val="none" w:sz="0" w:space="0" w:color="auto"/>
                <w:bottom w:val="none" w:sz="0" w:space="0" w:color="auto"/>
                <w:right w:val="none" w:sz="0" w:space="0" w:color="auto"/>
              </w:divBdr>
              <w:divsChild>
                <w:div w:id="1196582414">
                  <w:marLeft w:val="0"/>
                  <w:marRight w:val="0"/>
                  <w:marTop w:val="0"/>
                  <w:marBottom w:val="0"/>
                  <w:divBdr>
                    <w:top w:val="none" w:sz="0" w:space="0" w:color="auto"/>
                    <w:left w:val="none" w:sz="0" w:space="0" w:color="auto"/>
                    <w:bottom w:val="none" w:sz="0" w:space="0" w:color="auto"/>
                    <w:right w:val="none" w:sz="0" w:space="0" w:color="auto"/>
                  </w:divBdr>
                </w:div>
              </w:divsChild>
            </w:div>
            <w:div w:id="388725033">
              <w:marLeft w:val="0"/>
              <w:marRight w:val="0"/>
              <w:marTop w:val="0"/>
              <w:marBottom w:val="0"/>
              <w:divBdr>
                <w:top w:val="none" w:sz="0" w:space="0" w:color="auto"/>
                <w:left w:val="none" w:sz="0" w:space="0" w:color="auto"/>
                <w:bottom w:val="none" w:sz="0" w:space="0" w:color="auto"/>
                <w:right w:val="none" w:sz="0" w:space="0" w:color="auto"/>
              </w:divBdr>
              <w:divsChild>
                <w:div w:id="1511405529">
                  <w:marLeft w:val="0"/>
                  <w:marRight w:val="0"/>
                  <w:marTop w:val="0"/>
                  <w:marBottom w:val="0"/>
                  <w:divBdr>
                    <w:top w:val="none" w:sz="0" w:space="0" w:color="auto"/>
                    <w:left w:val="none" w:sz="0" w:space="0" w:color="auto"/>
                    <w:bottom w:val="none" w:sz="0" w:space="0" w:color="auto"/>
                    <w:right w:val="none" w:sz="0" w:space="0" w:color="auto"/>
                  </w:divBdr>
                </w:div>
              </w:divsChild>
            </w:div>
            <w:div w:id="651522159">
              <w:marLeft w:val="0"/>
              <w:marRight w:val="0"/>
              <w:marTop w:val="0"/>
              <w:marBottom w:val="0"/>
              <w:divBdr>
                <w:top w:val="none" w:sz="0" w:space="0" w:color="auto"/>
                <w:left w:val="none" w:sz="0" w:space="0" w:color="auto"/>
                <w:bottom w:val="none" w:sz="0" w:space="0" w:color="auto"/>
                <w:right w:val="none" w:sz="0" w:space="0" w:color="auto"/>
              </w:divBdr>
              <w:divsChild>
                <w:div w:id="1047602283">
                  <w:marLeft w:val="0"/>
                  <w:marRight w:val="0"/>
                  <w:marTop w:val="0"/>
                  <w:marBottom w:val="0"/>
                  <w:divBdr>
                    <w:top w:val="none" w:sz="0" w:space="0" w:color="auto"/>
                    <w:left w:val="none" w:sz="0" w:space="0" w:color="auto"/>
                    <w:bottom w:val="none" w:sz="0" w:space="0" w:color="auto"/>
                    <w:right w:val="none" w:sz="0" w:space="0" w:color="auto"/>
                  </w:divBdr>
                </w:div>
              </w:divsChild>
            </w:div>
            <w:div w:id="595216132">
              <w:marLeft w:val="0"/>
              <w:marRight w:val="0"/>
              <w:marTop w:val="0"/>
              <w:marBottom w:val="0"/>
              <w:divBdr>
                <w:top w:val="none" w:sz="0" w:space="0" w:color="auto"/>
                <w:left w:val="none" w:sz="0" w:space="0" w:color="auto"/>
                <w:bottom w:val="none" w:sz="0" w:space="0" w:color="auto"/>
                <w:right w:val="none" w:sz="0" w:space="0" w:color="auto"/>
              </w:divBdr>
              <w:divsChild>
                <w:div w:id="2129347850">
                  <w:marLeft w:val="0"/>
                  <w:marRight w:val="0"/>
                  <w:marTop w:val="0"/>
                  <w:marBottom w:val="0"/>
                  <w:divBdr>
                    <w:top w:val="none" w:sz="0" w:space="0" w:color="auto"/>
                    <w:left w:val="none" w:sz="0" w:space="0" w:color="auto"/>
                    <w:bottom w:val="none" w:sz="0" w:space="0" w:color="auto"/>
                    <w:right w:val="none" w:sz="0" w:space="0" w:color="auto"/>
                  </w:divBdr>
                </w:div>
              </w:divsChild>
            </w:div>
            <w:div w:id="1997831625">
              <w:marLeft w:val="0"/>
              <w:marRight w:val="0"/>
              <w:marTop w:val="0"/>
              <w:marBottom w:val="0"/>
              <w:divBdr>
                <w:top w:val="none" w:sz="0" w:space="0" w:color="auto"/>
                <w:left w:val="none" w:sz="0" w:space="0" w:color="auto"/>
                <w:bottom w:val="none" w:sz="0" w:space="0" w:color="auto"/>
                <w:right w:val="none" w:sz="0" w:space="0" w:color="auto"/>
              </w:divBdr>
              <w:divsChild>
                <w:div w:id="2087913529">
                  <w:marLeft w:val="0"/>
                  <w:marRight w:val="0"/>
                  <w:marTop w:val="0"/>
                  <w:marBottom w:val="0"/>
                  <w:divBdr>
                    <w:top w:val="none" w:sz="0" w:space="0" w:color="auto"/>
                    <w:left w:val="none" w:sz="0" w:space="0" w:color="auto"/>
                    <w:bottom w:val="none" w:sz="0" w:space="0" w:color="auto"/>
                    <w:right w:val="none" w:sz="0" w:space="0" w:color="auto"/>
                  </w:divBdr>
                </w:div>
              </w:divsChild>
            </w:div>
            <w:div w:id="741022657">
              <w:marLeft w:val="0"/>
              <w:marRight w:val="0"/>
              <w:marTop w:val="0"/>
              <w:marBottom w:val="0"/>
              <w:divBdr>
                <w:top w:val="none" w:sz="0" w:space="0" w:color="auto"/>
                <w:left w:val="none" w:sz="0" w:space="0" w:color="auto"/>
                <w:bottom w:val="none" w:sz="0" w:space="0" w:color="auto"/>
                <w:right w:val="none" w:sz="0" w:space="0" w:color="auto"/>
              </w:divBdr>
              <w:divsChild>
                <w:div w:id="859273959">
                  <w:marLeft w:val="0"/>
                  <w:marRight w:val="0"/>
                  <w:marTop w:val="0"/>
                  <w:marBottom w:val="0"/>
                  <w:divBdr>
                    <w:top w:val="none" w:sz="0" w:space="0" w:color="auto"/>
                    <w:left w:val="none" w:sz="0" w:space="0" w:color="auto"/>
                    <w:bottom w:val="none" w:sz="0" w:space="0" w:color="auto"/>
                    <w:right w:val="none" w:sz="0" w:space="0" w:color="auto"/>
                  </w:divBdr>
                </w:div>
              </w:divsChild>
            </w:div>
            <w:div w:id="597367680">
              <w:marLeft w:val="0"/>
              <w:marRight w:val="0"/>
              <w:marTop w:val="0"/>
              <w:marBottom w:val="0"/>
              <w:divBdr>
                <w:top w:val="none" w:sz="0" w:space="0" w:color="auto"/>
                <w:left w:val="none" w:sz="0" w:space="0" w:color="auto"/>
                <w:bottom w:val="none" w:sz="0" w:space="0" w:color="auto"/>
                <w:right w:val="none" w:sz="0" w:space="0" w:color="auto"/>
              </w:divBdr>
              <w:divsChild>
                <w:div w:id="1217619642">
                  <w:marLeft w:val="0"/>
                  <w:marRight w:val="0"/>
                  <w:marTop w:val="0"/>
                  <w:marBottom w:val="0"/>
                  <w:divBdr>
                    <w:top w:val="none" w:sz="0" w:space="0" w:color="auto"/>
                    <w:left w:val="none" w:sz="0" w:space="0" w:color="auto"/>
                    <w:bottom w:val="none" w:sz="0" w:space="0" w:color="auto"/>
                    <w:right w:val="none" w:sz="0" w:space="0" w:color="auto"/>
                  </w:divBdr>
                </w:div>
              </w:divsChild>
            </w:div>
            <w:div w:id="761754934">
              <w:marLeft w:val="0"/>
              <w:marRight w:val="0"/>
              <w:marTop w:val="0"/>
              <w:marBottom w:val="0"/>
              <w:divBdr>
                <w:top w:val="none" w:sz="0" w:space="0" w:color="auto"/>
                <w:left w:val="none" w:sz="0" w:space="0" w:color="auto"/>
                <w:bottom w:val="none" w:sz="0" w:space="0" w:color="auto"/>
                <w:right w:val="none" w:sz="0" w:space="0" w:color="auto"/>
              </w:divBdr>
              <w:divsChild>
                <w:div w:id="496193302">
                  <w:marLeft w:val="0"/>
                  <w:marRight w:val="0"/>
                  <w:marTop w:val="0"/>
                  <w:marBottom w:val="0"/>
                  <w:divBdr>
                    <w:top w:val="none" w:sz="0" w:space="0" w:color="auto"/>
                    <w:left w:val="none" w:sz="0" w:space="0" w:color="auto"/>
                    <w:bottom w:val="none" w:sz="0" w:space="0" w:color="auto"/>
                    <w:right w:val="none" w:sz="0" w:space="0" w:color="auto"/>
                  </w:divBdr>
                </w:div>
              </w:divsChild>
            </w:div>
            <w:div w:id="185481674">
              <w:marLeft w:val="0"/>
              <w:marRight w:val="0"/>
              <w:marTop w:val="0"/>
              <w:marBottom w:val="0"/>
              <w:divBdr>
                <w:top w:val="none" w:sz="0" w:space="0" w:color="auto"/>
                <w:left w:val="none" w:sz="0" w:space="0" w:color="auto"/>
                <w:bottom w:val="none" w:sz="0" w:space="0" w:color="auto"/>
                <w:right w:val="none" w:sz="0" w:space="0" w:color="auto"/>
              </w:divBdr>
              <w:divsChild>
                <w:div w:id="1289508266">
                  <w:marLeft w:val="0"/>
                  <w:marRight w:val="0"/>
                  <w:marTop w:val="0"/>
                  <w:marBottom w:val="0"/>
                  <w:divBdr>
                    <w:top w:val="none" w:sz="0" w:space="0" w:color="auto"/>
                    <w:left w:val="none" w:sz="0" w:space="0" w:color="auto"/>
                    <w:bottom w:val="none" w:sz="0" w:space="0" w:color="auto"/>
                    <w:right w:val="none" w:sz="0" w:space="0" w:color="auto"/>
                  </w:divBdr>
                </w:div>
              </w:divsChild>
            </w:div>
            <w:div w:id="1117528189">
              <w:marLeft w:val="0"/>
              <w:marRight w:val="0"/>
              <w:marTop w:val="0"/>
              <w:marBottom w:val="0"/>
              <w:divBdr>
                <w:top w:val="none" w:sz="0" w:space="0" w:color="auto"/>
                <w:left w:val="none" w:sz="0" w:space="0" w:color="auto"/>
                <w:bottom w:val="none" w:sz="0" w:space="0" w:color="auto"/>
                <w:right w:val="none" w:sz="0" w:space="0" w:color="auto"/>
              </w:divBdr>
              <w:divsChild>
                <w:div w:id="198712313">
                  <w:marLeft w:val="0"/>
                  <w:marRight w:val="0"/>
                  <w:marTop w:val="0"/>
                  <w:marBottom w:val="0"/>
                  <w:divBdr>
                    <w:top w:val="none" w:sz="0" w:space="0" w:color="auto"/>
                    <w:left w:val="none" w:sz="0" w:space="0" w:color="auto"/>
                    <w:bottom w:val="none" w:sz="0" w:space="0" w:color="auto"/>
                    <w:right w:val="none" w:sz="0" w:space="0" w:color="auto"/>
                  </w:divBdr>
                </w:div>
              </w:divsChild>
            </w:div>
            <w:div w:id="1661422958">
              <w:marLeft w:val="0"/>
              <w:marRight w:val="0"/>
              <w:marTop w:val="0"/>
              <w:marBottom w:val="0"/>
              <w:divBdr>
                <w:top w:val="none" w:sz="0" w:space="0" w:color="auto"/>
                <w:left w:val="none" w:sz="0" w:space="0" w:color="auto"/>
                <w:bottom w:val="none" w:sz="0" w:space="0" w:color="auto"/>
                <w:right w:val="none" w:sz="0" w:space="0" w:color="auto"/>
              </w:divBdr>
              <w:divsChild>
                <w:div w:id="1729717765">
                  <w:marLeft w:val="0"/>
                  <w:marRight w:val="0"/>
                  <w:marTop w:val="0"/>
                  <w:marBottom w:val="0"/>
                  <w:divBdr>
                    <w:top w:val="none" w:sz="0" w:space="0" w:color="auto"/>
                    <w:left w:val="none" w:sz="0" w:space="0" w:color="auto"/>
                    <w:bottom w:val="none" w:sz="0" w:space="0" w:color="auto"/>
                    <w:right w:val="none" w:sz="0" w:space="0" w:color="auto"/>
                  </w:divBdr>
                </w:div>
              </w:divsChild>
            </w:div>
            <w:div w:id="831415003">
              <w:marLeft w:val="0"/>
              <w:marRight w:val="0"/>
              <w:marTop w:val="0"/>
              <w:marBottom w:val="0"/>
              <w:divBdr>
                <w:top w:val="none" w:sz="0" w:space="0" w:color="auto"/>
                <w:left w:val="none" w:sz="0" w:space="0" w:color="auto"/>
                <w:bottom w:val="none" w:sz="0" w:space="0" w:color="auto"/>
                <w:right w:val="none" w:sz="0" w:space="0" w:color="auto"/>
              </w:divBdr>
              <w:divsChild>
                <w:div w:id="264575719">
                  <w:marLeft w:val="0"/>
                  <w:marRight w:val="0"/>
                  <w:marTop w:val="0"/>
                  <w:marBottom w:val="0"/>
                  <w:divBdr>
                    <w:top w:val="none" w:sz="0" w:space="0" w:color="auto"/>
                    <w:left w:val="none" w:sz="0" w:space="0" w:color="auto"/>
                    <w:bottom w:val="none" w:sz="0" w:space="0" w:color="auto"/>
                    <w:right w:val="none" w:sz="0" w:space="0" w:color="auto"/>
                  </w:divBdr>
                </w:div>
              </w:divsChild>
            </w:div>
            <w:div w:id="74284292">
              <w:marLeft w:val="0"/>
              <w:marRight w:val="0"/>
              <w:marTop w:val="0"/>
              <w:marBottom w:val="0"/>
              <w:divBdr>
                <w:top w:val="none" w:sz="0" w:space="0" w:color="auto"/>
                <w:left w:val="none" w:sz="0" w:space="0" w:color="auto"/>
                <w:bottom w:val="none" w:sz="0" w:space="0" w:color="auto"/>
                <w:right w:val="none" w:sz="0" w:space="0" w:color="auto"/>
              </w:divBdr>
              <w:divsChild>
                <w:div w:id="50035917">
                  <w:marLeft w:val="0"/>
                  <w:marRight w:val="0"/>
                  <w:marTop w:val="0"/>
                  <w:marBottom w:val="0"/>
                  <w:divBdr>
                    <w:top w:val="none" w:sz="0" w:space="0" w:color="auto"/>
                    <w:left w:val="none" w:sz="0" w:space="0" w:color="auto"/>
                    <w:bottom w:val="none" w:sz="0" w:space="0" w:color="auto"/>
                    <w:right w:val="none" w:sz="0" w:space="0" w:color="auto"/>
                  </w:divBdr>
                </w:div>
              </w:divsChild>
            </w:div>
            <w:div w:id="710037501">
              <w:marLeft w:val="0"/>
              <w:marRight w:val="0"/>
              <w:marTop w:val="0"/>
              <w:marBottom w:val="0"/>
              <w:divBdr>
                <w:top w:val="none" w:sz="0" w:space="0" w:color="auto"/>
                <w:left w:val="none" w:sz="0" w:space="0" w:color="auto"/>
                <w:bottom w:val="none" w:sz="0" w:space="0" w:color="auto"/>
                <w:right w:val="none" w:sz="0" w:space="0" w:color="auto"/>
              </w:divBdr>
              <w:divsChild>
                <w:div w:id="658390348">
                  <w:marLeft w:val="0"/>
                  <w:marRight w:val="0"/>
                  <w:marTop w:val="0"/>
                  <w:marBottom w:val="0"/>
                  <w:divBdr>
                    <w:top w:val="none" w:sz="0" w:space="0" w:color="auto"/>
                    <w:left w:val="none" w:sz="0" w:space="0" w:color="auto"/>
                    <w:bottom w:val="none" w:sz="0" w:space="0" w:color="auto"/>
                    <w:right w:val="none" w:sz="0" w:space="0" w:color="auto"/>
                  </w:divBdr>
                </w:div>
              </w:divsChild>
            </w:div>
            <w:div w:id="1148716291">
              <w:marLeft w:val="0"/>
              <w:marRight w:val="0"/>
              <w:marTop w:val="0"/>
              <w:marBottom w:val="0"/>
              <w:divBdr>
                <w:top w:val="none" w:sz="0" w:space="0" w:color="auto"/>
                <w:left w:val="none" w:sz="0" w:space="0" w:color="auto"/>
                <w:bottom w:val="none" w:sz="0" w:space="0" w:color="auto"/>
                <w:right w:val="none" w:sz="0" w:space="0" w:color="auto"/>
              </w:divBdr>
              <w:divsChild>
                <w:div w:id="1250120728">
                  <w:marLeft w:val="0"/>
                  <w:marRight w:val="0"/>
                  <w:marTop w:val="0"/>
                  <w:marBottom w:val="0"/>
                  <w:divBdr>
                    <w:top w:val="none" w:sz="0" w:space="0" w:color="auto"/>
                    <w:left w:val="none" w:sz="0" w:space="0" w:color="auto"/>
                    <w:bottom w:val="none" w:sz="0" w:space="0" w:color="auto"/>
                    <w:right w:val="none" w:sz="0" w:space="0" w:color="auto"/>
                  </w:divBdr>
                </w:div>
              </w:divsChild>
            </w:div>
            <w:div w:id="209729790">
              <w:marLeft w:val="0"/>
              <w:marRight w:val="0"/>
              <w:marTop w:val="0"/>
              <w:marBottom w:val="0"/>
              <w:divBdr>
                <w:top w:val="none" w:sz="0" w:space="0" w:color="auto"/>
                <w:left w:val="none" w:sz="0" w:space="0" w:color="auto"/>
                <w:bottom w:val="none" w:sz="0" w:space="0" w:color="auto"/>
                <w:right w:val="none" w:sz="0" w:space="0" w:color="auto"/>
              </w:divBdr>
              <w:divsChild>
                <w:div w:id="1210796724">
                  <w:marLeft w:val="0"/>
                  <w:marRight w:val="0"/>
                  <w:marTop w:val="0"/>
                  <w:marBottom w:val="0"/>
                  <w:divBdr>
                    <w:top w:val="none" w:sz="0" w:space="0" w:color="auto"/>
                    <w:left w:val="none" w:sz="0" w:space="0" w:color="auto"/>
                    <w:bottom w:val="none" w:sz="0" w:space="0" w:color="auto"/>
                    <w:right w:val="none" w:sz="0" w:space="0" w:color="auto"/>
                  </w:divBdr>
                </w:div>
              </w:divsChild>
            </w:div>
            <w:div w:id="2114083268">
              <w:marLeft w:val="0"/>
              <w:marRight w:val="0"/>
              <w:marTop w:val="0"/>
              <w:marBottom w:val="0"/>
              <w:divBdr>
                <w:top w:val="none" w:sz="0" w:space="0" w:color="auto"/>
                <w:left w:val="none" w:sz="0" w:space="0" w:color="auto"/>
                <w:bottom w:val="none" w:sz="0" w:space="0" w:color="auto"/>
                <w:right w:val="none" w:sz="0" w:space="0" w:color="auto"/>
              </w:divBdr>
              <w:divsChild>
                <w:div w:id="16366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23567">
          <w:marLeft w:val="-75"/>
          <w:marRight w:val="0"/>
          <w:marTop w:val="30"/>
          <w:marBottom w:val="30"/>
          <w:divBdr>
            <w:top w:val="none" w:sz="0" w:space="0" w:color="auto"/>
            <w:left w:val="none" w:sz="0" w:space="0" w:color="auto"/>
            <w:bottom w:val="none" w:sz="0" w:space="0" w:color="auto"/>
            <w:right w:val="none" w:sz="0" w:space="0" w:color="auto"/>
          </w:divBdr>
          <w:divsChild>
            <w:div w:id="1488671906">
              <w:marLeft w:val="0"/>
              <w:marRight w:val="0"/>
              <w:marTop w:val="0"/>
              <w:marBottom w:val="0"/>
              <w:divBdr>
                <w:top w:val="none" w:sz="0" w:space="0" w:color="auto"/>
                <w:left w:val="none" w:sz="0" w:space="0" w:color="auto"/>
                <w:bottom w:val="none" w:sz="0" w:space="0" w:color="auto"/>
                <w:right w:val="none" w:sz="0" w:space="0" w:color="auto"/>
              </w:divBdr>
              <w:divsChild>
                <w:div w:id="345637790">
                  <w:marLeft w:val="0"/>
                  <w:marRight w:val="0"/>
                  <w:marTop w:val="0"/>
                  <w:marBottom w:val="0"/>
                  <w:divBdr>
                    <w:top w:val="none" w:sz="0" w:space="0" w:color="auto"/>
                    <w:left w:val="none" w:sz="0" w:space="0" w:color="auto"/>
                    <w:bottom w:val="none" w:sz="0" w:space="0" w:color="auto"/>
                    <w:right w:val="none" w:sz="0" w:space="0" w:color="auto"/>
                  </w:divBdr>
                </w:div>
              </w:divsChild>
            </w:div>
            <w:div w:id="460196075">
              <w:marLeft w:val="0"/>
              <w:marRight w:val="0"/>
              <w:marTop w:val="0"/>
              <w:marBottom w:val="0"/>
              <w:divBdr>
                <w:top w:val="none" w:sz="0" w:space="0" w:color="auto"/>
                <w:left w:val="none" w:sz="0" w:space="0" w:color="auto"/>
                <w:bottom w:val="none" w:sz="0" w:space="0" w:color="auto"/>
                <w:right w:val="none" w:sz="0" w:space="0" w:color="auto"/>
              </w:divBdr>
              <w:divsChild>
                <w:div w:id="1720009463">
                  <w:marLeft w:val="0"/>
                  <w:marRight w:val="0"/>
                  <w:marTop w:val="0"/>
                  <w:marBottom w:val="0"/>
                  <w:divBdr>
                    <w:top w:val="none" w:sz="0" w:space="0" w:color="auto"/>
                    <w:left w:val="none" w:sz="0" w:space="0" w:color="auto"/>
                    <w:bottom w:val="none" w:sz="0" w:space="0" w:color="auto"/>
                    <w:right w:val="none" w:sz="0" w:space="0" w:color="auto"/>
                  </w:divBdr>
                </w:div>
              </w:divsChild>
            </w:div>
            <w:div w:id="1317303849">
              <w:marLeft w:val="0"/>
              <w:marRight w:val="0"/>
              <w:marTop w:val="0"/>
              <w:marBottom w:val="0"/>
              <w:divBdr>
                <w:top w:val="none" w:sz="0" w:space="0" w:color="auto"/>
                <w:left w:val="none" w:sz="0" w:space="0" w:color="auto"/>
                <w:bottom w:val="none" w:sz="0" w:space="0" w:color="auto"/>
                <w:right w:val="none" w:sz="0" w:space="0" w:color="auto"/>
              </w:divBdr>
              <w:divsChild>
                <w:div w:id="782305906">
                  <w:marLeft w:val="0"/>
                  <w:marRight w:val="0"/>
                  <w:marTop w:val="0"/>
                  <w:marBottom w:val="0"/>
                  <w:divBdr>
                    <w:top w:val="none" w:sz="0" w:space="0" w:color="auto"/>
                    <w:left w:val="none" w:sz="0" w:space="0" w:color="auto"/>
                    <w:bottom w:val="none" w:sz="0" w:space="0" w:color="auto"/>
                    <w:right w:val="none" w:sz="0" w:space="0" w:color="auto"/>
                  </w:divBdr>
                </w:div>
              </w:divsChild>
            </w:div>
            <w:div w:id="2008553925">
              <w:marLeft w:val="0"/>
              <w:marRight w:val="0"/>
              <w:marTop w:val="0"/>
              <w:marBottom w:val="0"/>
              <w:divBdr>
                <w:top w:val="none" w:sz="0" w:space="0" w:color="auto"/>
                <w:left w:val="none" w:sz="0" w:space="0" w:color="auto"/>
                <w:bottom w:val="none" w:sz="0" w:space="0" w:color="auto"/>
                <w:right w:val="none" w:sz="0" w:space="0" w:color="auto"/>
              </w:divBdr>
              <w:divsChild>
                <w:div w:id="642464658">
                  <w:marLeft w:val="0"/>
                  <w:marRight w:val="0"/>
                  <w:marTop w:val="0"/>
                  <w:marBottom w:val="0"/>
                  <w:divBdr>
                    <w:top w:val="none" w:sz="0" w:space="0" w:color="auto"/>
                    <w:left w:val="none" w:sz="0" w:space="0" w:color="auto"/>
                    <w:bottom w:val="none" w:sz="0" w:space="0" w:color="auto"/>
                    <w:right w:val="none" w:sz="0" w:space="0" w:color="auto"/>
                  </w:divBdr>
                </w:div>
              </w:divsChild>
            </w:div>
            <w:div w:id="752316254">
              <w:marLeft w:val="0"/>
              <w:marRight w:val="0"/>
              <w:marTop w:val="0"/>
              <w:marBottom w:val="0"/>
              <w:divBdr>
                <w:top w:val="none" w:sz="0" w:space="0" w:color="auto"/>
                <w:left w:val="none" w:sz="0" w:space="0" w:color="auto"/>
                <w:bottom w:val="none" w:sz="0" w:space="0" w:color="auto"/>
                <w:right w:val="none" w:sz="0" w:space="0" w:color="auto"/>
              </w:divBdr>
              <w:divsChild>
                <w:div w:id="832645798">
                  <w:marLeft w:val="0"/>
                  <w:marRight w:val="0"/>
                  <w:marTop w:val="0"/>
                  <w:marBottom w:val="0"/>
                  <w:divBdr>
                    <w:top w:val="none" w:sz="0" w:space="0" w:color="auto"/>
                    <w:left w:val="none" w:sz="0" w:space="0" w:color="auto"/>
                    <w:bottom w:val="none" w:sz="0" w:space="0" w:color="auto"/>
                    <w:right w:val="none" w:sz="0" w:space="0" w:color="auto"/>
                  </w:divBdr>
                </w:div>
              </w:divsChild>
            </w:div>
            <w:div w:id="1345397320">
              <w:marLeft w:val="0"/>
              <w:marRight w:val="0"/>
              <w:marTop w:val="0"/>
              <w:marBottom w:val="0"/>
              <w:divBdr>
                <w:top w:val="none" w:sz="0" w:space="0" w:color="auto"/>
                <w:left w:val="none" w:sz="0" w:space="0" w:color="auto"/>
                <w:bottom w:val="none" w:sz="0" w:space="0" w:color="auto"/>
                <w:right w:val="none" w:sz="0" w:space="0" w:color="auto"/>
              </w:divBdr>
              <w:divsChild>
                <w:div w:id="502817314">
                  <w:marLeft w:val="0"/>
                  <w:marRight w:val="0"/>
                  <w:marTop w:val="0"/>
                  <w:marBottom w:val="0"/>
                  <w:divBdr>
                    <w:top w:val="none" w:sz="0" w:space="0" w:color="auto"/>
                    <w:left w:val="none" w:sz="0" w:space="0" w:color="auto"/>
                    <w:bottom w:val="none" w:sz="0" w:space="0" w:color="auto"/>
                    <w:right w:val="none" w:sz="0" w:space="0" w:color="auto"/>
                  </w:divBdr>
                </w:div>
              </w:divsChild>
            </w:div>
            <w:div w:id="1485005341">
              <w:marLeft w:val="0"/>
              <w:marRight w:val="0"/>
              <w:marTop w:val="0"/>
              <w:marBottom w:val="0"/>
              <w:divBdr>
                <w:top w:val="none" w:sz="0" w:space="0" w:color="auto"/>
                <w:left w:val="none" w:sz="0" w:space="0" w:color="auto"/>
                <w:bottom w:val="none" w:sz="0" w:space="0" w:color="auto"/>
                <w:right w:val="none" w:sz="0" w:space="0" w:color="auto"/>
              </w:divBdr>
              <w:divsChild>
                <w:div w:id="875849394">
                  <w:marLeft w:val="0"/>
                  <w:marRight w:val="0"/>
                  <w:marTop w:val="0"/>
                  <w:marBottom w:val="0"/>
                  <w:divBdr>
                    <w:top w:val="none" w:sz="0" w:space="0" w:color="auto"/>
                    <w:left w:val="none" w:sz="0" w:space="0" w:color="auto"/>
                    <w:bottom w:val="none" w:sz="0" w:space="0" w:color="auto"/>
                    <w:right w:val="none" w:sz="0" w:space="0" w:color="auto"/>
                  </w:divBdr>
                </w:div>
              </w:divsChild>
            </w:div>
            <w:div w:id="551817574">
              <w:marLeft w:val="0"/>
              <w:marRight w:val="0"/>
              <w:marTop w:val="0"/>
              <w:marBottom w:val="0"/>
              <w:divBdr>
                <w:top w:val="none" w:sz="0" w:space="0" w:color="auto"/>
                <w:left w:val="none" w:sz="0" w:space="0" w:color="auto"/>
                <w:bottom w:val="none" w:sz="0" w:space="0" w:color="auto"/>
                <w:right w:val="none" w:sz="0" w:space="0" w:color="auto"/>
              </w:divBdr>
              <w:divsChild>
                <w:div w:id="311178775">
                  <w:marLeft w:val="0"/>
                  <w:marRight w:val="0"/>
                  <w:marTop w:val="0"/>
                  <w:marBottom w:val="0"/>
                  <w:divBdr>
                    <w:top w:val="none" w:sz="0" w:space="0" w:color="auto"/>
                    <w:left w:val="none" w:sz="0" w:space="0" w:color="auto"/>
                    <w:bottom w:val="none" w:sz="0" w:space="0" w:color="auto"/>
                    <w:right w:val="none" w:sz="0" w:space="0" w:color="auto"/>
                  </w:divBdr>
                </w:div>
              </w:divsChild>
            </w:div>
            <w:div w:id="817723722">
              <w:marLeft w:val="0"/>
              <w:marRight w:val="0"/>
              <w:marTop w:val="0"/>
              <w:marBottom w:val="0"/>
              <w:divBdr>
                <w:top w:val="none" w:sz="0" w:space="0" w:color="auto"/>
                <w:left w:val="none" w:sz="0" w:space="0" w:color="auto"/>
                <w:bottom w:val="none" w:sz="0" w:space="0" w:color="auto"/>
                <w:right w:val="none" w:sz="0" w:space="0" w:color="auto"/>
              </w:divBdr>
              <w:divsChild>
                <w:div w:id="228614055">
                  <w:marLeft w:val="0"/>
                  <w:marRight w:val="0"/>
                  <w:marTop w:val="0"/>
                  <w:marBottom w:val="0"/>
                  <w:divBdr>
                    <w:top w:val="none" w:sz="0" w:space="0" w:color="auto"/>
                    <w:left w:val="none" w:sz="0" w:space="0" w:color="auto"/>
                    <w:bottom w:val="none" w:sz="0" w:space="0" w:color="auto"/>
                    <w:right w:val="none" w:sz="0" w:space="0" w:color="auto"/>
                  </w:divBdr>
                </w:div>
              </w:divsChild>
            </w:div>
            <w:div w:id="1887374838">
              <w:marLeft w:val="0"/>
              <w:marRight w:val="0"/>
              <w:marTop w:val="0"/>
              <w:marBottom w:val="0"/>
              <w:divBdr>
                <w:top w:val="none" w:sz="0" w:space="0" w:color="auto"/>
                <w:left w:val="none" w:sz="0" w:space="0" w:color="auto"/>
                <w:bottom w:val="none" w:sz="0" w:space="0" w:color="auto"/>
                <w:right w:val="none" w:sz="0" w:space="0" w:color="auto"/>
              </w:divBdr>
              <w:divsChild>
                <w:div w:id="1206257641">
                  <w:marLeft w:val="0"/>
                  <w:marRight w:val="0"/>
                  <w:marTop w:val="0"/>
                  <w:marBottom w:val="0"/>
                  <w:divBdr>
                    <w:top w:val="none" w:sz="0" w:space="0" w:color="auto"/>
                    <w:left w:val="none" w:sz="0" w:space="0" w:color="auto"/>
                    <w:bottom w:val="none" w:sz="0" w:space="0" w:color="auto"/>
                    <w:right w:val="none" w:sz="0" w:space="0" w:color="auto"/>
                  </w:divBdr>
                </w:div>
              </w:divsChild>
            </w:div>
            <w:div w:id="641350884">
              <w:marLeft w:val="0"/>
              <w:marRight w:val="0"/>
              <w:marTop w:val="0"/>
              <w:marBottom w:val="0"/>
              <w:divBdr>
                <w:top w:val="none" w:sz="0" w:space="0" w:color="auto"/>
                <w:left w:val="none" w:sz="0" w:space="0" w:color="auto"/>
                <w:bottom w:val="none" w:sz="0" w:space="0" w:color="auto"/>
                <w:right w:val="none" w:sz="0" w:space="0" w:color="auto"/>
              </w:divBdr>
              <w:divsChild>
                <w:div w:id="811679202">
                  <w:marLeft w:val="0"/>
                  <w:marRight w:val="0"/>
                  <w:marTop w:val="0"/>
                  <w:marBottom w:val="0"/>
                  <w:divBdr>
                    <w:top w:val="none" w:sz="0" w:space="0" w:color="auto"/>
                    <w:left w:val="none" w:sz="0" w:space="0" w:color="auto"/>
                    <w:bottom w:val="none" w:sz="0" w:space="0" w:color="auto"/>
                    <w:right w:val="none" w:sz="0" w:space="0" w:color="auto"/>
                  </w:divBdr>
                </w:div>
              </w:divsChild>
            </w:div>
            <w:div w:id="1721056902">
              <w:marLeft w:val="0"/>
              <w:marRight w:val="0"/>
              <w:marTop w:val="0"/>
              <w:marBottom w:val="0"/>
              <w:divBdr>
                <w:top w:val="none" w:sz="0" w:space="0" w:color="auto"/>
                <w:left w:val="none" w:sz="0" w:space="0" w:color="auto"/>
                <w:bottom w:val="none" w:sz="0" w:space="0" w:color="auto"/>
                <w:right w:val="none" w:sz="0" w:space="0" w:color="auto"/>
              </w:divBdr>
              <w:divsChild>
                <w:div w:id="194078083">
                  <w:marLeft w:val="0"/>
                  <w:marRight w:val="0"/>
                  <w:marTop w:val="0"/>
                  <w:marBottom w:val="0"/>
                  <w:divBdr>
                    <w:top w:val="none" w:sz="0" w:space="0" w:color="auto"/>
                    <w:left w:val="none" w:sz="0" w:space="0" w:color="auto"/>
                    <w:bottom w:val="none" w:sz="0" w:space="0" w:color="auto"/>
                    <w:right w:val="none" w:sz="0" w:space="0" w:color="auto"/>
                  </w:divBdr>
                </w:div>
              </w:divsChild>
            </w:div>
            <w:div w:id="1587960368">
              <w:marLeft w:val="0"/>
              <w:marRight w:val="0"/>
              <w:marTop w:val="0"/>
              <w:marBottom w:val="0"/>
              <w:divBdr>
                <w:top w:val="none" w:sz="0" w:space="0" w:color="auto"/>
                <w:left w:val="none" w:sz="0" w:space="0" w:color="auto"/>
                <w:bottom w:val="none" w:sz="0" w:space="0" w:color="auto"/>
                <w:right w:val="none" w:sz="0" w:space="0" w:color="auto"/>
              </w:divBdr>
              <w:divsChild>
                <w:div w:id="931358202">
                  <w:marLeft w:val="0"/>
                  <w:marRight w:val="0"/>
                  <w:marTop w:val="0"/>
                  <w:marBottom w:val="0"/>
                  <w:divBdr>
                    <w:top w:val="none" w:sz="0" w:space="0" w:color="auto"/>
                    <w:left w:val="none" w:sz="0" w:space="0" w:color="auto"/>
                    <w:bottom w:val="none" w:sz="0" w:space="0" w:color="auto"/>
                    <w:right w:val="none" w:sz="0" w:space="0" w:color="auto"/>
                  </w:divBdr>
                </w:div>
              </w:divsChild>
            </w:div>
            <w:div w:id="1526481414">
              <w:marLeft w:val="0"/>
              <w:marRight w:val="0"/>
              <w:marTop w:val="0"/>
              <w:marBottom w:val="0"/>
              <w:divBdr>
                <w:top w:val="none" w:sz="0" w:space="0" w:color="auto"/>
                <w:left w:val="none" w:sz="0" w:space="0" w:color="auto"/>
                <w:bottom w:val="none" w:sz="0" w:space="0" w:color="auto"/>
                <w:right w:val="none" w:sz="0" w:space="0" w:color="auto"/>
              </w:divBdr>
              <w:divsChild>
                <w:div w:id="298462864">
                  <w:marLeft w:val="0"/>
                  <w:marRight w:val="0"/>
                  <w:marTop w:val="0"/>
                  <w:marBottom w:val="0"/>
                  <w:divBdr>
                    <w:top w:val="none" w:sz="0" w:space="0" w:color="auto"/>
                    <w:left w:val="none" w:sz="0" w:space="0" w:color="auto"/>
                    <w:bottom w:val="none" w:sz="0" w:space="0" w:color="auto"/>
                    <w:right w:val="none" w:sz="0" w:space="0" w:color="auto"/>
                  </w:divBdr>
                </w:div>
              </w:divsChild>
            </w:div>
            <w:div w:id="1549143773">
              <w:marLeft w:val="0"/>
              <w:marRight w:val="0"/>
              <w:marTop w:val="0"/>
              <w:marBottom w:val="0"/>
              <w:divBdr>
                <w:top w:val="none" w:sz="0" w:space="0" w:color="auto"/>
                <w:left w:val="none" w:sz="0" w:space="0" w:color="auto"/>
                <w:bottom w:val="none" w:sz="0" w:space="0" w:color="auto"/>
                <w:right w:val="none" w:sz="0" w:space="0" w:color="auto"/>
              </w:divBdr>
              <w:divsChild>
                <w:div w:id="1976518193">
                  <w:marLeft w:val="0"/>
                  <w:marRight w:val="0"/>
                  <w:marTop w:val="0"/>
                  <w:marBottom w:val="0"/>
                  <w:divBdr>
                    <w:top w:val="none" w:sz="0" w:space="0" w:color="auto"/>
                    <w:left w:val="none" w:sz="0" w:space="0" w:color="auto"/>
                    <w:bottom w:val="none" w:sz="0" w:space="0" w:color="auto"/>
                    <w:right w:val="none" w:sz="0" w:space="0" w:color="auto"/>
                  </w:divBdr>
                </w:div>
              </w:divsChild>
            </w:div>
            <w:div w:id="1680353681">
              <w:marLeft w:val="0"/>
              <w:marRight w:val="0"/>
              <w:marTop w:val="0"/>
              <w:marBottom w:val="0"/>
              <w:divBdr>
                <w:top w:val="none" w:sz="0" w:space="0" w:color="auto"/>
                <w:left w:val="none" w:sz="0" w:space="0" w:color="auto"/>
                <w:bottom w:val="none" w:sz="0" w:space="0" w:color="auto"/>
                <w:right w:val="none" w:sz="0" w:space="0" w:color="auto"/>
              </w:divBdr>
              <w:divsChild>
                <w:div w:id="827864944">
                  <w:marLeft w:val="0"/>
                  <w:marRight w:val="0"/>
                  <w:marTop w:val="0"/>
                  <w:marBottom w:val="0"/>
                  <w:divBdr>
                    <w:top w:val="none" w:sz="0" w:space="0" w:color="auto"/>
                    <w:left w:val="none" w:sz="0" w:space="0" w:color="auto"/>
                    <w:bottom w:val="none" w:sz="0" w:space="0" w:color="auto"/>
                    <w:right w:val="none" w:sz="0" w:space="0" w:color="auto"/>
                  </w:divBdr>
                </w:div>
              </w:divsChild>
            </w:div>
            <w:div w:id="827330059">
              <w:marLeft w:val="0"/>
              <w:marRight w:val="0"/>
              <w:marTop w:val="0"/>
              <w:marBottom w:val="0"/>
              <w:divBdr>
                <w:top w:val="none" w:sz="0" w:space="0" w:color="auto"/>
                <w:left w:val="none" w:sz="0" w:space="0" w:color="auto"/>
                <w:bottom w:val="none" w:sz="0" w:space="0" w:color="auto"/>
                <w:right w:val="none" w:sz="0" w:space="0" w:color="auto"/>
              </w:divBdr>
              <w:divsChild>
                <w:div w:id="636843127">
                  <w:marLeft w:val="0"/>
                  <w:marRight w:val="0"/>
                  <w:marTop w:val="0"/>
                  <w:marBottom w:val="0"/>
                  <w:divBdr>
                    <w:top w:val="none" w:sz="0" w:space="0" w:color="auto"/>
                    <w:left w:val="none" w:sz="0" w:space="0" w:color="auto"/>
                    <w:bottom w:val="none" w:sz="0" w:space="0" w:color="auto"/>
                    <w:right w:val="none" w:sz="0" w:space="0" w:color="auto"/>
                  </w:divBdr>
                </w:div>
              </w:divsChild>
            </w:div>
            <w:div w:id="494952051">
              <w:marLeft w:val="0"/>
              <w:marRight w:val="0"/>
              <w:marTop w:val="0"/>
              <w:marBottom w:val="0"/>
              <w:divBdr>
                <w:top w:val="none" w:sz="0" w:space="0" w:color="auto"/>
                <w:left w:val="none" w:sz="0" w:space="0" w:color="auto"/>
                <w:bottom w:val="none" w:sz="0" w:space="0" w:color="auto"/>
                <w:right w:val="none" w:sz="0" w:space="0" w:color="auto"/>
              </w:divBdr>
              <w:divsChild>
                <w:div w:id="929192723">
                  <w:marLeft w:val="0"/>
                  <w:marRight w:val="0"/>
                  <w:marTop w:val="0"/>
                  <w:marBottom w:val="0"/>
                  <w:divBdr>
                    <w:top w:val="none" w:sz="0" w:space="0" w:color="auto"/>
                    <w:left w:val="none" w:sz="0" w:space="0" w:color="auto"/>
                    <w:bottom w:val="none" w:sz="0" w:space="0" w:color="auto"/>
                    <w:right w:val="none" w:sz="0" w:space="0" w:color="auto"/>
                  </w:divBdr>
                </w:div>
              </w:divsChild>
            </w:div>
            <w:div w:id="248739355">
              <w:marLeft w:val="0"/>
              <w:marRight w:val="0"/>
              <w:marTop w:val="0"/>
              <w:marBottom w:val="0"/>
              <w:divBdr>
                <w:top w:val="none" w:sz="0" w:space="0" w:color="auto"/>
                <w:left w:val="none" w:sz="0" w:space="0" w:color="auto"/>
                <w:bottom w:val="none" w:sz="0" w:space="0" w:color="auto"/>
                <w:right w:val="none" w:sz="0" w:space="0" w:color="auto"/>
              </w:divBdr>
              <w:divsChild>
                <w:div w:id="3670633">
                  <w:marLeft w:val="0"/>
                  <w:marRight w:val="0"/>
                  <w:marTop w:val="0"/>
                  <w:marBottom w:val="0"/>
                  <w:divBdr>
                    <w:top w:val="none" w:sz="0" w:space="0" w:color="auto"/>
                    <w:left w:val="none" w:sz="0" w:space="0" w:color="auto"/>
                    <w:bottom w:val="none" w:sz="0" w:space="0" w:color="auto"/>
                    <w:right w:val="none" w:sz="0" w:space="0" w:color="auto"/>
                  </w:divBdr>
                </w:div>
              </w:divsChild>
            </w:div>
            <w:div w:id="1978610871">
              <w:marLeft w:val="0"/>
              <w:marRight w:val="0"/>
              <w:marTop w:val="0"/>
              <w:marBottom w:val="0"/>
              <w:divBdr>
                <w:top w:val="none" w:sz="0" w:space="0" w:color="auto"/>
                <w:left w:val="none" w:sz="0" w:space="0" w:color="auto"/>
                <w:bottom w:val="none" w:sz="0" w:space="0" w:color="auto"/>
                <w:right w:val="none" w:sz="0" w:space="0" w:color="auto"/>
              </w:divBdr>
              <w:divsChild>
                <w:div w:id="78600298">
                  <w:marLeft w:val="0"/>
                  <w:marRight w:val="0"/>
                  <w:marTop w:val="0"/>
                  <w:marBottom w:val="0"/>
                  <w:divBdr>
                    <w:top w:val="none" w:sz="0" w:space="0" w:color="auto"/>
                    <w:left w:val="none" w:sz="0" w:space="0" w:color="auto"/>
                    <w:bottom w:val="none" w:sz="0" w:space="0" w:color="auto"/>
                    <w:right w:val="none" w:sz="0" w:space="0" w:color="auto"/>
                  </w:divBdr>
                </w:div>
              </w:divsChild>
            </w:div>
            <w:div w:id="2079473679">
              <w:marLeft w:val="0"/>
              <w:marRight w:val="0"/>
              <w:marTop w:val="0"/>
              <w:marBottom w:val="0"/>
              <w:divBdr>
                <w:top w:val="none" w:sz="0" w:space="0" w:color="auto"/>
                <w:left w:val="none" w:sz="0" w:space="0" w:color="auto"/>
                <w:bottom w:val="none" w:sz="0" w:space="0" w:color="auto"/>
                <w:right w:val="none" w:sz="0" w:space="0" w:color="auto"/>
              </w:divBdr>
              <w:divsChild>
                <w:div w:id="1842771189">
                  <w:marLeft w:val="0"/>
                  <w:marRight w:val="0"/>
                  <w:marTop w:val="0"/>
                  <w:marBottom w:val="0"/>
                  <w:divBdr>
                    <w:top w:val="none" w:sz="0" w:space="0" w:color="auto"/>
                    <w:left w:val="none" w:sz="0" w:space="0" w:color="auto"/>
                    <w:bottom w:val="none" w:sz="0" w:space="0" w:color="auto"/>
                    <w:right w:val="none" w:sz="0" w:space="0" w:color="auto"/>
                  </w:divBdr>
                </w:div>
              </w:divsChild>
            </w:div>
            <w:div w:id="1420910012">
              <w:marLeft w:val="0"/>
              <w:marRight w:val="0"/>
              <w:marTop w:val="0"/>
              <w:marBottom w:val="0"/>
              <w:divBdr>
                <w:top w:val="none" w:sz="0" w:space="0" w:color="auto"/>
                <w:left w:val="none" w:sz="0" w:space="0" w:color="auto"/>
                <w:bottom w:val="none" w:sz="0" w:space="0" w:color="auto"/>
                <w:right w:val="none" w:sz="0" w:space="0" w:color="auto"/>
              </w:divBdr>
              <w:divsChild>
                <w:div w:id="482233712">
                  <w:marLeft w:val="0"/>
                  <w:marRight w:val="0"/>
                  <w:marTop w:val="0"/>
                  <w:marBottom w:val="0"/>
                  <w:divBdr>
                    <w:top w:val="none" w:sz="0" w:space="0" w:color="auto"/>
                    <w:left w:val="none" w:sz="0" w:space="0" w:color="auto"/>
                    <w:bottom w:val="none" w:sz="0" w:space="0" w:color="auto"/>
                    <w:right w:val="none" w:sz="0" w:space="0" w:color="auto"/>
                  </w:divBdr>
                </w:div>
              </w:divsChild>
            </w:div>
            <w:div w:id="621352375">
              <w:marLeft w:val="0"/>
              <w:marRight w:val="0"/>
              <w:marTop w:val="0"/>
              <w:marBottom w:val="0"/>
              <w:divBdr>
                <w:top w:val="none" w:sz="0" w:space="0" w:color="auto"/>
                <w:left w:val="none" w:sz="0" w:space="0" w:color="auto"/>
                <w:bottom w:val="none" w:sz="0" w:space="0" w:color="auto"/>
                <w:right w:val="none" w:sz="0" w:space="0" w:color="auto"/>
              </w:divBdr>
              <w:divsChild>
                <w:div w:id="194778364">
                  <w:marLeft w:val="0"/>
                  <w:marRight w:val="0"/>
                  <w:marTop w:val="0"/>
                  <w:marBottom w:val="0"/>
                  <w:divBdr>
                    <w:top w:val="none" w:sz="0" w:space="0" w:color="auto"/>
                    <w:left w:val="none" w:sz="0" w:space="0" w:color="auto"/>
                    <w:bottom w:val="none" w:sz="0" w:space="0" w:color="auto"/>
                    <w:right w:val="none" w:sz="0" w:space="0" w:color="auto"/>
                  </w:divBdr>
                </w:div>
              </w:divsChild>
            </w:div>
            <w:div w:id="359353835">
              <w:marLeft w:val="0"/>
              <w:marRight w:val="0"/>
              <w:marTop w:val="0"/>
              <w:marBottom w:val="0"/>
              <w:divBdr>
                <w:top w:val="none" w:sz="0" w:space="0" w:color="auto"/>
                <w:left w:val="none" w:sz="0" w:space="0" w:color="auto"/>
                <w:bottom w:val="none" w:sz="0" w:space="0" w:color="auto"/>
                <w:right w:val="none" w:sz="0" w:space="0" w:color="auto"/>
              </w:divBdr>
              <w:divsChild>
                <w:div w:id="785782402">
                  <w:marLeft w:val="0"/>
                  <w:marRight w:val="0"/>
                  <w:marTop w:val="0"/>
                  <w:marBottom w:val="0"/>
                  <w:divBdr>
                    <w:top w:val="none" w:sz="0" w:space="0" w:color="auto"/>
                    <w:left w:val="none" w:sz="0" w:space="0" w:color="auto"/>
                    <w:bottom w:val="none" w:sz="0" w:space="0" w:color="auto"/>
                    <w:right w:val="none" w:sz="0" w:space="0" w:color="auto"/>
                  </w:divBdr>
                </w:div>
              </w:divsChild>
            </w:div>
            <w:div w:id="1103692861">
              <w:marLeft w:val="0"/>
              <w:marRight w:val="0"/>
              <w:marTop w:val="0"/>
              <w:marBottom w:val="0"/>
              <w:divBdr>
                <w:top w:val="none" w:sz="0" w:space="0" w:color="auto"/>
                <w:left w:val="none" w:sz="0" w:space="0" w:color="auto"/>
                <w:bottom w:val="none" w:sz="0" w:space="0" w:color="auto"/>
                <w:right w:val="none" w:sz="0" w:space="0" w:color="auto"/>
              </w:divBdr>
              <w:divsChild>
                <w:div w:id="1566145570">
                  <w:marLeft w:val="0"/>
                  <w:marRight w:val="0"/>
                  <w:marTop w:val="0"/>
                  <w:marBottom w:val="0"/>
                  <w:divBdr>
                    <w:top w:val="none" w:sz="0" w:space="0" w:color="auto"/>
                    <w:left w:val="none" w:sz="0" w:space="0" w:color="auto"/>
                    <w:bottom w:val="none" w:sz="0" w:space="0" w:color="auto"/>
                    <w:right w:val="none" w:sz="0" w:space="0" w:color="auto"/>
                  </w:divBdr>
                </w:div>
              </w:divsChild>
            </w:div>
            <w:div w:id="365064530">
              <w:marLeft w:val="0"/>
              <w:marRight w:val="0"/>
              <w:marTop w:val="0"/>
              <w:marBottom w:val="0"/>
              <w:divBdr>
                <w:top w:val="none" w:sz="0" w:space="0" w:color="auto"/>
                <w:left w:val="none" w:sz="0" w:space="0" w:color="auto"/>
                <w:bottom w:val="none" w:sz="0" w:space="0" w:color="auto"/>
                <w:right w:val="none" w:sz="0" w:space="0" w:color="auto"/>
              </w:divBdr>
              <w:divsChild>
                <w:div w:id="520557643">
                  <w:marLeft w:val="0"/>
                  <w:marRight w:val="0"/>
                  <w:marTop w:val="0"/>
                  <w:marBottom w:val="0"/>
                  <w:divBdr>
                    <w:top w:val="none" w:sz="0" w:space="0" w:color="auto"/>
                    <w:left w:val="none" w:sz="0" w:space="0" w:color="auto"/>
                    <w:bottom w:val="none" w:sz="0" w:space="0" w:color="auto"/>
                    <w:right w:val="none" w:sz="0" w:space="0" w:color="auto"/>
                  </w:divBdr>
                </w:div>
              </w:divsChild>
            </w:div>
            <w:div w:id="76362215">
              <w:marLeft w:val="0"/>
              <w:marRight w:val="0"/>
              <w:marTop w:val="0"/>
              <w:marBottom w:val="0"/>
              <w:divBdr>
                <w:top w:val="none" w:sz="0" w:space="0" w:color="auto"/>
                <w:left w:val="none" w:sz="0" w:space="0" w:color="auto"/>
                <w:bottom w:val="none" w:sz="0" w:space="0" w:color="auto"/>
                <w:right w:val="none" w:sz="0" w:space="0" w:color="auto"/>
              </w:divBdr>
              <w:divsChild>
                <w:div w:id="1902590877">
                  <w:marLeft w:val="0"/>
                  <w:marRight w:val="0"/>
                  <w:marTop w:val="0"/>
                  <w:marBottom w:val="0"/>
                  <w:divBdr>
                    <w:top w:val="none" w:sz="0" w:space="0" w:color="auto"/>
                    <w:left w:val="none" w:sz="0" w:space="0" w:color="auto"/>
                    <w:bottom w:val="none" w:sz="0" w:space="0" w:color="auto"/>
                    <w:right w:val="none" w:sz="0" w:space="0" w:color="auto"/>
                  </w:divBdr>
                </w:div>
              </w:divsChild>
            </w:div>
            <w:div w:id="1712917722">
              <w:marLeft w:val="0"/>
              <w:marRight w:val="0"/>
              <w:marTop w:val="0"/>
              <w:marBottom w:val="0"/>
              <w:divBdr>
                <w:top w:val="none" w:sz="0" w:space="0" w:color="auto"/>
                <w:left w:val="none" w:sz="0" w:space="0" w:color="auto"/>
                <w:bottom w:val="none" w:sz="0" w:space="0" w:color="auto"/>
                <w:right w:val="none" w:sz="0" w:space="0" w:color="auto"/>
              </w:divBdr>
              <w:divsChild>
                <w:div w:id="2664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68778">
      <w:bodyDiv w:val="1"/>
      <w:marLeft w:val="0"/>
      <w:marRight w:val="0"/>
      <w:marTop w:val="0"/>
      <w:marBottom w:val="0"/>
      <w:divBdr>
        <w:top w:val="none" w:sz="0" w:space="0" w:color="auto"/>
        <w:left w:val="none" w:sz="0" w:space="0" w:color="auto"/>
        <w:bottom w:val="none" w:sz="0" w:space="0" w:color="auto"/>
        <w:right w:val="none" w:sz="0" w:space="0" w:color="auto"/>
      </w:divBdr>
    </w:div>
    <w:div w:id="2116558880">
      <w:bodyDiv w:val="1"/>
      <w:marLeft w:val="0"/>
      <w:marRight w:val="0"/>
      <w:marTop w:val="0"/>
      <w:marBottom w:val="0"/>
      <w:divBdr>
        <w:top w:val="none" w:sz="0" w:space="0" w:color="auto"/>
        <w:left w:val="none" w:sz="0" w:space="0" w:color="auto"/>
        <w:bottom w:val="none" w:sz="0" w:space="0" w:color="auto"/>
        <w:right w:val="none" w:sz="0" w:space="0" w:color="auto"/>
      </w:divBdr>
      <w:divsChild>
        <w:div w:id="1289552908">
          <w:marLeft w:val="0"/>
          <w:marRight w:val="0"/>
          <w:marTop w:val="0"/>
          <w:marBottom w:val="0"/>
          <w:divBdr>
            <w:top w:val="none" w:sz="0" w:space="0" w:color="auto"/>
            <w:left w:val="none" w:sz="0" w:space="0" w:color="auto"/>
            <w:bottom w:val="none" w:sz="0" w:space="0" w:color="auto"/>
            <w:right w:val="none" w:sz="0" w:space="0" w:color="auto"/>
          </w:divBdr>
        </w:div>
        <w:div w:id="1389186898">
          <w:marLeft w:val="0"/>
          <w:marRight w:val="0"/>
          <w:marTop w:val="0"/>
          <w:marBottom w:val="0"/>
          <w:divBdr>
            <w:top w:val="none" w:sz="0" w:space="0" w:color="auto"/>
            <w:left w:val="none" w:sz="0" w:space="0" w:color="auto"/>
            <w:bottom w:val="none" w:sz="0" w:space="0" w:color="auto"/>
            <w:right w:val="none" w:sz="0" w:space="0" w:color="auto"/>
          </w:divBdr>
        </w:div>
        <w:div w:id="297760443">
          <w:marLeft w:val="0"/>
          <w:marRight w:val="0"/>
          <w:marTop w:val="0"/>
          <w:marBottom w:val="0"/>
          <w:divBdr>
            <w:top w:val="none" w:sz="0" w:space="0" w:color="auto"/>
            <w:left w:val="none" w:sz="0" w:space="0" w:color="auto"/>
            <w:bottom w:val="none" w:sz="0" w:space="0" w:color="auto"/>
            <w:right w:val="none" w:sz="0" w:space="0" w:color="auto"/>
          </w:divBdr>
        </w:div>
        <w:div w:id="370689772">
          <w:marLeft w:val="0"/>
          <w:marRight w:val="0"/>
          <w:marTop w:val="0"/>
          <w:marBottom w:val="0"/>
          <w:divBdr>
            <w:top w:val="none" w:sz="0" w:space="0" w:color="auto"/>
            <w:left w:val="none" w:sz="0" w:space="0" w:color="auto"/>
            <w:bottom w:val="none" w:sz="0" w:space="0" w:color="auto"/>
            <w:right w:val="none" w:sz="0" w:space="0" w:color="auto"/>
          </w:divBdr>
        </w:div>
        <w:div w:id="1707409898">
          <w:marLeft w:val="-75"/>
          <w:marRight w:val="0"/>
          <w:marTop w:val="30"/>
          <w:marBottom w:val="30"/>
          <w:divBdr>
            <w:top w:val="none" w:sz="0" w:space="0" w:color="auto"/>
            <w:left w:val="none" w:sz="0" w:space="0" w:color="auto"/>
            <w:bottom w:val="none" w:sz="0" w:space="0" w:color="auto"/>
            <w:right w:val="none" w:sz="0" w:space="0" w:color="auto"/>
          </w:divBdr>
          <w:divsChild>
            <w:div w:id="210385874">
              <w:marLeft w:val="0"/>
              <w:marRight w:val="0"/>
              <w:marTop w:val="0"/>
              <w:marBottom w:val="0"/>
              <w:divBdr>
                <w:top w:val="none" w:sz="0" w:space="0" w:color="auto"/>
                <w:left w:val="none" w:sz="0" w:space="0" w:color="auto"/>
                <w:bottom w:val="none" w:sz="0" w:space="0" w:color="auto"/>
                <w:right w:val="none" w:sz="0" w:space="0" w:color="auto"/>
              </w:divBdr>
              <w:divsChild>
                <w:div w:id="2076971513">
                  <w:marLeft w:val="0"/>
                  <w:marRight w:val="0"/>
                  <w:marTop w:val="0"/>
                  <w:marBottom w:val="0"/>
                  <w:divBdr>
                    <w:top w:val="none" w:sz="0" w:space="0" w:color="auto"/>
                    <w:left w:val="none" w:sz="0" w:space="0" w:color="auto"/>
                    <w:bottom w:val="none" w:sz="0" w:space="0" w:color="auto"/>
                    <w:right w:val="none" w:sz="0" w:space="0" w:color="auto"/>
                  </w:divBdr>
                </w:div>
              </w:divsChild>
            </w:div>
            <w:div w:id="1312103864">
              <w:marLeft w:val="0"/>
              <w:marRight w:val="0"/>
              <w:marTop w:val="0"/>
              <w:marBottom w:val="0"/>
              <w:divBdr>
                <w:top w:val="none" w:sz="0" w:space="0" w:color="auto"/>
                <w:left w:val="none" w:sz="0" w:space="0" w:color="auto"/>
                <w:bottom w:val="none" w:sz="0" w:space="0" w:color="auto"/>
                <w:right w:val="none" w:sz="0" w:space="0" w:color="auto"/>
              </w:divBdr>
              <w:divsChild>
                <w:div w:id="228467092">
                  <w:marLeft w:val="0"/>
                  <w:marRight w:val="0"/>
                  <w:marTop w:val="0"/>
                  <w:marBottom w:val="0"/>
                  <w:divBdr>
                    <w:top w:val="none" w:sz="0" w:space="0" w:color="auto"/>
                    <w:left w:val="none" w:sz="0" w:space="0" w:color="auto"/>
                    <w:bottom w:val="none" w:sz="0" w:space="0" w:color="auto"/>
                    <w:right w:val="none" w:sz="0" w:space="0" w:color="auto"/>
                  </w:divBdr>
                </w:div>
              </w:divsChild>
            </w:div>
            <w:div w:id="1973556284">
              <w:marLeft w:val="0"/>
              <w:marRight w:val="0"/>
              <w:marTop w:val="0"/>
              <w:marBottom w:val="0"/>
              <w:divBdr>
                <w:top w:val="none" w:sz="0" w:space="0" w:color="auto"/>
                <w:left w:val="none" w:sz="0" w:space="0" w:color="auto"/>
                <w:bottom w:val="none" w:sz="0" w:space="0" w:color="auto"/>
                <w:right w:val="none" w:sz="0" w:space="0" w:color="auto"/>
              </w:divBdr>
              <w:divsChild>
                <w:div w:id="439496030">
                  <w:marLeft w:val="0"/>
                  <w:marRight w:val="0"/>
                  <w:marTop w:val="0"/>
                  <w:marBottom w:val="0"/>
                  <w:divBdr>
                    <w:top w:val="none" w:sz="0" w:space="0" w:color="auto"/>
                    <w:left w:val="none" w:sz="0" w:space="0" w:color="auto"/>
                    <w:bottom w:val="none" w:sz="0" w:space="0" w:color="auto"/>
                    <w:right w:val="none" w:sz="0" w:space="0" w:color="auto"/>
                  </w:divBdr>
                </w:div>
              </w:divsChild>
            </w:div>
            <w:div w:id="452678145">
              <w:marLeft w:val="0"/>
              <w:marRight w:val="0"/>
              <w:marTop w:val="0"/>
              <w:marBottom w:val="0"/>
              <w:divBdr>
                <w:top w:val="none" w:sz="0" w:space="0" w:color="auto"/>
                <w:left w:val="none" w:sz="0" w:space="0" w:color="auto"/>
                <w:bottom w:val="none" w:sz="0" w:space="0" w:color="auto"/>
                <w:right w:val="none" w:sz="0" w:space="0" w:color="auto"/>
              </w:divBdr>
              <w:divsChild>
                <w:div w:id="1563322993">
                  <w:marLeft w:val="0"/>
                  <w:marRight w:val="0"/>
                  <w:marTop w:val="0"/>
                  <w:marBottom w:val="0"/>
                  <w:divBdr>
                    <w:top w:val="none" w:sz="0" w:space="0" w:color="auto"/>
                    <w:left w:val="none" w:sz="0" w:space="0" w:color="auto"/>
                    <w:bottom w:val="none" w:sz="0" w:space="0" w:color="auto"/>
                    <w:right w:val="none" w:sz="0" w:space="0" w:color="auto"/>
                  </w:divBdr>
                </w:div>
              </w:divsChild>
            </w:div>
            <w:div w:id="1593469660">
              <w:marLeft w:val="0"/>
              <w:marRight w:val="0"/>
              <w:marTop w:val="0"/>
              <w:marBottom w:val="0"/>
              <w:divBdr>
                <w:top w:val="none" w:sz="0" w:space="0" w:color="auto"/>
                <w:left w:val="none" w:sz="0" w:space="0" w:color="auto"/>
                <w:bottom w:val="none" w:sz="0" w:space="0" w:color="auto"/>
                <w:right w:val="none" w:sz="0" w:space="0" w:color="auto"/>
              </w:divBdr>
              <w:divsChild>
                <w:div w:id="357194250">
                  <w:marLeft w:val="0"/>
                  <w:marRight w:val="0"/>
                  <w:marTop w:val="0"/>
                  <w:marBottom w:val="0"/>
                  <w:divBdr>
                    <w:top w:val="none" w:sz="0" w:space="0" w:color="auto"/>
                    <w:left w:val="none" w:sz="0" w:space="0" w:color="auto"/>
                    <w:bottom w:val="none" w:sz="0" w:space="0" w:color="auto"/>
                    <w:right w:val="none" w:sz="0" w:space="0" w:color="auto"/>
                  </w:divBdr>
                </w:div>
              </w:divsChild>
            </w:div>
            <w:div w:id="2056468607">
              <w:marLeft w:val="0"/>
              <w:marRight w:val="0"/>
              <w:marTop w:val="0"/>
              <w:marBottom w:val="0"/>
              <w:divBdr>
                <w:top w:val="none" w:sz="0" w:space="0" w:color="auto"/>
                <w:left w:val="none" w:sz="0" w:space="0" w:color="auto"/>
                <w:bottom w:val="none" w:sz="0" w:space="0" w:color="auto"/>
                <w:right w:val="none" w:sz="0" w:space="0" w:color="auto"/>
              </w:divBdr>
              <w:divsChild>
                <w:div w:id="823395905">
                  <w:marLeft w:val="0"/>
                  <w:marRight w:val="0"/>
                  <w:marTop w:val="0"/>
                  <w:marBottom w:val="0"/>
                  <w:divBdr>
                    <w:top w:val="none" w:sz="0" w:space="0" w:color="auto"/>
                    <w:left w:val="none" w:sz="0" w:space="0" w:color="auto"/>
                    <w:bottom w:val="none" w:sz="0" w:space="0" w:color="auto"/>
                    <w:right w:val="none" w:sz="0" w:space="0" w:color="auto"/>
                  </w:divBdr>
                </w:div>
              </w:divsChild>
            </w:div>
            <w:div w:id="620646097">
              <w:marLeft w:val="0"/>
              <w:marRight w:val="0"/>
              <w:marTop w:val="0"/>
              <w:marBottom w:val="0"/>
              <w:divBdr>
                <w:top w:val="none" w:sz="0" w:space="0" w:color="auto"/>
                <w:left w:val="none" w:sz="0" w:space="0" w:color="auto"/>
                <w:bottom w:val="none" w:sz="0" w:space="0" w:color="auto"/>
                <w:right w:val="none" w:sz="0" w:space="0" w:color="auto"/>
              </w:divBdr>
              <w:divsChild>
                <w:div w:id="1829903296">
                  <w:marLeft w:val="0"/>
                  <w:marRight w:val="0"/>
                  <w:marTop w:val="0"/>
                  <w:marBottom w:val="0"/>
                  <w:divBdr>
                    <w:top w:val="none" w:sz="0" w:space="0" w:color="auto"/>
                    <w:left w:val="none" w:sz="0" w:space="0" w:color="auto"/>
                    <w:bottom w:val="none" w:sz="0" w:space="0" w:color="auto"/>
                    <w:right w:val="none" w:sz="0" w:space="0" w:color="auto"/>
                  </w:divBdr>
                </w:div>
              </w:divsChild>
            </w:div>
            <w:div w:id="684135047">
              <w:marLeft w:val="0"/>
              <w:marRight w:val="0"/>
              <w:marTop w:val="0"/>
              <w:marBottom w:val="0"/>
              <w:divBdr>
                <w:top w:val="none" w:sz="0" w:space="0" w:color="auto"/>
                <w:left w:val="none" w:sz="0" w:space="0" w:color="auto"/>
                <w:bottom w:val="none" w:sz="0" w:space="0" w:color="auto"/>
                <w:right w:val="none" w:sz="0" w:space="0" w:color="auto"/>
              </w:divBdr>
              <w:divsChild>
                <w:div w:id="1281258558">
                  <w:marLeft w:val="0"/>
                  <w:marRight w:val="0"/>
                  <w:marTop w:val="0"/>
                  <w:marBottom w:val="0"/>
                  <w:divBdr>
                    <w:top w:val="none" w:sz="0" w:space="0" w:color="auto"/>
                    <w:left w:val="none" w:sz="0" w:space="0" w:color="auto"/>
                    <w:bottom w:val="none" w:sz="0" w:space="0" w:color="auto"/>
                    <w:right w:val="none" w:sz="0" w:space="0" w:color="auto"/>
                  </w:divBdr>
                </w:div>
              </w:divsChild>
            </w:div>
            <w:div w:id="855461435">
              <w:marLeft w:val="0"/>
              <w:marRight w:val="0"/>
              <w:marTop w:val="0"/>
              <w:marBottom w:val="0"/>
              <w:divBdr>
                <w:top w:val="none" w:sz="0" w:space="0" w:color="auto"/>
                <w:left w:val="none" w:sz="0" w:space="0" w:color="auto"/>
                <w:bottom w:val="none" w:sz="0" w:space="0" w:color="auto"/>
                <w:right w:val="none" w:sz="0" w:space="0" w:color="auto"/>
              </w:divBdr>
              <w:divsChild>
                <w:div w:id="1644040998">
                  <w:marLeft w:val="0"/>
                  <w:marRight w:val="0"/>
                  <w:marTop w:val="0"/>
                  <w:marBottom w:val="0"/>
                  <w:divBdr>
                    <w:top w:val="none" w:sz="0" w:space="0" w:color="auto"/>
                    <w:left w:val="none" w:sz="0" w:space="0" w:color="auto"/>
                    <w:bottom w:val="none" w:sz="0" w:space="0" w:color="auto"/>
                    <w:right w:val="none" w:sz="0" w:space="0" w:color="auto"/>
                  </w:divBdr>
                </w:div>
              </w:divsChild>
            </w:div>
            <w:div w:id="467821230">
              <w:marLeft w:val="0"/>
              <w:marRight w:val="0"/>
              <w:marTop w:val="0"/>
              <w:marBottom w:val="0"/>
              <w:divBdr>
                <w:top w:val="none" w:sz="0" w:space="0" w:color="auto"/>
                <w:left w:val="none" w:sz="0" w:space="0" w:color="auto"/>
                <w:bottom w:val="none" w:sz="0" w:space="0" w:color="auto"/>
                <w:right w:val="none" w:sz="0" w:space="0" w:color="auto"/>
              </w:divBdr>
              <w:divsChild>
                <w:div w:id="1378168145">
                  <w:marLeft w:val="0"/>
                  <w:marRight w:val="0"/>
                  <w:marTop w:val="0"/>
                  <w:marBottom w:val="0"/>
                  <w:divBdr>
                    <w:top w:val="none" w:sz="0" w:space="0" w:color="auto"/>
                    <w:left w:val="none" w:sz="0" w:space="0" w:color="auto"/>
                    <w:bottom w:val="none" w:sz="0" w:space="0" w:color="auto"/>
                    <w:right w:val="none" w:sz="0" w:space="0" w:color="auto"/>
                  </w:divBdr>
                </w:div>
              </w:divsChild>
            </w:div>
            <w:div w:id="1382971975">
              <w:marLeft w:val="0"/>
              <w:marRight w:val="0"/>
              <w:marTop w:val="0"/>
              <w:marBottom w:val="0"/>
              <w:divBdr>
                <w:top w:val="none" w:sz="0" w:space="0" w:color="auto"/>
                <w:left w:val="none" w:sz="0" w:space="0" w:color="auto"/>
                <w:bottom w:val="none" w:sz="0" w:space="0" w:color="auto"/>
                <w:right w:val="none" w:sz="0" w:space="0" w:color="auto"/>
              </w:divBdr>
              <w:divsChild>
                <w:div w:id="1129742207">
                  <w:marLeft w:val="0"/>
                  <w:marRight w:val="0"/>
                  <w:marTop w:val="0"/>
                  <w:marBottom w:val="0"/>
                  <w:divBdr>
                    <w:top w:val="none" w:sz="0" w:space="0" w:color="auto"/>
                    <w:left w:val="none" w:sz="0" w:space="0" w:color="auto"/>
                    <w:bottom w:val="none" w:sz="0" w:space="0" w:color="auto"/>
                    <w:right w:val="none" w:sz="0" w:space="0" w:color="auto"/>
                  </w:divBdr>
                </w:div>
              </w:divsChild>
            </w:div>
            <w:div w:id="105388210">
              <w:marLeft w:val="0"/>
              <w:marRight w:val="0"/>
              <w:marTop w:val="0"/>
              <w:marBottom w:val="0"/>
              <w:divBdr>
                <w:top w:val="none" w:sz="0" w:space="0" w:color="auto"/>
                <w:left w:val="none" w:sz="0" w:space="0" w:color="auto"/>
                <w:bottom w:val="none" w:sz="0" w:space="0" w:color="auto"/>
                <w:right w:val="none" w:sz="0" w:space="0" w:color="auto"/>
              </w:divBdr>
              <w:divsChild>
                <w:div w:id="335231844">
                  <w:marLeft w:val="0"/>
                  <w:marRight w:val="0"/>
                  <w:marTop w:val="0"/>
                  <w:marBottom w:val="0"/>
                  <w:divBdr>
                    <w:top w:val="none" w:sz="0" w:space="0" w:color="auto"/>
                    <w:left w:val="none" w:sz="0" w:space="0" w:color="auto"/>
                    <w:bottom w:val="none" w:sz="0" w:space="0" w:color="auto"/>
                    <w:right w:val="none" w:sz="0" w:space="0" w:color="auto"/>
                  </w:divBdr>
                </w:div>
              </w:divsChild>
            </w:div>
            <w:div w:id="1734347536">
              <w:marLeft w:val="0"/>
              <w:marRight w:val="0"/>
              <w:marTop w:val="0"/>
              <w:marBottom w:val="0"/>
              <w:divBdr>
                <w:top w:val="none" w:sz="0" w:space="0" w:color="auto"/>
                <w:left w:val="none" w:sz="0" w:space="0" w:color="auto"/>
                <w:bottom w:val="none" w:sz="0" w:space="0" w:color="auto"/>
                <w:right w:val="none" w:sz="0" w:space="0" w:color="auto"/>
              </w:divBdr>
              <w:divsChild>
                <w:div w:id="1911501019">
                  <w:marLeft w:val="0"/>
                  <w:marRight w:val="0"/>
                  <w:marTop w:val="0"/>
                  <w:marBottom w:val="0"/>
                  <w:divBdr>
                    <w:top w:val="none" w:sz="0" w:space="0" w:color="auto"/>
                    <w:left w:val="none" w:sz="0" w:space="0" w:color="auto"/>
                    <w:bottom w:val="none" w:sz="0" w:space="0" w:color="auto"/>
                    <w:right w:val="none" w:sz="0" w:space="0" w:color="auto"/>
                  </w:divBdr>
                </w:div>
              </w:divsChild>
            </w:div>
            <w:div w:id="851652390">
              <w:marLeft w:val="0"/>
              <w:marRight w:val="0"/>
              <w:marTop w:val="0"/>
              <w:marBottom w:val="0"/>
              <w:divBdr>
                <w:top w:val="none" w:sz="0" w:space="0" w:color="auto"/>
                <w:left w:val="none" w:sz="0" w:space="0" w:color="auto"/>
                <w:bottom w:val="none" w:sz="0" w:space="0" w:color="auto"/>
                <w:right w:val="none" w:sz="0" w:space="0" w:color="auto"/>
              </w:divBdr>
              <w:divsChild>
                <w:div w:id="1973904602">
                  <w:marLeft w:val="0"/>
                  <w:marRight w:val="0"/>
                  <w:marTop w:val="0"/>
                  <w:marBottom w:val="0"/>
                  <w:divBdr>
                    <w:top w:val="none" w:sz="0" w:space="0" w:color="auto"/>
                    <w:left w:val="none" w:sz="0" w:space="0" w:color="auto"/>
                    <w:bottom w:val="none" w:sz="0" w:space="0" w:color="auto"/>
                    <w:right w:val="none" w:sz="0" w:space="0" w:color="auto"/>
                  </w:divBdr>
                </w:div>
              </w:divsChild>
            </w:div>
            <w:div w:id="1256130801">
              <w:marLeft w:val="0"/>
              <w:marRight w:val="0"/>
              <w:marTop w:val="0"/>
              <w:marBottom w:val="0"/>
              <w:divBdr>
                <w:top w:val="none" w:sz="0" w:space="0" w:color="auto"/>
                <w:left w:val="none" w:sz="0" w:space="0" w:color="auto"/>
                <w:bottom w:val="none" w:sz="0" w:space="0" w:color="auto"/>
                <w:right w:val="none" w:sz="0" w:space="0" w:color="auto"/>
              </w:divBdr>
              <w:divsChild>
                <w:div w:id="1640380362">
                  <w:marLeft w:val="0"/>
                  <w:marRight w:val="0"/>
                  <w:marTop w:val="0"/>
                  <w:marBottom w:val="0"/>
                  <w:divBdr>
                    <w:top w:val="none" w:sz="0" w:space="0" w:color="auto"/>
                    <w:left w:val="none" w:sz="0" w:space="0" w:color="auto"/>
                    <w:bottom w:val="none" w:sz="0" w:space="0" w:color="auto"/>
                    <w:right w:val="none" w:sz="0" w:space="0" w:color="auto"/>
                  </w:divBdr>
                </w:div>
              </w:divsChild>
            </w:div>
            <w:div w:id="1752660657">
              <w:marLeft w:val="0"/>
              <w:marRight w:val="0"/>
              <w:marTop w:val="0"/>
              <w:marBottom w:val="0"/>
              <w:divBdr>
                <w:top w:val="none" w:sz="0" w:space="0" w:color="auto"/>
                <w:left w:val="none" w:sz="0" w:space="0" w:color="auto"/>
                <w:bottom w:val="none" w:sz="0" w:space="0" w:color="auto"/>
                <w:right w:val="none" w:sz="0" w:space="0" w:color="auto"/>
              </w:divBdr>
              <w:divsChild>
                <w:div w:id="452864092">
                  <w:marLeft w:val="0"/>
                  <w:marRight w:val="0"/>
                  <w:marTop w:val="0"/>
                  <w:marBottom w:val="0"/>
                  <w:divBdr>
                    <w:top w:val="none" w:sz="0" w:space="0" w:color="auto"/>
                    <w:left w:val="none" w:sz="0" w:space="0" w:color="auto"/>
                    <w:bottom w:val="none" w:sz="0" w:space="0" w:color="auto"/>
                    <w:right w:val="none" w:sz="0" w:space="0" w:color="auto"/>
                  </w:divBdr>
                </w:div>
              </w:divsChild>
            </w:div>
            <w:div w:id="844518003">
              <w:marLeft w:val="0"/>
              <w:marRight w:val="0"/>
              <w:marTop w:val="0"/>
              <w:marBottom w:val="0"/>
              <w:divBdr>
                <w:top w:val="none" w:sz="0" w:space="0" w:color="auto"/>
                <w:left w:val="none" w:sz="0" w:space="0" w:color="auto"/>
                <w:bottom w:val="none" w:sz="0" w:space="0" w:color="auto"/>
                <w:right w:val="none" w:sz="0" w:space="0" w:color="auto"/>
              </w:divBdr>
              <w:divsChild>
                <w:div w:id="107091163">
                  <w:marLeft w:val="0"/>
                  <w:marRight w:val="0"/>
                  <w:marTop w:val="0"/>
                  <w:marBottom w:val="0"/>
                  <w:divBdr>
                    <w:top w:val="none" w:sz="0" w:space="0" w:color="auto"/>
                    <w:left w:val="none" w:sz="0" w:space="0" w:color="auto"/>
                    <w:bottom w:val="none" w:sz="0" w:space="0" w:color="auto"/>
                    <w:right w:val="none" w:sz="0" w:space="0" w:color="auto"/>
                  </w:divBdr>
                </w:div>
              </w:divsChild>
            </w:div>
            <w:div w:id="1307659512">
              <w:marLeft w:val="0"/>
              <w:marRight w:val="0"/>
              <w:marTop w:val="0"/>
              <w:marBottom w:val="0"/>
              <w:divBdr>
                <w:top w:val="none" w:sz="0" w:space="0" w:color="auto"/>
                <w:left w:val="none" w:sz="0" w:space="0" w:color="auto"/>
                <w:bottom w:val="none" w:sz="0" w:space="0" w:color="auto"/>
                <w:right w:val="none" w:sz="0" w:space="0" w:color="auto"/>
              </w:divBdr>
              <w:divsChild>
                <w:div w:id="358580155">
                  <w:marLeft w:val="0"/>
                  <w:marRight w:val="0"/>
                  <w:marTop w:val="0"/>
                  <w:marBottom w:val="0"/>
                  <w:divBdr>
                    <w:top w:val="none" w:sz="0" w:space="0" w:color="auto"/>
                    <w:left w:val="none" w:sz="0" w:space="0" w:color="auto"/>
                    <w:bottom w:val="none" w:sz="0" w:space="0" w:color="auto"/>
                    <w:right w:val="none" w:sz="0" w:space="0" w:color="auto"/>
                  </w:divBdr>
                </w:div>
              </w:divsChild>
            </w:div>
            <w:div w:id="144517832">
              <w:marLeft w:val="0"/>
              <w:marRight w:val="0"/>
              <w:marTop w:val="0"/>
              <w:marBottom w:val="0"/>
              <w:divBdr>
                <w:top w:val="none" w:sz="0" w:space="0" w:color="auto"/>
                <w:left w:val="none" w:sz="0" w:space="0" w:color="auto"/>
                <w:bottom w:val="none" w:sz="0" w:space="0" w:color="auto"/>
                <w:right w:val="none" w:sz="0" w:space="0" w:color="auto"/>
              </w:divBdr>
              <w:divsChild>
                <w:div w:id="1754934982">
                  <w:marLeft w:val="0"/>
                  <w:marRight w:val="0"/>
                  <w:marTop w:val="0"/>
                  <w:marBottom w:val="0"/>
                  <w:divBdr>
                    <w:top w:val="none" w:sz="0" w:space="0" w:color="auto"/>
                    <w:left w:val="none" w:sz="0" w:space="0" w:color="auto"/>
                    <w:bottom w:val="none" w:sz="0" w:space="0" w:color="auto"/>
                    <w:right w:val="none" w:sz="0" w:space="0" w:color="auto"/>
                  </w:divBdr>
                </w:div>
              </w:divsChild>
            </w:div>
            <w:div w:id="144516910">
              <w:marLeft w:val="0"/>
              <w:marRight w:val="0"/>
              <w:marTop w:val="0"/>
              <w:marBottom w:val="0"/>
              <w:divBdr>
                <w:top w:val="none" w:sz="0" w:space="0" w:color="auto"/>
                <w:left w:val="none" w:sz="0" w:space="0" w:color="auto"/>
                <w:bottom w:val="none" w:sz="0" w:space="0" w:color="auto"/>
                <w:right w:val="none" w:sz="0" w:space="0" w:color="auto"/>
              </w:divBdr>
              <w:divsChild>
                <w:div w:id="1439715077">
                  <w:marLeft w:val="0"/>
                  <w:marRight w:val="0"/>
                  <w:marTop w:val="0"/>
                  <w:marBottom w:val="0"/>
                  <w:divBdr>
                    <w:top w:val="none" w:sz="0" w:space="0" w:color="auto"/>
                    <w:left w:val="none" w:sz="0" w:space="0" w:color="auto"/>
                    <w:bottom w:val="none" w:sz="0" w:space="0" w:color="auto"/>
                    <w:right w:val="none" w:sz="0" w:space="0" w:color="auto"/>
                  </w:divBdr>
                </w:div>
              </w:divsChild>
            </w:div>
            <w:div w:id="1078676263">
              <w:marLeft w:val="0"/>
              <w:marRight w:val="0"/>
              <w:marTop w:val="0"/>
              <w:marBottom w:val="0"/>
              <w:divBdr>
                <w:top w:val="none" w:sz="0" w:space="0" w:color="auto"/>
                <w:left w:val="none" w:sz="0" w:space="0" w:color="auto"/>
                <w:bottom w:val="none" w:sz="0" w:space="0" w:color="auto"/>
                <w:right w:val="none" w:sz="0" w:space="0" w:color="auto"/>
              </w:divBdr>
              <w:divsChild>
                <w:div w:id="809204623">
                  <w:marLeft w:val="0"/>
                  <w:marRight w:val="0"/>
                  <w:marTop w:val="0"/>
                  <w:marBottom w:val="0"/>
                  <w:divBdr>
                    <w:top w:val="none" w:sz="0" w:space="0" w:color="auto"/>
                    <w:left w:val="none" w:sz="0" w:space="0" w:color="auto"/>
                    <w:bottom w:val="none" w:sz="0" w:space="0" w:color="auto"/>
                    <w:right w:val="none" w:sz="0" w:space="0" w:color="auto"/>
                  </w:divBdr>
                </w:div>
              </w:divsChild>
            </w:div>
            <w:div w:id="1361972639">
              <w:marLeft w:val="0"/>
              <w:marRight w:val="0"/>
              <w:marTop w:val="0"/>
              <w:marBottom w:val="0"/>
              <w:divBdr>
                <w:top w:val="none" w:sz="0" w:space="0" w:color="auto"/>
                <w:left w:val="none" w:sz="0" w:space="0" w:color="auto"/>
                <w:bottom w:val="none" w:sz="0" w:space="0" w:color="auto"/>
                <w:right w:val="none" w:sz="0" w:space="0" w:color="auto"/>
              </w:divBdr>
              <w:divsChild>
                <w:div w:id="785736710">
                  <w:marLeft w:val="0"/>
                  <w:marRight w:val="0"/>
                  <w:marTop w:val="0"/>
                  <w:marBottom w:val="0"/>
                  <w:divBdr>
                    <w:top w:val="none" w:sz="0" w:space="0" w:color="auto"/>
                    <w:left w:val="none" w:sz="0" w:space="0" w:color="auto"/>
                    <w:bottom w:val="none" w:sz="0" w:space="0" w:color="auto"/>
                    <w:right w:val="none" w:sz="0" w:space="0" w:color="auto"/>
                  </w:divBdr>
                </w:div>
              </w:divsChild>
            </w:div>
            <w:div w:id="1384214873">
              <w:marLeft w:val="0"/>
              <w:marRight w:val="0"/>
              <w:marTop w:val="0"/>
              <w:marBottom w:val="0"/>
              <w:divBdr>
                <w:top w:val="none" w:sz="0" w:space="0" w:color="auto"/>
                <w:left w:val="none" w:sz="0" w:space="0" w:color="auto"/>
                <w:bottom w:val="none" w:sz="0" w:space="0" w:color="auto"/>
                <w:right w:val="none" w:sz="0" w:space="0" w:color="auto"/>
              </w:divBdr>
              <w:divsChild>
                <w:div w:id="260374907">
                  <w:marLeft w:val="0"/>
                  <w:marRight w:val="0"/>
                  <w:marTop w:val="0"/>
                  <w:marBottom w:val="0"/>
                  <w:divBdr>
                    <w:top w:val="none" w:sz="0" w:space="0" w:color="auto"/>
                    <w:left w:val="none" w:sz="0" w:space="0" w:color="auto"/>
                    <w:bottom w:val="none" w:sz="0" w:space="0" w:color="auto"/>
                    <w:right w:val="none" w:sz="0" w:space="0" w:color="auto"/>
                  </w:divBdr>
                </w:div>
              </w:divsChild>
            </w:div>
            <w:div w:id="1965960372">
              <w:marLeft w:val="0"/>
              <w:marRight w:val="0"/>
              <w:marTop w:val="0"/>
              <w:marBottom w:val="0"/>
              <w:divBdr>
                <w:top w:val="none" w:sz="0" w:space="0" w:color="auto"/>
                <w:left w:val="none" w:sz="0" w:space="0" w:color="auto"/>
                <w:bottom w:val="none" w:sz="0" w:space="0" w:color="auto"/>
                <w:right w:val="none" w:sz="0" w:space="0" w:color="auto"/>
              </w:divBdr>
              <w:divsChild>
                <w:div w:id="2071147386">
                  <w:marLeft w:val="0"/>
                  <w:marRight w:val="0"/>
                  <w:marTop w:val="0"/>
                  <w:marBottom w:val="0"/>
                  <w:divBdr>
                    <w:top w:val="none" w:sz="0" w:space="0" w:color="auto"/>
                    <w:left w:val="none" w:sz="0" w:space="0" w:color="auto"/>
                    <w:bottom w:val="none" w:sz="0" w:space="0" w:color="auto"/>
                    <w:right w:val="none" w:sz="0" w:space="0" w:color="auto"/>
                  </w:divBdr>
                </w:div>
              </w:divsChild>
            </w:div>
            <w:div w:id="1910728920">
              <w:marLeft w:val="0"/>
              <w:marRight w:val="0"/>
              <w:marTop w:val="0"/>
              <w:marBottom w:val="0"/>
              <w:divBdr>
                <w:top w:val="none" w:sz="0" w:space="0" w:color="auto"/>
                <w:left w:val="none" w:sz="0" w:space="0" w:color="auto"/>
                <w:bottom w:val="none" w:sz="0" w:space="0" w:color="auto"/>
                <w:right w:val="none" w:sz="0" w:space="0" w:color="auto"/>
              </w:divBdr>
              <w:divsChild>
                <w:div w:id="473330015">
                  <w:marLeft w:val="0"/>
                  <w:marRight w:val="0"/>
                  <w:marTop w:val="0"/>
                  <w:marBottom w:val="0"/>
                  <w:divBdr>
                    <w:top w:val="none" w:sz="0" w:space="0" w:color="auto"/>
                    <w:left w:val="none" w:sz="0" w:space="0" w:color="auto"/>
                    <w:bottom w:val="none" w:sz="0" w:space="0" w:color="auto"/>
                    <w:right w:val="none" w:sz="0" w:space="0" w:color="auto"/>
                  </w:divBdr>
                </w:div>
              </w:divsChild>
            </w:div>
            <w:div w:id="624315160">
              <w:marLeft w:val="0"/>
              <w:marRight w:val="0"/>
              <w:marTop w:val="0"/>
              <w:marBottom w:val="0"/>
              <w:divBdr>
                <w:top w:val="none" w:sz="0" w:space="0" w:color="auto"/>
                <w:left w:val="none" w:sz="0" w:space="0" w:color="auto"/>
                <w:bottom w:val="none" w:sz="0" w:space="0" w:color="auto"/>
                <w:right w:val="none" w:sz="0" w:space="0" w:color="auto"/>
              </w:divBdr>
              <w:divsChild>
                <w:div w:id="1278680991">
                  <w:marLeft w:val="0"/>
                  <w:marRight w:val="0"/>
                  <w:marTop w:val="0"/>
                  <w:marBottom w:val="0"/>
                  <w:divBdr>
                    <w:top w:val="none" w:sz="0" w:space="0" w:color="auto"/>
                    <w:left w:val="none" w:sz="0" w:space="0" w:color="auto"/>
                    <w:bottom w:val="none" w:sz="0" w:space="0" w:color="auto"/>
                    <w:right w:val="none" w:sz="0" w:space="0" w:color="auto"/>
                  </w:divBdr>
                </w:div>
              </w:divsChild>
            </w:div>
            <w:div w:id="1117990984">
              <w:marLeft w:val="0"/>
              <w:marRight w:val="0"/>
              <w:marTop w:val="0"/>
              <w:marBottom w:val="0"/>
              <w:divBdr>
                <w:top w:val="none" w:sz="0" w:space="0" w:color="auto"/>
                <w:left w:val="none" w:sz="0" w:space="0" w:color="auto"/>
                <w:bottom w:val="none" w:sz="0" w:space="0" w:color="auto"/>
                <w:right w:val="none" w:sz="0" w:space="0" w:color="auto"/>
              </w:divBdr>
              <w:divsChild>
                <w:div w:id="35396955">
                  <w:marLeft w:val="0"/>
                  <w:marRight w:val="0"/>
                  <w:marTop w:val="0"/>
                  <w:marBottom w:val="0"/>
                  <w:divBdr>
                    <w:top w:val="none" w:sz="0" w:space="0" w:color="auto"/>
                    <w:left w:val="none" w:sz="0" w:space="0" w:color="auto"/>
                    <w:bottom w:val="none" w:sz="0" w:space="0" w:color="auto"/>
                    <w:right w:val="none" w:sz="0" w:space="0" w:color="auto"/>
                  </w:divBdr>
                </w:div>
              </w:divsChild>
            </w:div>
            <w:div w:id="1070888023">
              <w:marLeft w:val="0"/>
              <w:marRight w:val="0"/>
              <w:marTop w:val="0"/>
              <w:marBottom w:val="0"/>
              <w:divBdr>
                <w:top w:val="none" w:sz="0" w:space="0" w:color="auto"/>
                <w:left w:val="none" w:sz="0" w:space="0" w:color="auto"/>
                <w:bottom w:val="none" w:sz="0" w:space="0" w:color="auto"/>
                <w:right w:val="none" w:sz="0" w:space="0" w:color="auto"/>
              </w:divBdr>
              <w:divsChild>
                <w:div w:id="1363282769">
                  <w:marLeft w:val="0"/>
                  <w:marRight w:val="0"/>
                  <w:marTop w:val="0"/>
                  <w:marBottom w:val="0"/>
                  <w:divBdr>
                    <w:top w:val="none" w:sz="0" w:space="0" w:color="auto"/>
                    <w:left w:val="none" w:sz="0" w:space="0" w:color="auto"/>
                    <w:bottom w:val="none" w:sz="0" w:space="0" w:color="auto"/>
                    <w:right w:val="none" w:sz="0" w:space="0" w:color="auto"/>
                  </w:divBdr>
                </w:div>
              </w:divsChild>
            </w:div>
            <w:div w:id="1811483159">
              <w:marLeft w:val="0"/>
              <w:marRight w:val="0"/>
              <w:marTop w:val="0"/>
              <w:marBottom w:val="0"/>
              <w:divBdr>
                <w:top w:val="none" w:sz="0" w:space="0" w:color="auto"/>
                <w:left w:val="none" w:sz="0" w:space="0" w:color="auto"/>
                <w:bottom w:val="none" w:sz="0" w:space="0" w:color="auto"/>
                <w:right w:val="none" w:sz="0" w:space="0" w:color="auto"/>
              </w:divBdr>
              <w:divsChild>
                <w:div w:id="1200818319">
                  <w:marLeft w:val="0"/>
                  <w:marRight w:val="0"/>
                  <w:marTop w:val="0"/>
                  <w:marBottom w:val="0"/>
                  <w:divBdr>
                    <w:top w:val="none" w:sz="0" w:space="0" w:color="auto"/>
                    <w:left w:val="none" w:sz="0" w:space="0" w:color="auto"/>
                    <w:bottom w:val="none" w:sz="0" w:space="0" w:color="auto"/>
                    <w:right w:val="none" w:sz="0" w:space="0" w:color="auto"/>
                  </w:divBdr>
                </w:div>
              </w:divsChild>
            </w:div>
            <w:div w:id="400760203">
              <w:marLeft w:val="0"/>
              <w:marRight w:val="0"/>
              <w:marTop w:val="0"/>
              <w:marBottom w:val="0"/>
              <w:divBdr>
                <w:top w:val="none" w:sz="0" w:space="0" w:color="auto"/>
                <w:left w:val="none" w:sz="0" w:space="0" w:color="auto"/>
                <w:bottom w:val="none" w:sz="0" w:space="0" w:color="auto"/>
                <w:right w:val="none" w:sz="0" w:space="0" w:color="auto"/>
              </w:divBdr>
              <w:divsChild>
                <w:div w:id="301925594">
                  <w:marLeft w:val="0"/>
                  <w:marRight w:val="0"/>
                  <w:marTop w:val="0"/>
                  <w:marBottom w:val="0"/>
                  <w:divBdr>
                    <w:top w:val="none" w:sz="0" w:space="0" w:color="auto"/>
                    <w:left w:val="none" w:sz="0" w:space="0" w:color="auto"/>
                    <w:bottom w:val="none" w:sz="0" w:space="0" w:color="auto"/>
                    <w:right w:val="none" w:sz="0" w:space="0" w:color="auto"/>
                  </w:divBdr>
                </w:div>
              </w:divsChild>
            </w:div>
            <w:div w:id="1153060746">
              <w:marLeft w:val="0"/>
              <w:marRight w:val="0"/>
              <w:marTop w:val="0"/>
              <w:marBottom w:val="0"/>
              <w:divBdr>
                <w:top w:val="none" w:sz="0" w:space="0" w:color="auto"/>
                <w:left w:val="none" w:sz="0" w:space="0" w:color="auto"/>
                <w:bottom w:val="none" w:sz="0" w:space="0" w:color="auto"/>
                <w:right w:val="none" w:sz="0" w:space="0" w:color="auto"/>
              </w:divBdr>
              <w:divsChild>
                <w:div w:id="1631007806">
                  <w:marLeft w:val="0"/>
                  <w:marRight w:val="0"/>
                  <w:marTop w:val="0"/>
                  <w:marBottom w:val="0"/>
                  <w:divBdr>
                    <w:top w:val="none" w:sz="0" w:space="0" w:color="auto"/>
                    <w:left w:val="none" w:sz="0" w:space="0" w:color="auto"/>
                    <w:bottom w:val="none" w:sz="0" w:space="0" w:color="auto"/>
                    <w:right w:val="none" w:sz="0" w:space="0" w:color="auto"/>
                  </w:divBdr>
                </w:div>
              </w:divsChild>
            </w:div>
            <w:div w:id="683823077">
              <w:marLeft w:val="0"/>
              <w:marRight w:val="0"/>
              <w:marTop w:val="0"/>
              <w:marBottom w:val="0"/>
              <w:divBdr>
                <w:top w:val="none" w:sz="0" w:space="0" w:color="auto"/>
                <w:left w:val="none" w:sz="0" w:space="0" w:color="auto"/>
                <w:bottom w:val="none" w:sz="0" w:space="0" w:color="auto"/>
                <w:right w:val="none" w:sz="0" w:space="0" w:color="auto"/>
              </w:divBdr>
              <w:divsChild>
                <w:div w:id="2142646016">
                  <w:marLeft w:val="0"/>
                  <w:marRight w:val="0"/>
                  <w:marTop w:val="0"/>
                  <w:marBottom w:val="0"/>
                  <w:divBdr>
                    <w:top w:val="none" w:sz="0" w:space="0" w:color="auto"/>
                    <w:left w:val="none" w:sz="0" w:space="0" w:color="auto"/>
                    <w:bottom w:val="none" w:sz="0" w:space="0" w:color="auto"/>
                    <w:right w:val="none" w:sz="0" w:space="0" w:color="auto"/>
                  </w:divBdr>
                </w:div>
              </w:divsChild>
            </w:div>
            <w:div w:id="116875699">
              <w:marLeft w:val="0"/>
              <w:marRight w:val="0"/>
              <w:marTop w:val="0"/>
              <w:marBottom w:val="0"/>
              <w:divBdr>
                <w:top w:val="none" w:sz="0" w:space="0" w:color="auto"/>
                <w:left w:val="none" w:sz="0" w:space="0" w:color="auto"/>
                <w:bottom w:val="none" w:sz="0" w:space="0" w:color="auto"/>
                <w:right w:val="none" w:sz="0" w:space="0" w:color="auto"/>
              </w:divBdr>
              <w:divsChild>
                <w:div w:id="299042867">
                  <w:marLeft w:val="0"/>
                  <w:marRight w:val="0"/>
                  <w:marTop w:val="0"/>
                  <w:marBottom w:val="0"/>
                  <w:divBdr>
                    <w:top w:val="none" w:sz="0" w:space="0" w:color="auto"/>
                    <w:left w:val="none" w:sz="0" w:space="0" w:color="auto"/>
                    <w:bottom w:val="none" w:sz="0" w:space="0" w:color="auto"/>
                    <w:right w:val="none" w:sz="0" w:space="0" w:color="auto"/>
                  </w:divBdr>
                </w:div>
              </w:divsChild>
            </w:div>
            <w:div w:id="408578658">
              <w:marLeft w:val="0"/>
              <w:marRight w:val="0"/>
              <w:marTop w:val="0"/>
              <w:marBottom w:val="0"/>
              <w:divBdr>
                <w:top w:val="none" w:sz="0" w:space="0" w:color="auto"/>
                <w:left w:val="none" w:sz="0" w:space="0" w:color="auto"/>
                <w:bottom w:val="none" w:sz="0" w:space="0" w:color="auto"/>
                <w:right w:val="none" w:sz="0" w:space="0" w:color="auto"/>
              </w:divBdr>
              <w:divsChild>
                <w:div w:id="726993648">
                  <w:marLeft w:val="0"/>
                  <w:marRight w:val="0"/>
                  <w:marTop w:val="0"/>
                  <w:marBottom w:val="0"/>
                  <w:divBdr>
                    <w:top w:val="none" w:sz="0" w:space="0" w:color="auto"/>
                    <w:left w:val="none" w:sz="0" w:space="0" w:color="auto"/>
                    <w:bottom w:val="none" w:sz="0" w:space="0" w:color="auto"/>
                    <w:right w:val="none" w:sz="0" w:space="0" w:color="auto"/>
                  </w:divBdr>
                </w:div>
              </w:divsChild>
            </w:div>
            <w:div w:id="1396272638">
              <w:marLeft w:val="0"/>
              <w:marRight w:val="0"/>
              <w:marTop w:val="0"/>
              <w:marBottom w:val="0"/>
              <w:divBdr>
                <w:top w:val="none" w:sz="0" w:space="0" w:color="auto"/>
                <w:left w:val="none" w:sz="0" w:space="0" w:color="auto"/>
                <w:bottom w:val="none" w:sz="0" w:space="0" w:color="auto"/>
                <w:right w:val="none" w:sz="0" w:space="0" w:color="auto"/>
              </w:divBdr>
              <w:divsChild>
                <w:div w:id="1797530709">
                  <w:marLeft w:val="0"/>
                  <w:marRight w:val="0"/>
                  <w:marTop w:val="0"/>
                  <w:marBottom w:val="0"/>
                  <w:divBdr>
                    <w:top w:val="none" w:sz="0" w:space="0" w:color="auto"/>
                    <w:left w:val="none" w:sz="0" w:space="0" w:color="auto"/>
                    <w:bottom w:val="none" w:sz="0" w:space="0" w:color="auto"/>
                    <w:right w:val="none" w:sz="0" w:space="0" w:color="auto"/>
                  </w:divBdr>
                </w:div>
              </w:divsChild>
            </w:div>
            <w:div w:id="296225944">
              <w:marLeft w:val="0"/>
              <w:marRight w:val="0"/>
              <w:marTop w:val="0"/>
              <w:marBottom w:val="0"/>
              <w:divBdr>
                <w:top w:val="none" w:sz="0" w:space="0" w:color="auto"/>
                <w:left w:val="none" w:sz="0" w:space="0" w:color="auto"/>
                <w:bottom w:val="none" w:sz="0" w:space="0" w:color="auto"/>
                <w:right w:val="none" w:sz="0" w:space="0" w:color="auto"/>
              </w:divBdr>
              <w:divsChild>
                <w:div w:id="1170682934">
                  <w:marLeft w:val="0"/>
                  <w:marRight w:val="0"/>
                  <w:marTop w:val="0"/>
                  <w:marBottom w:val="0"/>
                  <w:divBdr>
                    <w:top w:val="none" w:sz="0" w:space="0" w:color="auto"/>
                    <w:left w:val="none" w:sz="0" w:space="0" w:color="auto"/>
                    <w:bottom w:val="none" w:sz="0" w:space="0" w:color="auto"/>
                    <w:right w:val="none" w:sz="0" w:space="0" w:color="auto"/>
                  </w:divBdr>
                </w:div>
              </w:divsChild>
            </w:div>
            <w:div w:id="732389192">
              <w:marLeft w:val="0"/>
              <w:marRight w:val="0"/>
              <w:marTop w:val="0"/>
              <w:marBottom w:val="0"/>
              <w:divBdr>
                <w:top w:val="none" w:sz="0" w:space="0" w:color="auto"/>
                <w:left w:val="none" w:sz="0" w:space="0" w:color="auto"/>
                <w:bottom w:val="none" w:sz="0" w:space="0" w:color="auto"/>
                <w:right w:val="none" w:sz="0" w:space="0" w:color="auto"/>
              </w:divBdr>
              <w:divsChild>
                <w:div w:id="968782176">
                  <w:marLeft w:val="0"/>
                  <w:marRight w:val="0"/>
                  <w:marTop w:val="0"/>
                  <w:marBottom w:val="0"/>
                  <w:divBdr>
                    <w:top w:val="none" w:sz="0" w:space="0" w:color="auto"/>
                    <w:left w:val="none" w:sz="0" w:space="0" w:color="auto"/>
                    <w:bottom w:val="none" w:sz="0" w:space="0" w:color="auto"/>
                    <w:right w:val="none" w:sz="0" w:space="0" w:color="auto"/>
                  </w:divBdr>
                </w:div>
              </w:divsChild>
            </w:div>
            <w:div w:id="1116824836">
              <w:marLeft w:val="0"/>
              <w:marRight w:val="0"/>
              <w:marTop w:val="0"/>
              <w:marBottom w:val="0"/>
              <w:divBdr>
                <w:top w:val="none" w:sz="0" w:space="0" w:color="auto"/>
                <w:left w:val="none" w:sz="0" w:space="0" w:color="auto"/>
                <w:bottom w:val="none" w:sz="0" w:space="0" w:color="auto"/>
                <w:right w:val="none" w:sz="0" w:space="0" w:color="auto"/>
              </w:divBdr>
              <w:divsChild>
                <w:div w:id="1892423730">
                  <w:marLeft w:val="0"/>
                  <w:marRight w:val="0"/>
                  <w:marTop w:val="0"/>
                  <w:marBottom w:val="0"/>
                  <w:divBdr>
                    <w:top w:val="none" w:sz="0" w:space="0" w:color="auto"/>
                    <w:left w:val="none" w:sz="0" w:space="0" w:color="auto"/>
                    <w:bottom w:val="none" w:sz="0" w:space="0" w:color="auto"/>
                    <w:right w:val="none" w:sz="0" w:space="0" w:color="auto"/>
                  </w:divBdr>
                </w:div>
              </w:divsChild>
            </w:div>
            <w:div w:id="264504197">
              <w:marLeft w:val="0"/>
              <w:marRight w:val="0"/>
              <w:marTop w:val="0"/>
              <w:marBottom w:val="0"/>
              <w:divBdr>
                <w:top w:val="none" w:sz="0" w:space="0" w:color="auto"/>
                <w:left w:val="none" w:sz="0" w:space="0" w:color="auto"/>
                <w:bottom w:val="none" w:sz="0" w:space="0" w:color="auto"/>
                <w:right w:val="none" w:sz="0" w:space="0" w:color="auto"/>
              </w:divBdr>
              <w:divsChild>
                <w:div w:id="1630477558">
                  <w:marLeft w:val="0"/>
                  <w:marRight w:val="0"/>
                  <w:marTop w:val="0"/>
                  <w:marBottom w:val="0"/>
                  <w:divBdr>
                    <w:top w:val="none" w:sz="0" w:space="0" w:color="auto"/>
                    <w:left w:val="none" w:sz="0" w:space="0" w:color="auto"/>
                    <w:bottom w:val="none" w:sz="0" w:space="0" w:color="auto"/>
                    <w:right w:val="none" w:sz="0" w:space="0" w:color="auto"/>
                  </w:divBdr>
                </w:div>
              </w:divsChild>
            </w:div>
            <w:div w:id="1992518518">
              <w:marLeft w:val="0"/>
              <w:marRight w:val="0"/>
              <w:marTop w:val="0"/>
              <w:marBottom w:val="0"/>
              <w:divBdr>
                <w:top w:val="none" w:sz="0" w:space="0" w:color="auto"/>
                <w:left w:val="none" w:sz="0" w:space="0" w:color="auto"/>
                <w:bottom w:val="none" w:sz="0" w:space="0" w:color="auto"/>
                <w:right w:val="none" w:sz="0" w:space="0" w:color="auto"/>
              </w:divBdr>
              <w:divsChild>
                <w:div w:id="27148345">
                  <w:marLeft w:val="0"/>
                  <w:marRight w:val="0"/>
                  <w:marTop w:val="0"/>
                  <w:marBottom w:val="0"/>
                  <w:divBdr>
                    <w:top w:val="none" w:sz="0" w:space="0" w:color="auto"/>
                    <w:left w:val="none" w:sz="0" w:space="0" w:color="auto"/>
                    <w:bottom w:val="none" w:sz="0" w:space="0" w:color="auto"/>
                    <w:right w:val="none" w:sz="0" w:space="0" w:color="auto"/>
                  </w:divBdr>
                </w:div>
              </w:divsChild>
            </w:div>
            <w:div w:id="1278482950">
              <w:marLeft w:val="0"/>
              <w:marRight w:val="0"/>
              <w:marTop w:val="0"/>
              <w:marBottom w:val="0"/>
              <w:divBdr>
                <w:top w:val="none" w:sz="0" w:space="0" w:color="auto"/>
                <w:left w:val="none" w:sz="0" w:space="0" w:color="auto"/>
                <w:bottom w:val="none" w:sz="0" w:space="0" w:color="auto"/>
                <w:right w:val="none" w:sz="0" w:space="0" w:color="auto"/>
              </w:divBdr>
              <w:divsChild>
                <w:div w:id="1046760081">
                  <w:marLeft w:val="0"/>
                  <w:marRight w:val="0"/>
                  <w:marTop w:val="0"/>
                  <w:marBottom w:val="0"/>
                  <w:divBdr>
                    <w:top w:val="none" w:sz="0" w:space="0" w:color="auto"/>
                    <w:left w:val="none" w:sz="0" w:space="0" w:color="auto"/>
                    <w:bottom w:val="none" w:sz="0" w:space="0" w:color="auto"/>
                    <w:right w:val="none" w:sz="0" w:space="0" w:color="auto"/>
                  </w:divBdr>
                </w:div>
              </w:divsChild>
            </w:div>
            <w:div w:id="1525512072">
              <w:marLeft w:val="0"/>
              <w:marRight w:val="0"/>
              <w:marTop w:val="0"/>
              <w:marBottom w:val="0"/>
              <w:divBdr>
                <w:top w:val="none" w:sz="0" w:space="0" w:color="auto"/>
                <w:left w:val="none" w:sz="0" w:space="0" w:color="auto"/>
                <w:bottom w:val="none" w:sz="0" w:space="0" w:color="auto"/>
                <w:right w:val="none" w:sz="0" w:space="0" w:color="auto"/>
              </w:divBdr>
              <w:divsChild>
                <w:div w:id="1763913947">
                  <w:marLeft w:val="0"/>
                  <w:marRight w:val="0"/>
                  <w:marTop w:val="0"/>
                  <w:marBottom w:val="0"/>
                  <w:divBdr>
                    <w:top w:val="none" w:sz="0" w:space="0" w:color="auto"/>
                    <w:left w:val="none" w:sz="0" w:space="0" w:color="auto"/>
                    <w:bottom w:val="none" w:sz="0" w:space="0" w:color="auto"/>
                    <w:right w:val="none" w:sz="0" w:space="0" w:color="auto"/>
                  </w:divBdr>
                </w:div>
              </w:divsChild>
            </w:div>
            <w:div w:id="1852643813">
              <w:marLeft w:val="0"/>
              <w:marRight w:val="0"/>
              <w:marTop w:val="0"/>
              <w:marBottom w:val="0"/>
              <w:divBdr>
                <w:top w:val="none" w:sz="0" w:space="0" w:color="auto"/>
                <w:left w:val="none" w:sz="0" w:space="0" w:color="auto"/>
                <w:bottom w:val="none" w:sz="0" w:space="0" w:color="auto"/>
                <w:right w:val="none" w:sz="0" w:space="0" w:color="auto"/>
              </w:divBdr>
              <w:divsChild>
                <w:div w:id="1036544684">
                  <w:marLeft w:val="0"/>
                  <w:marRight w:val="0"/>
                  <w:marTop w:val="0"/>
                  <w:marBottom w:val="0"/>
                  <w:divBdr>
                    <w:top w:val="none" w:sz="0" w:space="0" w:color="auto"/>
                    <w:left w:val="none" w:sz="0" w:space="0" w:color="auto"/>
                    <w:bottom w:val="none" w:sz="0" w:space="0" w:color="auto"/>
                    <w:right w:val="none" w:sz="0" w:space="0" w:color="auto"/>
                  </w:divBdr>
                </w:div>
              </w:divsChild>
            </w:div>
            <w:div w:id="1580407250">
              <w:marLeft w:val="0"/>
              <w:marRight w:val="0"/>
              <w:marTop w:val="0"/>
              <w:marBottom w:val="0"/>
              <w:divBdr>
                <w:top w:val="none" w:sz="0" w:space="0" w:color="auto"/>
                <w:left w:val="none" w:sz="0" w:space="0" w:color="auto"/>
                <w:bottom w:val="none" w:sz="0" w:space="0" w:color="auto"/>
                <w:right w:val="none" w:sz="0" w:space="0" w:color="auto"/>
              </w:divBdr>
              <w:divsChild>
                <w:div w:id="2076465724">
                  <w:marLeft w:val="0"/>
                  <w:marRight w:val="0"/>
                  <w:marTop w:val="0"/>
                  <w:marBottom w:val="0"/>
                  <w:divBdr>
                    <w:top w:val="none" w:sz="0" w:space="0" w:color="auto"/>
                    <w:left w:val="none" w:sz="0" w:space="0" w:color="auto"/>
                    <w:bottom w:val="none" w:sz="0" w:space="0" w:color="auto"/>
                    <w:right w:val="none" w:sz="0" w:space="0" w:color="auto"/>
                  </w:divBdr>
                </w:div>
              </w:divsChild>
            </w:div>
            <w:div w:id="1681468822">
              <w:marLeft w:val="0"/>
              <w:marRight w:val="0"/>
              <w:marTop w:val="0"/>
              <w:marBottom w:val="0"/>
              <w:divBdr>
                <w:top w:val="none" w:sz="0" w:space="0" w:color="auto"/>
                <w:left w:val="none" w:sz="0" w:space="0" w:color="auto"/>
                <w:bottom w:val="none" w:sz="0" w:space="0" w:color="auto"/>
                <w:right w:val="none" w:sz="0" w:space="0" w:color="auto"/>
              </w:divBdr>
              <w:divsChild>
                <w:div w:id="471942538">
                  <w:marLeft w:val="0"/>
                  <w:marRight w:val="0"/>
                  <w:marTop w:val="0"/>
                  <w:marBottom w:val="0"/>
                  <w:divBdr>
                    <w:top w:val="none" w:sz="0" w:space="0" w:color="auto"/>
                    <w:left w:val="none" w:sz="0" w:space="0" w:color="auto"/>
                    <w:bottom w:val="none" w:sz="0" w:space="0" w:color="auto"/>
                    <w:right w:val="none" w:sz="0" w:space="0" w:color="auto"/>
                  </w:divBdr>
                </w:div>
              </w:divsChild>
            </w:div>
            <w:div w:id="1183940290">
              <w:marLeft w:val="0"/>
              <w:marRight w:val="0"/>
              <w:marTop w:val="0"/>
              <w:marBottom w:val="0"/>
              <w:divBdr>
                <w:top w:val="none" w:sz="0" w:space="0" w:color="auto"/>
                <w:left w:val="none" w:sz="0" w:space="0" w:color="auto"/>
                <w:bottom w:val="none" w:sz="0" w:space="0" w:color="auto"/>
                <w:right w:val="none" w:sz="0" w:space="0" w:color="auto"/>
              </w:divBdr>
              <w:divsChild>
                <w:div w:id="1837260882">
                  <w:marLeft w:val="0"/>
                  <w:marRight w:val="0"/>
                  <w:marTop w:val="0"/>
                  <w:marBottom w:val="0"/>
                  <w:divBdr>
                    <w:top w:val="none" w:sz="0" w:space="0" w:color="auto"/>
                    <w:left w:val="none" w:sz="0" w:space="0" w:color="auto"/>
                    <w:bottom w:val="none" w:sz="0" w:space="0" w:color="auto"/>
                    <w:right w:val="none" w:sz="0" w:space="0" w:color="auto"/>
                  </w:divBdr>
                </w:div>
              </w:divsChild>
            </w:div>
            <w:div w:id="2037340739">
              <w:marLeft w:val="0"/>
              <w:marRight w:val="0"/>
              <w:marTop w:val="0"/>
              <w:marBottom w:val="0"/>
              <w:divBdr>
                <w:top w:val="none" w:sz="0" w:space="0" w:color="auto"/>
                <w:left w:val="none" w:sz="0" w:space="0" w:color="auto"/>
                <w:bottom w:val="none" w:sz="0" w:space="0" w:color="auto"/>
                <w:right w:val="none" w:sz="0" w:space="0" w:color="auto"/>
              </w:divBdr>
              <w:divsChild>
                <w:div w:id="1981307373">
                  <w:marLeft w:val="0"/>
                  <w:marRight w:val="0"/>
                  <w:marTop w:val="0"/>
                  <w:marBottom w:val="0"/>
                  <w:divBdr>
                    <w:top w:val="none" w:sz="0" w:space="0" w:color="auto"/>
                    <w:left w:val="none" w:sz="0" w:space="0" w:color="auto"/>
                    <w:bottom w:val="none" w:sz="0" w:space="0" w:color="auto"/>
                    <w:right w:val="none" w:sz="0" w:space="0" w:color="auto"/>
                  </w:divBdr>
                </w:div>
              </w:divsChild>
            </w:div>
            <w:div w:id="1646812807">
              <w:marLeft w:val="0"/>
              <w:marRight w:val="0"/>
              <w:marTop w:val="0"/>
              <w:marBottom w:val="0"/>
              <w:divBdr>
                <w:top w:val="none" w:sz="0" w:space="0" w:color="auto"/>
                <w:left w:val="none" w:sz="0" w:space="0" w:color="auto"/>
                <w:bottom w:val="none" w:sz="0" w:space="0" w:color="auto"/>
                <w:right w:val="none" w:sz="0" w:space="0" w:color="auto"/>
              </w:divBdr>
              <w:divsChild>
                <w:div w:id="1657030547">
                  <w:marLeft w:val="0"/>
                  <w:marRight w:val="0"/>
                  <w:marTop w:val="0"/>
                  <w:marBottom w:val="0"/>
                  <w:divBdr>
                    <w:top w:val="none" w:sz="0" w:space="0" w:color="auto"/>
                    <w:left w:val="none" w:sz="0" w:space="0" w:color="auto"/>
                    <w:bottom w:val="none" w:sz="0" w:space="0" w:color="auto"/>
                    <w:right w:val="none" w:sz="0" w:space="0" w:color="auto"/>
                  </w:divBdr>
                </w:div>
              </w:divsChild>
            </w:div>
            <w:div w:id="1173029916">
              <w:marLeft w:val="0"/>
              <w:marRight w:val="0"/>
              <w:marTop w:val="0"/>
              <w:marBottom w:val="0"/>
              <w:divBdr>
                <w:top w:val="none" w:sz="0" w:space="0" w:color="auto"/>
                <w:left w:val="none" w:sz="0" w:space="0" w:color="auto"/>
                <w:bottom w:val="none" w:sz="0" w:space="0" w:color="auto"/>
                <w:right w:val="none" w:sz="0" w:space="0" w:color="auto"/>
              </w:divBdr>
              <w:divsChild>
                <w:div w:id="262080721">
                  <w:marLeft w:val="0"/>
                  <w:marRight w:val="0"/>
                  <w:marTop w:val="0"/>
                  <w:marBottom w:val="0"/>
                  <w:divBdr>
                    <w:top w:val="none" w:sz="0" w:space="0" w:color="auto"/>
                    <w:left w:val="none" w:sz="0" w:space="0" w:color="auto"/>
                    <w:bottom w:val="none" w:sz="0" w:space="0" w:color="auto"/>
                    <w:right w:val="none" w:sz="0" w:space="0" w:color="auto"/>
                  </w:divBdr>
                </w:div>
              </w:divsChild>
            </w:div>
            <w:div w:id="1667170710">
              <w:marLeft w:val="0"/>
              <w:marRight w:val="0"/>
              <w:marTop w:val="0"/>
              <w:marBottom w:val="0"/>
              <w:divBdr>
                <w:top w:val="none" w:sz="0" w:space="0" w:color="auto"/>
                <w:left w:val="none" w:sz="0" w:space="0" w:color="auto"/>
                <w:bottom w:val="none" w:sz="0" w:space="0" w:color="auto"/>
                <w:right w:val="none" w:sz="0" w:space="0" w:color="auto"/>
              </w:divBdr>
              <w:divsChild>
                <w:div w:id="839539067">
                  <w:marLeft w:val="0"/>
                  <w:marRight w:val="0"/>
                  <w:marTop w:val="0"/>
                  <w:marBottom w:val="0"/>
                  <w:divBdr>
                    <w:top w:val="none" w:sz="0" w:space="0" w:color="auto"/>
                    <w:left w:val="none" w:sz="0" w:space="0" w:color="auto"/>
                    <w:bottom w:val="none" w:sz="0" w:space="0" w:color="auto"/>
                    <w:right w:val="none" w:sz="0" w:space="0" w:color="auto"/>
                  </w:divBdr>
                </w:div>
              </w:divsChild>
            </w:div>
            <w:div w:id="1200432680">
              <w:marLeft w:val="0"/>
              <w:marRight w:val="0"/>
              <w:marTop w:val="0"/>
              <w:marBottom w:val="0"/>
              <w:divBdr>
                <w:top w:val="none" w:sz="0" w:space="0" w:color="auto"/>
                <w:left w:val="none" w:sz="0" w:space="0" w:color="auto"/>
                <w:bottom w:val="none" w:sz="0" w:space="0" w:color="auto"/>
                <w:right w:val="none" w:sz="0" w:space="0" w:color="auto"/>
              </w:divBdr>
              <w:divsChild>
                <w:div w:id="1799949234">
                  <w:marLeft w:val="0"/>
                  <w:marRight w:val="0"/>
                  <w:marTop w:val="0"/>
                  <w:marBottom w:val="0"/>
                  <w:divBdr>
                    <w:top w:val="none" w:sz="0" w:space="0" w:color="auto"/>
                    <w:left w:val="none" w:sz="0" w:space="0" w:color="auto"/>
                    <w:bottom w:val="none" w:sz="0" w:space="0" w:color="auto"/>
                    <w:right w:val="none" w:sz="0" w:space="0" w:color="auto"/>
                  </w:divBdr>
                </w:div>
              </w:divsChild>
            </w:div>
            <w:div w:id="1889147597">
              <w:marLeft w:val="0"/>
              <w:marRight w:val="0"/>
              <w:marTop w:val="0"/>
              <w:marBottom w:val="0"/>
              <w:divBdr>
                <w:top w:val="none" w:sz="0" w:space="0" w:color="auto"/>
                <w:left w:val="none" w:sz="0" w:space="0" w:color="auto"/>
                <w:bottom w:val="none" w:sz="0" w:space="0" w:color="auto"/>
                <w:right w:val="none" w:sz="0" w:space="0" w:color="auto"/>
              </w:divBdr>
              <w:divsChild>
                <w:div w:id="1326204282">
                  <w:marLeft w:val="0"/>
                  <w:marRight w:val="0"/>
                  <w:marTop w:val="0"/>
                  <w:marBottom w:val="0"/>
                  <w:divBdr>
                    <w:top w:val="none" w:sz="0" w:space="0" w:color="auto"/>
                    <w:left w:val="none" w:sz="0" w:space="0" w:color="auto"/>
                    <w:bottom w:val="none" w:sz="0" w:space="0" w:color="auto"/>
                    <w:right w:val="none" w:sz="0" w:space="0" w:color="auto"/>
                  </w:divBdr>
                </w:div>
              </w:divsChild>
            </w:div>
            <w:div w:id="2023582654">
              <w:marLeft w:val="0"/>
              <w:marRight w:val="0"/>
              <w:marTop w:val="0"/>
              <w:marBottom w:val="0"/>
              <w:divBdr>
                <w:top w:val="none" w:sz="0" w:space="0" w:color="auto"/>
                <w:left w:val="none" w:sz="0" w:space="0" w:color="auto"/>
                <w:bottom w:val="none" w:sz="0" w:space="0" w:color="auto"/>
                <w:right w:val="none" w:sz="0" w:space="0" w:color="auto"/>
              </w:divBdr>
              <w:divsChild>
                <w:div w:id="849566836">
                  <w:marLeft w:val="0"/>
                  <w:marRight w:val="0"/>
                  <w:marTop w:val="0"/>
                  <w:marBottom w:val="0"/>
                  <w:divBdr>
                    <w:top w:val="none" w:sz="0" w:space="0" w:color="auto"/>
                    <w:left w:val="none" w:sz="0" w:space="0" w:color="auto"/>
                    <w:bottom w:val="none" w:sz="0" w:space="0" w:color="auto"/>
                    <w:right w:val="none" w:sz="0" w:space="0" w:color="auto"/>
                  </w:divBdr>
                </w:div>
              </w:divsChild>
            </w:div>
            <w:div w:id="450245875">
              <w:marLeft w:val="0"/>
              <w:marRight w:val="0"/>
              <w:marTop w:val="0"/>
              <w:marBottom w:val="0"/>
              <w:divBdr>
                <w:top w:val="none" w:sz="0" w:space="0" w:color="auto"/>
                <w:left w:val="none" w:sz="0" w:space="0" w:color="auto"/>
                <w:bottom w:val="none" w:sz="0" w:space="0" w:color="auto"/>
                <w:right w:val="none" w:sz="0" w:space="0" w:color="auto"/>
              </w:divBdr>
              <w:divsChild>
                <w:div w:id="40062802">
                  <w:marLeft w:val="0"/>
                  <w:marRight w:val="0"/>
                  <w:marTop w:val="0"/>
                  <w:marBottom w:val="0"/>
                  <w:divBdr>
                    <w:top w:val="none" w:sz="0" w:space="0" w:color="auto"/>
                    <w:left w:val="none" w:sz="0" w:space="0" w:color="auto"/>
                    <w:bottom w:val="none" w:sz="0" w:space="0" w:color="auto"/>
                    <w:right w:val="none" w:sz="0" w:space="0" w:color="auto"/>
                  </w:divBdr>
                </w:div>
              </w:divsChild>
            </w:div>
            <w:div w:id="966013609">
              <w:marLeft w:val="0"/>
              <w:marRight w:val="0"/>
              <w:marTop w:val="0"/>
              <w:marBottom w:val="0"/>
              <w:divBdr>
                <w:top w:val="none" w:sz="0" w:space="0" w:color="auto"/>
                <w:left w:val="none" w:sz="0" w:space="0" w:color="auto"/>
                <w:bottom w:val="none" w:sz="0" w:space="0" w:color="auto"/>
                <w:right w:val="none" w:sz="0" w:space="0" w:color="auto"/>
              </w:divBdr>
              <w:divsChild>
                <w:div w:id="1762220243">
                  <w:marLeft w:val="0"/>
                  <w:marRight w:val="0"/>
                  <w:marTop w:val="0"/>
                  <w:marBottom w:val="0"/>
                  <w:divBdr>
                    <w:top w:val="none" w:sz="0" w:space="0" w:color="auto"/>
                    <w:left w:val="none" w:sz="0" w:space="0" w:color="auto"/>
                    <w:bottom w:val="none" w:sz="0" w:space="0" w:color="auto"/>
                    <w:right w:val="none" w:sz="0" w:space="0" w:color="auto"/>
                  </w:divBdr>
                </w:div>
              </w:divsChild>
            </w:div>
            <w:div w:id="1207256974">
              <w:marLeft w:val="0"/>
              <w:marRight w:val="0"/>
              <w:marTop w:val="0"/>
              <w:marBottom w:val="0"/>
              <w:divBdr>
                <w:top w:val="none" w:sz="0" w:space="0" w:color="auto"/>
                <w:left w:val="none" w:sz="0" w:space="0" w:color="auto"/>
                <w:bottom w:val="none" w:sz="0" w:space="0" w:color="auto"/>
                <w:right w:val="none" w:sz="0" w:space="0" w:color="auto"/>
              </w:divBdr>
              <w:divsChild>
                <w:div w:id="653877897">
                  <w:marLeft w:val="0"/>
                  <w:marRight w:val="0"/>
                  <w:marTop w:val="0"/>
                  <w:marBottom w:val="0"/>
                  <w:divBdr>
                    <w:top w:val="none" w:sz="0" w:space="0" w:color="auto"/>
                    <w:left w:val="none" w:sz="0" w:space="0" w:color="auto"/>
                    <w:bottom w:val="none" w:sz="0" w:space="0" w:color="auto"/>
                    <w:right w:val="none" w:sz="0" w:space="0" w:color="auto"/>
                  </w:divBdr>
                </w:div>
              </w:divsChild>
            </w:div>
            <w:div w:id="540170688">
              <w:marLeft w:val="0"/>
              <w:marRight w:val="0"/>
              <w:marTop w:val="0"/>
              <w:marBottom w:val="0"/>
              <w:divBdr>
                <w:top w:val="none" w:sz="0" w:space="0" w:color="auto"/>
                <w:left w:val="none" w:sz="0" w:space="0" w:color="auto"/>
                <w:bottom w:val="none" w:sz="0" w:space="0" w:color="auto"/>
                <w:right w:val="none" w:sz="0" w:space="0" w:color="auto"/>
              </w:divBdr>
              <w:divsChild>
                <w:div w:id="854533634">
                  <w:marLeft w:val="0"/>
                  <w:marRight w:val="0"/>
                  <w:marTop w:val="0"/>
                  <w:marBottom w:val="0"/>
                  <w:divBdr>
                    <w:top w:val="none" w:sz="0" w:space="0" w:color="auto"/>
                    <w:left w:val="none" w:sz="0" w:space="0" w:color="auto"/>
                    <w:bottom w:val="none" w:sz="0" w:space="0" w:color="auto"/>
                    <w:right w:val="none" w:sz="0" w:space="0" w:color="auto"/>
                  </w:divBdr>
                </w:div>
              </w:divsChild>
            </w:div>
            <w:div w:id="1915045666">
              <w:marLeft w:val="0"/>
              <w:marRight w:val="0"/>
              <w:marTop w:val="0"/>
              <w:marBottom w:val="0"/>
              <w:divBdr>
                <w:top w:val="none" w:sz="0" w:space="0" w:color="auto"/>
                <w:left w:val="none" w:sz="0" w:space="0" w:color="auto"/>
                <w:bottom w:val="none" w:sz="0" w:space="0" w:color="auto"/>
                <w:right w:val="none" w:sz="0" w:space="0" w:color="auto"/>
              </w:divBdr>
              <w:divsChild>
                <w:div w:id="917521522">
                  <w:marLeft w:val="0"/>
                  <w:marRight w:val="0"/>
                  <w:marTop w:val="0"/>
                  <w:marBottom w:val="0"/>
                  <w:divBdr>
                    <w:top w:val="none" w:sz="0" w:space="0" w:color="auto"/>
                    <w:left w:val="none" w:sz="0" w:space="0" w:color="auto"/>
                    <w:bottom w:val="none" w:sz="0" w:space="0" w:color="auto"/>
                    <w:right w:val="none" w:sz="0" w:space="0" w:color="auto"/>
                  </w:divBdr>
                </w:div>
              </w:divsChild>
            </w:div>
            <w:div w:id="1993099145">
              <w:marLeft w:val="0"/>
              <w:marRight w:val="0"/>
              <w:marTop w:val="0"/>
              <w:marBottom w:val="0"/>
              <w:divBdr>
                <w:top w:val="none" w:sz="0" w:space="0" w:color="auto"/>
                <w:left w:val="none" w:sz="0" w:space="0" w:color="auto"/>
                <w:bottom w:val="none" w:sz="0" w:space="0" w:color="auto"/>
                <w:right w:val="none" w:sz="0" w:space="0" w:color="auto"/>
              </w:divBdr>
              <w:divsChild>
                <w:div w:id="2100635624">
                  <w:marLeft w:val="0"/>
                  <w:marRight w:val="0"/>
                  <w:marTop w:val="0"/>
                  <w:marBottom w:val="0"/>
                  <w:divBdr>
                    <w:top w:val="none" w:sz="0" w:space="0" w:color="auto"/>
                    <w:left w:val="none" w:sz="0" w:space="0" w:color="auto"/>
                    <w:bottom w:val="none" w:sz="0" w:space="0" w:color="auto"/>
                    <w:right w:val="none" w:sz="0" w:space="0" w:color="auto"/>
                  </w:divBdr>
                </w:div>
              </w:divsChild>
            </w:div>
            <w:div w:id="510531959">
              <w:marLeft w:val="0"/>
              <w:marRight w:val="0"/>
              <w:marTop w:val="0"/>
              <w:marBottom w:val="0"/>
              <w:divBdr>
                <w:top w:val="none" w:sz="0" w:space="0" w:color="auto"/>
                <w:left w:val="none" w:sz="0" w:space="0" w:color="auto"/>
                <w:bottom w:val="none" w:sz="0" w:space="0" w:color="auto"/>
                <w:right w:val="none" w:sz="0" w:space="0" w:color="auto"/>
              </w:divBdr>
              <w:divsChild>
                <w:div w:id="1906184758">
                  <w:marLeft w:val="0"/>
                  <w:marRight w:val="0"/>
                  <w:marTop w:val="0"/>
                  <w:marBottom w:val="0"/>
                  <w:divBdr>
                    <w:top w:val="none" w:sz="0" w:space="0" w:color="auto"/>
                    <w:left w:val="none" w:sz="0" w:space="0" w:color="auto"/>
                    <w:bottom w:val="none" w:sz="0" w:space="0" w:color="auto"/>
                    <w:right w:val="none" w:sz="0" w:space="0" w:color="auto"/>
                  </w:divBdr>
                </w:div>
              </w:divsChild>
            </w:div>
            <w:div w:id="761340129">
              <w:marLeft w:val="0"/>
              <w:marRight w:val="0"/>
              <w:marTop w:val="0"/>
              <w:marBottom w:val="0"/>
              <w:divBdr>
                <w:top w:val="none" w:sz="0" w:space="0" w:color="auto"/>
                <w:left w:val="none" w:sz="0" w:space="0" w:color="auto"/>
                <w:bottom w:val="none" w:sz="0" w:space="0" w:color="auto"/>
                <w:right w:val="none" w:sz="0" w:space="0" w:color="auto"/>
              </w:divBdr>
              <w:divsChild>
                <w:div w:id="2083208948">
                  <w:marLeft w:val="0"/>
                  <w:marRight w:val="0"/>
                  <w:marTop w:val="0"/>
                  <w:marBottom w:val="0"/>
                  <w:divBdr>
                    <w:top w:val="none" w:sz="0" w:space="0" w:color="auto"/>
                    <w:left w:val="none" w:sz="0" w:space="0" w:color="auto"/>
                    <w:bottom w:val="none" w:sz="0" w:space="0" w:color="auto"/>
                    <w:right w:val="none" w:sz="0" w:space="0" w:color="auto"/>
                  </w:divBdr>
                </w:div>
              </w:divsChild>
            </w:div>
            <w:div w:id="624966358">
              <w:marLeft w:val="0"/>
              <w:marRight w:val="0"/>
              <w:marTop w:val="0"/>
              <w:marBottom w:val="0"/>
              <w:divBdr>
                <w:top w:val="none" w:sz="0" w:space="0" w:color="auto"/>
                <w:left w:val="none" w:sz="0" w:space="0" w:color="auto"/>
                <w:bottom w:val="none" w:sz="0" w:space="0" w:color="auto"/>
                <w:right w:val="none" w:sz="0" w:space="0" w:color="auto"/>
              </w:divBdr>
              <w:divsChild>
                <w:div w:id="1610744533">
                  <w:marLeft w:val="0"/>
                  <w:marRight w:val="0"/>
                  <w:marTop w:val="0"/>
                  <w:marBottom w:val="0"/>
                  <w:divBdr>
                    <w:top w:val="none" w:sz="0" w:space="0" w:color="auto"/>
                    <w:left w:val="none" w:sz="0" w:space="0" w:color="auto"/>
                    <w:bottom w:val="none" w:sz="0" w:space="0" w:color="auto"/>
                    <w:right w:val="none" w:sz="0" w:space="0" w:color="auto"/>
                  </w:divBdr>
                </w:div>
              </w:divsChild>
            </w:div>
            <w:div w:id="637611085">
              <w:marLeft w:val="0"/>
              <w:marRight w:val="0"/>
              <w:marTop w:val="0"/>
              <w:marBottom w:val="0"/>
              <w:divBdr>
                <w:top w:val="none" w:sz="0" w:space="0" w:color="auto"/>
                <w:left w:val="none" w:sz="0" w:space="0" w:color="auto"/>
                <w:bottom w:val="none" w:sz="0" w:space="0" w:color="auto"/>
                <w:right w:val="none" w:sz="0" w:space="0" w:color="auto"/>
              </w:divBdr>
              <w:divsChild>
                <w:div w:id="750658547">
                  <w:marLeft w:val="0"/>
                  <w:marRight w:val="0"/>
                  <w:marTop w:val="0"/>
                  <w:marBottom w:val="0"/>
                  <w:divBdr>
                    <w:top w:val="none" w:sz="0" w:space="0" w:color="auto"/>
                    <w:left w:val="none" w:sz="0" w:space="0" w:color="auto"/>
                    <w:bottom w:val="none" w:sz="0" w:space="0" w:color="auto"/>
                    <w:right w:val="none" w:sz="0" w:space="0" w:color="auto"/>
                  </w:divBdr>
                </w:div>
              </w:divsChild>
            </w:div>
            <w:div w:id="1636137937">
              <w:marLeft w:val="0"/>
              <w:marRight w:val="0"/>
              <w:marTop w:val="0"/>
              <w:marBottom w:val="0"/>
              <w:divBdr>
                <w:top w:val="none" w:sz="0" w:space="0" w:color="auto"/>
                <w:left w:val="none" w:sz="0" w:space="0" w:color="auto"/>
                <w:bottom w:val="none" w:sz="0" w:space="0" w:color="auto"/>
                <w:right w:val="none" w:sz="0" w:space="0" w:color="auto"/>
              </w:divBdr>
              <w:divsChild>
                <w:div w:id="554970955">
                  <w:marLeft w:val="0"/>
                  <w:marRight w:val="0"/>
                  <w:marTop w:val="0"/>
                  <w:marBottom w:val="0"/>
                  <w:divBdr>
                    <w:top w:val="none" w:sz="0" w:space="0" w:color="auto"/>
                    <w:left w:val="none" w:sz="0" w:space="0" w:color="auto"/>
                    <w:bottom w:val="none" w:sz="0" w:space="0" w:color="auto"/>
                    <w:right w:val="none" w:sz="0" w:space="0" w:color="auto"/>
                  </w:divBdr>
                </w:div>
              </w:divsChild>
            </w:div>
            <w:div w:id="1100642807">
              <w:marLeft w:val="0"/>
              <w:marRight w:val="0"/>
              <w:marTop w:val="0"/>
              <w:marBottom w:val="0"/>
              <w:divBdr>
                <w:top w:val="none" w:sz="0" w:space="0" w:color="auto"/>
                <w:left w:val="none" w:sz="0" w:space="0" w:color="auto"/>
                <w:bottom w:val="none" w:sz="0" w:space="0" w:color="auto"/>
                <w:right w:val="none" w:sz="0" w:space="0" w:color="auto"/>
              </w:divBdr>
              <w:divsChild>
                <w:div w:id="790711897">
                  <w:marLeft w:val="0"/>
                  <w:marRight w:val="0"/>
                  <w:marTop w:val="0"/>
                  <w:marBottom w:val="0"/>
                  <w:divBdr>
                    <w:top w:val="none" w:sz="0" w:space="0" w:color="auto"/>
                    <w:left w:val="none" w:sz="0" w:space="0" w:color="auto"/>
                    <w:bottom w:val="none" w:sz="0" w:space="0" w:color="auto"/>
                    <w:right w:val="none" w:sz="0" w:space="0" w:color="auto"/>
                  </w:divBdr>
                </w:div>
              </w:divsChild>
            </w:div>
            <w:div w:id="1711033381">
              <w:marLeft w:val="0"/>
              <w:marRight w:val="0"/>
              <w:marTop w:val="0"/>
              <w:marBottom w:val="0"/>
              <w:divBdr>
                <w:top w:val="none" w:sz="0" w:space="0" w:color="auto"/>
                <w:left w:val="none" w:sz="0" w:space="0" w:color="auto"/>
                <w:bottom w:val="none" w:sz="0" w:space="0" w:color="auto"/>
                <w:right w:val="none" w:sz="0" w:space="0" w:color="auto"/>
              </w:divBdr>
              <w:divsChild>
                <w:div w:id="745493963">
                  <w:marLeft w:val="0"/>
                  <w:marRight w:val="0"/>
                  <w:marTop w:val="0"/>
                  <w:marBottom w:val="0"/>
                  <w:divBdr>
                    <w:top w:val="none" w:sz="0" w:space="0" w:color="auto"/>
                    <w:left w:val="none" w:sz="0" w:space="0" w:color="auto"/>
                    <w:bottom w:val="none" w:sz="0" w:space="0" w:color="auto"/>
                    <w:right w:val="none" w:sz="0" w:space="0" w:color="auto"/>
                  </w:divBdr>
                </w:div>
              </w:divsChild>
            </w:div>
            <w:div w:id="1053773613">
              <w:marLeft w:val="0"/>
              <w:marRight w:val="0"/>
              <w:marTop w:val="0"/>
              <w:marBottom w:val="0"/>
              <w:divBdr>
                <w:top w:val="none" w:sz="0" w:space="0" w:color="auto"/>
                <w:left w:val="none" w:sz="0" w:space="0" w:color="auto"/>
                <w:bottom w:val="none" w:sz="0" w:space="0" w:color="auto"/>
                <w:right w:val="none" w:sz="0" w:space="0" w:color="auto"/>
              </w:divBdr>
              <w:divsChild>
                <w:div w:id="1035469572">
                  <w:marLeft w:val="0"/>
                  <w:marRight w:val="0"/>
                  <w:marTop w:val="0"/>
                  <w:marBottom w:val="0"/>
                  <w:divBdr>
                    <w:top w:val="none" w:sz="0" w:space="0" w:color="auto"/>
                    <w:left w:val="none" w:sz="0" w:space="0" w:color="auto"/>
                    <w:bottom w:val="none" w:sz="0" w:space="0" w:color="auto"/>
                    <w:right w:val="none" w:sz="0" w:space="0" w:color="auto"/>
                  </w:divBdr>
                </w:div>
              </w:divsChild>
            </w:div>
            <w:div w:id="284042240">
              <w:marLeft w:val="0"/>
              <w:marRight w:val="0"/>
              <w:marTop w:val="0"/>
              <w:marBottom w:val="0"/>
              <w:divBdr>
                <w:top w:val="none" w:sz="0" w:space="0" w:color="auto"/>
                <w:left w:val="none" w:sz="0" w:space="0" w:color="auto"/>
                <w:bottom w:val="none" w:sz="0" w:space="0" w:color="auto"/>
                <w:right w:val="none" w:sz="0" w:space="0" w:color="auto"/>
              </w:divBdr>
              <w:divsChild>
                <w:div w:id="131676775">
                  <w:marLeft w:val="0"/>
                  <w:marRight w:val="0"/>
                  <w:marTop w:val="0"/>
                  <w:marBottom w:val="0"/>
                  <w:divBdr>
                    <w:top w:val="none" w:sz="0" w:space="0" w:color="auto"/>
                    <w:left w:val="none" w:sz="0" w:space="0" w:color="auto"/>
                    <w:bottom w:val="none" w:sz="0" w:space="0" w:color="auto"/>
                    <w:right w:val="none" w:sz="0" w:space="0" w:color="auto"/>
                  </w:divBdr>
                </w:div>
              </w:divsChild>
            </w:div>
            <w:div w:id="37363023">
              <w:marLeft w:val="0"/>
              <w:marRight w:val="0"/>
              <w:marTop w:val="0"/>
              <w:marBottom w:val="0"/>
              <w:divBdr>
                <w:top w:val="none" w:sz="0" w:space="0" w:color="auto"/>
                <w:left w:val="none" w:sz="0" w:space="0" w:color="auto"/>
                <w:bottom w:val="none" w:sz="0" w:space="0" w:color="auto"/>
                <w:right w:val="none" w:sz="0" w:space="0" w:color="auto"/>
              </w:divBdr>
              <w:divsChild>
                <w:div w:id="339698238">
                  <w:marLeft w:val="0"/>
                  <w:marRight w:val="0"/>
                  <w:marTop w:val="0"/>
                  <w:marBottom w:val="0"/>
                  <w:divBdr>
                    <w:top w:val="none" w:sz="0" w:space="0" w:color="auto"/>
                    <w:left w:val="none" w:sz="0" w:space="0" w:color="auto"/>
                    <w:bottom w:val="none" w:sz="0" w:space="0" w:color="auto"/>
                    <w:right w:val="none" w:sz="0" w:space="0" w:color="auto"/>
                  </w:divBdr>
                </w:div>
              </w:divsChild>
            </w:div>
            <w:div w:id="1537085047">
              <w:marLeft w:val="0"/>
              <w:marRight w:val="0"/>
              <w:marTop w:val="0"/>
              <w:marBottom w:val="0"/>
              <w:divBdr>
                <w:top w:val="none" w:sz="0" w:space="0" w:color="auto"/>
                <w:left w:val="none" w:sz="0" w:space="0" w:color="auto"/>
                <w:bottom w:val="none" w:sz="0" w:space="0" w:color="auto"/>
                <w:right w:val="none" w:sz="0" w:space="0" w:color="auto"/>
              </w:divBdr>
              <w:divsChild>
                <w:div w:id="1974941389">
                  <w:marLeft w:val="0"/>
                  <w:marRight w:val="0"/>
                  <w:marTop w:val="0"/>
                  <w:marBottom w:val="0"/>
                  <w:divBdr>
                    <w:top w:val="none" w:sz="0" w:space="0" w:color="auto"/>
                    <w:left w:val="none" w:sz="0" w:space="0" w:color="auto"/>
                    <w:bottom w:val="none" w:sz="0" w:space="0" w:color="auto"/>
                    <w:right w:val="none" w:sz="0" w:space="0" w:color="auto"/>
                  </w:divBdr>
                </w:div>
              </w:divsChild>
            </w:div>
            <w:div w:id="331300110">
              <w:marLeft w:val="0"/>
              <w:marRight w:val="0"/>
              <w:marTop w:val="0"/>
              <w:marBottom w:val="0"/>
              <w:divBdr>
                <w:top w:val="none" w:sz="0" w:space="0" w:color="auto"/>
                <w:left w:val="none" w:sz="0" w:space="0" w:color="auto"/>
                <w:bottom w:val="none" w:sz="0" w:space="0" w:color="auto"/>
                <w:right w:val="none" w:sz="0" w:space="0" w:color="auto"/>
              </w:divBdr>
              <w:divsChild>
                <w:div w:id="1782648246">
                  <w:marLeft w:val="0"/>
                  <w:marRight w:val="0"/>
                  <w:marTop w:val="0"/>
                  <w:marBottom w:val="0"/>
                  <w:divBdr>
                    <w:top w:val="none" w:sz="0" w:space="0" w:color="auto"/>
                    <w:left w:val="none" w:sz="0" w:space="0" w:color="auto"/>
                    <w:bottom w:val="none" w:sz="0" w:space="0" w:color="auto"/>
                    <w:right w:val="none" w:sz="0" w:space="0" w:color="auto"/>
                  </w:divBdr>
                </w:div>
              </w:divsChild>
            </w:div>
            <w:div w:id="1329022407">
              <w:marLeft w:val="0"/>
              <w:marRight w:val="0"/>
              <w:marTop w:val="0"/>
              <w:marBottom w:val="0"/>
              <w:divBdr>
                <w:top w:val="none" w:sz="0" w:space="0" w:color="auto"/>
                <w:left w:val="none" w:sz="0" w:space="0" w:color="auto"/>
                <w:bottom w:val="none" w:sz="0" w:space="0" w:color="auto"/>
                <w:right w:val="none" w:sz="0" w:space="0" w:color="auto"/>
              </w:divBdr>
              <w:divsChild>
                <w:div w:id="1663315459">
                  <w:marLeft w:val="0"/>
                  <w:marRight w:val="0"/>
                  <w:marTop w:val="0"/>
                  <w:marBottom w:val="0"/>
                  <w:divBdr>
                    <w:top w:val="none" w:sz="0" w:space="0" w:color="auto"/>
                    <w:left w:val="none" w:sz="0" w:space="0" w:color="auto"/>
                    <w:bottom w:val="none" w:sz="0" w:space="0" w:color="auto"/>
                    <w:right w:val="none" w:sz="0" w:space="0" w:color="auto"/>
                  </w:divBdr>
                </w:div>
              </w:divsChild>
            </w:div>
            <w:div w:id="1534347867">
              <w:marLeft w:val="0"/>
              <w:marRight w:val="0"/>
              <w:marTop w:val="0"/>
              <w:marBottom w:val="0"/>
              <w:divBdr>
                <w:top w:val="none" w:sz="0" w:space="0" w:color="auto"/>
                <w:left w:val="none" w:sz="0" w:space="0" w:color="auto"/>
                <w:bottom w:val="none" w:sz="0" w:space="0" w:color="auto"/>
                <w:right w:val="none" w:sz="0" w:space="0" w:color="auto"/>
              </w:divBdr>
              <w:divsChild>
                <w:div w:id="1841697679">
                  <w:marLeft w:val="0"/>
                  <w:marRight w:val="0"/>
                  <w:marTop w:val="0"/>
                  <w:marBottom w:val="0"/>
                  <w:divBdr>
                    <w:top w:val="none" w:sz="0" w:space="0" w:color="auto"/>
                    <w:left w:val="none" w:sz="0" w:space="0" w:color="auto"/>
                    <w:bottom w:val="none" w:sz="0" w:space="0" w:color="auto"/>
                    <w:right w:val="none" w:sz="0" w:space="0" w:color="auto"/>
                  </w:divBdr>
                </w:div>
              </w:divsChild>
            </w:div>
            <w:div w:id="427695442">
              <w:marLeft w:val="0"/>
              <w:marRight w:val="0"/>
              <w:marTop w:val="0"/>
              <w:marBottom w:val="0"/>
              <w:divBdr>
                <w:top w:val="none" w:sz="0" w:space="0" w:color="auto"/>
                <w:left w:val="none" w:sz="0" w:space="0" w:color="auto"/>
                <w:bottom w:val="none" w:sz="0" w:space="0" w:color="auto"/>
                <w:right w:val="none" w:sz="0" w:space="0" w:color="auto"/>
              </w:divBdr>
              <w:divsChild>
                <w:div w:id="893542040">
                  <w:marLeft w:val="0"/>
                  <w:marRight w:val="0"/>
                  <w:marTop w:val="0"/>
                  <w:marBottom w:val="0"/>
                  <w:divBdr>
                    <w:top w:val="none" w:sz="0" w:space="0" w:color="auto"/>
                    <w:left w:val="none" w:sz="0" w:space="0" w:color="auto"/>
                    <w:bottom w:val="none" w:sz="0" w:space="0" w:color="auto"/>
                    <w:right w:val="none" w:sz="0" w:space="0" w:color="auto"/>
                  </w:divBdr>
                </w:div>
              </w:divsChild>
            </w:div>
            <w:div w:id="1657294489">
              <w:marLeft w:val="0"/>
              <w:marRight w:val="0"/>
              <w:marTop w:val="0"/>
              <w:marBottom w:val="0"/>
              <w:divBdr>
                <w:top w:val="none" w:sz="0" w:space="0" w:color="auto"/>
                <w:left w:val="none" w:sz="0" w:space="0" w:color="auto"/>
                <w:bottom w:val="none" w:sz="0" w:space="0" w:color="auto"/>
                <w:right w:val="none" w:sz="0" w:space="0" w:color="auto"/>
              </w:divBdr>
              <w:divsChild>
                <w:div w:id="1638299872">
                  <w:marLeft w:val="0"/>
                  <w:marRight w:val="0"/>
                  <w:marTop w:val="0"/>
                  <w:marBottom w:val="0"/>
                  <w:divBdr>
                    <w:top w:val="none" w:sz="0" w:space="0" w:color="auto"/>
                    <w:left w:val="none" w:sz="0" w:space="0" w:color="auto"/>
                    <w:bottom w:val="none" w:sz="0" w:space="0" w:color="auto"/>
                    <w:right w:val="none" w:sz="0" w:space="0" w:color="auto"/>
                  </w:divBdr>
                </w:div>
              </w:divsChild>
            </w:div>
            <w:div w:id="1335494303">
              <w:marLeft w:val="0"/>
              <w:marRight w:val="0"/>
              <w:marTop w:val="0"/>
              <w:marBottom w:val="0"/>
              <w:divBdr>
                <w:top w:val="none" w:sz="0" w:space="0" w:color="auto"/>
                <w:left w:val="none" w:sz="0" w:space="0" w:color="auto"/>
                <w:bottom w:val="none" w:sz="0" w:space="0" w:color="auto"/>
                <w:right w:val="none" w:sz="0" w:space="0" w:color="auto"/>
              </w:divBdr>
              <w:divsChild>
                <w:div w:id="1860315324">
                  <w:marLeft w:val="0"/>
                  <w:marRight w:val="0"/>
                  <w:marTop w:val="0"/>
                  <w:marBottom w:val="0"/>
                  <w:divBdr>
                    <w:top w:val="none" w:sz="0" w:space="0" w:color="auto"/>
                    <w:left w:val="none" w:sz="0" w:space="0" w:color="auto"/>
                    <w:bottom w:val="none" w:sz="0" w:space="0" w:color="auto"/>
                    <w:right w:val="none" w:sz="0" w:space="0" w:color="auto"/>
                  </w:divBdr>
                </w:div>
              </w:divsChild>
            </w:div>
            <w:div w:id="475493224">
              <w:marLeft w:val="0"/>
              <w:marRight w:val="0"/>
              <w:marTop w:val="0"/>
              <w:marBottom w:val="0"/>
              <w:divBdr>
                <w:top w:val="none" w:sz="0" w:space="0" w:color="auto"/>
                <w:left w:val="none" w:sz="0" w:space="0" w:color="auto"/>
                <w:bottom w:val="none" w:sz="0" w:space="0" w:color="auto"/>
                <w:right w:val="none" w:sz="0" w:space="0" w:color="auto"/>
              </w:divBdr>
              <w:divsChild>
                <w:div w:id="177936620">
                  <w:marLeft w:val="0"/>
                  <w:marRight w:val="0"/>
                  <w:marTop w:val="0"/>
                  <w:marBottom w:val="0"/>
                  <w:divBdr>
                    <w:top w:val="none" w:sz="0" w:space="0" w:color="auto"/>
                    <w:left w:val="none" w:sz="0" w:space="0" w:color="auto"/>
                    <w:bottom w:val="none" w:sz="0" w:space="0" w:color="auto"/>
                    <w:right w:val="none" w:sz="0" w:space="0" w:color="auto"/>
                  </w:divBdr>
                </w:div>
              </w:divsChild>
            </w:div>
            <w:div w:id="641736423">
              <w:marLeft w:val="0"/>
              <w:marRight w:val="0"/>
              <w:marTop w:val="0"/>
              <w:marBottom w:val="0"/>
              <w:divBdr>
                <w:top w:val="none" w:sz="0" w:space="0" w:color="auto"/>
                <w:left w:val="none" w:sz="0" w:space="0" w:color="auto"/>
                <w:bottom w:val="none" w:sz="0" w:space="0" w:color="auto"/>
                <w:right w:val="none" w:sz="0" w:space="0" w:color="auto"/>
              </w:divBdr>
              <w:divsChild>
                <w:div w:id="2112628039">
                  <w:marLeft w:val="0"/>
                  <w:marRight w:val="0"/>
                  <w:marTop w:val="0"/>
                  <w:marBottom w:val="0"/>
                  <w:divBdr>
                    <w:top w:val="none" w:sz="0" w:space="0" w:color="auto"/>
                    <w:left w:val="none" w:sz="0" w:space="0" w:color="auto"/>
                    <w:bottom w:val="none" w:sz="0" w:space="0" w:color="auto"/>
                    <w:right w:val="none" w:sz="0" w:space="0" w:color="auto"/>
                  </w:divBdr>
                </w:div>
              </w:divsChild>
            </w:div>
            <w:div w:id="227306422">
              <w:marLeft w:val="0"/>
              <w:marRight w:val="0"/>
              <w:marTop w:val="0"/>
              <w:marBottom w:val="0"/>
              <w:divBdr>
                <w:top w:val="none" w:sz="0" w:space="0" w:color="auto"/>
                <w:left w:val="none" w:sz="0" w:space="0" w:color="auto"/>
                <w:bottom w:val="none" w:sz="0" w:space="0" w:color="auto"/>
                <w:right w:val="none" w:sz="0" w:space="0" w:color="auto"/>
              </w:divBdr>
              <w:divsChild>
                <w:div w:id="56628776">
                  <w:marLeft w:val="0"/>
                  <w:marRight w:val="0"/>
                  <w:marTop w:val="0"/>
                  <w:marBottom w:val="0"/>
                  <w:divBdr>
                    <w:top w:val="none" w:sz="0" w:space="0" w:color="auto"/>
                    <w:left w:val="none" w:sz="0" w:space="0" w:color="auto"/>
                    <w:bottom w:val="none" w:sz="0" w:space="0" w:color="auto"/>
                    <w:right w:val="none" w:sz="0" w:space="0" w:color="auto"/>
                  </w:divBdr>
                </w:div>
              </w:divsChild>
            </w:div>
            <w:div w:id="1997873853">
              <w:marLeft w:val="0"/>
              <w:marRight w:val="0"/>
              <w:marTop w:val="0"/>
              <w:marBottom w:val="0"/>
              <w:divBdr>
                <w:top w:val="none" w:sz="0" w:space="0" w:color="auto"/>
                <w:left w:val="none" w:sz="0" w:space="0" w:color="auto"/>
                <w:bottom w:val="none" w:sz="0" w:space="0" w:color="auto"/>
                <w:right w:val="none" w:sz="0" w:space="0" w:color="auto"/>
              </w:divBdr>
              <w:divsChild>
                <w:div w:id="1011568732">
                  <w:marLeft w:val="0"/>
                  <w:marRight w:val="0"/>
                  <w:marTop w:val="0"/>
                  <w:marBottom w:val="0"/>
                  <w:divBdr>
                    <w:top w:val="none" w:sz="0" w:space="0" w:color="auto"/>
                    <w:left w:val="none" w:sz="0" w:space="0" w:color="auto"/>
                    <w:bottom w:val="none" w:sz="0" w:space="0" w:color="auto"/>
                    <w:right w:val="none" w:sz="0" w:space="0" w:color="auto"/>
                  </w:divBdr>
                </w:div>
              </w:divsChild>
            </w:div>
            <w:div w:id="1169980473">
              <w:marLeft w:val="0"/>
              <w:marRight w:val="0"/>
              <w:marTop w:val="0"/>
              <w:marBottom w:val="0"/>
              <w:divBdr>
                <w:top w:val="none" w:sz="0" w:space="0" w:color="auto"/>
                <w:left w:val="none" w:sz="0" w:space="0" w:color="auto"/>
                <w:bottom w:val="none" w:sz="0" w:space="0" w:color="auto"/>
                <w:right w:val="none" w:sz="0" w:space="0" w:color="auto"/>
              </w:divBdr>
              <w:divsChild>
                <w:div w:id="1374041694">
                  <w:marLeft w:val="0"/>
                  <w:marRight w:val="0"/>
                  <w:marTop w:val="0"/>
                  <w:marBottom w:val="0"/>
                  <w:divBdr>
                    <w:top w:val="none" w:sz="0" w:space="0" w:color="auto"/>
                    <w:left w:val="none" w:sz="0" w:space="0" w:color="auto"/>
                    <w:bottom w:val="none" w:sz="0" w:space="0" w:color="auto"/>
                    <w:right w:val="none" w:sz="0" w:space="0" w:color="auto"/>
                  </w:divBdr>
                </w:div>
              </w:divsChild>
            </w:div>
            <w:div w:id="757755677">
              <w:marLeft w:val="0"/>
              <w:marRight w:val="0"/>
              <w:marTop w:val="0"/>
              <w:marBottom w:val="0"/>
              <w:divBdr>
                <w:top w:val="none" w:sz="0" w:space="0" w:color="auto"/>
                <w:left w:val="none" w:sz="0" w:space="0" w:color="auto"/>
                <w:bottom w:val="none" w:sz="0" w:space="0" w:color="auto"/>
                <w:right w:val="none" w:sz="0" w:space="0" w:color="auto"/>
              </w:divBdr>
              <w:divsChild>
                <w:div w:id="1372415765">
                  <w:marLeft w:val="0"/>
                  <w:marRight w:val="0"/>
                  <w:marTop w:val="0"/>
                  <w:marBottom w:val="0"/>
                  <w:divBdr>
                    <w:top w:val="none" w:sz="0" w:space="0" w:color="auto"/>
                    <w:left w:val="none" w:sz="0" w:space="0" w:color="auto"/>
                    <w:bottom w:val="none" w:sz="0" w:space="0" w:color="auto"/>
                    <w:right w:val="none" w:sz="0" w:space="0" w:color="auto"/>
                  </w:divBdr>
                </w:div>
              </w:divsChild>
            </w:div>
            <w:div w:id="1818838191">
              <w:marLeft w:val="0"/>
              <w:marRight w:val="0"/>
              <w:marTop w:val="0"/>
              <w:marBottom w:val="0"/>
              <w:divBdr>
                <w:top w:val="none" w:sz="0" w:space="0" w:color="auto"/>
                <w:left w:val="none" w:sz="0" w:space="0" w:color="auto"/>
                <w:bottom w:val="none" w:sz="0" w:space="0" w:color="auto"/>
                <w:right w:val="none" w:sz="0" w:space="0" w:color="auto"/>
              </w:divBdr>
              <w:divsChild>
                <w:div w:id="1318611214">
                  <w:marLeft w:val="0"/>
                  <w:marRight w:val="0"/>
                  <w:marTop w:val="0"/>
                  <w:marBottom w:val="0"/>
                  <w:divBdr>
                    <w:top w:val="none" w:sz="0" w:space="0" w:color="auto"/>
                    <w:left w:val="none" w:sz="0" w:space="0" w:color="auto"/>
                    <w:bottom w:val="none" w:sz="0" w:space="0" w:color="auto"/>
                    <w:right w:val="none" w:sz="0" w:space="0" w:color="auto"/>
                  </w:divBdr>
                </w:div>
              </w:divsChild>
            </w:div>
            <w:div w:id="787315131">
              <w:marLeft w:val="0"/>
              <w:marRight w:val="0"/>
              <w:marTop w:val="0"/>
              <w:marBottom w:val="0"/>
              <w:divBdr>
                <w:top w:val="none" w:sz="0" w:space="0" w:color="auto"/>
                <w:left w:val="none" w:sz="0" w:space="0" w:color="auto"/>
                <w:bottom w:val="none" w:sz="0" w:space="0" w:color="auto"/>
                <w:right w:val="none" w:sz="0" w:space="0" w:color="auto"/>
              </w:divBdr>
              <w:divsChild>
                <w:div w:id="434593606">
                  <w:marLeft w:val="0"/>
                  <w:marRight w:val="0"/>
                  <w:marTop w:val="0"/>
                  <w:marBottom w:val="0"/>
                  <w:divBdr>
                    <w:top w:val="none" w:sz="0" w:space="0" w:color="auto"/>
                    <w:left w:val="none" w:sz="0" w:space="0" w:color="auto"/>
                    <w:bottom w:val="none" w:sz="0" w:space="0" w:color="auto"/>
                    <w:right w:val="none" w:sz="0" w:space="0" w:color="auto"/>
                  </w:divBdr>
                </w:div>
              </w:divsChild>
            </w:div>
            <w:div w:id="1625382856">
              <w:marLeft w:val="0"/>
              <w:marRight w:val="0"/>
              <w:marTop w:val="0"/>
              <w:marBottom w:val="0"/>
              <w:divBdr>
                <w:top w:val="none" w:sz="0" w:space="0" w:color="auto"/>
                <w:left w:val="none" w:sz="0" w:space="0" w:color="auto"/>
                <w:bottom w:val="none" w:sz="0" w:space="0" w:color="auto"/>
                <w:right w:val="none" w:sz="0" w:space="0" w:color="auto"/>
              </w:divBdr>
              <w:divsChild>
                <w:div w:id="666327209">
                  <w:marLeft w:val="0"/>
                  <w:marRight w:val="0"/>
                  <w:marTop w:val="0"/>
                  <w:marBottom w:val="0"/>
                  <w:divBdr>
                    <w:top w:val="none" w:sz="0" w:space="0" w:color="auto"/>
                    <w:left w:val="none" w:sz="0" w:space="0" w:color="auto"/>
                    <w:bottom w:val="none" w:sz="0" w:space="0" w:color="auto"/>
                    <w:right w:val="none" w:sz="0" w:space="0" w:color="auto"/>
                  </w:divBdr>
                </w:div>
              </w:divsChild>
            </w:div>
            <w:div w:id="1452044961">
              <w:marLeft w:val="0"/>
              <w:marRight w:val="0"/>
              <w:marTop w:val="0"/>
              <w:marBottom w:val="0"/>
              <w:divBdr>
                <w:top w:val="none" w:sz="0" w:space="0" w:color="auto"/>
                <w:left w:val="none" w:sz="0" w:space="0" w:color="auto"/>
                <w:bottom w:val="none" w:sz="0" w:space="0" w:color="auto"/>
                <w:right w:val="none" w:sz="0" w:space="0" w:color="auto"/>
              </w:divBdr>
              <w:divsChild>
                <w:div w:id="707149263">
                  <w:marLeft w:val="0"/>
                  <w:marRight w:val="0"/>
                  <w:marTop w:val="0"/>
                  <w:marBottom w:val="0"/>
                  <w:divBdr>
                    <w:top w:val="none" w:sz="0" w:space="0" w:color="auto"/>
                    <w:left w:val="none" w:sz="0" w:space="0" w:color="auto"/>
                    <w:bottom w:val="none" w:sz="0" w:space="0" w:color="auto"/>
                    <w:right w:val="none" w:sz="0" w:space="0" w:color="auto"/>
                  </w:divBdr>
                </w:div>
              </w:divsChild>
            </w:div>
            <w:div w:id="913710551">
              <w:marLeft w:val="0"/>
              <w:marRight w:val="0"/>
              <w:marTop w:val="0"/>
              <w:marBottom w:val="0"/>
              <w:divBdr>
                <w:top w:val="none" w:sz="0" w:space="0" w:color="auto"/>
                <w:left w:val="none" w:sz="0" w:space="0" w:color="auto"/>
                <w:bottom w:val="none" w:sz="0" w:space="0" w:color="auto"/>
                <w:right w:val="none" w:sz="0" w:space="0" w:color="auto"/>
              </w:divBdr>
              <w:divsChild>
                <w:div w:id="1155994203">
                  <w:marLeft w:val="0"/>
                  <w:marRight w:val="0"/>
                  <w:marTop w:val="0"/>
                  <w:marBottom w:val="0"/>
                  <w:divBdr>
                    <w:top w:val="none" w:sz="0" w:space="0" w:color="auto"/>
                    <w:left w:val="none" w:sz="0" w:space="0" w:color="auto"/>
                    <w:bottom w:val="none" w:sz="0" w:space="0" w:color="auto"/>
                    <w:right w:val="none" w:sz="0" w:space="0" w:color="auto"/>
                  </w:divBdr>
                </w:div>
              </w:divsChild>
            </w:div>
            <w:div w:id="1684280281">
              <w:marLeft w:val="0"/>
              <w:marRight w:val="0"/>
              <w:marTop w:val="0"/>
              <w:marBottom w:val="0"/>
              <w:divBdr>
                <w:top w:val="none" w:sz="0" w:space="0" w:color="auto"/>
                <w:left w:val="none" w:sz="0" w:space="0" w:color="auto"/>
                <w:bottom w:val="none" w:sz="0" w:space="0" w:color="auto"/>
                <w:right w:val="none" w:sz="0" w:space="0" w:color="auto"/>
              </w:divBdr>
              <w:divsChild>
                <w:div w:id="1133407402">
                  <w:marLeft w:val="0"/>
                  <w:marRight w:val="0"/>
                  <w:marTop w:val="0"/>
                  <w:marBottom w:val="0"/>
                  <w:divBdr>
                    <w:top w:val="none" w:sz="0" w:space="0" w:color="auto"/>
                    <w:left w:val="none" w:sz="0" w:space="0" w:color="auto"/>
                    <w:bottom w:val="none" w:sz="0" w:space="0" w:color="auto"/>
                    <w:right w:val="none" w:sz="0" w:space="0" w:color="auto"/>
                  </w:divBdr>
                </w:div>
              </w:divsChild>
            </w:div>
            <w:div w:id="1535649633">
              <w:marLeft w:val="0"/>
              <w:marRight w:val="0"/>
              <w:marTop w:val="0"/>
              <w:marBottom w:val="0"/>
              <w:divBdr>
                <w:top w:val="none" w:sz="0" w:space="0" w:color="auto"/>
                <w:left w:val="none" w:sz="0" w:space="0" w:color="auto"/>
                <w:bottom w:val="none" w:sz="0" w:space="0" w:color="auto"/>
                <w:right w:val="none" w:sz="0" w:space="0" w:color="auto"/>
              </w:divBdr>
              <w:divsChild>
                <w:div w:id="117533426">
                  <w:marLeft w:val="0"/>
                  <w:marRight w:val="0"/>
                  <w:marTop w:val="0"/>
                  <w:marBottom w:val="0"/>
                  <w:divBdr>
                    <w:top w:val="none" w:sz="0" w:space="0" w:color="auto"/>
                    <w:left w:val="none" w:sz="0" w:space="0" w:color="auto"/>
                    <w:bottom w:val="none" w:sz="0" w:space="0" w:color="auto"/>
                    <w:right w:val="none" w:sz="0" w:space="0" w:color="auto"/>
                  </w:divBdr>
                </w:div>
              </w:divsChild>
            </w:div>
            <w:div w:id="895553350">
              <w:marLeft w:val="0"/>
              <w:marRight w:val="0"/>
              <w:marTop w:val="0"/>
              <w:marBottom w:val="0"/>
              <w:divBdr>
                <w:top w:val="none" w:sz="0" w:space="0" w:color="auto"/>
                <w:left w:val="none" w:sz="0" w:space="0" w:color="auto"/>
                <w:bottom w:val="none" w:sz="0" w:space="0" w:color="auto"/>
                <w:right w:val="none" w:sz="0" w:space="0" w:color="auto"/>
              </w:divBdr>
              <w:divsChild>
                <w:div w:id="1388840358">
                  <w:marLeft w:val="0"/>
                  <w:marRight w:val="0"/>
                  <w:marTop w:val="0"/>
                  <w:marBottom w:val="0"/>
                  <w:divBdr>
                    <w:top w:val="none" w:sz="0" w:space="0" w:color="auto"/>
                    <w:left w:val="none" w:sz="0" w:space="0" w:color="auto"/>
                    <w:bottom w:val="none" w:sz="0" w:space="0" w:color="auto"/>
                    <w:right w:val="none" w:sz="0" w:space="0" w:color="auto"/>
                  </w:divBdr>
                </w:div>
              </w:divsChild>
            </w:div>
            <w:div w:id="1581451340">
              <w:marLeft w:val="0"/>
              <w:marRight w:val="0"/>
              <w:marTop w:val="0"/>
              <w:marBottom w:val="0"/>
              <w:divBdr>
                <w:top w:val="none" w:sz="0" w:space="0" w:color="auto"/>
                <w:left w:val="none" w:sz="0" w:space="0" w:color="auto"/>
                <w:bottom w:val="none" w:sz="0" w:space="0" w:color="auto"/>
                <w:right w:val="none" w:sz="0" w:space="0" w:color="auto"/>
              </w:divBdr>
              <w:divsChild>
                <w:div w:id="1956131375">
                  <w:marLeft w:val="0"/>
                  <w:marRight w:val="0"/>
                  <w:marTop w:val="0"/>
                  <w:marBottom w:val="0"/>
                  <w:divBdr>
                    <w:top w:val="none" w:sz="0" w:space="0" w:color="auto"/>
                    <w:left w:val="none" w:sz="0" w:space="0" w:color="auto"/>
                    <w:bottom w:val="none" w:sz="0" w:space="0" w:color="auto"/>
                    <w:right w:val="none" w:sz="0" w:space="0" w:color="auto"/>
                  </w:divBdr>
                </w:div>
              </w:divsChild>
            </w:div>
            <w:div w:id="1371803180">
              <w:marLeft w:val="0"/>
              <w:marRight w:val="0"/>
              <w:marTop w:val="0"/>
              <w:marBottom w:val="0"/>
              <w:divBdr>
                <w:top w:val="none" w:sz="0" w:space="0" w:color="auto"/>
                <w:left w:val="none" w:sz="0" w:space="0" w:color="auto"/>
                <w:bottom w:val="none" w:sz="0" w:space="0" w:color="auto"/>
                <w:right w:val="none" w:sz="0" w:space="0" w:color="auto"/>
              </w:divBdr>
              <w:divsChild>
                <w:div w:id="1236823847">
                  <w:marLeft w:val="0"/>
                  <w:marRight w:val="0"/>
                  <w:marTop w:val="0"/>
                  <w:marBottom w:val="0"/>
                  <w:divBdr>
                    <w:top w:val="none" w:sz="0" w:space="0" w:color="auto"/>
                    <w:left w:val="none" w:sz="0" w:space="0" w:color="auto"/>
                    <w:bottom w:val="none" w:sz="0" w:space="0" w:color="auto"/>
                    <w:right w:val="none" w:sz="0" w:space="0" w:color="auto"/>
                  </w:divBdr>
                </w:div>
              </w:divsChild>
            </w:div>
            <w:div w:id="312804171">
              <w:marLeft w:val="0"/>
              <w:marRight w:val="0"/>
              <w:marTop w:val="0"/>
              <w:marBottom w:val="0"/>
              <w:divBdr>
                <w:top w:val="none" w:sz="0" w:space="0" w:color="auto"/>
                <w:left w:val="none" w:sz="0" w:space="0" w:color="auto"/>
                <w:bottom w:val="none" w:sz="0" w:space="0" w:color="auto"/>
                <w:right w:val="none" w:sz="0" w:space="0" w:color="auto"/>
              </w:divBdr>
              <w:divsChild>
                <w:div w:id="1270356234">
                  <w:marLeft w:val="0"/>
                  <w:marRight w:val="0"/>
                  <w:marTop w:val="0"/>
                  <w:marBottom w:val="0"/>
                  <w:divBdr>
                    <w:top w:val="none" w:sz="0" w:space="0" w:color="auto"/>
                    <w:left w:val="none" w:sz="0" w:space="0" w:color="auto"/>
                    <w:bottom w:val="none" w:sz="0" w:space="0" w:color="auto"/>
                    <w:right w:val="none" w:sz="0" w:space="0" w:color="auto"/>
                  </w:divBdr>
                </w:div>
              </w:divsChild>
            </w:div>
            <w:div w:id="130444436">
              <w:marLeft w:val="0"/>
              <w:marRight w:val="0"/>
              <w:marTop w:val="0"/>
              <w:marBottom w:val="0"/>
              <w:divBdr>
                <w:top w:val="none" w:sz="0" w:space="0" w:color="auto"/>
                <w:left w:val="none" w:sz="0" w:space="0" w:color="auto"/>
                <w:bottom w:val="none" w:sz="0" w:space="0" w:color="auto"/>
                <w:right w:val="none" w:sz="0" w:space="0" w:color="auto"/>
              </w:divBdr>
              <w:divsChild>
                <w:div w:id="1322729994">
                  <w:marLeft w:val="0"/>
                  <w:marRight w:val="0"/>
                  <w:marTop w:val="0"/>
                  <w:marBottom w:val="0"/>
                  <w:divBdr>
                    <w:top w:val="none" w:sz="0" w:space="0" w:color="auto"/>
                    <w:left w:val="none" w:sz="0" w:space="0" w:color="auto"/>
                    <w:bottom w:val="none" w:sz="0" w:space="0" w:color="auto"/>
                    <w:right w:val="none" w:sz="0" w:space="0" w:color="auto"/>
                  </w:divBdr>
                </w:div>
              </w:divsChild>
            </w:div>
            <w:div w:id="607389749">
              <w:marLeft w:val="0"/>
              <w:marRight w:val="0"/>
              <w:marTop w:val="0"/>
              <w:marBottom w:val="0"/>
              <w:divBdr>
                <w:top w:val="none" w:sz="0" w:space="0" w:color="auto"/>
                <w:left w:val="none" w:sz="0" w:space="0" w:color="auto"/>
                <w:bottom w:val="none" w:sz="0" w:space="0" w:color="auto"/>
                <w:right w:val="none" w:sz="0" w:space="0" w:color="auto"/>
              </w:divBdr>
              <w:divsChild>
                <w:div w:id="132724951">
                  <w:marLeft w:val="0"/>
                  <w:marRight w:val="0"/>
                  <w:marTop w:val="0"/>
                  <w:marBottom w:val="0"/>
                  <w:divBdr>
                    <w:top w:val="none" w:sz="0" w:space="0" w:color="auto"/>
                    <w:left w:val="none" w:sz="0" w:space="0" w:color="auto"/>
                    <w:bottom w:val="none" w:sz="0" w:space="0" w:color="auto"/>
                    <w:right w:val="none" w:sz="0" w:space="0" w:color="auto"/>
                  </w:divBdr>
                </w:div>
              </w:divsChild>
            </w:div>
            <w:div w:id="1635675519">
              <w:marLeft w:val="0"/>
              <w:marRight w:val="0"/>
              <w:marTop w:val="0"/>
              <w:marBottom w:val="0"/>
              <w:divBdr>
                <w:top w:val="none" w:sz="0" w:space="0" w:color="auto"/>
                <w:left w:val="none" w:sz="0" w:space="0" w:color="auto"/>
                <w:bottom w:val="none" w:sz="0" w:space="0" w:color="auto"/>
                <w:right w:val="none" w:sz="0" w:space="0" w:color="auto"/>
              </w:divBdr>
              <w:divsChild>
                <w:div w:id="1544294790">
                  <w:marLeft w:val="0"/>
                  <w:marRight w:val="0"/>
                  <w:marTop w:val="0"/>
                  <w:marBottom w:val="0"/>
                  <w:divBdr>
                    <w:top w:val="none" w:sz="0" w:space="0" w:color="auto"/>
                    <w:left w:val="none" w:sz="0" w:space="0" w:color="auto"/>
                    <w:bottom w:val="none" w:sz="0" w:space="0" w:color="auto"/>
                    <w:right w:val="none" w:sz="0" w:space="0" w:color="auto"/>
                  </w:divBdr>
                </w:div>
              </w:divsChild>
            </w:div>
            <w:div w:id="56124891">
              <w:marLeft w:val="0"/>
              <w:marRight w:val="0"/>
              <w:marTop w:val="0"/>
              <w:marBottom w:val="0"/>
              <w:divBdr>
                <w:top w:val="none" w:sz="0" w:space="0" w:color="auto"/>
                <w:left w:val="none" w:sz="0" w:space="0" w:color="auto"/>
                <w:bottom w:val="none" w:sz="0" w:space="0" w:color="auto"/>
                <w:right w:val="none" w:sz="0" w:space="0" w:color="auto"/>
              </w:divBdr>
              <w:divsChild>
                <w:div w:id="961347944">
                  <w:marLeft w:val="0"/>
                  <w:marRight w:val="0"/>
                  <w:marTop w:val="0"/>
                  <w:marBottom w:val="0"/>
                  <w:divBdr>
                    <w:top w:val="none" w:sz="0" w:space="0" w:color="auto"/>
                    <w:left w:val="none" w:sz="0" w:space="0" w:color="auto"/>
                    <w:bottom w:val="none" w:sz="0" w:space="0" w:color="auto"/>
                    <w:right w:val="none" w:sz="0" w:space="0" w:color="auto"/>
                  </w:divBdr>
                </w:div>
              </w:divsChild>
            </w:div>
            <w:div w:id="952784506">
              <w:marLeft w:val="0"/>
              <w:marRight w:val="0"/>
              <w:marTop w:val="0"/>
              <w:marBottom w:val="0"/>
              <w:divBdr>
                <w:top w:val="none" w:sz="0" w:space="0" w:color="auto"/>
                <w:left w:val="none" w:sz="0" w:space="0" w:color="auto"/>
                <w:bottom w:val="none" w:sz="0" w:space="0" w:color="auto"/>
                <w:right w:val="none" w:sz="0" w:space="0" w:color="auto"/>
              </w:divBdr>
              <w:divsChild>
                <w:div w:id="408423259">
                  <w:marLeft w:val="0"/>
                  <w:marRight w:val="0"/>
                  <w:marTop w:val="0"/>
                  <w:marBottom w:val="0"/>
                  <w:divBdr>
                    <w:top w:val="none" w:sz="0" w:space="0" w:color="auto"/>
                    <w:left w:val="none" w:sz="0" w:space="0" w:color="auto"/>
                    <w:bottom w:val="none" w:sz="0" w:space="0" w:color="auto"/>
                    <w:right w:val="none" w:sz="0" w:space="0" w:color="auto"/>
                  </w:divBdr>
                </w:div>
              </w:divsChild>
            </w:div>
            <w:div w:id="1327905296">
              <w:marLeft w:val="0"/>
              <w:marRight w:val="0"/>
              <w:marTop w:val="0"/>
              <w:marBottom w:val="0"/>
              <w:divBdr>
                <w:top w:val="none" w:sz="0" w:space="0" w:color="auto"/>
                <w:left w:val="none" w:sz="0" w:space="0" w:color="auto"/>
                <w:bottom w:val="none" w:sz="0" w:space="0" w:color="auto"/>
                <w:right w:val="none" w:sz="0" w:space="0" w:color="auto"/>
              </w:divBdr>
              <w:divsChild>
                <w:div w:id="615870143">
                  <w:marLeft w:val="0"/>
                  <w:marRight w:val="0"/>
                  <w:marTop w:val="0"/>
                  <w:marBottom w:val="0"/>
                  <w:divBdr>
                    <w:top w:val="none" w:sz="0" w:space="0" w:color="auto"/>
                    <w:left w:val="none" w:sz="0" w:space="0" w:color="auto"/>
                    <w:bottom w:val="none" w:sz="0" w:space="0" w:color="auto"/>
                    <w:right w:val="none" w:sz="0" w:space="0" w:color="auto"/>
                  </w:divBdr>
                </w:div>
              </w:divsChild>
            </w:div>
            <w:div w:id="319161127">
              <w:marLeft w:val="0"/>
              <w:marRight w:val="0"/>
              <w:marTop w:val="0"/>
              <w:marBottom w:val="0"/>
              <w:divBdr>
                <w:top w:val="none" w:sz="0" w:space="0" w:color="auto"/>
                <w:left w:val="none" w:sz="0" w:space="0" w:color="auto"/>
                <w:bottom w:val="none" w:sz="0" w:space="0" w:color="auto"/>
                <w:right w:val="none" w:sz="0" w:space="0" w:color="auto"/>
              </w:divBdr>
              <w:divsChild>
                <w:div w:id="55132065">
                  <w:marLeft w:val="0"/>
                  <w:marRight w:val="0"/>
                  <w:marTop w:val="0"/>
                  <w:marBottom w:val="0"/>
                  <w:divBdr>
                    <w:top w:val="none" w:sz="0" w:space="0" w:color="auto"/>
                    <w:left w:val="none" w:sz="0" w:space="0" w:color="auto"/>
                    <w:bottom w:val="none" w:sz="0" w:space="0" w:color="auto"/>
                    <w:right w:val="none" w:sz="0" w:space="0" w:color="auto"/>
                  </w:divBdr>
                </w:div>
              </w:divsChild>
            </w:div>
            <w:div w:id="1456563561">
              <w:marLeft w:val="0"/>
              <w:marRight w:val="0"/>
              <w:marTop w:val="0"/>
              <w:marBottom w:val="0"/>
              <w:divBdr>
                <w:top w:val="none" w:sz="0" w:space="0" w:color="auto"/>
                <w:left w:val="none" w:sz="0" w:space="0" w:color="auto"/>
                <w:bottom w:val="none" w:sz="0" w:space="0" w:color="auto"/>
                <w:right w:val="none" w:sz="0" w:space="0" w:color="auto"/>
              </w:divBdr>
              <w:divsChild>
                <w:div w:id="2061900047">
                  <w:marLeft w:val="0"/>
                  <w:marRight w:val="0"/>
                  <w:marTop w:val="0"/>
                  <w:marBottom w:val="0"/>
                  <w:divBdr>
                    <w:top w:val="none" w:sz="0" w:space="0" w:color="auto"/>
                    <w:left w:val="none" w:sz="0" w:space="0" w:color="auto"/>
                    <w:bottom w:val="none" w:sz="0" w:space="0" w:color="auto"/>
                    <w:right w:val="none" w:sz="0" w:space="0" w:color="auto"/>
                  </w:divBdr>
                </w:div>
              </w:divsChild>
            </w:div>
            <w:div w:id="462774723">
              <w:marLeft w:val="0"/>
              <w:marRight w:val="0"/>
              <w:marTop w:val="0"/>
              <w:marBottom w:val="0"/>
              <w:divBdr>
                <w:top w:val="none" w:sz="0" w:space="0" w:color="auto"/>
                <w:left w:val="none" w:sz="0" w:space="0" w:color="auto"/>
                <w:bottom w:val="none" w:sz="0" w:space="0" w:color="auto"/>
                <w:right w:val="none" w:sz="0" w:space="0" w:color="auto"/>
              </w:divBdr>
              <w:divsChild>
                <w:div w:id="490297861">
                  <w:marLeft w:val="0"/>
                  <w:marRight w:val="0"/>
                  <w:marTop w:val="0"/>
                  <w:marBottom w:val="0"/>
                  <w:divBdr>
                    <w:top w:val="none" w:sz="0" w:space="0" w:color="auto"/>
                    <w:left w:val="none" w:sz="0" w:space="0" w:color="auto"/>
                    <w:bottom w:val="none" w:sz="0" w:space="0" w:color="auto"/>
                    <w:right w:val="none" w:sz="0" w:space="0" w:color="auto"/>
                  </w:divBdr>
                </w:div>
              </w:divsChild>
            </w:div>
            <w:div w:id="1332945468">
              <w:marLeft w:val="0"/>
              <w:marRight w:val="0"/>
              <w:marTop w:val="0"/>
              <w:marBottom w:val="0"/>
              <w:divBdr>
                <w:top w:val="none" w:sz="0" w:space="0" w:color="auto"/>
                <w:left w:val="none" w:sz="0" w:space="0" w:color="auto"/>
                <w:bottom w:val="none" w:sz="0" w:space="0" w:color="auto"/>
                <w:right w:val="none" w:sz="0" w:space="0" w:color="auto"/>
              </w:divBdr>
              <w:divsChild>
                <w:div w:id="725908581">
                  <w:marLeft w:val="0"/>
                  <w:marRight w:val="0"/>
                  <w:marTop w:val="0"/>
                  <w:marBottom w:val="0"/>
                  <w:divBdr>
                    <w:top w:val="none" w:sz="0" w:space="0" w:color="auto"/>
                    <w:left w:val="none" w:sz="0" w:space="0" w:color="auto"/>
                    <w:bottom w:val="none" w:sz="0" w:space="0" w:color="auto"/>
                    <w:right w:val="none" w:sz="0" w:space="0" w:color="auto"/>
                  </w:divBdr>
                </w:div>
              </w:divsChild>
            </w:div>
            <w:div w:id="425808228">
              <w:marLeft w:val="0"/>
              <w:marRight w:val="0"/>
              <w:marTop w:val="0"/>
              <w:marBottom w:val="0"/>
              <w:divBdr>
                <w:top w:val="none" w:sz="0" w:space="0" w:color="auto"/>
                <w:left w:val="none" w:sz="0" w:space="0" w:color="auto"/>
                <w:bottom w:val="none" w:sz="0" w:space="0" w:color="auto"/>
                <w:right w:val="none" w:sz="0" w:space="0" w:color="auto"/>
              </w:divBdr>
              <w:divsChild>
                <w:div w:id="1821191452">
                  <w:marLeft w:val="0"/>
                  <w:marRight w:val="0"/>
                  <w:marTop w:val="0"/>
                  <w:marBottom w:val="0"/>
                  <w:divBdr>
                    <w:top w:val="none" w:sz="0" w:space="0" w:color="auto"/>
                    <w:left w:val="none" w:sz="0" w:space="0" w:color="auto"/>
                    <w:bottom w:val="none" w:sz="0" w:space="0" w:color="auto"/>
                    <w:right w:val="none" w:sz="0" w:space="0" w:color="auto"/>
                  </w:divBdr>
                </w:div>
              </w:divsChild>
            </w:div>
            <w:div w:id="343938906">
              <w:marLeft w:val="0"/>
              <w:marRight w:val="0"/>
              <w:marTop w:val="0"/>
              <w:marBottom w:val="0"/>
              <w:divBdr>
                <w:top w:val="none" w:sz="0" w:space="0" w:color="auto"/>
                <w:left w:val="none" w:sz="0" w:space="0" w:color="auto"/>
                <w:bottom w:val="none" w:sz="0" w:space="0" w:color="auto"/>
                <w:right w:val="none" w:sz="0" w:space="0" w:color="auto"/>
              </w:divBdr>
              <w:divsChild>
                <w:div w:id="299388040">
                  <w:marLeft w:val="0"/>
                  <w:marRight w:val="0"/>
                  <w:marTop w:val="0"/>
                  <w:marBottom w:val="0"/>
                  <w:divBdr>
                    <w:top w:val="none" w:sz="0" w:space="0" w:color="auto"/>
                    <w:left w:val="none" w:sz="0" w:space="0" w:color="auto"/>
                    <w:bottom w:val="none" w:sz="0" w:space="0" w:color="auto"/>
                    <w:right w:val="none" w:sz="0" w:space="0" w:color="auto"/>
                  </w:divBdr>
                </w:div>
              </w:divsChild>
            </w:div>
            <w:div w:id="1966345413">
              <w:marLeft w:val="0"/>
              <w:marRight w:val="0"/>
              <w:marTop w:val="0"/>
              <w:marBottom w:val="0"/>
              <w:divBdr>
                <w:top w:val="none" w:sz="0" w:space="0" w:color="auto"/>
                <w:left w:val="none" w:sz="0" w:space="0" w:color="auto"/>
                <w:bottom w:val="none" w:sz="0" w:space="0" w:color="auto"/>
                <w:right w:val="none" w:sz="0" w:space="0" w:color="auto"/>
              </w:divBdr>
              <w:divsChild>
                <w:div w:id="1831867423">
                  <w:marLeft w:val="0"/>
                  <w:marRight w:val="0"/>
                  <w:marTop w:val="0"/>
                  <w:marBottom w:val="0"/>
                  <w:divBdr>
                    <w:top w:val="none" w:sz="0" w:space="0" w:color="auto"/>
                    <w:left w:val="none" w:sz="0" w:space="0" w:color="auto"/>
                    <w:bottom w:val="none" w:sz="0" w:space="0" w:color="auto"/>
                    <w:right w:val="none" w:sz="0" w:space="0" w:color="auto"/>
                  </w:divBdr>
                </w:div>
              </w:divsChild>
            </w:div>
            <w:div w:id="1491942254">
              <w:marLeft w:val="0"/>
              <w:marRight w:val="0"/>
              <w:marTop w:val="0"/>
              <w:marBottom w:val="0"/>
              <w:divBdr>
                <w:top w:val="none" w:sz="0" w:space="0" w:color="auto"/>
                <w:left w:val="none" w:sz="0" w:space="0" w:color="auto"/>
                <w:bottom w:val="none" w:sz="0" w:space="0" w:color="auto"/>
                <w:right w:val="none" w:sz="0" w:space="0" w:color="auto"/>
              </w:divBdr>
              <w:divsChild>
                <w:div w:id="1808082011">
                  <w:marLeft w:val="0"/>
                  <w:marRight w:val="0"/>
                  <w:marTop w:val="0"/>
                  <w:marBottom w:val="0"/>
                  <w:divBdr>
                    <w:top w:val="none" w:sz="0" w:space="0" w:color="auto"/>
                    <w:left w:val="none" w:sz="0" w:space="0" w:color="auto"/>
                    <w:bottom w:val="none" w:sz="0" w:space="0" w:color="auto"/>
                    <w:right w:val="none" w:sz="0" w:space="0" w:color="auto"/>
                  </w:divBdr>
                </w:div>
              </w:divsChild>
            </w:div>
            <w:div w:id="1082337406">
              <w:marLeft w:val="0"/>
              <w:marRight w:val="0"/>
              <w:marTop w:val="0"/>
              <w:marBottom w:val="0"/>
              <w:divBdr>
                <w:top w:val="none" w:sz="0" w:space="0" w:color="auto"/>
                <w:left w:val="none" w:sz="0" w:space="0" w:color="auto"/>
                <w:bottom w:val="none" w:sz="0" w:space="0" w:color="auto"/>
                <w:right w:val="none" w:sz="0" w:space="0" w:color="auto"/>
              </w:divBdr>
              <w:divsChild>
                <w:div w:id="2002925950">
                  <w:marLeft w:val="0"/>
                  <w:marRight w:val="0"/>
                  <w:marTop w:val="0"/>
                  <w:marBottom w:val="0"/>
                  <w:divBdr>
                    <w:top w:val="none" w:sz="0" w:space="0" w:color="auto"/>
                    <w:left w:val="none" w:sz="0" w:space="0" w:color="auto"/>
                    <w:bottom w:val="none" w:sz="0" w:space="0" w:color="auto"/>
                    <w:right w:val="none" w:sz="0" w:space="0" w:color="auto"/>
                  </w:divBdr>
                </w:div>
              </w:divsChild>
            </w:div>
            <w:div w:id="1657420187">
              <w:marLeft w:val="0"/>
              <w:marRight w:val="0"/>
              <w:marTop w:val="0"/>
              <w:marBottom w:val="0"/>
              <w:divBdr>
                <w:top w:val="none" w:sz="0" w:space="0" w:color="auto"/>
                <w:left w:val="none" w:sz="0" w:space="0" w:color="auto"/>
                <w:bottom w:val="none" w:sz="0" w:space="0" w:color="auto"/>
                <w:right w:val="none" w:sz="0" w:space="0" w:color="auto"/>
              </w:divBdr>
              <w:divsChild>
                <w:div w:id="15039296">
                  <w:marLeft w:val="0"/>
                  <w:marRight w:val="0"/>
                  <w:marTop w:val="0"/>
                  <w:marBottom w:val="0"/>
                  <w:divBdr>
                    <w:top w:val="none" w:sz="0" w:space="0" w:color="auto"/>
                    <w:left w:val="none" w:sz="0" w:space="0" w:color="auto"/>
                    <w:bottom w:val="none" w:sz="0" w:space="0" w:color="auto"/>
                    <w:right w:val="none" w:sz="0" w:space="0" w:color="auto"/>
                  </w:divBdr>
                </w:div>
              </w:divsChild>
            </w:div>
            <w:div w:id="264728496">
              <w:marLeft w:val="0"/>
              <w:marRight w:val="0"/>
              <w:marTop w:val="0"/>
              <w:marBottom w:val="0"/>
              <w:divBdr>
                <w:top w:val="none" w:sz="0" w:space="0" w:color="auto"/>
                <w:left w:val="none" w:sz="0" w:space="0" w:color="auto"/>
                <w:bottom w:val="none" w:sz="0" w:space="0" w:color="auto"/>
                <w:right w:val="none" w:sz="0" w:space="0" w:color="auto"/>
              </w:divBdr>
              <w:divsChild>
                <w:div w:id="2135824179">
                  <w:marLeft w:val="0"/>
                  <w:marRight w:val="0"/>
                  <w:marTop w:val="0"/>
                  <w:marBottom w:val="0"/>
                  <w:divBdr>
                    <w:top w:val="none" w:sz="0" w:space="0" w:color="auto"/>
                    <w:left w:val="none" w:sz="0" w:space="0" w:color="auto"/>
                    <w:bottom w:val="none" w:sz="0" w:space="0" w:color="auto"/>
                    <w:right w:val="none" w:sz="0" w:space="0" w:color="auto"/>
                  </w:divBdr>
                </w:div>
              </w:divsChild>
            </w:div>
            <w:div w:id="2066367319">
              <w:marLeft w:val="0"/>
              <w:marRight w:val="0"/>
              <w:marTop w:val="0"/>
              <w:marBottom w:val="0"/>
              <w:divBdr>
                <w:top w:val="none" w:sz="0" w:space="0" w:color="auto"/>
                <w:left w:val="none" w:sz="0" w:space="0" w:color="auto"/>
                <w:bottom w:val="none" w:sz="0" w:space="0" w:color="auto"/>
                <w:right w:val="none" w:sz="0" w:space="0" w:color="auto"/>
              </w:divBdr>
              <w:divsChild>
                <w:div w:id="1501191978">
                  <w:marLeft w:val="0"/>
                  <w:marRight w:val="0"/>
                  <w:marTop w:val="0"/>
                  <w:marBottom w:val="0"/>
                  <w:divBdr>
                    <w:top w:val="none" w:sz="0" w:space="0" w:color="auto"/>
                    <w:left w:val="none" w:sz="0" w:space="0" w:color="auto"/>
                    <w:bottom w:val="none" w:sz="0" w:space="0" w:color="auto"/>
                    <w:right w:val="none" w:sz="0" w:space="0" w:color="auto"/>
                  </w:divBdr>
                </w:div>
              </w:divsChild>
            </w:div>
            <w:div w:id="6249663">
              <w:marLeft w:val="0"/>
              <w:marRight w:val="0"/>
              <w:marTop w:val="0"/>
              <w:marBottom w:val="0"/>
              <w:divBdr>
                <w:top w:val="none" w:sz="0" w:space="0" w:color="auto"/>
                <w:left w:val="none" w:sz="0" w:space="0" w:color="auto"/>
                <w:bottom w:val="none" w:sz="0" w:space="0" w:color="auto"/>
                <w:right w:val="none" w:sz="0" w:space="0" w:color="auto"/>
              </w:divBdr>
              <w:divsChild>
                <w:div w:id="2005206130">
                  <w:marLeft w:val="0"/>
                  <w:marRight w:val="0"/>
                  <w:marTop w:val="0"/>
                  <w:marBottom w:val="0"/>
                  <w:divBdr>
                    <w:top w:val="none" w:sz="0" w:space="0" w:color="auto"/>
                    <w:left w:val="none" w:sz="0" w:space="0" w:color="auto"/>
                    <w:bottom w:val="none" w:sz="0" w:space="0" w:color="auto"/>
                    <w:right w:val="none" w:sz="0" w:space="0" w:color="auto"/>
                  </w:divBdr>
                </w:div>
              </w:divsChild>
            </w:div>
            <w:div w:id="892429825">
              <w:marLeft w:val="0"/>
              <w:marRight w:val="0"/>
              <w:marTop w:val="0"/>
              <w:marBottom w:val="0"/>
              <w:divBdr>
                <w:top w:val="none" w:sz="0" w:space="0" w:color="auto"/>
                <w:left w:val="none" w:sz="0" w:space="0" w:color="auto"/>
                <w:bottom w:val="none" w:sz="0" w:space="0" w:color="auto"/>
                <w:right w:val="none" w:sz="0" w:space="0" w:color="auto"/>
              </w:divBdr>
              <w:divsChild>
                <w:div w:id="1015766030">
                  <w:marLeft w:val="0"/>
                  <w:marRight w:val="0"/>
                  <w:marTop w:val="0"/>
                  <w:marBottom w:val="0"/>
                  <w:divBdr>
                    <w:top w:val="none" w:sz="0" w:space="0" w:color="auto"/>
                    <w:left w:val="none" w:sz="0" w:space="0" w:color="auto"/>
                    <w:bottom w:val="none" w:sz="0" w:space="0" w:color="auto"/>
                    <w:right w:val="none" w:sz="0" w:space="0" w:color="auto"/>
                  </w:divBdr>
                </w:div>
              </w:divsChild>
            </w:div>
            <w:div w:id="1306622265">
              <w:marLeft w:val="0"/>
              <w:marRight w:val="0"/>
              <w:marTop w:val="0"/>
              <w:marBottom w:val="0"/>
              <w:divBdr>
                <w:top w:val="none" w:sz="0" w:space="0" w:color="auto"/>
                <w:left w:val="none" w:sz="0" w:space="0" w:color="auto"/>
                <w:bottom w:val="none" w:sz="0" w:space="0" w:color="auto"/>
                <w:right w:val="none" w:sz="0" w:space="0" w:color="auto"/>
              </w:divBdr>
              <w:divsChild>
                <w:div w:id="1809590230">
                  <w:marLeft w:val="0"/>
                  <w:marRight w:val="0"/>
                  <w:marTop w:val="0"/>
                  <w:marBottom w:val="0"/>
                  <w:divBdr>
                    <w:top w:val="none" w:sz="0" w:space="0" w:color="auto"/>
                    <w:left w:val="none" w:sz="0" w:space="0" w:color="auto"/>
                    <w:bottom w:val="none" w:sz="0" w:space="0" w:color="auto"/>
                    <w:right w:val="none" w:sz="0" w:space="0" w:color="auto"/>
                  </w:divBdr>
                </w:div>
              </w:divsChild>
            </w:div>
            <w:div w:id="1218081015">
              <w:marLeft w:val="0"/>
              <w:marRight w:val="0"/>
              <w:marTop w:val="0"/>
              <w:marBottom w:val="0"/>
              <w:divBdr>
                <w:top w:val="none" w:sz="0" w:space="0" w:color="auto"/>
                <w:left w:val="none" w:sz="0" w:space="0" w:color="auto"/>
                <w:bottom w:val="none" w:sz="0" w:space="0" w:color="auto"/>
                <w:right w:val="none" w:sz="0" w:space="0" w:color="auto"/>
              </w:divBdr>
              <w:divsChild>
                <w:div w:id="542137352">
                  <w:marLeft w:val="0"/>
                  <w:marRight w:val="0"/>
                  <w:marTop w:val="0"/>
                  <w:marBottom w:val="0"/>
                  <w:divBdr>
                    <w:top w:val="none" w:sz="0" w:space="0" w:color="auto"/>
                    <w:left w:val="none" w:sz="0" w:space="0" w:color="auto"/>
                    <w:bottom w:val="none" w:sz="0" w:space="0" w:color="auto"/>
                    <w:right w:val="none" w:sz="0" w:space="0" w:color="auto"/>
                  </w:divBdr>
                </w:div>
              </w:divsChild>
            </w:div>
            <w:div w:id="1702198489">
              <w:marLeft w:val="0"/>
              <w:marRight w:val="0"/>
              <w:marTop w:val="0"/>
              <w:marBottom w:val="0"/>
              <w:divBdr>
                <w:top w:val="none" w:sz="0" w:space="0" w:color="auto"/>
                <w:left w:val="none" w:sz="0" w:space="0" w:color="auto"/>
                <w:bottom w:val="none" w:sz="0" w:space="0" w:color="auto"/>
                <w:right w:val="none" w:sz="0" w:space="0" w:color="auto"/>
              </w:divBdr>
              <w:divsChild>
                <w:div w:id="1684013285">
                  <w:marLeft w:val="0"/>
                  <w:marRight w:val="0"/>
                  <w:marTop w:val="0"/>
                  <w:marBottom w:val="0"/>
                  <w:divBdr>
                    <w:top w:val="none" w:sz="0" w:space="0" w:color="auto"/>
                    <w:left w:val="none" w:sz="0" w:space="0" w:color="auto"/>
                    <w:bottom w:val="none" w:sz="0" w:space="0" w:color="auto"/>
                    <w:right w:val="none" w:sz="0" w:space="0" w:color="auto"/>
                  </w:divBdr>
                </w:div>
              </w:divsChild>
            </w:div>
            <w:div w:id="653728186">
              <w:marLeft w:val="0"/>
              <w:marRight w:val="0"/>
              <w:marTop w:val="0"/>
              <w:marBottom w:val="0"/>
              <w:divBdr>
                <w:top w:val="none" w:sz="0" w:space="0" w:color="auto"/>
                <w:left w:val="none" w:sz="0" w:space="0" w:color="auto"/>
                <w:bottom w:val="none" w:sz="0" w:space="0" w:color="auto"/>
                <w:right w:val="none" w:sz="0" w:space="0" w:color="auto"/>
              </w:divBdr>
              <w:divsChild>
                <w:div w:id="722607757">
                  <w:marLeft w:val="0"/>
                  <w:marRight w:val="0"/>
                  <w:marTop w:val="0"/>
                  <w:marBottom w:val="0"/>
                  <w:divBdr>
                    <w:top w:val="none" w:sz="0" w:space="0" w:color="auto"/>
                    <w:left w:val="none" w:sz="0" w:space="0" w:color="auto"/>
                    <w:bottom w:val="none" w:sz="0" w:space="0" w:color="auto"/>
                    <w:right w:val="none" w:sz="0" w:space="0" w:color="auto"/>
                  </w:divBdr>
                </w:div>
              </w:divsChild>
            </w:div>
            <w:div w:id="1669359099">
              <w:marLeft w:val="0"/>
              <w:marRight w:val="0"/>
              <w:marTop w:val="0"/>
              <w:marBottom w:val="0"/>
              <w:divBdr>
                <w:top w:val="none" w:sz="0" w:space="0" w:color="auto"/>
                <w:left w:val="none" w:sz="0" w:space="0" w:color="auto"/>
                <w:bottom w:val="none" w:sz="0" w:space="0" w:color="auto"/>
                <w:right w:val="none" w:sz="0" w:space="0" w:color="auto"/>
              </w:divBdr>
              <w:divsChild>
                <w:div w:id="2116972488">
                  <w:marLeft w:val="0"/>
                  <w:marRight w:val="0"/>
                  <w:marTop w:val="0"/>
                  <w:marBottom w:val="0"/>
                  <w:divBdr>
                    <w:top w:val="none" w:sz="0" w:space="0" w:color="auto"/>
                    <w:left w:val="none" w:sz="0" w:space="0" w:color="auto"/>
                    <w:bottom w:val="none" w:sz="0" w:space="0" w:color="auto"/>
                    <w:right w:val="none" w:sz="0" w:space="0" w:color="auto"/>
                  </w:divBdr>
                </w:div>
              </w:divsChild>
            </w:div>
            <w:div w:id="2023125818">
              <w:marLeft w:val="0"/>
              <w:marRight w:val="0"/>
              <w:marTop w:val="0"/>
              <w:marBottom w:val="0"/>
              <w:divBdr>
                <w:top w:val="none" w:sz="0" w:space="0" w:color="auto"/>
                <w:left w:val="none" w:sz="0" w:space="0" w:color="auto"/>
                <w:bottom w:val="none" w:sz="0" w:space="0" w:color="auto"/>
                <w:right w:val="none" w:sz="0" w:space="0" w:color="auto"/>
              </w:divBdr>
              <w:divsChild>
                <w:div w:id="1907913779">
                  <w:marLeft w:val="0"/>
                  <w:marRight w:val="0"/>
                  <w:marTop w:val="0"/>
                  <w:marBottom w:val="0"/>
                  <w:divBdr>
                    <w:top w:val="none" w:sz="0" w:space="0" w:color="auto"/>
                    <w:left w:val="none" w:sz="0" w:space="0" w:color="auto"/>
                    <w:bottom w:val="none" w:sz="0" w:space="0" w:color="auto"/>
                    <w:right w:val="none" w:sz="0" w:space="0" w:color="auto"/>
                  </w:divBdr>
                </w:div>
              </w:divsChild>
            </w:div>
            <w:div w:id="1127430733">
              <w:marLeft w:val="0"/>
              <w:marRight w:val="0"/>
              <w:marTop w:val="0"/>
              <w:marBottom w:val="0"/>
              <w:divBdr>
                <w:top w:val="none" w:sz="0" w:space="0" w:color="auto"/>
                <w:left w:val="none" w:sz="0" w:space="0" w:color="auto"/>
                <w:bottom w:val="none" w:sz="0" w:space="0" w:color="auto"/>
                <w:right w:val="none" w:sz="0" w:space="0" w:color="auto"/>
              </w:divBdr>
              <w:divsChild>
                <w:div w:id="369189880">
                  <w:marLeft w:val="0"/>
                  <w:marRight w:val="0"/>
                  <w:marTop w:val="0"/>
                  <w:marBottom w:val="0"/>
                  <w:divBdr>
                    <w:top w:val="none" w:sz="0" w:space="0" w:color="auto"/>
                    <w:left w:val="none" w:sz="0" w:space="0" w:color="auto"/>
                    <w:bottom w:val="none" w:sz="0" w:space="0" w:color="auto"/>
                    <w:right w:val="none" w:sz="0" w:space="0" w:color="auto"/>
                  </w:divBdr>
                </w:div>
              </w:divsChild>
            </w:div>
            <w:div w:id="1383671597">
              <w:marLeft w:val="0"/>
              <w:marRight w:val="0"/>
              <w:marTop w:val="0"/>
              <w:marBottom w:val="0"/>
              <w:divBdr>
                <w:top w:val="none" w:sz="0" w:space="0" w:color="auto"/>
                <w:left w:val="none" w:sz="0" w:space="0" w:color="auto"/>
                <w:bottom w:val="none" w:sz="0" w:space="0" w:color="auto"/>
                <w:right w:val="none" w:sz="0" w:space="0" w:color="auto"/>
              </w:divBdr>
              <w:divsChild>
                <w:div w:id="912274798">
                  <w:marLeft w:val="0"/>
                  <w:marRight w:val="0"/>
                  <w:marTop w:val="0"/>
                  <w:marBottom w:val="0"/>
                  <w:divBdr>
                    <w:top w:val="none" w:sz="0" w:space="0" w:color="auto"/>
                    <w:left w:val="none" w:sz="0" w:space="0" w:color="auto"/>
                    <w:bottom w:val="none" w:sz="0" w:space="0" w:color="auto"/>
                    <w:right w:val="none" w:sz="0" w:space="0" w:color="auto"/>
                  </w:divBdr>
                </w:div>
              </w:divsChild>
            </w:div>
            <w:div w:id="226839331">
              <w:marLeft w:val="0"/>
              <w:marRight w:val="0"/>
              <w:marTop w:val="0"/>
              <w:marBottom w:val="0"/>
              <w:divBdr>
                <w:top w:val="none" w:sz="0" w:space="0" w:color="auto"/>
                <w:left w:val="none" w:sz="0" w:space="0" w:color="auto"/>
                <w:bottom w:val="none" w:sz="0" w:space="0" w:color="auto"/>
                <w:right w:val="none" w:sz="0" w:space="0" w:color="auto"/>
              </w:divBdr>
              <w:divsChild>
                <w:div w:id="235938955">
                  <w:marLeft w:val="0"/>
                  <w:marRight w:val="0"/>
                  <w:marTop w:val="0"/>
                  <w:marBottom w:val="0"/>
                  <w:divBdr>
                    <w:top w:val="none" w:sz="0" w:space="0" w:color="auto"/>
                    <w:left w:val="none" w:sz="0" w:space="0" w:color="auto"/>
                    <w:bottom w:val="none" w:sz="0" w:space="0" w:color="auto"/>
                    <w:right w:val="none" w:sz="0" w:space="0" w:color="auto"/>
                  </w:divBdr>
                </w:div>
              </w:divsChild>
            </w:div>
            <w:div w:id="1390760087">
              <w:marLeft w:val="0"/>
              <w:marRight w:val="0"/>
              <w:marTop w:val="0"/>
              <w:marBottom w:val="0"/>
              <w:divBdr>
                <w:top w:val="none" w:sz="0" w:space="0" w:color="auto"/>
                <w:left w:val="none" w:sz="0" w:space="0" w:color="auto"/>
                <w:bottom w:val="none" w:sz="0" w:space="0" w:color="auto"/>
                <w:right w:val="none" w:sz="0" w:space="0" w:color="auto"/>
              </w:divBdr>
              <w:divsChild>
                <w:div w:id="336537281">
                  <w:marLeft w:val="0"/>
                  <w:marRight w:val="0"/>
                  <w:marTop w:val="0"/>
                  <w:marBottom w:val="0"/>
                  <w:divBdr>
                    <w:top w:val="none" w:sz="0" w:space="0" w:color="auto"/>
                    <w:left w:val="none" w:sz="0" w:space="0" w:color="auto"/>
                    <w:bottom w:val="none" w:sz="0" w:space="0" w:color="auto"/>
                    <w:right w:val="none" w:sz="0" w:space="0" w:color="auto"/>
                  </w:divBdr>
                </w:div>
              </w:divsChild>
            </w:div>
            <w:div w:id="2019653156">
              <w:marLeft w:val="0"/>
              <w:marRight w:val="0"/>
              <w:marTop w:val="0"/>
              <w:marBottom w:val="0"/>
              <w:divBdr>
                <w:top w:val="none" w:sz="0" w:space="0" w:color="auto"/>
                <w:left w:val="none" w:sz="0" w:space="0" w:color="auto"/>
                <w:bottom w:val="none" w:sz="0" w:space="0" w:color="auto"/>
                <w:right w:val="none" w:sz="0" w:space="0" w:color="auto"/>
              </w:divBdr>
              <w:divsChild>
                <w:div w:id="1180656443">
                  <w:marLeft w:val="0"/>
                  <w:marRight w:val="0"/>
                  <w:marTop w:val="0"/>
                  <w:marBottom w:val="0"/>
                  <w:divBdr>
                    <w:top w:val="none" w:sz="0" w:space="0" w:color="auto"/>
                    <w:left w:val="none" w:sz="0" w:space="0" w:color="auto"/>
                    <w:bottom w:val="none" w:sz="0" w:space="0" w:color="auto"/>
                    <w:right w:val="none" w:sz="0" w:space="0" w:color="auto"/>
                  </w:divBdr>
                </w:div>
              </w:divsChild>
            </w:div>
            <w:div w:id="77219504">
              <w:marLeft w:val="0"/>
              <w:marRight w:val="0"/>
              <w:marTop w:val="0"/>
              <w:marBottom w:val="0"/>
              <w:divBdr>
                <w:top w:val="none" w:sz="0" w:space="0" w:color="auto"/>
                <w:left w:val="none" w:sz="0" w:space="0" w:color="auto"/>
                <w:bottom w:val="none" w:sz="0" w:space="0" w:color="auto"/>
                <w:right w:val="none" w:sz="0" w:space="0" w:color="auto"/>
              </w:divBdr>
              <w:divsChild>
                <w:div w:id="20516358">
                  <w:marLeft w:val="0"/>
                  <w:marRight w:val="0"/>
                  <w:marTop w:val="0"/>
                  <w:marBottom w:val="0"/>
                  <w:divBdr>
                    <w:top w:val="none" w:sz="0" w:space="0" w:color="auto"/>
                    <w:left w:val="none" w:sz="0" w:space="0" w:color="auto"/>
                    <w:bottom w:val="none" w:sz="0" w:space="0" w:color="auto"/>
                    <w:right w:val="none" w:sz="0" w:space="0" w:color="auto"/>
                  </w:divBdr>
                </w:div>
              </w:divsChild>
            </w:div>
            <w:div w:id="1118601011">
              <w:marLeft w:val="0"/>
              <w:marRight w:val="0"/>
              <w:marTop w:val="0"/>
              <w:marBottom w:val="0"/>
              <w:divBdr>
                <w:top w:val="none" w:sz="0" w:space="0" w:color="auto"/>
                <w:left w:val="none" w:sz="0" w:space="0" w:color="auto"/>
                <w:bottom w:val="none" w:sz="0" w:space="0" w:color="auto"/>
                <w:right w:val="none" w:sz="0" w:space="0" w:color="auto"/>
              </w:divBdr>
              <w:divsChild>
                <w:div w:id="1889219069">
                  <w:marLeft w:val="0"/>
                  <w:marRight w:val="0"/>
                  <w:marTop w:val="0"/>
                  <w:marBottom w:val="0"/>
                  <w:divBdr>
                    <w:top w:val="none" w:sz="0" w:space="0" w:color="auto"/>
                    <w:left w:val="none" w:sz="0" w:space="0" w:color="auto"/>
                    <w:bottom w:val="none" w:sz="0" w:space="0" w:color="auto"/>
                    <w:right w:val="none" w:sz="0" w:space="0" w:color="auto"/>
                  </w:divBdr>
                </w:div>
              </w:divsChild>
            </w:div>
            <w:div w:id="1917519001">
              <w:marLeft w:val="0"/>
              <w:marRight w:val="0"/>
              <w:marTop w:val="0"/>
              <w:marBottom w:val="0"/>
              <w:divBdr>
                <w:top w:val="none" w:sz="0" w:space="0" w:color="auto"/>
                <w:left w:val="none" w:sz="0" w:space="0" w:color="auto"/>
                <w:bottom w:val="none" w:sz="0" w:space="0" w:color="auto"/>
                <w:right w:val="none" w:sz="0" w:space="0" w:color="auto"/>
              </w:divBdr>
              <w:divsChild>
                <w:div w:id="2010323185">
                  <w:marLeft w:val="0"/>
                  <w:marRight w:val="0"/>
                  <w:marTop w:val="0"/>
                  <w:marBottom w:val="0"/>
                  <w:divBdr>
                    <w:top w:val="none" w:sz="0" w:space="0" w:color="auto"/>
                    <w:left w:val="none" w:sz="0" w:space="0" w:color="auto"/>
                    <w:bottom w:val="none" w:sz="0" w:space="0" w:color="auto"/>
                    <w:right w:val="none" w:sz="0" w:space="0" w:color="auto"/>
                  </w:divBdr>
                </w:div>
              </w:divsChild>
            </w:div>
            <w:div w:id="1140030215">
              <w:marLeft w:val="0"/>
              <w:marRight w:val="0"/>
              <w:marTop w:val="0"/>
              <w:marBottom w:val="0"/>
              <w:divBdr>
                <w:top w:val="none" w:sz="0" w:space="0" w:color="auto"/>
                <w:left w:val="none" w:sz="0" w:space="0" w:color="auto"/>
                <w:bottom w:val="none" w:sz="0" w:space="0" w:color="auto"/>
                <w:right w:val="none" w:sz="0" w:space="0" w:color="auto"/>
              </w:divBdr>
              <w:divsChild>
                <w:div w:id="2106342749">
                  <w:marLeft w:val="0"/>
                  <w:marRight w:val="0"/>
                  <w:marTop w:val="0"/>
                  <w:marBottom w:val="0"/>
                  <w:divBdr>
                    <w:top w:val="none" w:sz="0" w:space="0" w:color="auto"/>
                    <w:left w:val="none" w:sz="0" w:space="0" w:color="auto"/>
                    <w:bottom w:val="none" w:sz="0" w:space="0" w:color="auto"/>
                    <w:right w:val="none" w:sz="0" w:space="0" w:color="auto"/>
                  </w:divBdr>
                </w:div>
              </w:divsChild>
            </w:div>
            <w:div w:id="1922255129">
              <w:marLeft w:val="0"/>
              <w:marRight w:val="0"/>
              <w:marTop w:val="0"/>
              <w:marBottom w:val="0"/>
              <w:divBdr>
                <w:top w:val="none" w:sz="0" w:space="0" w:color="auto"/>
                <w:left w:val="none" w:sz="0" w:space="0" w:color="auto"/>
                <w:bottom w:val="none" w:sz="0" w:space="0" w:color="auto"/>
                <w:right w:val="none" w:sz="0" w:space="0" w:color="auto"/>
              </w:divBdr>
              <w:divsChild>
                <w:div w:id="1775133446">
                  <w:marLeft w:val="0"/>
                  <w:marRight w:val="0"/>
                  <w:marTop w:val="0"/>
                  <w:marBottom w:val="0"/>
                  <w:divBdr>
                    <w:top w:val="none" w:sz="0" w:space="0" w:color="auto"/>
                    <w:left w:val="none" w:sz="0" w:space="0" w:color="auto"/>
                    <w:bottom w:val="none" w:sz="0" w:space="0" w:color="auto"/>
                    <w:right w:val="none" w:sz="0" w:space="0" w:color="auto"/>
                  </w:divBdr>
                </w:div>
              </w:divsChild>
            </w:div>
            <w:div w:id="549615517">
              <w:marLeft w:val="0"/>
              <w:marRight w:val="0"/>
              <w:marTop w:val="0"/>
              <w:marBottom w:val="0"/>
              <w:divBdr>
                <w:top w:val="none" w:sz="0" w:space="0" w:color="auto"/>
                <w:left w:val="none" w:sz="0" w:space="0" w:color="auto"/>
                <w:bottom w:val="none" w:sz="0" w:space="0" w:color="auto"/>
                <w:right w:val="none" w:sz="0" w:space="0" w:color="auto"/>
              </w:divBdr>
              <w:divsChild>
                <w:div w:id="1596403993">
                  <w:marLeft w:val="0"/>
                  <w:marRight w:val="0"/>
                  <w:marTop w:val="0"/>
                  <w:marBottom w:val="0"/>
                  <w:divBdr>
                    <w:top w:val="none" w:sz="0" w:space="0" w:color="auto"/>
                    <w:left w:val="none" w:sz="0" w:space="0" w:color="auto"/>
                    <w:bottom w:val="none" w:sz="0" w:space="0" w:color="auto"/>
                    <w:right w:val="none" w:sz="0" w:space="0" w:color="auto"/>
                  </w:divBdr>
                </w:div>
              </w:divsChild>
            </w:div>
            <w:div w:id="786044167">
              <w:marLeft w:val="0"/>
              <w:marRight w:val="0"/>
              <w:marTop w:val="0"/>
              <w:marBottom w:val="0"/>
              <w:divBdr>
                <w:top w:val="none" w:sz="0" w:space="0" w:color="auto"/>
                <w:left w:val="none" w:sz="0" w:space="0" w:color="auto"/>
                <w:bottom w:val="none" w:sz="0" w:space="0" w:color="auto"/>
                <w:right w:val="none" w:sz="0" w:space="0" w:color="auto"/>
              </w:divBdr>
              <w:divsChild>
                <w:div w:id="2072458455">
                  <w:marLeft w:val="0"/>
                  <w:marRight w:val="0"/>
                  <w:marTop w:val="0"/>
                  <w:marBottom w:val="0"/>
                  <w:divBdr>
                    <w:top w:val="none" w:sz="0" w:space="0" w:color="auto"/>
                    <w:left w:val="none" w:sz="0" w:space="0" w:color="auto"/>
                    <w:bottom w:val="none" w:sz="0" w:space="0" w:color="auto"/>
                    <w:right w:val="none" w:sz="0" w:space="0" w:color="auto"/>
                  </w:divBdr>
                </w:div>
              </w:divsChild>
            </w:div>
            <w:div w:id="727412332">
              <w:marLeft w:val="0"/>
              <w:marRight w:val="0"/>
              <w:marTop w:val="0"/>
              <w:marBottom w:val="0"/>
              <w:divBdr>
                <w:top w:val="none" w:sz="0" w:space="0" w:color="auto"/>
                <w:left w:val="none" w:sz="0" w:space="0" w:color="auto"/>
                <w:bottom w:val="none" w:sz="0" w:space="0" w:color="auto"/>
                <w:right w:val="none" w:sz="0" w:space="0" w:color="auto"/>
              </w:divBdr>
              <w:divsChild>
                <w:div w:id="1194726436">
                  <w:marLeft w:val="0"/>
                  <w:marRight w:val="0"/>
                  <w:marTop w:val="0"/>
                  <w:marBottom w:val="0"/>
                  <w:divBdr>
                    <w:top w:val="none" w:sz="0" w:space="0" w:color="auto"/>
                    <w:left w:val="none" w:sz="0" w:space="0" w:color="auto"/>
                    <w:bottom w:val="none" w:sz="0" w:space="0" w:color="auto"/>
                    <w:right w:val="none" w:sz="0" w:space="0" w:color="auto"/>
                  </w:divBdr>
                </w:div>
              </w:divsChild>
            </w:div>
            <w:div w:id="155414536">
              <w:marLeft w:val="0"/>
              <w:marRight w:val="0"/>
              <w:marTop w:val="0"/>
              <w:marBottom w:val="0"/>
              <w:divBdr>
                <w:top w:val="none" w:sz="0" w:space="0" w:color="auto"/>
                <w:left w:val="none" w:sz="0" w:space="0" w:color="auto"/>
                <w:bottom w:val="none" w:sz="0" w:space="0" w:color="auto"/>
                <w:right w:val="none" w:sz="0" w:space="0" w:color="auto"/>
              </w:divBdr>
              <w:divsChild>
                <w:div w:id="1462188116">
                  <w:marLeft w:val="0"/>
                  <w:marRight w:val="0"/>
                  <w:marTop w:val="0"/>
                  <w:marBottom w:val="0"/>
                  <w:divBdr>
                    <w:top w:val="none" w:sz="0" w:space="0" w:color="auto"/>
                    <w:left w:val="none" w:sz="0" w:space="0" w:color="auto"/>
                    <w:bottom w:val="none" w:sz="0" w:space="0" w:color="auto"/>
                    <w:right w:val="none" w:sz="0" w:space="0" w:color="auto"/>
                  </w:divBdr>
                </w:div>
              </w:divsChild>
            </w:div>
            <w:div w:id="877544115">
              <w:marLeft w:val="0"/>
              <w:marRight w:val="0"/>
              <w:marTop w:val="0"/>
              <w:marBottom w:val="0"/>
              <w:divBdr>
                <w:top w:val="none" w:sz="0" w:space="0" w:color="auto"/>
                <w:left w:val="none" w:sz="0" w:space="0" w:color="auto"/>
                <w:bottom w:val="none" w:sz="0" w:space="0" w:color="auto"/>
                <w:right w:val="none" w:sz="0" w:space="0" w:color="auto"/>
              </w:divBdr>
              <w:divsChild>
                <w:div w:id="198511421">
                  <w:marLeft w:val="0"/>
                  <w:marRight w:val="0"/>
                  <w:marTop w:val="0"/>
                  <w:marBottom w:val="0"/>
                  <w:divBdr>
                    <w:top w:val="none" w:sz="0" w:space="0" w:color="auto"/>
                    <w:left w:val="none" w:sz="0" w:space="0" w:color="auto"/>
                    <w:bottom w:val="none" w:sz="0" w:space="0" w:color="auto"/>
                    <w:right w:val="none" w:sz="0" w:space="0" w:color="auto"/>
                  </w:divBdr>
                </w:div>
              </w:divsChild>
            </w:div>
            <w:div w:id="614598687">
              <w:marLeft w:val="0"/>
              <w:marRight w:val="0"/>
              <w:marTop w:val="0"/>
              <w:marBottom w:val="0"/>
              <w:divBdr>
                <w:top w:val="none" w:sz="0" w:space="0" w:color="auto"/>
                <w:left w:val="none" w:sz="0" w:space="0" w:color="auto"/>
                <w:bottom w:val="none" w:sz="0" w:space="0" w:color="auto"/>
                <w:right w:val="none" w:sz="0" w:space="0" w:color="auto"/>
              </w:divBdr>
              <w:divsChild>
                <w:div w:id="2063402152">
                  <w:marLeft w:val="0"/>
                  <w:marRight w:val="0"/>
                  <w:marTop w:val="0"/>
                  <w:marBottom w:val="0"/>
                  <w:divBdr>
                    <w:top w:val="none" w:sz="0" w:space="0" w:color="auto"/>
                    <w:left w:val="none" w:sz="0" w:space="0" w:color="auto"/>
                    <w:bottom w:val="none" w:sz="0" w:space="0" w:color="auto"/>
                    <w:right w:val="none" w:sz="0" w:space="0" w:color="auto"/>
                  </w:divBdr>
                </w:div>
              </w:divsChild>
            </w:div>
            <w:div w:id="1081558661">
              <w:marLeft w:val="0"/>
              <w:marRight w:val="0"/>
              <w:marTop w:val="0"/>
              <w:marBottom w:val="0"/>
              <w:divBdr>
                <w:top w:val="none" w:sz="0" w:space="0" w:color="auto"/>
                <w:left w:val="none" w:sz="0" w:space="0" w:color="auto"/>
                <w:bottom w:val="none" w:sz="0" w:space="0" w:color="auto"/>
                <w:right w:val="none" w:sz="0" w:space="0" w:color="auto"/>
              </w:divBdr>
              <w:divsChild>
                <w:div w:id="639657552">
                  <w:marLeft w:val="0"/>
                  <w:marRight w:val="0"/>
                  <w:marTop w:val="0"/>
                  <w:marBottom w:val="0"/>
                  <w:divBdr>
                    <w:top w:val="none" w:sz="0" w:space="0" w:color="auto"/>
                    <w:left w:val="none" w:sz="0" w:space="0" w:color="auto"/>
                    <w:bottom w:val="none" w:sz="0" w:space="0" w:color="auto"/>
                    <w:right w:val="none" w:sz="0" w:space="0" w:color="auto"/>
                  </w:divBdr>
                </w:div>
              </w:divsChild>
            </w:div>
            <w:div w:id="80680828">
              <w:marLeft w:val="0"/>
              <w:marRight w:val="0"/>
              <w:marTop w:val="0"/>
              <w:marBottom w:val="0"/>
              <w:divBdr>
                <w:top w:val="none" w:sz="0" w:space="0" w:color="auto"/>
                <w:left w:val="none" w:sz="0" w:space="0" w:color="auto"/>
                <w:bottom w:val="none" w:sz="0" w:space="0" w:color="auto"/>
                <w:right w:val="none" w:sz="0" w:space="0" w:color="auto"/>
              </w:divBdr>
              <w:divsChild>
                <w:div w:id="207765899">
                  <w:marLeft w:val="0"/>
                  <w:marRight w:val="0"/>
                  <w:marTop w:val="0"/>
                  <w:marBottom w:val="0"/>
                  <w:divBdr>
                    <w:top w:val="none" w:sz="0" w:space="0" w:color="auto"/>
                    <w:left w:val="none" w:sz="0" w:space="0" w:color="auto"/>
                    <w:bottom w:val="none" w:sz="0" w:space="0" w:color="auto"/>
                    <w:right w:val="none" w:sz="0" w:space="0" w:color="auto"/>
                  </w:divBdr>
                </w:div>
              </w:divsChild>
            </w:div>
            <w:div w:id="1639609327">
              <w:marLeft w:val="0"/>
              <w:marRight w:val="0"/>
              <w:marTop w:val="0"/>
              <w:marBottom w:val="0"/>
              <w:divBdr>
                <w:top w:val="none" w:sz="0" w:space="0" w:color="auto"/>
                <w:left w:val="none" w:sz="0" w:space="0" w:color="auto"/>
                <w:bottom w:val="none" w:sz="0" w:space="0" w:color="auto"/>
                <w:right w:val="none" w:sz="0" w:space="0" w:color="auto"/>
              </w:divBdr>
              <w:divsChild>
                <w:div w:id="2117407558">
                  <w:marLeft w:val="0"/>
                  <w:marRight w:val="0"/>
                  <w:marTop w:val="0"/>
                  <w:marBottom w:val="0"/>
                  <w:divBdr>
                    <w:top w:val="none" w:sz="0" w:space="0" w:color="auto"/>
                    <w:left w:val="none" w:sz="0" w:space="0" w:color="auto"/>
                    <w:bottom w:val="none" w:sz="0" w:space="0" w:color="auto"/>
                    <w:right w:val="none" w:sz="0" w:space="0" w:color="auto"/>
                  </w:divBdr>
                </w:div>
              </w:divsChild>
            </w:div>
            <w:div w:id="583608609">
              <w:marLeft w:val="0"/>
              <w:marRight w:val="0"/>
              <w:marTop w:val="0"/>
              <w:marBottom w:val="0"/>
              <w:divBdr>
                <w:top w:val="none" w:sz="0" w:space="0" w:color="auto"/>
                <w:left w:val="none" w:sz="0" w:space="0" w:color="auto"/>
                <w:bottom w:val="none" w:sz="0" w:space="0" w:color="auto"/>
                <w:right w:val="none" w:sz="0" w:space="0" w:color="auto"/>
              </w:divBdr>
              <w:divsChild>
                <w:div w:id="1050226422">
                  <w:marLeft w:val="0"/>
                  <w:marRight w:val="0"/>
                  <w:marTop w:val="0"/>
                  <w:marBottom w:val="0"/>
                  <w:divBdr>
                    <w:top w:val="none" w:sz="0" w:space="0" w:color="auto"/>
                    <w:left w:val="none" w:sz="0" w:space="0" w:color="auto"/>
                    <w:bottom w:val="none" w:sz="0" w:space="0" w:color="auto"/>
                    <w:right w:val="none" w:sz="0" w:space="0" w:color="auto"/>
                  </w:divBdr>
                </w:div>
              </w:divsChild>
            </w:div>
            <w:div w:id="32652845">
              <w:marLeft w:val="0"/>
              <w:marRight w:val="0"/>
              <w:marTop w:val="0"/>
              <w:marBottom w:val="0"/>
              <w:divBdr>
                <w:top w:val="none" w:sz="0" w:space="0" w:color="auto"/>
                <w:left w:val="none" w:sz="0" w:space="0" w:color="auto"/>
                <w:bottom w:val="none" w:sz="0" w:space="0" w:color="auto"/>
                <w:right w:val="none" w:sz="0" w:space="0" w:color="auto"/>
              </w:divBdr>
              <w:divsChild>
                <w:div w:id="1948268511">
                  <w:marLeft w:val="0"/>
                  <w:marRight w:val="0"/>
                  <w:marTop w:val="0"/>
                  <w:marBottom w:val="0"/>
                  <w:divBdr>
                    <w:top w:val="none" w:sz="0" w:space="0" w:color="auto"/>
                    <w:left w:val="none" w:sz="0" w:space="0" w:color="auto"/>
                    <w:bottom w:val="none" w:sz="0" w:space="0" w:color="auto"/>
                    <w:right w:val="none" w:sz="0" w:space="0" w:color="auto"/>
                  </w:divBdr>
                </w:div>
              </w:divsChild>
            </w:div>
            <w:div w:id="1422796599">
              <w:marLeft w:val="0"/>
              <w:marRight w:val="0"/>
              <w:marTop w:val="0"/>
              <w:marBottom w:val="0"/>
              <w:divBdr>
                <w:top w:val="none" w:sz="0" w:space="0" w:color="auto"/>
                <w:left w:val="none" w:sz="0" w:space="0" w:color="auto"/>
                <w:bottom w:val="none" w:sz="0" w:space="0" w:color="auto"/>
                <w:right w:val="none" w:sz="0" w:space="0" w:color="auto"/>
              </w:divBdr>
              <w:divsChild>
                <w:div w:id="1721712620">
                  <w:marLeft w:val="0"/>
                  <w:marRight w:val="0"/>
                  <w:marTop w:val="0"/>
                  <w:marBottom w:val="0"/>
                  <w:divBdr>
                    <w:top w:val="none" w:sz="0" w:space="0" w:color="auto"/>
                    <w:left w:val="none" w:sz="0" w:space="0" w:color="auto"/>
                    <w:bottom w:val="none" w:sz="0" w:space="0" w:color="auto"/>
                    <w:right w:val="none" w:sz="0" w:space="0" w:color="auto"/>
                  </w:divBdr>
                </w:div>
              </w:divsChild>
            </w:div>
            <w:div w:id="134418383">
              <w:marLeft w:val="0"/>
              <w:marRight w:val="0"/>
              <w:marTop w:val="0"/>
              <w:marBottom w:val="0"/>
              <w:divBdr>
                <w:top w:val="none" w:sz="0" w:space="0" w:color="auto"/>
                <w:left w:val="none" w:sz="0" w:space="0" w:color="auto"/>
                <w:bottom w:val="none" w:sz="0" w:space="0" w:color="auto"/>
                <w:right w:val="none" w:sz="0" w:space="0" w:color="auto"/>
              </w:divBdr>
              <w:divsChild>
                <w:div w:id="1881816001">
                  <w:marLeft w:val="0"/>
                  <w:marRight w:val="0"/>
                  <w:marTop w:val="0"/>
                  <w:marBottom w:val="0"/>
                  <w:divBdr>
                    <w:top w:val="none" w:sz="0" w:space="0" w:color="auto"/>
                    <w:left w:val="none" w:sz="0" w:space="0" w:color="auto"/>
                    <w:bottom w:val="none" w:sz="0" w:space="0" w:color="auto"/>
                    <w:right w:val="none" w:sz="0" w:space="0" w:color="auto"/>
                  </w:divBdr>
                </w:div>
              </w:divsChild>
            </w:div>
            <w:div w:id="1259871765">
              <w:marLeft w:val="0"/>
              <w:marRight w:val="0"/>
              <w:marTop w:val="0"/>
              <w:marBottom w:val="0"/>
              <w:divBdr>
                <w:top w:val="none" w:sz="0" w:space="0" w:color="auto"/>
                <w:left w:val="none" w:sz="0" w:space="0" w:color="auto"/>
                <w:bottom w:val="none" w:sz="0" w:space="0" w:color="auto"/>
                <w:right w:val="none" w:sz="0" w:space="0" w:color="auto"/>
              </w:divBdr>
              <w:divsChild>
                <w:div w:id="1914074636">
                  <w:marLeft w:val="0"/>
                  <w:marRight w:val="0"/>
                  <w:marTop w:val="0"/>
                  <w:marBottom w:val="0"/>
                  <w:divBdr>
                    <w:top w:val="none" w:sz="0" w:space="0" w:color="auto"/>
                    <w:left w:val="none" w:sz="0" w:space="0" w:color="auto"/>
                    <w:bottom w:val="none" w:sz="0" w:space="0" w:color="auto"/>
                    <w:right w:val="none" w:sz="0" w:space="0" w:color="auto"/>
                  </w:divBdr>
                </w:div>
              </w:divsChild>
            </w:div>
            <w:div w:id="791021179">
              <w:marLeft w:val="0"/>
              <w:marRight w:val="0"/>
              <w:marTop w:val="0"/>
              <w:marBottom w:val="0"/>
              <w:divBdr>
                <w:top w:val="none" w:sz="0" w:space="0" w:color="auto"/>
                <w:left w:val="none" w:sz="0" w:space="0" w:color="auto"/>
                <w:bottom w:val="none" w:sz="0" w:space="0" w:color="auto"/>
                <w:right w:val="none" w:sz="0" w:space="0" w:color="auto"/>
              </w:divBdr>
              <w:divsChild>
                <w:div w:id="225068652">
                  <w:marLeft w:val="0"/>
                  <w:marRight w:val="0"/>
                  <w:marTop w:val="0"/>
                  <w:marBottom w:val="0"/>
                  <w:divBdr>
                    <w:top w:val="none" w:sz="0" w:space="0" w:color="auto"/>
                    <w:left w:val="none" w:sz="0" w:space="0" w:color="auto"/>
                    <w:bottom w:val="none" w:sz="0" w:space="0" w:color="auto"/>
                    <w:right w:val="none" w:sz="0" w:space="0" w:color="auto"/>
                  </w:divBdr>
                </w:div>
              </w:divsChild>
            </w:div>
            <w:div w:id="1886330430">
              <w:marLeft w:val="0"/>
              <w:marRight w:val="0"/>
              <w:marTop w:val="0"/>
              <w:marBottom w:val="0"/>
              <w:divBdr>
                <w:top w:val="none" w:sz="0" w:space="0" w:color="auto"/>
                <w:left w:val="none" w:sz="0" w:space="0" w:color="auto"/>
                <w:bottom w:val="none" w:sz="0" w:space="0" w:color="auto"/>
                <w:right w:val="none" w:sz="0" w:space="0" w:color="auto"/>
              </w:divBdr>
              <w:divsChild>
                <w:div w:id="840512285">
                  <w:marLeft w:val="0"/>
                  <w:marRight w:val="0"/>
                  <w:marTop w:val="0"/>
                  <w:marBottom w:val="0"/>
                  <w:divBdr>
                    <w:top w:val="none" w:sz="0" w:space="0" w:color="auto"/>
                    <w:left w:val="none" w:sz="0" w:space="0" w:color="auto"/>
                    <w:bottom w:val="none" w:sz="0" w:space="0" w:color="auto"/>
                    <w:right w:val="none" w:sz="0" w:space="0" w:color="auto"/>
                  </w:divBdr>
                </w:div>
              </w:divsChild>
            </w:div>
            <w:div w:id="181632469">
              <w:marLeft w:val="0"/>
              <w:marRight w:val="0"/>
              <w:marTop w:val="0"/>
              <w:marBottom w:val="0"/>
              <w:divBdr>
                <w:top w:val="none" w:sz="0" w:space="0" w:color="auto"/>
                <w:left w:val="none" w:sz="0" w:space="0" w:color="auto"/>
                <w:bottom w:val="none" w:sz="0" w:space="0" w:color="auto"/>
                <w:right w:val="none" w:sz="0" w:space="0" w:color="auto"/>
              </w:divBdr>
              <w:divsChild>
                <w:div w:id="1043401872">
                  <w:marLeft w:val="0"/>
                  <w:marRight w:val="0"/>
                  <w:marTop w:val="0"/>
                  <w:marBottom w:val="0"/>
                  <w:divBdr>
                    <w:top w:val="none" w:sz="0" w:space="0" w:color="auto"/>
                    <w:left w:val="none" w:sz="0" w:space="0" w:color="auto"/>
                    <w:bottom w:val="none" w:sz="0" w:space="0" w:color="auto"/>
                    <w:right w:val="none" w:sz="0" w:space="0" w:color="auto"/>
                  </w:divBdr>
                </w:div>
              </w:divsChild>
            </w:div>
            <w:div w:id="1000426585">
              <w:marLeft w:val="0"/>
              <w:marRight w:val="0"/>
              <w:marTop w:val="0"/>
              <w:marBottom w:val="0"/>
              <w:divBdr>
                <w:top w:val="none" w:sz="0" w:space="0" w:color="auto"/>
                <w:left w:val="none" w:sz="0" w:space="0" w:color="auto"/>
                <w:bottom w:val="none" w:sz="0" w:space="0" w:color="auto"/>
                <w:right w:val="none" w:sz="0" w:space="0" w:color="auto"/>
              </w:divBdr>
              <w:divsChild>
                <w:div w:id="1878925936">
                  <w:marLeft w:val="0"/>
                  <w:marRight w:val="0"/>
                  <w:marTop w:val="0"/>
                  <w:marBottom w:val="0"/>
                  <w:divBdr>
                    <w:top w:val="none" w:sz="0" w:space="0" w:color="auto"/>
                    <w:left w:val="none" w:sz="0" w:space="0" w:color="auto"/>
                    <w:bottom w:val="none" w:sz="0" w:space="0" w:color="auto"/>
                    <w:right w:val="none" w:sz="0" w:space="0" w:color="auto"/>
                  </w:divBdr>
                </w:div>
              </w:divsChild>
            </w:div>
            <w:div w:id="529227778">
              <w:marLeft w:val="0"/>
              <w:marRight w:val="0"/>
              <w:marTop w:val="0"/>
              <w:marBottom w:val="0"/>
              <w:divBdr>
                <w:top w:val="none" w:sz="0" w:space="0" w:color="auto"/>
                <w:left w:val="none" w:sz="0" w:space="0" w:color="auto"/>
                <w:bottom w:val="none" w:sz="0" w:space="0" w:color="auto"/>
                <w:right w:val="none" w:sz="0" w:space="0" w:color="auto"/>
              </w:divBdr>
              <w:divsChild>
                <w:div w:id="2133329157">
                  <w:marLeft w:val="0"/>
                  <w:marRight w:val="0"/>
                  <w:marTop w:val="0"/>
                  <w:marBottom w:val="0"/>
                  <w:divBdr>
                    <w:top w:val="none" w:sz="0" w:space="0" w:color="auto"/>
                    <w:left w:val="none" w:sz="0" w:space="0" w:color="auto"/>
                    <w:bottom w:val="none" w:sz="0" w:space="0" w:color="auto"/>
                    <w:right w:val="none" w:sz="0" w:space="0" w:color="auto"/>
                  </w:divBdr>
                </w:div>
              </w:divsChild>
            </w:div>
            <w:div w:id="1015230969">
              <w:marLeft w:val="0"/>
              <w:marRight w:val="0"/>
              <w:marTop w:val="0"/>
              <w:marBottom w:val="0"/>
              <w:divBdr>
                <w:top w:val="none" w:sz="0" w:space="0" w:color="auto"/>
                <w:left w:val="none" w:sz="0" w:space="0" w:color="auto"/>
                <w:bottom w:val="none" w:sz="0" w:space="0" w:color="auto"/>
                <w:right w:val="none" w:sz="0" w:space="0" w:color="auto"/>
              </w:divBdr>
              <w:divsChild>
                <w:div w:id="1257442360">
                  <w:marLeft w:val="0"/>
                  <w:marRight w:val="0"/>
                  <w:marTop w:val="0"/>
                  <w:marBottom w:val="0"/>
                  <w:divBdr>
                    <w:top w:val="none" w:sz="0" w:space="0" w:color="auto"/>
                    <w:left w:val="none" w:sz="0" w:space="0" w:color="auto"/>
                    <w:bottom w:val="none" w:sz="0" w:space="0" w:color="auto"/>
                    <w:right w:val="none" w:sz="0" w:space="0" w:color="auto"/>
                  </w:divBdr>
                </w:div>
              </w:divsChild>
            </w:div>
            <w:div w:id="476532471">
              <w:marLeft w:val="0"/>
              <w:marRight w:val="0"/>
              <w:marTop w:val="0"/>
              <w:marBottom w:val="0"/>
              <w:divBdr>
                <w:top w:val="none" w:sz="0" w:space="0" w:color="auto"/>
                <w:left w:val="none" w:sz="0" w:space="0" w:color="auto"/>
                <w:bottom w:val="none" w:sz="0" w:space="0" w:color="auto"/>
                <w:right w:val="none" w:sz="0" w:space="0" w:color="auto"/>
              </w:divBdr>
              <w:divsChild>
                <w:div w:id="930163862">
                  <w:marLeft w:val="0"/>
                  <w:marRight w:val="0"/>
                  <w:marTop w:val="0"/>
                  <w:marBottom w:val="0"/>
                  <w:divBdr>
                    <w:top w:val="none" w:sz="0" w:space="0" w:color="auto"/>
                    <w:left w:val="none" w:sz="0" w:space="0" w:color="auto"/>
                    <w:bottom w:val="none" w:sz="0" w:space="0" w:color="auto"/>
                    <w:right w:val="none" w:sz="0" w:space="0" w:color="auto"/>
                  </w:divBdr>
                </w:div>
              </w:divsChild>
            </w:div>
            <w:div w:id="1846046839">
              <w:marLeft w:val="0"/>
              <w:marRight w:val="0"/>
              <w:marTop w:val="0"/>
              <w:marBottom w:val="0"/>
              <w:divBdr>
                <w:top w:val="none" w:sz="0" w:space="0" w:color="auto"/>
                <w:left w:val="none" w:sz="0" w:space="0" w:color="auto"/>
                <w:bottom w:val="none" w:sz="0" w:space="0" w:color="auto"/>
                <w:right w:val="none" w:sz="0" w:space="0" w:color="auto"/>
              </w:divBdr>
              <w:divsChild>
                <w:div w:id="2116123970">
                  <w:marLeft w:val="0"/>
                  <w:marRight w:val="0"/>
                  <w:marTop w:val="0"/>
                  <w:marBottom w:val="0"/>
                  <w:divBdr>
                    <w:top w:val="none" w:sz="0" w:space="0" w:color="auto"/>
                    <w:left w:val="none" w:sz="0" w:space="0" w:color="auto"/>
                    <w:bottom w:val="none" w:sz="0" w:space="0" w:color="auto"/>
                    <w:right w:val="none" w:sz="0" w:space="0" w:color="auto"/>
                  </w:divBdr>
                </w:div>
              </w:divsChild>
            </w:div>
            <w:div w:id="318193597">
              <w:marLeft w:val="0"/>
              <w:marRight w:val="0"/>
              <w:marTop w:val="0"/>
              <w:marBottom w:val="0"/>
              <w:divBdr>
                <w:top w:val="none" w:sz="0" w:space="0" w:color="auto"/>
                <w:left w:val="none" w:sz="0" w:space="0" w:color="auto"/>
                <w:bottom w:val="none" w:sz="0" w:space="0" w:color="auto"/>
                <w:right w:val="none" w:sz="0" w:space="0" w:color="auto"/>
              </w:divBdr>
              <w:divsChild>
                <w:div w:id="706224915">
                  <w:marLeft w:val="0"/>
                  <w:marRight w:val="0"/>
                  <w:marTop w:val="0"/>
                  <w:marBottom w:val="0"/>
                  <w:divBdr>
                    <w:top w:val="none" w:sz="0" w:space="0" w:color="auto"/>
                    <w:left w:val="none" w:sz="0" w:space="0" w:color="auto"/>
                    <w:bottom w:val="none" w:sz="0" w:space="0" w:color="auto"/>
                    <w:right w:val="none" w:sz="0" w:space="0" w:color="auto"/>
                  </w:divBdr>
                </w:div>
              </w:divsChild>
            </w:div>
            <w:div w:id="827751039">
              <w:marLeft w:val="0"/>
              <w:marRight w:val="0"/>
              <w:marTop w:val="0"/>
              <w:marBottom w:val="0"/>
              <w:divBdr>
                <w:top w:val="none" w:sz="0" w:space="0" w:color="auto"/>
                <w:left w:val="none" w:sz="0" w:space="0" w:color="auto"/>
                <w:bottom w:val="none" w:sz="0" w:space="0" w:color="auto"/>
                <w:right w:val="none" w:sz="0" w:space="0" w:color="auto"/>
              </w:divBdr>
              <w:divsChild>
                <w:div w:id="1059481745">
                  <w:marLeft w:val="0"/>
                  <w:marRight w:val="0"/>
                  <w:marTop w:val="0"/>
                  <w:marBottom w:val="0"/>
                  <w:divBdr>
                    <w:top w:val="none" w:sz="0" w:space="0" w:color="auto"/>
                    <w:left w:val="none" w:sz="0" w:space="0" w:color="auto"/>
                    <w:bottom w:val="none" w:sz="0" w:space="0" w:color="auto"/>
                    <w:right w:val="none" w:sz="0" w:space="0" w:color="auto"/>
                  </w:divBdr>
                </w:div>
              </w:divsChild>
            </w:div>
            <w:div w:id="1893418193">
              <w:marLeft w:val="0"/>
              <w:marRight w:val="0"/>
              <w:marTop w:val="0"/>
              <w:marBottom w:val="0"/>
              <w:divBdr>
                <w:top w:val="none" w:sz="0" w:space="0" w:color="auto"/>
                <w:left w:val="none" w:sz="0" w:space="0" w:color="auto"/>
                <w:bottom w:val="none" w:sz="0" w:space="0" w:color="auto"/>
                <w:right w:val="none" w:sz="0" w:space="0" w:color="auto"/>
              </w:divBdr>
              <w:divsChild>
                <w:div w:id="2041741100">
                  <w:marLeft w:val="0"/>
                  <w:marRight w:val="0"/>
                  <w:marTop w:val="0"/>
                  <w:marBottom w:val="0"/>
                  <w:divBdr>
                    <w:top w:val="none" w:sz="0" w:space="0" w:color="auto"/>
                    <w:left w:val="none" w:sz="0" w:space="0" w:color="auto"/>
                    <w:bottom w:val="none" w:sz="0" w:space="0" w:color="auto"/>
                    <w:right w:val="none" w:sz="0" w:space="0" w:color="auto"/>
                  </w:divBdr>
                </w:div>
              </w:divsChild>
            </w:div>
            <w:div w:id="1604799688">
              <w:marLeft w:val="0"/>
              <w:marRight w:val="0"/>
              <w:marTop w:val="0"/>
              <w:marBottom w:val="0"/>
              <w:divBdr>
                <w:top w:val="none" w:sz="0" w:space="0" w:color="auto"/>
                <w:left w:val="none" w:sz="0" w:space="0" w:color="auto"/>
                <w:bottom w:val="none" w:sz="0" w:space="0" w:color="auto"/>
                <w:right w:val="none" w:sz="0" w:space="0" w:color="auto"/>
              </w:divBdr>
              <w:divsChild>
                <w:div w:id="308944517">
                  <w:marLeft w:val="0"/>
                  <w:marRight w:val="0"/>
                  <w:marTop w:val="0"/>
                  <w:marBottom w:val="0"/>
                  <w:divBdr>
                    <w:top w:val="none" w:sz="0" w:space="0" w:color="auto"/>
                    <w:left w:val="none" w:sz="0" w:space="0" w:color="auto"/>
                    <w:bottom w:val="none" w:sz="0" w:space="0" w:color="auto"/>
                    <w:right w:val="none" w:sz="0" w:space="0" w:color="auto"/>
                  </w:divBdr>
                </w:div>
              </w:divsChild>
            </w:div>
            <w:div w:id="442769888">
              <w:marLeft w:val="0"/>
              <w:marRight w:val="0"/>
              <w:marTop w:val="0"/>
              <w:marBottom w:val="0"/>
              <w:divBdr>
                <w:top w:val="none" w:sz="0" w:space="0" w:color="auto"/>
                <w:left w:val="none" w:sz="0" w:space="0" w:color="auto"/>
                <w:bottom w:val="none" w:sz="0" w:space="0" w:color="auto"/>
                <w:right w:val="none" w:sz="0" w:space="0" w:color="auto"/>
              </w:divBdr>
              <w:divsChild>
                <w:div w:id="632759259">
                  <w:marLeft w:val="0"/>
                  <w:marRight w:val="0"/>
                  <w:marTop w:val="0"/>
                  <w:marBottom w:val="0"/>
                  <w:divBdr>
                    <w:top w:val="none" w:sz="0" w:space="0" w:color="auto"/>
                    <w:left w:val="none" w:sz="0" w:space="0" w:color="auto"/>
                    <w:bottom w:val="none" w:sz="0" w:space="0" w:color="auto"/>
                    <w:right w:val="none" w:sz="0" w:space="0" w:color="auto"/>
                  </w:divBdr>
                </w:div>
              </w:divsChild>
            </w:div>
            <w:div w:id="753355474">
              <w:marLeft w:val="0"/>
              <w:marRight w:val="0"/>
              <w:marTop w:val="0"/>
              <w:marBottom w:val="0"/>
              <w:divBdr>
                <w:top w:val="none" w:sz="0" w:space="0" w:color="auto"/>
                <w:left w:val="none" w:sz="0" w:space="0" w:color="auto"/>
                <w:bottom w:val="none" w:sz="0" w:space="0" w:color="auto"/>
                <w:right w:val="none" w:sz="0" w:space="0" w:color="auto"/>
              </w:divBdr>
              <w:divsChild>
                <w:div w:id="443814768">
                  <w:marLeft w:val="0"/>
                  <w:marRight w:val="0"/>
                  <w:marTop w:val="0"/>
                  <w:marBottom w:val="0"/>
                  <w:divBdr>
                    <w:top w:val="none" w:sz="0" w:space="0" w:color="auto"/>
                    <w:left w:val="none" w:sz="0" w:space="0" w:color="auto"/>
                    <w:bottom w:val="none" w:sz="0" w:space="0" w:color="auto"/>
                    <w:right w:val="none" w:sz="0" w:space="0" w:color="auto"/>
                  </w:divBdr>
                </w:div>
              </w:divsChild>
            </w:div>
            <w:div w:id="1054695959">
              <w:marLeft w:val="0"/>
              <w:marRight w:val="0"/>
              <w:marTop w:val="0"/>
              <w:marBottom w:val="0"/>
              <w:divBdr>
                <w:top w:val="none" w:sz="0" w:space="0" w:color="auto"/>
                <w:left w:val="none" w:sz="0" w:space="0" w:color="auto"/>
                <w:bottom w:val="none" w:sz="0" w:space="0" w:color="auto"/>
                <w:right w:val="none" w:sz="0" w:space="0" w:color="auto"/>
              </w:divBdr>
              <w:divsChild>
                <w:div w:id="1989164024">
                  <w:marLeft w:val="0"/>
                  <w:marRight w:val="0"/>
                  <w:marTop w:val="0"/>
                  <w:marBottom w:val="0"/>
                  <w:divBdr>
                    <w:top w:val="none" w:sz="0" w:space="0" w:color="auto"/>
                    <w:left w:val="none" w:sz="0" w:space="0" w:color="auto"/>
                    <w:bottom w:val="none" w:sz="0" w:space="0" w:color="auto"/>
                    <w:right w:val="none" w:sz="0" w:space="0" w:color="auto"/>
                  </w:divBdr>
                </w:div>
              </w:divsChild>
            </w:div>
            <w:div w:id="739209614">
              <w:marLeft w:val="0"/>
              <w:marRight w:val="0"/>
              <w:marTop w:val="0"/>
              <w:marBottom w:val="0"/>
              <w:divBdr>
                <w:top w:val="none" w:sz="0" w:space="0" w:color="auto"/>
                <w:left w:val="none" w:sz="0" w:space="0" w:color="auto"/>
                <w:bottom w:val="none" w:sz="0" w:space="0" w:color="auto"/>
                <w:right w:val="none" w:sz="0" w:space="0" w:color="auto"/>
              </w:divBdr>
              <w:divsChild>
                <w:div w:id="930161964">
                  <w:marLeft w:val="0"/>
                  <w:marRight w:val="0"/>
                  <w:marTop w:val="0"/>
                  <w:marBottom w:val="0"/>
                  <w:divBdr>
                    <w:top w:val="none" w:sz="0" w:space="0" w:color="auto"/>
                    <w:left w:val="none" w:sz="0" w:space="0" w:color="auto"/>
                    <w:bottom w:val="none" w:sz="0" w:space="0" w:color="auto"/>
                    <w:right w:val="none" w:sz="0" w:space="0" w:color="auto"/>
                  </w:divBdr>
                </w:div>
              </w:divsChild>
            </w:div>
            <w:div w:id="1715038992">
              <w:marLeft w:val="0"/>
              <w:marRight w:val="0"/>
              <w:marTop w:val="0"/>
              <w:marBottom w:val="0"/>
              <w:divBdr>
                <w:top w:val="none" w:sz="0" w:space="0" w:color="auto"/>
                <w:left w:val="none" w:sz="0" w:space="0" w:color="auto"/>
                <w:bottom w:val="none" w:sz="0" w:space="0" w:color="auto"/>
                <w:right w:val="none" w:sz="0" w:space="0" w:color="auto"/>
              </w:divBdr>
              <w:divsChild>
                <w:div w:id="2002391534">
                  <w:marLeft w:val="0"/>
                  <w:marRight w:val="0"/>
                  <w:marTop w:val="0"/>
                  <w:marBottom w:val="0"/>
                  <w:divBdr>
                    <w:top w:val="none" w:sz="0" w:space="0" w:color="auto"/>
                    <w:left w:val="none" w:sz="0" w:space="0" w:color="auto"/>
                    <w:bottom w:val="none" w:sz="0" w:space="0" w:color="auto"/>
                    <w:right w:val="none" w:sz="0" w:space="0" w:color="auto"/>
                  </w:divBdr>
                </w:div>
              </w:divsChild>
            </w:div>
            <w:div w:id="644504646">
              <w:marLeft w:val="0"/>
              <w:marRight w:val="0"/>
              <w:marTop w:val="0"/>
              <w:marBottom w:val="0"/>
              <w:divBdr>
                <w:top w:val="none" w:sz="0" w:space="0" w:color="auto"/>
                <w:left w:val="none" w:sz="0" w:space="0" w:color="auto"/>
                <w:bottom w:val="none" w:sz="0" w:space="0" w:color="auto"/>
                <w:right w:val="none" w:sz="0" w:space="0" w:color="auto"/>
              </w:divBdr>
              <w:divsChild>
                <w:div w:id="1515538204">
                  <w:marLeft w:val="0"/>
                  <w:marRight w:val="0"/>
                  <w:marTop w:val="0"/>
                  <w:marBottom w:val="0"/>
                  <w:divBdr>
                    <w:top w:val="none" w:sz="0" w:space="0" w:color="auto"/>
                    <w:left w:val="none" w:sz="0" w:space="0" w:color="auto"/>
                    <w:bottom w:val="none" w:sz="0" w:space="0" w:color="auto"/>
                    <w:right w:val="none" w:sz="0" w:space="0" w:color="auto"/>
                  </w:divBdr>
                </w:div>
              </w:divsChild>
            </w:div>
            <w:div w:id="1326395480">
              <w:marLeft w:val="0"/>
              <w:marRight w:val="0"/>
              <w:marTop w:val="0"/>
              <w:marBottom w:val="0"/>
              <w:divBdr>
                <w:top w:val="none" w:sz="0" w:space="0" w:color="auto"/>
                <w:left w:val="none" w:sz="0" w:space="0" w:color="auto"/>
                <w:bottom w:val="none" w:sz="0" w:space="0" w:color="auto"/>
                <w:right w:val="none" w:sz="0" w:space="0" w:color="auto"/>
              </w:divBdr>
              <w:divsChild>
                <w:div w:id="39675977">
                  <w:marLeft w:val="0"/>
                  <w:marRight w:val="0"/>
                  <w:marTop w:val="0"/>
                  <w:marBottom w:val="0"/>
                  <w:divBdr>
                    <w:top w:val="none" w:sz="0" w:space="0" w:color="auto"/>
                    <w:left w:val="none" w:sz="0" w:space="0" w:color="auto"/>
                    <w:bottom w:val="none" w:sz="0" w:space="0" w:color="auto"/>
                    <w:right w:val="none" w:sz="0" w:space="0" w:color="auto"/>
                  </w:divBdr>
                </w:div>
              </w:divsChild>
            </w:div>
            <w:div w:id="83771450">
              <w:marLeft w:val="0"/>
              <w:marRight w:val="0"/>
              <w:marTop w:val="0"/>
              <w:marBottom w:val="0"/>
              <w:divBdr>
                <w:top w:val="none" w:sz="0" w:space="0" w:color="auto"/>
                <w:left w:val="none" w:sz="0" w:space="0" w:color="auto"/>
                <w:bottom w:val="none" w:sz="0" w:space="0" w:color="auto"/>
                <w:right w:val="none" w:sz="0" w:space="0" w:color="auto"/>
              </w:divBdr>
              <w:divsChild>
                <w:div w:id="851606827">
                  <w:marLeft w:val="0"/>
                  <w:marRight w:val="0"/>
                  <w:marTop w:val="0"/>
                  <w:marBottom w:val="0"/>
                  <w:divBdr>
                    <w:top w:val="none" w:sz="0" w:space="0" w:color="auto"/>
                    <w:left w:val="none" w:sz="0" w:space="0" w:color="auto"/>
                    <w:bottom w:val="none" w:sz="0" w:space="0" w:color="auto"/>
                    <w:right w:val="none" w:sz="0" w:space="0" w:color="auto"/>
                  </w:divBdr>
                </w:div>
              </w:divsChild>
            </w:div>
            <w:div w:id="641080961">
              <w:marLeft w:val="0"/>
              <w:marRight w:val="0"/>
              <w:marTop w:val="0"/>
              <w:marBottom w:val="0"/>
              <w:divBdr>
                <w:top w:val="none" w:sz="0" w:space="0" w:color="auto"/>
                <w:left w:val="none" w:sz="0" w:space="0" w:color="auto"/>
                <w:bottom w:val="none" w:sz="0" w:space="0" w:color="auto"/>
                <w:right w:val="none" w:sz="0" w:space="0" w:color="auto"/>
              </w:divBdr>
              <w:divsChild>
                <w:div w:id="2047830661">
                  <w:marLeft w:val="0"/>
                  <w:marRight w:val="0"/>
                  <w:marTop w:val="0"/>
                  <w:marBottom w:val="0"/>
                  <w:divBdr>
                    <w:top w:val="none" w:sz="0" w:space="0" w:color="auto"/>
                    <w:left w:val="none" w:sz="0" w:space="0" w:color="auto"/>
                    <w:bottom w:val="none" w:sz="0" w:space="0" w:color="auto"/>
                    <w:right w:val="none" w:sz="0" w:space="0" w:color="auto"/>
                  </w:divBdr>
                </w:div>
              </w:divsChild>
            </w:div>
            <w:div w:id="114252376">
              <w:marLeft w:val="0"/>
              <w:marRight w:val="0"/>
              <w:marTop w:val="0"/>
              <w:marBottom w:val="0"/>
              <w:divBdr>
                <w:top w:val="none" w:sz="0" w:space="0" w:color="auto"/>
                <w:left w:val="none" w:sz="0" w:space="0" w:color="auto"/>
                <w:bottom w:val="none" w:sz="0" w:space="0" w:color="auto"/>
                <w:right w:val="none" w:sz="0" w:space="0" w:color="auto"/>
              </w:divBdr>
              <w:divsChild>
                <w:div w:id="1268078201">
                  <w:marLeft w:val="0"/>
                  <w:marRight w:val="0"/>
                  <w:marTop w:val="0"/>
                  <w:marBottom w:val="0"/>
                  <w:divBdr>
                    <w:top w:val="none" w:sz="0" w:space="0" w:color="auto"/>
                    <w:left w:val="none" w:sz="0" w:space="0" w:color="auto"/>
                    <w:bottom w:val="none" w:sz="0" w:space="0" w:color="auto"/>
                    <w:right w:val="none" w:sz="0" w:space="0" w:color="auto"/>
                  </w:divBdr>
                </w:div>
              </w:divsChild>
            </w:div>
            <w:div w:id="377049264">
              <w:marLeft w:val="0"/>
              <w:marRight w:val="0"/>
              <w:marTop w:val="0"/>
              <w:marBottom w:val="0"/>
              <w:divBdr>
                <w:top w:val="none" w:sz="0" w:space="0" w:color="auto"/>
                <w:left w:val="none" w:sz="0" w:space="0" w:color="auto"/>
                <w:bottom w:val="none" w:sz="0" w:space="0" w:color="auto"/>
                <w:right w:val="none" w:sz="0" w:space="0" w:color="auto"/>
              </w:divBdr>
              <w:divsChild>
                <w:div w:id="1992446472">
                  <w:marLeft w:val="0"/>
                  <w:marRight w:val="0"/>
                  <w:marTop w:val="0"/>
                  <w:marBottom w:val="0"/>
                  <w:divBdr>
                    <w:top w:val="none" w:sz="0" w:space="0" w:color="auto"/>
                    <w:left w:val="none" w:sz="0" w:space="0" w:color="auto"/>
                    <w:bottom w:val="none" w:sz="0" w:space="0" w:color="auto"/>
                    <w:right w:val="none" w:sz="0" w:space="0" w:color="auto"/>
                  </w:divBdr>
                </w:div>
              </w:divsChild>
            </w:div>
            <w:div w:id="959190214">
              <w:marLeft w:val="0"/>
              <w:marRight w:val="0"/>
              <w:marTop w:val="0"/>
              <w:marBottom w:val="0"/>
              <w:divBdr>
                <w:top w:val="none" w:sz="0" w:space="0" w:color="auto"/>
                <w:left w:val="none" w:sz="0" w:space="0" w:color="auto"/>
                <w:bottom w:val="none" w:sz="0" w:space="0" w:color="auto"/>
                <w:right w:val="none" w:sz="0" w:space="0" w:color="auto"/>
              </w:divBdr>
              <w:divsChild>
                <w:div w:id="194464681">
                  <w:marLeft w:val="0"/>
                  <w:marRight w:val="0"/>
                  <w:marTop w:val="0"/>
                  <w:marBottom w:val="0"/>
                  <w:divBdr>
                    <w:top w:val="none" w:sz="0" w:space="0" w:color="auto"/>
                    <w:left w:val="none" w:sz="0" w:space="0" w:color="auto"/>
                    <w:bottom w:val="none" w:sz="0" w:space="0" w:color="auto"/>
                    <w:right w:val="none" w:sz="0" w:space="0" w:color="auto"/>
                  </w:divBdr>
                </w:div>
              </w:divsChild>
            </w:div>
            <w:div w:id="1428308162">
              <w:marLeft w:val="0"/>
              <w:marRight w:val="0"/>
              <w:marTop w:val="0"/>
              <w:marBottom w:val="0"/>
              <w:divBdr>
                <w:top w:val="none" w:sz="0" w:space="0" w:color="auto"/>
                <w:left w:val="none" w:sz="0" w:space="0" w:color="auto"/>
                <w:bottom w:val="none" w:sz="0" w:space="0" w:color="auto"/>
                <w:right w:val="none" w:sz="0" w:space="0" w:color="auto"/>
              </w:divBdr>
              <w:divsChild>
                <w:div w:id="288518581">
                  <w:marLeft w:val="0"/>
                  <w:marRight w:val="0"/>
                  <w:marTop w:val="0"/>
                  <w:marBottom w:val="0"/>
                  <w:divBdr>
                    <w:top w:val="none" w:sz="0" w:space="0" w:color="auto"/>
                    <w:left w:val="none" w:sz="0" w:space="0" w:color="auto"/>
                    <w:bottom w:val="none" w:sz="0" w:space="0" w:color="auto"/>
                    <w:right w:val="none" w:sz="0" w:space="0" w:color="auto"/>
                  </w:divBdr>
                </w:div>
              </w:divsChild>
            </w:div>
            <w:div w:id="1331371194">
              <w:marLeft w:val="0"/>
              <w:marRight w:val="0"/>
              <w:marTop w:val="0"/>
              <w:marBottom w:val="0"/>
              <w:divBdr>
                <w:top w:val="none" w:sz="0" w:space="0" w:color="auto"/>
                <w:left w:val="none" w:sz="0" w:space="0" w:color="auto"/>
                <w:bottom w:val="none" w:sz="0" w:space="0" w:color="auto"/>
                <w:right w:val="none" w:sz="0" w:space="0" w:color="auto"/>
              </w:divBdr>
              <w:divsChild>
                <w:div w:id="18514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7990">
          <w:marLeft w:val="-75"/>
          <w:marRight w:val="0"/>
          <w:marTop w:val="30"/>
          <w:marBottom w:val="30"/>
          <w:divBdr>
            <w:top w:val="none" w:sz="0" w:space="0" w:color="auto"/>
            <w:left w:val="none" w:sz="0" w:space="0" w:color="auto"/>
            <w:bottom w:val="none" w:sz="0" w:space="0" w:color="auto"/>
            <w:right w:val="none" w:sz="0" w:space="0" w:color="auto"/>
          </w:divBdr>
          <w:divsChild>
            <w:div w:id="1051613591">
              <w:marLeft w:val="0"/>
              <w:marRight w:val="0"/>
              <w:marTop w:val="0"/>
              <w:marBottom w:val="0"/>
              <w:divBdr>
                <w:top w:val="none" w:sz="0" w:space="0" w:color="auto"/>
                <w:left w:val="none" w:sz="0" w:space="0" w:color="auto"/>
                <w:bottom w:val="none" w:sz="0" w:space="0" w:color="auto"/>
                <w:right w:val="none" w:sz="0" w:space="0" w:color="auto"/>
              </w:divBdr>
              <w:divsChild>
                <w:div w:id="22172306">
                  <w:marLeft w:val="0"/>
                  <w:marRight w:val="0"/>
                  <w:marTop w:val="0"/>
                  <w:marBottom w:val="0"/>
                  <w:divBdr>
                    <w:top w:val="none" w:sz="0" w:space="0" w:color="auto"/>
                    <w:left w:val="none" w:sz="0" w:space="0" w:color="auto"/>
                    <w:bottom w:val="none" w:sz="0" w:space="0" w:color="auto"/>
                    <w:right w:val="none" w:sz="0" w:space="0" w:color="auto"/>
                  </w:divBdr>
                </w:div>
              </w:divsChild>
            </w:div>
            <w:div w:id="1343240460">
              <w:marLeft w:val="0"/>
              <w:marRight w:val="0"/>
              <w:marTop w:val="0"/>
              <w:marBottom w:val="0"/>
              <w:divBdr>
                <w:top w:val="none" w:sz="0" w:space="0" w:color="auto"/>
                <w:left w:val="none" w:sz="0" w:space="0" w:color="auto"/>
                <w:bottom w:val="none" w:sz="0" w:space="0" w:color="auto"/>
                <w:right w:val="none" w:sz="0" w:space="0" w:color="auto"/>
              </w:divBdr>
              <w:divsChild>
                <w:div w:id="313879785">
                  <w:marLeft w:val="0"/>
                  <w:marRight w:val="0"/>
                  <w:marTop w:val="0"/>
                  <w:marBottom w:val="0"/>
                  <w:divBdr>
                    <w:top w:val="none" w:sz="0" w:space="0" w:color="auto"/>
                    <w:left w:val="none" w:sz="0" w:space="0" w:color="auto"/>
                    <w:bottom w:val="none" w:sz="0" w:space="0" w:color="auto"/>
                    <w:right w:val="none" w:sz="0" w:space="0" w:color="auto"/>
                  </w:divBdr>
                </w:div>
              </w:divsChild>
            </w:div>
            <w:div w:id="1097091684">
              <w:marLeft w:val="0"/>
              <w:marRight w:val="0"/>
              <w:marTop w:val="0"/>
              <w:marBottom w:val="0"/>
              <w:divBdr>
                <w:top w:val="none" w:sz="0" w:space="0" w:color="auto"/>
                <w:left w:val="none" w:sz="0" w:space="0" w:color="auto"/>
                <w:bottom w:val="none" w:sz="0" w:space="0" w:color="auto"/>
                <w:right w:val="none" w:sz="0" w:space="0" w:color="auto"/>
              </w:divBdr>
              <w:divsChild>
                <w:div w:id="215702463">
                  <w:marLeft w:val="0"/>
                  <w:marRight w:val="0"/>
                  <w:marTop w:val="0"/>
                  <w:marBottom w:val="0"/>
                  <w:divBdr>
                    <w:top w:val="none" w:sz="0" w:space="0" w:color="auto"/>
                    <w:left w:val="none" w:sz="0" w:space="0" w:color="auto"/>
                    <w:bottom w:val="none" w:sz="0" w:space="0" w:color="auto"/>
                    <w:right w:val="none" w:sz="0" w:space="0" w:color="auto"/>
                  </w:divBdr>
                </w:div>
              </w:divsChild>
            </w:div>
            <w:div w:id="654146739">
              <w:marLeft w:val="0"/>
              <w:marRight w:val="0"/>
              <w:marTop w:val="0"/>
              <w:marBottom w:val="0"/>
              <w:divBdr>
                <w:top w:val="none" w:sz="0" w:space="0" w:color="auto"/>
                <w:left w:val="none" w:sz="0" w:space="0" w:color="auto"/>
                <w:bottom w:val="none" w:sz="0" w:space="0" w:color="auto"/>
                <w:right w:val="none" w:sz="0" w:space="0" w:color="auto"/>
              </w:divBdr>
              <w:divsChild>
                <w:div w:id="2067143936">
                  <w:marLeft w:val="0"/>
                  <w:marRight w:val="0"/>
                  <w:marTop w:val="0"/>
                  <w:marBottom w:val="0"/>
                  <w:divBdr>
                    <w:top w:val="none" w:sz="0" w:space="0" w:color="auto"/>
                    <w:left w:val="none" w:sz="0" w:space="0" w:color="auto"/>
                    <w:bottom w:val="none" w:sz="0" w:space="0" w:color="auto"/>
                    <w:right w:val="none" w:sz="0" w:space="0" w:color="auto"/>
                  </w:divBdr>
                </w:div>
              </w:divsChild>
            </w:div>
            <w:div w:id="836312286">
              <w:marLeft w:val="0"/>
              <w:marRight w:val="0"/>
              <w:marTop w:val="0"/>
              <w:marBottom w:val="0"/>
              <w:divBdr>
                <w:top w:val="none" w:sz="0" w:space="0" w:color="auto"/>
                <w:left w:val="none" w:sz="0" w:space="0" w:color="auto"/>
                <w:bottom w:val="none" w:sz="0" w:space="0" w:color="auto"/>
                <w:right w:val="none" w:sz="0" w:space="0" w:color="auto"/>
              </w:divBdr>
              <w:divsChild>
                <w:div w:id="2071609103">
                  <w:marLeft w:val="0"/>
                  <w:marRight w:val="0"/>
                  <w:marTop w:val="0"/>
                  <w:marBottom w:val="0"/>
                  <w:divBdr>
                    <w:top w:val="none" w:sz="0" w:space="0" w:color="auto"/>
                    <w:left w:val="none" w:sz="0" w:space="0" w:color="auto"/>
                    <w:bottom w:val="none" w:sz="0" w:space="0" w:color="auto"/>
                    <w:right w:val="none" w:sz="0" w:space="0" w:color="auto"/>
                  </w:divBdr>
                </w:div>
              </w:divsChild>
            </w:div>
            <w:div w:id="213126800">
              <w:marLeft w:val="0"/>
              <w:marRight w:val="0"/>
              <w:marTop w:val="0"/>
              <w:marBottom w:val="0"/>
              <w:divBdr>
                <w:top w:val="none" w:sz="0" w:space="0" w:color="auto"/>
                <w:left w:val="none" w:sz="0" w:space="0" w:color="auto"/>
                <w:bottom w:val="none" w:sz="0" w:space="0" w:color="auto"/>
                <w:right w:val="none" w:sz="0" w:space="0" w:color="auto"/>
              </w:divBdr>
              <w:divsChild>
                <w:div w:id="259340979">
                  <w:marLeft w:val="0"/>
                  <w:marRight w:val="0"/>
                  <w:marTop w:val="0"/>
                  <w:marBottom w:val="0"/>
                  <w:divBdr>
                    <w:top w:val="none" w:sz="0" w:space="0" w:color="auto"/>
                    <w:left w:val="none" w:sz="0" w:space="0" w:color="auto"/>
                    <w:bottom w:val="none" w:sz="0" w:space="0" w:color="auto"/>
                    <w:right w:val="none" w:sz="0" w:space="0" w:color="auto"/>
                  </w:divBdr>
                </w:div>
              </w:divsChild>
            </w:div>
            <w:div w:id="1980071487">
              <w:marLeft w:val="0"/>
              <w:marRight w:val="0"/>
              <w:marTop w:val="0"/>
              <w:marBottom w:val="0"/>
              <w:divBdr>
                <w:top w:val="none" w:sz="0" w:space="0" w:color="auto"/>
                <w:left w:val="none" w:sz="0" w:space="0" w:color="auto"/>
                <w:bottom w:val="none" w:sz="0" w:space="0" w:color="auto"/>
                <w:right w:val="none" w:sz="0" w:space="0" w:color="auto"/>
              </w:divBdr>
              <w:divsChild>
                <w:div w:id="739521062">
                  <w:marLeft w:val="0"/>
                  <w:marRight w:val="0"/>
                  <w:marTop w:val="0"/>
                  <w:marBottom w:val="0"/>
                  <w:divBdr>
                    <w:top w:val="none" w:sz="0" w:space="0" w:color="auto"/>
                    <w:left w:val="none" w:sz="0" w:space="0" w:color="auto"/>
                    <w:bottom w:val="none" w:sz="0" w:space="0" w:color="auto"/>
                    <w:right w:val="none" w:sz="0" w:space="0" w:color="auto"/>
                  </w:divBdr>
                </w:div>
              </w:divsChild>
            </w:div>
            <w:div w:id="1053575352">
              <w:marLeft w:val="0"/>
              <w:marRight w:val="0"/>
              <w:marTop w:val="0"/>
              <w:marBottom w:val="0"/>
              <w:divBdr>
                <w:top w:val="none" w:sz="0" w:space="0" w:color="auto"/>
                <w:left w:val="none" w:sz="0" w:space="0" w:color="auto"/>
                <w:bottom w:val="none" w:sz="0" w:space="0" w:color="auto"/>
                <w:right w:val="none" w:sz="0" w:space="0" w:color="auto"/>
              </w:divBdr>
              <w:divsChild>
                <w:div w:id="1924487429">
                  <w:marLeft w:val="0"/>
                  <w:marRight w:val="0"/>
                  <w:marTop w:val="0"/>
                  <w:marBottom w:val="0"/>
                  <w:divBdr>
                    <w:top w:val="none" w:sz="0" w:space="0" w:color="auto"/>
                    <w:left w:val="none" w:sz="0" w:space="0" w:color="auto"/>
                    <w:bottom w:val="none" w:sz="0" w:space="0" w:color="auto"/>
                    <w:right w:val="none" w:sz="0" w:space="0" w:color="auto"/>
                  </w:divBdr>
                </w:div>
              </w:divsChild>
            </w:div>
            <w:div w:id="1893731773">
              <w:marLeft w:val="0"/>
              <w:marRight w:val="0"/>
              <w:marTop w:val="0"/>
              <w:marBottom w:val="0"/>
              <w:divBdr>
                <w:top w:val="none" w:sz="0" w:space="0" w:color="auto"/>
                <w:left w:val="none" w:sz="0" w:space="0" w:color="auto"/>
                <w:bottom w:val="none" w:sz="0" w:space="0" w:color="auto"/>
                <w:right w:val="none" w:sz="0" w:space="0" w:color="auto"/>
              </w:divBdr>
              <w:divsChild>
                <w:div w:id="1691254709">
                  <w:marLeft w:val="0"/>
                  <w:marRight w:val="0"/>
                  <w:marTop w:val="0"/>
                  <w:marBottom w:val="0"/>
                  <w:divBdr>
                    <w:top w:val="none" w:sz="0" w:space="0" w:color="auto"/>
                    <w:left w:val="none" w:sz="0" w:space="0" w:color="auto"/>
                    <w:bottom w:val="none" w:sz="0" w:space="0" w:color="auto"/>
                    <w:right w:val="none" w:sz="0" w:space="0" w:color="auto"/>
                  </w:divBdr>
                </w:div>
              </w:divsChild>
            </w:div>
            <w:div w:id="1670213452">
              <w:marLeft w:val="0"/>
              <w:marRight w:val="0"/>
              <w:marTop w:val="0"/>
              <w:marBottom w:val="0"/>
              <w:divBdr>
                <w:top w:val="none" w:sz="0" w:space="0" w:color="auto"/>
                <w:left w:val="none" w:sz="0" w:space="0" w:color="auto"/>
                <w:bottom w:val="none" w:sz="0" w:space="0" w:color="auto"/>
                <w:right w:val="none" w:sz="0" w:space="0" w:color="auto"/>
              </w:divBdr>
              <w:divsChild>
                <w:div w:id="704408062">
                  <w:marLeft w:val="0"/>
                  <w:marRight w:val="0"/>
                  <w:marTop w:val="0"/>
                  <w:marBottom w:val="0"/>
                  <w:divBdr>
                    <w:top w:val="none" w:sz="0" w:space="0" w:color="auto"/>
                    <w:left w:val="none" w:sz="0" w:space="0" w:color="auto"/>
                    <w:bottom w:val="none" w:sz="0" w:space="0" w:color="auto"/>
                    <w:right w:val="none" w:sz="0" w:space="0" w:color="auto"/>
                  </w:divBdr>
                </w:div>
              </w:divsChild>
            </w:div>
            <w:div w:id="521359729">
              <w:marLeft w:val="0"/>
              <w:marRight w:val="0"/>
              <w:marTop w:val="0"/>
              <w:marBottom w:val="0"/>
              <w:divBdr>
                <w:top w:val="none" w:sz="0" w:space="0" w:color="auto"/>
                <w:left w:val="none" w:sz="0" w:space="0" w:color="auto"/>
                <w:bottom w:val="none" w:sz="0" w:space="0" w:color="auto"/>
                <w:right w:val="none" w:sz="0" w:space="0" w:color="auto"/>
              </w:divBdr>
              <w:divsChild>
                <w:div w:id="1571690001">
                  <w:marLeft w:val="0"/>
                  <w:marRight w:val="0"/>
                  <w:marTop w:val="0"/>
                  <w:marBottom w:val="0"/>
                  <w:divBdr>
                    <w:top w:val="none" w:sz="0" w:space="0" w:color="auto"/>
                    <w:left w:val="none" w:sz="0" w:space="0" w:color="auto"/>
                    <w:bottom w:val="none" w:sz="0" w:space="0" w:color="auto"/>
                    <w:right w:val="none" w:sz="0" w:space="0" w:color="auto"/>
                  </w:divBdr>
                </w:div>
              </w:divsChild>
            </w:div>
            <w:div w:id="570122506">
              <w:marLeft w:val="0"/>
              <w:marRight w:val="0"/>
              <w:marTop w:val="0"/>
              <w:marBottom w:val="0"/>
              <w:divBdr>
                <w:top w:val="none" w:sz="0" w:space="0" w:color="auto"/>
                <w:left w:val="none" w:sz="0" w:space="0" w:color="auto"/>
                <w:bottom w:val="none" w:sz="0" w:space="0" w:color="auto"/>
                <w:right w:val="none" w:sz="0" w:space="0" w:color="auto"/>
              </w:divBdr>
              <w:divsChild>
                <w:div w:id="165247436">
                  <w:marLeft w:val="0"/>
                  <w:marRight w:val="0"/>
                  <w:marTop w:val="0"/>
                  <w:marBottom w:val="0"/>
                  <w:divBdr>
                    <w:top w:val="none" w:sz="0" w:space="0" w:color="auto"/>
                    <w:left w:val="none" w:sz="0" w:space="0" w:color="auto"/>
                    <w:bottom w:val="none" w:sz="0" w:space="0" w:color="auto"/>
                    <w:right w:val="none" w:sz="0" w:space="0" w:color="auto"/>
                  </w:divBdr>
                </w:div>
              </w:divsChild>
            </w:div>
            <w:div w:id="1034817299">
              <w:marLeft w:val="0"/>
              <w:marRight w:val="0"/>
              <w:marTop w:val="0"/>
              <w:marBottom w:val="0"/>
              <w:divBdr>
                <w:top w:val="none" w:sz="0" w:space="0" w:color="auto"/>
                <w:left w:val="none" w:sz="0" w:space="0" w:color="auto"/>
                <w:bottom w:val="none" w:sz="0" w:space="0" w:color="auto"/>
                <w:right w:val="none" w:sz="0" w:space="0" w:color="auto"/>
              </w:divBdr>
              <w:divsChild>
                <w:div w:id="1576236399">
                  <w:marLeft w:val="0"/>
                  <w:marRight w:val="0"/>
                  <w:marTop w:val="0"/>
                  <w:marBottom w:val="0"/>
                  <w:divBdr>
                    <w:top w:val="none" w:sz="0" w:space="0" w:color="auto"/>
                    <w:left w:val="none" w:sz="0" w:space="0" w:color="auto"/>
                    <w:bottom w:val="none" w:sz="0" w:space="0" w:color="auto"/>
                    <w:right w:val="none" w:sz="0" w:space="0" w:color="auto"/>
                  </w:divBdr>
                </w:div>
              </w:divsChild>
            </w:div>
            <w:div w:id="489449371">
              <w:marLeft w:val="0"/>
              <w:marRight w:val="0"/>
              <w:marTop w:val="0"/>
              <w:marBottom w:val="0"/>
              <w:divBdr>
                <w:top w:val="none" w:sz="0" w:space="0" w:color="auto"/>
                <w:left w:val="none" w:sz="0" w:space="0" w:color="auto"/>
                <w:bottom w:val="none" w:sz="0" w:space="0" w:color="auto"/>
                <w:right w:val="none" w:sz="0" w:space="0" w:color="auto"/>
              </w:divBdr>
              <w:divsChild>
                <w:div w:id="1536700096">
                  <w:marLeft w:val="0"/>
                  <w:marRight w:val="0"/>
                  <w:marTop w:val="0"/>
                  <w:marBottom w:val="0"/>
                  <w:divBdr>
                    <w:top w:val="none" w:sz="0" w:space="0" w:color="auto"/>
                    <w:left w:val="none" w:sz="0" w:space="0" w:color="auto"/>
                    <w:bottom w:val="none" w:sz="0" w:space="0" w:color="auto"/>
                    <w:right w:val="none" w:sz="0" w:space="0" w:color="auto"/>
                  </w:divBdr>
                </w:div>
              </w:divsChild>
            </w:div>
            <w:div w:id="961308095">
              <w:marLeft w:val="0"/>
              <w:marRight w:val="0"/>
              <w:marTop w:val="0"/>
              <w:marBottom w:val="0"/>
              <w:divBdr>
                <w:top w:val="none" w:sz="0" w:space="0" w:color="auto"/>
                <w:left w:val="none" w:sz="0" w:space="0" w:color="auto"/>
                <w:bottom w:val="none" w:sz="0" w:space="0" w:color="auto"/>
                <w:right w:val="none" w:sz="0" w:space="0" w:color="auto"/>
              </w:divBdr>
              <w:divsChild>
                <w:div w:id="1355959890">
                  <w:marLeft w:val="0"/>
                  <w:marRight w:val="0"/>
                  <w:marTop w:val="0"/>
                  <w:marBottom w:val="0"/>
                  <w:divBdr>
                    <w:top w:val="none" w:sz="0" w:space="0" w:color="auto"/>
                    <w:left w:val="none" w:sz="0" w:space="0" w:color="auto"/>
                    <w:bottom w:val="none" w:sz="0" w:space="0" w:color="auto"/>
                    <w:right w:val="none" w:sz="0" w:space="0" w:color="auto"/>
                  </w:divBdr>
                </w:div>
              </w:divsChild>
            </w:div>
            <w:div w:id="909384396">
              <w:marLeft w:val="0"/>
              <w:marRight w:val="0"/>
              <w:marTop w:val="0"/>
              <w:marBottom w:val="0"/>
              <w:divBdr>
                <w:top w:val="none" w:sz="0" w:space="0" w:color="auto"/>
                <w:left w:val="none" w:sz="0" w:space="0" w:color="auto"/>
                <w:bottom w:val="none" w:sz="0" w:space="0" w:color="auto"/>
                <w:right w:val="none" w:sz="0" w:space="0" w:color="auto"/>
              </w:divBdr>
              <w:divsChild>
                <w:div w:id="2125881856">
                  <w:marLeft w:val="0"/>
                  <w:marRight w:val="0"/>
                  <w:marTop w:val="0"/>
                  <w:marBottom w:val="0"/>
                  <w:divBdr>
                    <w:top w:val="none" w:sz="0" w:space="0" w:color="auto"/>
                    <w:left w:val="none" w:sz="0" w:space="0" w:color="auto"/>
                    <w:bottom w:val="none" w:sz="0" w:space="0" w:color="auto"/>
                    <w:right w:val="none" w:sz="0" w:space="0" w:color="auto"/>
                  </w:divBdr>
                </w:div>
              </w:divsChild>
            </w:div>
            <w:div w:id="78450412">
              <w:marLeft w:val="0"/>
              <w:marRight w:val="0"/>
              <w:marTop w:val="0"/>
              <w:marBottom w:val="0"/>
              <w:divBdr>
                <w:top w:val="none" w:sz="0" w:space="0" w:color="auto"/>
                <w:left w:val="none" w:sz="0" w:space="0" w:color="auto"/>
                <w:bottom w:val="none" w:sz="0" w:space="0" w:color="auto"/>
                <w:right w:val="none" w:sz="0" w:space="0" w:color="auto"/>
              </w:divBdr>
              <w:divsChild>
                <w:div w:id="629556062">
                  <w:marLeft w:val="0"/>
                  <w:marRight w:val="0"/>
                  <w:marTop w:val="0"/>
                  <w:marBottom w:val="0"/>
                  <w:divBdr>
                    <w:top w:val="none" w:sz="0" w:space="0" w:color="auto"/>
                    <w:left w:val="none" w:sz="0" w:space="0" w:color="auto"/>
                    <w:bottom w:val="none" w:sz="0" w:space="0" w:color="auto"/>
                    <w:right w:val="none" w:sz="0" w:space="0" w:color="auto"/>
                  </w:divBdr>
                </w:div>
              </w:divsChild>
            </w:div>
            <w:div w:id="642782056">
              <w:marLeft w:val="0"/>
              <w:marRight w:val="0"/>
              <w:marTop w:val="0"/>
              <w:marBottom w:val="0"/>
              <w:divBdr>
                <w:top w:val="none" w:sz="0" w:space="0" w:color="auto"/>
                <w:left w:val="none" w:sz="0" w:space="0" w:color="auto"/>
                <w:bottom w:val="none" w:sz="0" w:space="0" w:color="auto"/>
                <w:right w:val="none" w:sz="0" w:space="0" w:color="auto"/>
              </w:divBdr>
              <w:divsChild>
                <w:div w:id="154608500">
                  <w:marLeft w:val="0"/>
                  <w:marRight w:val="0"/>
                  <w:marTop w:val="0"/>
                  <w:marBottom w:val="0"/>
                  <w:divBdr>
                    <w:top w:val="none" w:sz="0" w:space="0" w:color="auto"/>
                    <w:left w:val="none" w:sz="0" w:space="0" w:color="auto"/>
                    <w:bottom w:val="none" w:sz="0" w:space="0" w:color="auto"/>
                    <w:right w:val="none" w:sz="0" w:space="0" w:color="auto"/>
                  </w:divBdr>
                </w:div>
              </w:divsChild>
            </w:div>
            <w:div w:id="1137185402">
              <w:marLeft w:val="0"/>
              <w:marRight w:val="0"/>
              <w:marTop w:val="0"/>
              <w:marBottom w:val="0"/>
              <w:divBdr>
                <w:top w:val="none" w:sz="0" w:space="0" w:color="auto"/>
                <w:left w:val="none" w:sz="0" w:space="0" w:color="auto"/>
                <w:bottom w:val="none" w:sz="0" w:space="0" w:color="auto"/>
                <w:right w:val="none" w:sz="0" w:space="0" w:color="auto"/>
              </w:divBdr>
              <w:divsChild>
                <w:div w:id="262419081">
                  <w:marLeft w:val="0"/>
                  <w:marRight w:val="0"/>
                  <w:marTop w:val="0"/>
                  <w:marBottom w:val="0"/>
                  <w:divBdr>
                    <w:top w:val="none" w:sz="0" w:space="0" w:color="auto"/>
                    <w:left w:val="none" w:sz="0" w:space="0" w:color="auto"/>
                    <w:bottom w:val="none" w:sz="0" w:space="0" w:color="auto"/>
                    <w:right w:val="none" w:sz="0" w:space="0" w:color="auto"/>
                  </w:divBdr>
                </w:div>
              </w:divsChild>
            </w:div>
            <w:div w:id="40981908">
              <w:marLeft w:val="0"/>
              <w:marRight w:val="0"/>
              <w:marTop w:val="0"/>
              <w:marBottom w:val="0"/>
              <w:divBdr>
                <w:top w:val="none" w:sz="0" w:space="0" w:color="auto"/>
                <w:left w:val="none" w:sz="0" w:space="0" w:color="auto"/>
                <w:bottom w:val="none" w:sz="0" w:space="0" w:color="auto"/>
                <w:right w:val="none" w:sz="0" w:space="0" w:color="auto"/>
              </w:divBdr>
              <w:divsChild>
                <w:div w:id="1852136781">
                  <w:marLeft w:val="0"/>
                  <w:marRight w:val="0"/>
                  <w:marTop w:val="0"/>
                  <w:marBottom w:val="0"/>
                  <w:divBdr>
                    <w:top w:val="none" w:sz="0" w:space="0" w:color="auto"/>
                    <w:left w:val="none" w:sz="0" w:space="0" w:color="auto"/>
                    <w:bottom w:val="none" w:sz="0" w:space="0" w:color="auto"/>
                    <w:right w:val="none" w:sz="0" w:space="0" w:color="auto"/>
                  </w:divBdr>
                </w:div>
              </w:divsChild>
            </w:div>
            <w:div w:id="535969691">
              <w:marLeft w:val="0"/>
              <w:marRight w:val="0"/>
              <w:marTop w:val="0"/>
              <w:marBottom w:val="0"/>
              <w:divBdr>
                <w:top w:val="none" w:sz="0" w:space="0" w:color="auto"/>
                <w:left w:val="none" w:sz="0" w:space="0" w:color="auto"/>
                <w:bottom w:val="none" w:sz="0" w:space="0" w:color="auto"/>
                <w:right w:val="none" w:sz="0" w:space="0" w:color="auto"/>
              </w:divBdr>
              <w:divsChild>
                <w:div w:id="1054887115">
                  <w:marLeft w:val="0"/>
                  <w:marRight w:val="0"/>
                  <w:marTop w:val="0"/>
                  <w:marBottom w:val="0"/>
                  <w:divBdr>
                    <w:top w:val="none" w:sz="0" w:space="0" w:color="auto"/>
                    <w:left w:val="none" w:sz="0" w:space="0" w:color="auto"/>
                    <w:bottom w:val="none" w:sz="0" w:space="0" w:color="auto"/>
                    <w:right w:val="none" w:sz="0" w:space="0" w:color="auto"/>
                  </w:divBdr>
                </w:div>
              </w:divsChild>
            </w:div>
            <w:div w:id="1411778732">
              <w:marLeft w:val="0"/>
              <w:marRight w:val="0"/>
              <w:marTop w:val="0"/>
              <w:marBottom w:val="0"/>
              <w:divBdr>
                <w:top w:val="none" w:sz="0" w:space="0" w:color="auto"/>
                <w:left w:val="none" w:sz="0" w:space="0" w:color="auto"/>
                <w:bottom w:val="none" w:sz="0" w:space="0" w:color="auto"/>
                <w:right w:val="none" w:sz="0" w:space="0" w:color="auto"/>
              </w:divBdr>
              <w:divsChild>
                <w:div w:id="1190609073">
                  <w:marLeft w:val="0"/>
                  <w:marRight w:val="0"/>
                  <w:marTop w:val="0"/>
                  <w:marBottom w:val="0"/>
                  <w:divBdr>
                    <w:top w:val="none" w:sz="0" w:space="0" w:color="auto"/>
                    <w:left w:val="none" w:sz="0" w:space="0" w:color="auto"/>
                    <w:bottom w:val="none" w:sz="0" w:space="0" w:color="auto"/>
                    <w:right w:val="none" w:sz="0" w:space="0" w:color="auto"/>
                  </w:divBdr>
                </w:div>
              </w:divsChild>
            </w:div>
            <w:div w:id="1180780648">
              <w:marLeft w:val="0"/>
              <w:marRight w:val="0"/>
              <w:marTop w:val="0"/>
              <w:marBottom w:val="0"/>
              <w:divBdr>
                <w:top w:val="none" w:sz="0" w:space="0" w:color="auto"/>
                <w:left w:val="none" w:sz="0" w:space="0" w:color="auto"/>
                <w:bottom w:val="none" w:sz="0" w:space="0" w:color="auto"/>
                <w:right w:val="none" w:sz="0" w:space="0" w:color="auto"/>
              </w:divBdr>
              <w:divsChild>
                <w:div w:id="970331266">
                  <w:marLeft w:val="0"/>
                  <w:marRight w:val="0"/>
                  <w:marTop w:val="0"/>
                  <w:marBottom w:val="0"/>
                  <w:divBdr>
                    <w:top w:val="none" w:sz="0" w:space="0" w:color="auto"/>
                    <w:left w:val="none" w:sz="0" w:space="0" w:color="auto"/>
                    <w:bottom w:val="none" w:sz="0" w:space="0" w:color="auto"/>
                    <w:right w:val="none" w:sz="0" w:space="0" w:color="auto"/>
                  </w:divBdr>
                </w:div>
              </w:divsChild>
            </w:div>
            <w:div w:id="105740770">
              <w:marLeft w:val="0"/>
              <w:marRight w:val="0"/>
              <w:marTop w:val="0"/>
              <w:marBottom w:val="0"/>
              <w:divBdr>
                <w:top w:val="none" w:sz="0" w:space="0" w:color="auto"/>
                <w:left w:val="none" w:sz="0" w:space="0" w:color="auto"/>
                <w:bottom w:val="none" w:sz="0" w:space="0" w:color="auto"/>
                <w:right w:val="none" w:sz="0" w:space="0" w:color="auto"/>
              </w:divBdr>
              <w:divsChild>
                <w:div w:id="1827042756">
                  <w:marLeft w:val="0"/>
                  <w:marRight w:val="0"/>
                  <w:marTop w:val="0"/>
                  <w:marBottom w:val="0"/>
                  <w:divBdr>
                    <w:top w:val="none" w:sz="0" w:space="0" w:color="auto"/>
                    <w:left w:val="none" w:sz="0" w:space="0" w:color="auto"/>
                    <w:bottom w:val="none" w:sz="0" w:space="0" w:color="auto"/>
                    <w:right w:val="none" w:sz="0" w:space="0" w:color="auto"/>
                  </w:divBdr>
                </w:div>
              </w:divsChild>
            </w:div>
            <w:div w:id="1100226057">
              <w:marLeft w:val="0"/>
              <w:marRight w:val="0"/>
              <w:marTop w:val="0"/>
              <w:marBottom w:val="0"/>
              <w:divBdr>
                <w:top w:val="none" w:sz="0" w:space="0" w:color="auto"/>
                <w:left w:val="none" w:sz="0" w:space="0" w:color="auto"/>
                <w:bottom w:val="none" w:sz="0" w:space="0" w:color="auto"/>
                <w:right w:val="none" w:sz="0" w:space="0" w:color="auto"/>
              </w:divBdr>
              <w:divsChild>
                <w:div w:id="2008970410">
                  <w:marLeft w:val="0"/>
                  <w:marRight w:val="0"/>
                  <w:marTop w:val="0"/>
                  <w:marBottom w:val="0"/>
                  <w:divBdr>
                    <w:top w:val="none" w:sz="0" w:space="0" w:color="auto"/>
                    <w:left w:val="none" w:sz="0" w:space="0" w:color="auto"/>
                    <w:bottom w:val="none" w:sz="0" w:space="0" w:color="auto"/>
                    <w:right w:val="none" w:sz="0" w:space="0" w:color="auto"/>
                  </w:divBdr>
                </w:div>
              </w:divsChild>
            </w:div>
            <w:div w:id="2050520851">
              <w:marLeft w:val="0"/>
              <w:marRight w:val="0"/>
              <w:marTop w:val="0"/>
              <w:marBottom w:val="0"/>
              <w:divBdr>
                <w:top w:val="none" w:sz="0" w:space="0" w:color="auto"/>
                <w:left w:val="none" w:sz="0" w:space="0" w:color="auto"/>
                <w:bottom w:val="none" w:sz="0" w:space="0" w:color="auto"/>
                <w:right w:val="none" w:sz="0" w:space="0" w:color="auto"/>
              </w:divBdr>
              <w:divsChild>
                <w:div w:id="1659650269">
                  <w:marLeft w:val="0"/>
                  <w:marRight w:val="0"/>
                  <w:marTop w:val="0"/>
                  <w:marBottom w:val="0"/>
                  <w:divBdr>
                    <w:top w:val="none" w:sz="0" w:space="0" w:color="auto"/>
                    <w:left w:val="none" w:sz="0" w:space="0" w:color="auto"/>
                    <w:bottom w:val="none" w:sz="0" w:space="0" w:color="auto"/>
                    <w:right w:val="none" w:sz="0" w:space="0" w:color="auto"/>
                  </w:divBdr>
                </w:div>
              </w:divsChild>
            </w:div>
            <w:div w:id="1703674122">
              <w:marLeft w:val="0"/>
              <w:marRight w:val="0"/>
              <w:marTop w:val="0"/>
              <w:marBottom w:val="0"/>
              <w:divBdr>
                <w:top w:val="none" w:sz="0" w:space="0" w:color="auto"/>
                <w:left w:val="none" w:sz="0" w:space="0" w:color="auto"/>
                <w:bottom w:val="none" w:sz="0" w:space="0" w:color="auto"/>
                <w:right w:val="none" w:sz="0" w:space="0" w:color="auto"/>
              </w:divBdr>
              <w:divsChild>
                <w:div w:id="1249541118">
                  <w:marLeft w:val="0"/>
                  <w:marRight w:val="0"/>
                  <w:marTop w:val="0"/>
                  <w:marBottom w:val="0"/>
                  <w:divBdr>
                    <w:top w:val="none" w:sz="0" w:space="0" w:color="auto"/>
                    <w:left w:val="none" w:sz="0" w:space="0" w:color="auto"/>
                    <w:bottom w:val="none" w:sz="0" w:space="0" w:color="auto"/>
                    <w:right w:val="none" w:sz="0" w:space="0" w:color="auto"/>
                  </w:divBdr>
                </w:div>
              </w:divsChild>
            </w:div>
            <w:div w:id="1439830659">
              <w:marLeft w:val="0"/>
              <w:marRight w:val="0"/>
              <w:marTop w:val="0"/>
              <w:marBottom w:val="0"/>
              <w:divBdr>
                <w:top w:val="none" w:sz="0" w:space="0" w:color="auto"/>
                <w:left w:val="none" w:sz="0" w:space="0" w:color="auto"/>
                <w:bottom w:val="none" w:sz="0" w:space="0" w:color="auto"/>
                <w:right w:val="none" w:sz="0" w:space="0" w:color="auto"/>
              </w:divBdr>
              <w:divsChild>
                <w:div w:id="190402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02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98C63-BE3C-43C0-9B67-41AA7DB5FB65}">
  <ds:schemaRefs>
    <ds:schemaRef ds:uri="http://schemas.openxmlformats.org/officeDocument/2006/bibliography"/>
  </ds:schemaRefs>
</ds:datastoreItem>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Properties xmlns="http://schemas.openxmlformats.org/officeDocument/2006/extended-properties" xmlns:vt="http://schemas.openxmlformats.org/officeDocument/2006/docPropsVTypes">
  <Template>Normal</Template>
  <TotalTime>18749</TotalTime>
  <Pages>60</Pages>
  <Words>28372</Words>
  <Characters>161726</Characters>
  <Application>Microsoft Office Word</Application>
  <DocSecurity>0</DocSecurity>
  <Lines>1347</Lines>
  <Paragraphs>379</Paragraphs>
  <ScaleCrop>false</ScaleCrop>
  <Company/>
  <LinksUpToDate>false</LinksUpToDate>
  <CharactersWithSpaces>189719</CharactersWithSpaces>
  <SharedDoc>false</SharedDoc>
  <HLinks>
    <vt:vector size="18" baseType="variant">
      <vt:variant>
        <vt:i4>3670057</vt:i4>
      </vt:variant>
      <vt:variant>
        <vt:i4>6</vt:i4>
      </vt:variant>
      <vt:variant>
        <vt:i4>0</vt:i4>
      </vt:variant>
      <vt:variant>
        <vt:i4>5</vt:i4>
      </vt:variant>
      <vt:variant>
        <vt:lpwstr>https://www.nature.com/articles/s41467-021-27671-0</vt:lpwstr>
      </vt:variant>
      <vt:variant>
        <vt:lpwstr/>
      </vt:variant>
      <vt:variant>
        <vt:i4>7405665</vt:i4>
      </vt:variant>
      <vt:variant>
        <vt:i4>3</vt:i4>
      </vt:variant>
      <vt:variant>
        <vt:i4>0</vt:i4>
      </vt:variant>
      <vt:variant>
        <vt:i4>5</vt:i4>
      </vt:variant>
      <vt:variant>
        <vt:lpwstr>https://thediplomat.com/2024/06/chinas-energy-intensity-and-carbon-intensity-targets-are-all-but-unachievable/</vt:lpwstr>
      </vt:variant>
      <vt:variant>
        <vt:lpwstr/>
      </vt:variant>
      <vt:variant>
        <vt:i4>1835072</vt:i4>
      </vt:variant>
      <vt:variant>
        <vt:i4>0</vt:i4>
      </vt:variant>
      <vt:variant>
        <vt:i4>0</vt:i4>
      </vt:variant>
      <vt:variant>
        <vt:i4>5</vt:i4>
      </vt:variant>
      <vt:variant>
        <vt:lpwstr>https://www.carbonbrief.org/analysis-record-drop-in-chinas-co2-emissions-needed-to-meet-2025-target/</vt:lpwstr>
      </vt:variant>
      <vt:variant>
        <vt:lpwstr>:~:text=The%20country's%20carbon%20intensity%20reportedly,terms%20from%202023%20to%202025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Dan</dc:creator>
  <cp:keywords/>
  <dc:description/>
  <cp:lastModifiedBy>Zhang, Dan</cp:lastModifiedBy>
  <cp:revision>1454</cp:revision>
  <dcterms:created xsi:type="dcterms:W3CDTF">2025-01-05T18:46:00Z</dcterms:created>
  <dcterms:modified xsi:type="dcterms:W3CDTF">2025-05-19T11:23:00Z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id="lJNMSJvj"/&gt;&lt;style id="http://www.zotero.org/styles/nature" hasBibliography="1" bibliographyStyleHasBeenSet="1"/&gt;&lt;prefs&gt;&lt;pref name="fieldType" value="Field"/&gt;&lt;pref name="delayCitationUpdates" valu</vt:lpwstr>
  </property>
  <property fmtid="{D5CDD505-2E9C-101B-9397-08002B2CF9AE}" pid="3" name="ZOTERO_PREF_2">
    <vt:lpwstr>e="true"/&gt;&lt;pref name="dontAskDelayCitationUpdates" value="true"/&gt;&lt;/prefs&gt;&lt;/data&gt;</vt:lpwstr>
  </property>
</Properties>
</file>