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9AA9F" w14:textId="065FCABF" w:rsidR="00D02539" w:rsidRPr="00D02539" w:rsidRDefault="00D02539" w:rsidP="00D02539">
      <w:pPr>
        <w:pStyle w:val="Heading1"/>
        <w:rPr>
          <w:rFonts w:eastAsia="Times New Roman"/>
        </w:rPr>
      </w:pPr>
      <w:bookmarkStart w:id="0" w:name="annexII"/>
      <w:bookmarkStart w:id="1" w:name="_Toc198036423"/>
      <w:r w:rsidRPr="00D02539">
        <w:rPr>
          <w:rFonts w:eastAsia="Times New Roman"/>
        </w:rPr>
        <w:t>ANNEX I</w:t>
      </w:r>
      <w:bookmarkEnd w:id="0"/>
      <w:r w:rsidRPr="00D02539">
        <w:rPr>
          <w:rFonts w:eastAsia="Times New Roman"/>
        </w:rPr>
        <w:t>: MULTI COLLINARITY TEST</w:t>
      </w:r>
      <w:bookmarkEnd w:id="1"/>
    </w:p>
    <w:p w14:paraId="25437440" w14:textId="77777777" w:rsidR="00D02539" w:rsidRPr="00D02539" w:rsidRDefault="00D02539" w:rsidP="00D02539">
      <w:pPr>
        <w:spacing w:before="120" w:line="360" w:lineRule="auto"/>
        <w:jc w:val="both"/>
        <w:rPr>
          <w:rFonts w:eastAsia="SimSun" w:cs="Times New Roman"/>
          <w:szCs w:val="18"/>
          <w:lang w:eastAsia="zh-CN"/>
        </w:rPr>
      </w:pPr>
      <w:r w:rsidRPr="00D02539">
        <w:rPr>
          <w:rFonts w:eastAsia="SimSun" w:cs="Times New Roman"/>
          <w:szCs w:val="18"/>
          <w:lang w:eastAsia="zh-CN"/>
        </w:rPr>
        <w:t>To ensure the reliability of the multivariable Cox regression model, multi-collinearity test was performed among the independent variables. The Variance Inflation Factor (VIF) was calculated for each predictor, and all values were found to be below 2. This indicates that there was no significant correlation between independent variables that could negatively influence the model's estimates. Therefore, the assumption of multi-collinearity was not violated, confirming that the independent variables included in the final model were appropriate and did not influence each other.</w:t>
      </w:r>
    </w:p>
    <w:p w14:paraId="27CF709A" w14:textId="77777777" w:rsidR="00D02539" w:rsidRPr="00D02539" w:rsidRDefault="00D02539" w:rsidP="00D02539">
      <w:pPr>
        <w:spacing w:before="120" w:line="240" w:lineRule="auto"/>
        <w:jc w:val="both"/>
        <w:rPr>
          <w:rFonts w:eastAsia="SimSun" w:cs="Times New Roman"/>
          <w:szCs w:val="18"/>
          <w:lang w:eastAsia="zh-CN"/>
        </w:rPr>
      </w:pPr>
      <w:r w:rsidRPr="00D02539">
        <w:rPr>
          <w:rFonts w:eastAsia="SimSun" w:cs="Times New Roman"/>
          <w:szCs w:val="18"/>
          <w:lang w:eastAsia="zh-CN"/>
        </w:rPr>
        <w:t>Multi-collinearity check for each variable based on Bivariate outcome (p &lt;0.2).</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900"/>
        <w:gridCol w:w="5382"/>
      </w:tblGrid>
      <w:tr w:rsidR="00D02539" w:rsidRPr="00D02539" w14:paraId="602F92C6" w14:textId="77777777" w:rsidTr="002B23C4">
        <w:trPr>
          <w:trHeight w:val="702"/>
        </w:trPr>
        <w:tc>
          <w:tcPr>
            <w:tcW w:w="2268" w:type="dxa"/>
            <w:hideMark/>
          </w:tcPr>
          <w:p w14:paraId="5C1F8402" w14:textId="77777777" w:rsidR="00D02539" w:rsidRPr="00D02539" w:rsidRDefault="00D02539" w:rsidP="00D02539">
            <w:pPr>
              <w:spacing w:line="360" w:lineRule="auto"/>
              <w:jc w:val="both"/>
              <w:rPr>
                <w:rFonts w:eastAsia="Times New Roman" w:cs="Times New Roman"/>
                <w:b/>
                <w:szCs w:val="24"/>
              </w:rPr>
            </w:pPr>
            <w:r w:rsidRPr="00D02539">
              <w:rPr>
                <w:rFonts w:eastAsia="Times New Roman" w:cs="Times New Roman"/>
                <w:b/>
                <w:bCs/>
                <w:szCs w:val="24"/>
              </w:rPr>
              <w:t xml:space="preserve">    Variable</w:t>
            </w:r>
          </w:p>
        </w:tc>
        <w:tc>
          <w:tcPr>
            <w:tcW w:w="900" w:type="dxa"/>
            <w:hideMark/>
          </w:tcPr>
          <w:p w14:paraId="4018262E" w14:textId="77777777" w:rsidR="00D02539" w:rsidRPr="00D02539" w:rsidRDefault="00D02539" w:rsidP="00D02539">
            <w:pPr>
              <w:spacing w:line="360" w:lineRule="auto"/>
              <w:ind w:left="30"/>
              <w:jc w:val="both"/>
              <w:rPr>
                <w:rFonts w:eastAsia="Times New Roman" w:cs="Times New Roman"/>
                <w:b/>
                <w:szCs w:val="24"/>
              </w:rPr>
            </w:pPr>
            <w:r w:rsidRPr="00D02539">
              <w:rPr>
                <w:rFonts w:eastAsia="Times New Roman" w:cs="Times New Roman"/>
                <w:b/>
                <w:bCs/>
                <w:szCs w:val="24"/>
              </w:rPr>
              <w:t>VIF</w:t>
            </w:r>
          </w:p>
        </w:tc>
        <w:tc>
          <w:tcPr>
            <w:tcW w:w="5382" w:type="dxa"/>
            <w:hideMark/>
          </w:tcPr>
          <w:p w14:paraId="797D8A4D" w14:textId="77777777" w:rsidR="00D02539" w:rsidRPr="00D02539" w:rsidRDefault="00D02539" w:rsidP="00D02539">
            <w:pPr>
              <w:spacing w:line="360" w:lineRule="auto"/>
              <w:jc w:val="both"/>
              <w:rPr>
                <w:rFonts w:eastAsia="Times New Roman" w:cs="Times New Roman"/>
                <w:b/>
                <w:szCs w:val="24"/>
              </w:rPr>
            </w:pPr>
            <w:r w:rsidRPr="00D02539">
              <w:rPr>
                <w:rFonts w:eastAsia="Times New Roman" w:cs="Times New Roman"/>
                <w:b/>
                <w:bCs/>
                <w:szCs w:val="24"/>
              </w:rPr>
              <w:t xml:space="preserve">1/VIF  </w:t>
            </w:r>
          </w:p>
        </w:tc>
      </w:tr>
      <w:tr w:rsidR="00D02539" w:rsidRPr="00D02539" w14:paraId="62A8C858" w14:textId="77777777" w:rsidTr="002B23C4">
        <w:trPr>
          <w:trHeight w:val="686"/>
        </w:trPr>
        <w:tc>
          <w:tcPr>
            <w:tcW w:w="2268" w:type="dxa"/>
          </w:tcPr>
          <w:p w14:paraId="1C1E97DD" w14:textId="77777777" w:rsidR="00D02539" w:rsidRPr="00D02539" w:rsidRDefault="00D02539" w:rsidP="00D02539">
            <w:pPr>
              <w:spacing w:line="360" w:lineRule="auto"/>
              <w:jc w:val="both"/>
              <w:rPr>
                <w:rFonts w:eastAsia="Times New Roman" w:cs="Times New Roman"/>
                <w:bCs/>
                <w:szCs w:val="24"/>
              </w:rPr>
            </w:pPr>
            <w:r w:rsidRPr="00D02539">
              <w:rPr>
                <w:rFonts w:eastAsia="Calibri" w:cs="Times New Roman"/>
                <w:bCs/>
                <w:sz w:val="22"/>
              </w:rPr>
              <w:t>ANC Follow up</w:t>
            </w:r>
          </w:p>
        </w:tc>
        <w:tc>
          <w:tcPr>
            <w:tcW w:w="900" w:type="dxa"/>
          </w:tcPr>
          <w:p w14:paraId="5CB4BC45"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1.03</w:t>
            </w:r>
          </w:p>
        </w:tc>
        <w:tc>
          <w:tcPr>
            <w:tcW w:w="5382" w:type="dxa"/>
          </w:tcPr>
          <w:p w14:paraId="1CA78BBE"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0.96</w:t>
            </w:r>
          </w:p>
        </w:tc>
      </w:tr>
      <w:tr w:rsidR="00D02539" w:rsidRPr="00D02539" w14:paraId="30ECC5A6" w14:textId="77777777" w:rsidTr="002B23C4">
        <w:trPr>
          <w:trHeight w:val="702"/>
        </w:trPr>
        <w:tc>
          <w:tcPr>
            <w:tcW w:w="2268" w:type="dxa"/>
          </w:tcPr>
          <w:p w14:paraId="001ACD63" w14:textId="77777777" w:rsidR="00D02539" w:rsidRPr="00D02539" w:rsidRDefault="00D02539" w:rsidP="00D02539">
            <w:pPr>
              <w:spacing w:line="360" w:lineRule="auto"/>
              <w:jc w:val="both"/>
              <w:rPr>
                <w:rFonts w:eastAsia="Times New Roman" w:cs="Times New Roman"/>
                <w:bCs/>
                <w:szCs w:val="24"/>
              </w:rPr>
            </w:pPr>
            <w:r w:rsidRPr="00D02539">
              <w:rPr>
                <w:rFonts w:eastAsia="Calibri" w:cs="Times New Roman"/>
                <w:bCs/>
                <w:sz w:val="22"/>
              </w:rPr>
              <w:t>Antenatal Steroid use</w:t>
            </w:r>
          </w:p>
        </w:tc>
        <w:tc>
          <w:tcPr>
            <w:tcW w:w="900" w:type="dxa"/>
          </w:tcPr>
          <w:p w14:paraId="1F45F448"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1.01</w:t>
            </w:r>
          </w:p>
        </w:tc>
        <w:tc>
          <w:tcPr>
            <w:tcW w:w="5382" w:type="dxa"/>
          </w:tcPr>
          <w:p w14:paraId="59B9332A"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0.99</w:t>
            </w:r>
          </w:p>
        </w:tc>
      </w:tr>
      <w:tr w:rsidR="00D02539" w:rsidRPr="00D02539" w14:paraId="06A9BEF0" w14:textId="77777777" w:rsidTr="002B23C4">
        <w:trPr>
          <w:trHeight w:val="686"/>
        </w:trPr>
        <w:tc>
          <w:tcPr>
            <w:tcW w:w="2268" w:type="dxa"/>
          </w:tcPr>
          <w:p w14:paraId="066740A8" w14:textId="77777777" w:rsidR="00D02539" w:rsidRPr="00D02539" w:rsidRDefault="00D02539" w:rsidP="00D02539">
            <w:pPr>
              <w:spacing w:line="360" w:lineRule="auto"/>
              <w:jc w:val="both"/>
              <w:rPr>
                <w:rFonts w:eastAsia="Times New Roman" w:cs="Times New Roman"/>
                <w:bCs/>
                <w:szCs w:val="24"/>
              </w:rPr>
            </w:pPr>
            <w:r w:rsidRPr="00D02539">
              <w:rPr>
                <w:rFonts w:eastAsia="Times New Roman" w:cs="Times New Roman"/>
                <w:bCs/>
                <w:sz w:val="22"/>
              </w:rPr>
              <w:t>Place of birth</w:t>
            </w:r>
          </w:p>
        </w:tc>
        <w:tc>
          <w:tcPr>
            <w:tcW w:w="900" w:type="dxa"/>
          </w:tcPr>
          <w:p w14:paraId="42282E38"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1.03</w:t>
            </w:r>
          </w:p>
        </w:tc>
        <w:tc>
          <w:tcPr>
            <w:tcW w:w="5382" w:type="dxa"/>
          </w:tcPr>
          <w:p w14:paraId="1A81F53C"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0.96</w:t>
            </w:r>
          </w:p>
        </w:tc>
      </w:tr>
      <w:tr w:rsidR="00D02539" w:rsidRPr="00D02539" w14:paraId="33873135" w14:textId="77777777" w:rsidTr="002B23C4">
        <w:trPr>
          <w:trHeight w:val="686"/>
        </w:trPr>
        <w:tc>
          <w:tcPr>
            <w:tcW w:w="2268" w:type="dxa"/>
          </w:tcPr>
          <w:p w14:paraId="390EC33F" w14:textId="77777777" w:rsidR="00D02539" w:rsidRPr="00D02539" w:rsidRDefault="00D02539" w:rsidP="00D02539">
            <w:pPr>
              <w:spacing w:line="360" w:lineRule="auto"/>
              <w:jc w:val="both"/>
              <w:rPr>
                <w:rFonts w:eastAsia="Times New Roman" w:cs="Times New Roman"/>
                <w:bCs/>
                <w:szCs w:val="24"/>
              </w:rPr>
            </w:pPr>
            <w:r w:rsidRPr="00D02539">
              <w:rPr>
                <w:rFonts w:eastAsia="Calibri" w:cs="Times New Roman"/>
                <w:bCs/>
                <w:sz w:val="22"/>
              </w:rPr>
              <w:t>Resuscitation at birth</w:t>
            </w:r>
          </w:p>
        </w:tc>
        <w:tc>
          <w:tcPr>
            <w:tcW w:w="900" w:type="dxa"/>
          </w:tcPr>
          <w:p w14:paraId="06651B5C"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1.08</w:t>
            </w:r>
          </w:p>
        </w:tc>
        <w:tc>
          <w:tcPr>
            <w:tcW w:w="5382" w:type="dxa"/>
          </w:tcPr>
          <w:p w14:paraId="6FD7593B"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0.92</w:t>
            </w:r>
          </w:p>
        </w:tc>
      </w:tr>
      <w:tr w:rsidR="00D02539" w:rsidRPr="00D02539" w14:paraId="56D8A648" w14:textId="77777777" w:rsidTr="002B23C4">
        <w:trPr>
          <w:trHeight w:val="702"/>
        </w:trPr>
        <w:tc>
          <w:tcPr>
            <w:tcW w:w="2268" w:type="dxa"/>
          </w:tcPr>
          <w:p w14:paraId="647792FF" w14:textId="77777777" w:rsidR="00D02539" w:rsidRPr="00D02539" w:rsidRDefault="00D02539" w:rsidP="00D02539">
            <w:pPr>
              <w:spacing w:line="360" w:lineRule="auto"/>
              <w:jc w:val="both"/>
              <w:rPr>
                <w:rFonts w:eastAsia="Calibri" w:cs="Times New Roman"/>
                <w:bCs/>
                <w:sz w:val="22"/>
              </w:rPr>
            </w:pPr>
            <w:r w:rsidRPr="00D02539">
              <w:rPr>
                <w:rFonts w:eastAsia="Calibri" w:cs="Times New Roman"/>
                <w:bCs/>
                <w:sz w:val="22"/>
              </w:rPr>
              <w:t>Hypothermia</w:t>
            </w:r>
          </w:p>
        </w:tc>
        <w:tc>
          <w:tcPr>
            <w:tcW w:w="900" w:type="dxa"/>
          </w:tcPr>
          <w:p w14:paraId="5A4F2B2F"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1.02</w:t>
            </w:r>
          </w:p>
        </w:tc>
        <w:tc>
          <w:tcPr>
            <w:tcW w:w="5382" w:type="dxa"/>
          </w:tcPr>
          <w:p w14:paraId="2A388F27"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0.98</w:t>
            </w:r>
          </w:p>
        </w:tc>
      </w:tr>
      <w:tr w:rsidR="00D02539" w:rsidRPr="00D02539" w14:paraId="738520AD" w14:textId="77777777" w:rsidTr="002B23C4">
        <w:trPr>
          <w:trHeight w:val="686"/>
        </w:trPr>
        <w:tc>
          <w:tcPr>
            <w:tcW w:w="2268" w:type="dxa"/>
          </w:tcPr>
          <w:p w14:paraId="506FED33" w14:textId="77777777" w:rsidR="00D02539" w:rsidRPr="00D02539" w:rsidRDefault="00D02539" w:rsidP="00D02539">
            <w:pPr>
              <w:spacing w:line="360" w:lineRule="auto"/>
              <w:jc w:val="both"/>
              <w:rPr>
                <w:rFonts w:eastAsia="Calibri" w:cs="Times New Roman"/>
                <w:bCs/>
                <w:sz w:val="22"/>
              </w:rPr>
            </w:pPr>
            <w:r w:rsidRPr="00D02539">
              <w:rPr>
                <w:rFonts w:eastAsia="Times New Roman" w:cs="Times New Roman"/>
                <w:bCs/>
                <w:sz w:val="22"/>
              </w:rPr>
              <w:t>Anemia</w:t>
            </w:r>
          </w:p>
        </w:tc>
        <w:tc>
          <w:tcPr>
            <w:tcW w:w="900" w:type="dxa"/>
          </w:tcPr>
          <w:p w14:paraId="70EB9D95"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1.06</w:t>
            </w:r>
          </w:p>
        </w:tc>
        <w:tc>
          <w:tcPr>
            <w:tcW w:w="5382" w:type="dxa"/>
          </w:tcPr>
          <w:p w14:paraId="1A095817"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0.94</w:t>
            </w:r>
          </w:p>
        </w:tc>
      </w:tr>
      <w:tr w:rsidR="00D02539" w:rsidRPr="00D02539" w14:paraId="1802549E" w14:textId="77777777" w:rsidTr="002B23C4">
        <w:trPr>
          <w:trHeight w:val="702"/>
        </w:trPr>
        <w:tc>
          <w:tcPr>
            <w:tcW w:w="2268" w:type="dxa"/>
          </w:tcPr>
          <w:p w14:paraId="55438123" w14:textId="77777777" w:rsidR="00D02539" w:rsidRPr="00D02539" w:rsidRDefault="00D02539" w:rsidP="00D02539">
            <w:pPr>
              <w:spacing w:line="360" w:lineRule="auto"/>
              <w:jc w:val="both"/>
              <w:rPr>
                <w:rFonts w:eastAsia="Times New Roman" w:cs="Times New Roman"/>
                <w:bCs/>
                <w:sz w:val="22"/>
              </w:rPr>
            </w:pPr>
            <w:r w:rsidRPr="00D02539">
              <w:rPr>
                <w:rFonts w:eastAsia="Times New Roman" w:cs="Times New Roman"/>
                <w:bCs/>
                <w:sz w:val="22"/>
              </w:rPr>
              <w:t>IVH</w:t>
            </w:r>
          </w:p>
        </w:tc>
        <w:tc>
          <w:tcPr>
            <w:tcW w:w="900" w:type="dxa"/>
          </w:tcPr>
          <w:p w14:paraId="19BDF1F6"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1.04</w:t>
            </w:r>
          </w:p>
        </w:tc>
        <w:tc>
          <w:tcPr>
            <w:tcW w:w="5382" w:type="dxa"/>
          </w:tcPr>
          <w:p w14:paraId="26F82078"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0.96</w:t>
            </w:r>
          </w:p>
        </w:tc>
      </w:tr>
      <w:tr w:rsidR="00D02539" w:rsidRPr="00D02539" w14:paraId="2DC55BB3" w14:textId="77777777" w:rsidTr="002B23C4">
        <w:trPr>
          <w:trHeight w:val="686"/>
        </w:trPr>
        <w:tc>
          <w:tcPr>
            <w:tcW w:w="2268" w:type="dxa"/>
          </w:tcPr>
          <w:p w14:paraId="2C74EDA4" w14:textId="77777777" w:rsidR="00D02539" w:rsidRPr="00D02539" w:rsidRDefault="00D02539" w:rsidP="00D02539">
            <w:pPr>
              <w:spacing w:line="360" w:lineRule="auto"/>
              <w:jc w:val="both"/>
              <w:rPr>
                <w:rFonts w:eastAsia="Times New Roman" w:cs="Times New Roman"/>
                <w:bCs/>
                <w:sz w:val="22"/>
              </w:rPr>
            </w:pPr>
            <w:r w:rsidRPr="00D02539">
              <w:rPr>
                <w:rFonts w:eastAsia="Times New Roman" w:cs="Times New Roman"/>
                <w:bCs/>
                <w:sz w:val="22"/>
              </w:rPr>
              <w:t>Seizure</w:t>
            </w:r>
          </w:p>
        </w:tc>
        <w:tc>
          <w:tcPr>
            <w:tcW w:w="900" w:type="dxa"/>
          </w:tcPr>
          <w:p w14:paraId="1CCD87EB"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1.12</w:t>
            </w:r>
          </w:p>
        </w:tc>
        <w:tc>
          <w:tcPr>
            <w:tcW w:w="5382" w:type="dxa"/>
          </w:tcPr>
          <w:p w14:paraId="13E405F6" w14:textId="77777777" w:rsidR="00D02539" w:rsidRPr="00D02539" w:rsidRDefault="00D02539" w:rsidP="00D02539">
            <w:pPr>
              <w:spacing w:line="360" w:lineRule="auto"/>
              <w:jc w:val="both"/>
              <w:rPr>
                <w:rFonts w:eastAsia="Times New Roman" w:cs="Times New Roman"/>
                <w:szCs w:val="24"/>
              </w:rPr>
            </w:pPr>
            <w:r w:rsidRPr="00D02539">
              <w:rPr>
                <w:rFonts w:eastAsia="Times New Roman" w:cs="Times New Roman"/>
                <w:szCs w:val="24"/>
              </w:rPr>
              <w:t>0.89</w:t>
            </w:r>
          </w:p>
        </w:tc>
      </w:tr>
      <w:tr w:rsidR="00D02539" w:rsidRPr="00D02539" w14:paraId="30521BC9" w14:textId="77777777" w:rsidTr="002B23C4">
        <w:trPr>
          <w:trHeight w:val="686"/>
        </w:trPr>
        <w:tc>
          <w:tcPr>
            <w:tcW w:w="2268" w:type="dxa"/>
          </w:tcPr>
          <w:p w14:paraId="075BB7C0" w14:textId="77777777" w:rsidR="00D02539" w:rsidRPr="00D02539" w:rsidRDefault="00D02539" w:rsidP="00D02539">
            <w:pPr>
              <w:spacing w:line="360" w:lineRule="auto"/>
              <w:jc w:val="both"/>
              <w:rPr>
                <w:rFonts w:eastAsia="Times New Roman" w:cs="Times New Roman"/>
                <w:b/>
                <w:sz w:val="22"/>
              </w:rPr>
            </w:pPr>
            <w:r w:rsidRPr="00D02539">
              <w:rPr>
                <w:rFonts w:eastAsia="Times New Roman" w:cs="Times New Roman"/>
                <w:b/>
                <w:sz w:val="22"/>
              </w:rPr>
              <w:t xml:space="preserve">             Mean VIF</w:t>
            </w:r>
          </w:p>
        </w:tc>
        <w:tc>
          <w:tcPr>
            <w:tcW w:w="900" w:type="dxa"/>
          </w:tcPr>
          <w:p w14:paraId="64A4EC6E" w14:textId="77777777" w:rsidR="00D02539" w:rsidRPr="00D02539" w:rsidRDefault="00D02539" w:rsidP="00D02539">
            <w:pPr>
              <w:spacing w:line="360" w:lineRule="auto"/>
              <w:jc w:val="both"/>
              <w:rPr>
                <w:rFonts w:eastAsia="Times New Roman" w:cs="Times New Roman"/>
                <w:b/>
                <w:szCs w:val="24"/>
              </w:rPr>
            </w:pPr>
            <w:r w:rsidRPr="00D02539">
              <w:rPr>
                <w:rFonts w:eastAsia="Times New Roman" w:cs="Times New Roman"/>
                <w:b/>
                <w:szCs w:val="24"/>
              </w:rPr>
              <w:t>1.05</w:t>
            </w:r>
          </w:p>
        </w:tc>
        <w:tc>
          <w:tcPr>
            <w:tcW w:w="5382" w:type="dxa"/>
          </w:tcPr>
          <w:p w14:paraId="260F3432" w14:textId="77777777" w:rsidR="00D02539" w:rsidRPr="00D02539" w:rsidRDefault="00D02539" w:rsidP="00D02539">
            <w:pPr>
              <w:spacing w:line="360" w:lineRule="auto"/>
              <w:jc w:val="both"/>
              <w:rPr>
                <w:rFonts w:eastAsia="Times New Roman" w:cs="Times New Roman"/>
                <w:szCs w:val="24"/>
              </w:rPr>
            </w:pPr>
          </w:p>
        </w:tc>
      </w:tr>
    </w:tbl>
    <w:p w14:paraId="5900BBA5" w14:textId="77777777" w:rsidR="00D02539" w:rsidRPr="00D02539" w:rsidRDefault="00D02539" w:rsidP="00D02539">
      <w:pPr>
        <w:spacing w:before="120" w:after="280" w:line="360" w:lineRule="auto"/>
        <w:jc w:val="both"/>
        <w:rPr>
          <w:rFonts w:eastAsia="Calibri" w:cs="Times New Roman"/>
        </w:rPr>
      </w:pPr>
    </w:p>
    <w:p w14:paraId="0C2B89AD" w14:textId="77777777" w:rsidR="00D02539" w:rsidRPr="00D02539" w:rsidRDefault="00D02539" w:rsidP="00D02539">
      <w:pPr>
        <w:spacing w:before="120" w:after="280" w:line="360" w:lineRule="auto"/>
        <w:jc w:val="both"/>
        <w:rPr>
          <w:rFonts w:eastAsia="Calibri" w:cs="Times New Roman"/>
        </w:rPr>
      </w:pPr>
    </w:p>
    <w:p w14:paraId="7D4D786D" w14:textId="23F1BBD5" w:rsidR="00D02539" w:rsidRPr="00D02539" w:rsidRDefault="00D02539" w:rsidP="00D02539">
      <w:pPr>
        <w:pStyle w:val="Heading1"/>
        <w:rPr>
          <w:rFonts w:eastAsia="Times New Roman"/>
        </w:rPr>
      </w:pPr>
      <w:bookmarkStart w:id="2" w:name="annexIII"/>
      <w:bookmarkStart w:id="3" w:name="_Toc198036424"/>
      <w:r w:rsidRPr="00D02539">
        <w:rPr>
          <w:rFonts w:eastAsia="Times New Roman"/>
        </w:rPr>
        <w:lastRenderedPageBreak/>
        <w:t>ANNEX II</w:t>
      </w:r>
      <w:bookmarkEnd w:id="2"/>
      <w:r w:rsidRPr="00D02539">
        <w:rPr>
          <w:rFonts w:eastAsia="Times New Roman"/>
        </w:rPr>
        <w:t>: PROPORTIONAL HAZARD ASSUMPTION</w:t>
      </w:r>
      <w:bookmarkEnd w:id="3"/>
    </w:p>
    <w:p w14:paraId="2011F1D9" w14:textId="77777777" w:rsidR="00D02539" w:rsidRPr="00D02539" w:rsidRDefault="00D02539" w:rsidP="00D02539">
      <w:pPr>
        <w:spacing w:before="120" w:after="280" w:line="360" w:lineRule="auto"/>
        <w:jc w:val="both"/>
        <w:rPr>
          <w:rFonts w:eastAsia="Calibri" w:cs="Times New Roman"/>
        </w:rPr>
      </w:pPr>
    </w:p>
    <w:p w14:paraId="6B77DC3C" w14:textId="77777777" w:rsidR="00D02539" w:rsidRPr="00D02539" w:rsidRDefault="00D02539" w:rsidP="00D02539">
      <w:pPr>
        <w:spacing w:before="120" w:after="280" w:line="360" w:lineRule="auto"/>
        <w:jc w:val="both"/>
        <w:rPr>
          <w:rFonts w:eastAsia="Calibri" w:cs="Times New Roman"/>
        </w:rPr>
      </w:pPr>
      <w:r w:rsidRPr="00D02539">
        <w:rPr>
          <w:rFonts w:eastAsia="Calibri" w:cs="Times New Roman"/>
        </w:rPr>
        <w:t>The proportional hazards assumption was checked using both graphs and statistical methods, and it was found to be met. The log-log plots showed that the lines were roughly parallel, which means the assumption was not violated. Also, the Schoenfeld Residuals test was checked and the global test was performed to test the hypothesis that the hazard ratios are constant over time. The global test was statistically insignificant (P= 0.0659) greater than the tabulated level of significance (0.05). This means it was appropriate to use the Cox regression model in this study.</w:t>
      </w:r>
    </w:p>
    <w:p w14:paraId="7048D1CB" w14:textId="77777777" w:rsidR="00D02539" w:rsidRPr="00D02539" w:rsidRDefault="00D02539" w:rsidP="00D02539">
      <w:pPr>
        <w:spacing w:before="120" w:after="280" w:line="360" w:lineRule="auto"/>
        <w:jc w:val="both"/>
        <w:rPr>
          <w:rFonts w:eastAsia="Calibri" w:cs="Times New Roman"/>
        </w:rPr>
      </w:pPr>
    </w:p>
    <w:p w14:paraId="34A55D72" w14:textId="77777777" w:rsidR="00D02539" w:rsidRPr="00D02539" w:rsidRDefault="00D02539" w:rsidP="00D02539">
      <w:pPr>
        <w:spacing w:before="120" w:after="280" w:line="360" w:lineRule="auto"/>
        <w:jc w:val="both"/>
        <w:rPr>
          <w:rFonts w:eastAsia="Calibri" w:cs="Times New Roman"/>
        </w:rPr>
      </w:pPr>
    </w:p>
    <w:p w14:paraId="46FEAC44" w14:textId="77777777" w:rsidR="00D02539" w:rsidRPr="00D02539" w:rsidRDefault="00D02539" w:rsidP="00D02539">
      <w:pPr>
        <w:spacing w:before="120" w:after="280" w:line="360" w:lineRule="auto"/>
        <w:jc w:val="both"/>
        <w:rPr>
          <w:rFonts w:eastAsia="Calibri" w:cs="Times New Roman"/>
        </w:rPr>
      </w:pPr>
    </w:p>
    <w:p w14:paraId="33237BFA" w14:textId="77777777" w:rsidR="00D02539" w:rsidRPr="00D02539" w:rsidRDefault="00D02539" w:rsidP="00D02539">
      <w:pPr>
        <w:spacing w:before="120" w:after="280" w:line="360" w:lineRule="auto"/>
        <w:jc w:val="both"/>
        <w:rPr>
          <w:rFonts w:eastAsia="Calibri" w:cs="Times New Roman"/>
        </w:rPr>
      </w:pPr>
    </w:p>
    <w:p w14:paraId="73580666" w14:textId="77777777" w:rsidR="00D02539" w:rsidRPr="00D02539" w:rsidRDefault="00D02539" w:rsidP="00D02539">
      <w:pPr>
        <w:spacing w:before="120" w:after="280" w:line="360" w:lineRule="auto"/>
        <w:jc w:val="both"/>
        <w:rPr>
          <w:rFonts w:eastAsia="Calibri" w:cs="Times New Roman"/>
        </w:rPr>
      </w:pPr>
    </w:p>
    <w:p w14:paraId="12FA7C6E" w14:textId="77777777" w:rsidR="00D02539" w:rsidRPr="00D02539" w:rsidRDefault="00D02539" w:rsidP="00D02539">
      <w:pPr>
        <w:spacing w:before="120" w:after="280" w:line="360" w:lineRule="auto"/>
        <w:jc w:val="both"/>
        <w:rPr>
          <w:rFonts w:eastAsia="Calibri" w:cs="Times New Roman"/>
        </w:rPr>
      </w:pPr>
    </w:p>
    <w:p w14:paraId="2E8447BA" w14:textId="77777777" w:rsidR="00D02539" w:rsidRPr="00D02539" w:rsidRDefault="00D02539" w:rsidP="00D02539">
      <w:pPr>
        <w:spacing w:before="120" w:after="280" w:line="360" w:lineRule="auto"/>
        <w:jc w:val="both"/>
        <w:rPr>
          <w:rFonts w:eastAsia="Calibri" w:cs="Times New Roman"/>
        </w:rPr>
      </w:pPr>
    </w:p>
    <w:p w14:paraId="23C07427" w14:textId="77777777" w:rsidR="00D02539" w:rsidRPr="00D02539" w:rsidRDefault="00D02539" w:rsidP="00D02539">
      <w:pPr>
        <w:spacing w:before="120" w:after="280" w:line="360" w:lineRule="auto"/>
        <w:jc w:val="both"/>
        <w:rPr>
          <w:rFonts w:eastAsia="Calibri" w:cs="Times New Roman"/>
        </w:rPr>
      </w:pPr>
    </w:p>
    <w:p w14:paraId="2934BDE2" w14:textId="77777777" w:rsidR="00D02539" w:rsidRPr="00D02539" w:rsidRDefault="00D02539" w:rsidP="00D02539">
      <w:pPr>
        <w:spacing w:before="120" w:after="280" w:line="360" w:lineRule="auto"/>
        <w:jc w:val="both"/>
        <w:rPr>
          <w:rFonts w:eastAsia="Calibri" w:cs="Times New Roman"/>
        </w:rPr>
      </w:pPr>
    </w:p>
    <w:p w14:paraId="6765460A" w14:textId="77777777" w:rsidR="00D02539" w:rsidRPr="00D02539" w:rsidRDefault="00D02539" w:rsidP="00D02539">
      <w:pPr>
        <w:spacing w:before="120" w:after="280" w:line="360" w:lineRule="auto"/>
        <w:jc w:val="both"/>
        <w:rPr>
          <w:rFonts w:eastAsia="Calibri" w:cs="Times New Roman"/>
        </w:rPr>
      </w:pPr>
    </w:p>
    <w:p w14:paraId="333CDDA7" w14:textId="77777777" w:rsidR="00D02539" w:rsidRPr="00D02539" w:rsidRDefault="00D02539" w:rsidP="00D02539">
      <w:pPr>
        <w:spacing w:before="120" w:after="280" w:line="360" w:lineRule="auto"/>
        <w:jc w:val="both"/>
        <w:rPr>
          <w:rFonts w:eastAsia="Calibri" w:cs="Times New Roman"/>
        </w:rPr>
      </w:pPr>
    </w:p>
    <w:p w14:paraId="41101859" w14:textId="77777777" w:rsidR="00D02539" w:rsidRPr="00D02539" w:rsidRDefault="00D02539" w:rsidP="00D02539">
      <w:pPr>
        <w:spacing w:before="120" w:after="280" w:line="360" w:lineRule="auto"/>
        <w:jc w:val="both"/>
        <w:rPr>
          <w:rFonts w:eastAsia="Calibri" w:cs="Times New Roman"/>
        </w:rPr>
      </w:pPr>
    </w:p>
    <w:p w14:paraId="2182EF84" w14:textId="7DD130D8" w:rsidR="00D02539" w:rsidRPr="00D02539" w:rsidRDefault="00D02539" w:rsidP="00D02539">
      <w:pPr>
        <w:pStyle w:val="Heading1"/>
        <w:rPr>
          <w:rFonts w:eastAsia="Times New Roman"/>
        </w:rPr>
      </w:pPr>
      <w:bookmarkStart w:id="4" w:name="annexIV"/>
      <w:bookmarkStart w:id="5" w:name="_Toc198036425"/>
      <w:r w:rsidRPr="00D02539">
        <w:rPr>
          <w:rFonts w:eastAsia="Times New Roman"/>
        </w:rPr>
        <w:lastRenderedPageBreak/>
        <w:t>ANNEX I</w:t>
      </w:r>
      <w:bookmarkEnd w:id="4"/>
      <w:r>
        <w:rPr>
          <w:rFonts w:eastAsia="Times New Roman"/>
        </w:rPr>
        <w:t>II</w:t>
      </w:r>
      <w:r w:rsidRPr="00D02539">
        <w:rPr>
          <w:rFonts w:eastAsia="Times New Roman"/>
        </w:rPr>
        <w:t>: MODEL GOODNESS-OF-FITNESS</w:t>
      </w:r>
      <w:bookmarkEnd w:id="5"/>
    </w:p>
    <w:p w14:paraId="372B64FC" w14:textId="77777777" w:rsidR="00D02539" w:rsidRPr="00D02539" w:rsidRDefault="00D02539" w:rsidP="00D02539">
      <w:pPr>
        <w:spacing w:before="120" w:after="280" w:line="360" w:lineRule="auto"/>
        <w:jc w:val="both"/>
        <w:rPr>
          <w:rFonts w:eastAsia="Calibri" w:cs="Times New Roman"/>
        </w:rPr>
      </w:pPr>
    </w:p>
    <w:p w14:paraId="16CDDCB5" w14:textId="77777777" w:rsidR="00D02539" w:rsidRPr="00D02539" w:rsidRDefault="00D02539" w:rsidP="00D02539">
      <w:pPr>
        <w:spacing w:before="120" w:after="280" w:line="360" w:lineRule="auto"/>
        <w:jc w:val="both"/>
        <w:rPr>
          <w:rFonts w:eastAsia="Calibri" w:cs="Times New Roman"/>
        </w:rPr>
      </w:pPr>
      <w:r w:rsidRPr="00D02539">
        <w:rPr>
          <w:rFonts w:eastAsia="Calibri" w:cs="Times New Roman"/>
        </w:rPr>
        <w:t>The overall goodness-of-fit of the Cox proportional hazards model in this study was assessed using the Cox-Snell residual plot. The plot showed that the residuals closely followed the 45-degree reference line, indicating that the model fits the data well. This alignment suggests that the estimated survival function adequately represents the observed survival experience of the study population. Therefore, the Cox model was deemed appropriate for analyzing the factors associated with the survival of preterm neonates in this study.</w:t>
      </w:r>
    </w:p>
    <w:p w14:paraId="7298D854" w14:textId="77777777" w:rsidR="00D02539" w:rsidRPr="00D02539" w:rsidRDefault="00D02539" w:rsidP="00D02539">
      <w:pPr>
        <w:spacing w:before="120" w:after="280" w:line="360" w:lineRule="auto"/>
        <w:jc w:val="both"/>
        <w:rPr>
          <w:rFonts w:eastAsia="Calibri" w:cs="Times New Roman"/>
        </w:rPr>
      </w:pPr>
      <w:r w:rsidRPr="00D02539">
        <w:rPr>
          <w:rFonts w:eastAsia="Calibri" w:cs="Times New Roman"/>
          <w:noProof/>
        </w:rPr>
        <w:drawing>
          <wp:inline distT="0" distB="0" distL="0" distR="0" wp14:anchorId="371AD2A5" wp14:editId="1B0FE3A1">
            <wp:extent cx="5718810" cy="41332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810" cy="4133215"/>
                    </a:xfrm>
                    <a:prstGeom prst="rect">
                      <a:avLst/>
                    </a:prstGeom>
                    <a:noFill/>
                  </pic:spPr>
                </pic:pic>
              </a:graphicData>
            </a:graphic>
          </wp:inline>
        </w:drawing>
      </w:r>
    </w:p>
    <w:p w14:paraId="6CB000C7" w14:textId="77777777" w:rsidR="00D02539" w:rsidRPr="00D02539" w:rsidRDefault="00D02539" w:rsidP="00D02539">
      <w:pPr>
        <w:spacing w:before="120" w:line="240" w:lineRule="auto"/>
        <w:jc w:val="both"/>
        <w:rPr>
          <w:rFonts w:eastAsia="SimSun" w:cs="Times New Roman"/>
          <w:b/>
          <w:bCs/>
          <w:szCs w:val="18"/>
          <w:lang w:eastAsia="zh-CN"/>
        </w:rPr>
      </w:pPr>
      <w:bookmarkStart w:id="6" w:name="_Toc198036431"/>
      <w:r w:rsidRPr="00D02539">
        <w:rPr>
          <w:rFonts w:eastAsia="SimSun" w:cs="Times New Roman"/>
          <w:b/>
          <w:bCs/>
          <w:szCs w:val="18"/>
          <w:lang w:eastAsia="zh-CN"/>
        </w:rPr>
        <w:t xml:space="preserve">Figure </w:t>
      </w:r>
      <w:r w:rsidRPr="00D02539">
        <w:rPr>
          <w:rFonts w:eastAsia="SimSun" w:cs="Times New Roman"/>
          <w:b/>
          <w:bCs/>
          <w:szCs w:val="18"/>
          <w:lang w:eastAsia="zh-CN"/>
        </w:rPr>
        <w:fldChar w:fldCharType="begin"/>
      </w:r>
      <w:r w:rsidRPr="00D02539">
        <w:rPr>
          <w:rFonts w:eastAsia="SimSun" w:cs="Times New Roman"/>
          <w:b/>
          <w:bCs/>
          <w:szCs w:val="18"/>
          <w:lang w:eastAsia="zh-CN"/>
        </w:rPr>
        <w:instrText xml:space="preserve"> SEQ Figure \* ARABIC </w:instrText>
      </w:r>
      <w:r w:rsidRPr="00D02539">
        <w:rPr>
          <w:rFonts w:eastAsia="SimSun" w:cs="Times New Roman"/>
          <w:b/>
          <w:bCs/>
          <w:szCs w:val="18"/>
          <w:lang w:eastAsia="zh-CN"/>
        </w:rPr>
        <w:fldChar w:fldCharType="separate"/>
      </w:r>
      <w:r w:rsidRPr="00D02539">
        <w:rPr>
          <w:rFonts w:eastAsia="SimSun" w:cs="Times New Roman"/>
          <w:b/>
          <w:bCs/>
          <w:noProof/>
          <w:szCs w:val="18"/>
          <w:lang w:eastAsia="zh-CN"/>
        </w:rPr>
        <w:t>6</w:t>
      </w:r>
      <w:r w:rsidRPr="00D02539">
        <w:rPr>
          <w:rFonts w:eastAsia="SimSun" w:cs="Times New Roman"/>
          <w:b/>
          <w:bCs/>
          <w:noProof/>
          <w:szCs w:val="18"/>
          <w:lang w:eastAsia="zh-CN"/>
        </w:rPr>
        <w:fldChar w:fldCharType="end"/>
      </w:r>
      <w:r w:rsidRPr="00D02539">
        <w:rPr>
          <w:rFonts w:eastAsia="SimSun" w:cs="Times New Roman"/>
          <w:b/>
          <w:bCs/>
          <w:szCs w:val="18"/>
          <w:lang w:eastAsia="zh-CN"/>
        </w:rPr>
        <w:t>: Cox Snell residual test to test the overall adequacy of the model.</w:t>
      </w:r>
      <w:bookmarkEnd w:id="6"/>
    </w:p>
    <w:p w14:paraId="4F024311" w14:textId="63331AFA" w:rsidR="00EF2A8A" w:rsidRDefault="00EF2A8A" w:rsidP="00EF2A8A">
      <w:pPr>
        <w:spacing w:line="360" w:lineRule="auto"/>
        <w:jc w:val="both"/>
        <w:rPr>
          <w:rFonts w:eastAsia="Calibri" w:cs="Times New Roman"/>
        </w:rPr>
      </w:pPr>
    </w:p>
    <w:p w14:paraId="3A9ED83D" w14:textId="16804B60" w:rsidR="00EF2A8A" w:rsidRDefault="00EF2A8A" w:rsidP="00EF2A8A">
      <w:pPr>
        <w:spacing w:line="360" w:lineRule="auto"/>
        <w:jc w:val="both"/>
        <w:rPr>
          <w:rFonts w:eastAsia="Calibri" w:cs="Times New Roman"/>
        </w:rPr>
      </w:pPr>
    </w:p>
    <w:p w14:paraId="09EAD6C6" w14:textId="4FBF077E" w:rsidR="00EF2A8A" w:rsidRDefault="00EF2A8A" w:rsidP="00EF2A8A">
      <w:pPr>
        <w:spacing w:line="360" w:lineRule="auto"/>
        <w:jc w:val="both"/>
        <w:rPr>
          <w:rFonts w:eastAsia="Calibri" w:cs="Times New Roman"/>
        </w:rPr>
      </w:pPr>
    </w:p>
    <w:sectPr w:rsidR="00EF2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4FC0" w14:textId="77777777" w:rsidR="002E54AE" w:rsidRDefault="002E54AE" w:rsidP="00EA1AD7">
      <w:pPr>
        <w:spacing w:after="0" w:line="240" w:lineRule="auto"/>
      </w:pPr>
      <w:r>
        <w:separator/>
      </w:r>
    </w:p>
  </w:endnote>
  <w:endnote w:type="continuationSeparator" w:id="0">
    <w:p w14:paraId="11961749" w14:textId="77777777" w:rsidR="002E54AE" w:rsidRDefault="002E54AE" w:rsidP="00EA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95388" w14:textId="77777777" w:rsidR="002E54AE" w:rsidRDefault="002E54AE" w:rsidP="00EA1AD7">
      <w:pPr>
        <w:spacing w:after="0" w:line="240" w:lineRule="auto"/>
      </w:pPr>
      <w:r>
        <w:separator/>
      </w:r>
    </w:p>
  </w:footnote>
  <w:footnote w:type="continuationSeparator" w:id="0">
    <w:p w14:paraId="5AB8677A" w14:textId="77777777" w:rsidR="002E54AE" w:rsidRDefault="002E54AE" w:rsidP="00EA1A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894"/>
    <w:multiLevelType w:val="hybridMultilevel"/>
    <w:tmpl w:val="E4B0C3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C02BB5"/>
    <w:multiLevelType w:val="multilevel"/>
    <w:tmpl w:val="628E42C6"/>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BD270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AD2EFD"/>
    <w:multiLevelType w:val="hybridMultilevel"/>
    <w:tmpl w:val="9460D47E"/>
    <w:lvl w:ilvl="0" w:tplc="F4D2AF4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B055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713BAE"/>
    <w:multiLevelType w:val="multilevel"/>
    <w:tmpl w:val="1AD00102"/>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4B1AE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7D0157"/>
    <w:multiLevelType w:val="hybridMultilevel"/>
    <w:tmpl w:val="29F0545E"/>
    <w:lvl w:ilvl="0" w:tplc="F3E088A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67373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3A3D5A"/>
    <w:multiLevelType w:val="multilevel"/>
    <w:tmpl w:val="F822B30C"/>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0C7146"/>
    <w:multiLevelType w:val="hybridMultilevel"/>
    <w:tmpl w:val="96D2A2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4322C7"/>
    <w:multiLevelType w:val="multilevel"/>
    <w:tmpl w:val="EC38C492"/>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9327879"/>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17774A"/>
    <w:multiLevelType w:val="multilevel"/>
    <w:tmpl w:val="2A7EA958"/>
    <w:lvl w:ilvl="0">
      <w:start w:val="4"/>
      <w:numFmt w:val="decimal"/>
      <w:lvlText w:val="%1."/>
      <w:lvlJc w:val="left"/>
      <w:pPr>
        <w:ind w:left="600" w:hanging="60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7E7D4826"/>
    <w:multiLevelType w:val="hybridMultilevel"/>
    <w:tmpl w:val="AA147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 w:numId="14">
    <w:abstractNumId w:val="1"/>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81B24"/>
    <w:rsid w:val="00022D3D"/>
    <w:rsid w:val="000D1BB6"/>
    <w:rsid w:val="00111D79"/>
    <w:rsid w:val="001370EE"/>
    <w:rsid w:val="00197100"/>
    <w:rsid w:val="001C16BE"/>
    <w:rsid w:val="001C2F07"/>
    <w:rsid w:val="001E2D6A"/>
    <w:rsid w:val="0024107A"/>
    <w:rsid w:val="00270608"/>
    <w:rsid w:val="002A684D"/>
    <w:rsid w:val="002D2826"/>
    <w:rsid w:val="002E54AE"/>
    <w:rsid w:val="00351EC2"/>
    <w:rsid w:val="00367D12"/>
    <w:rsid w:val="00381B24"/>
    <w:rsid w:val="00393632"/>
    <w:rsid w:val="003C48E6"/>
    <w:rsid w:val="00403AA3"/>
    <w:rsid w:val="00461EDD"/>
    <w:rsid w:val="00484626"/>
    <w:rsid w:val="00487410"/>
    <w:rsid w:val="00494FFC"/>
    <w:rsid w:val="004F4B71"/>
    <w:rsid w:val="005343EB"/>
    <w:rsid w:val="005E1FD4"/>
    <w:rsid w:val="00654EDA"/>
    <w:rsid w:val="00677F98"/>
    <w:rsid w:val="00691DB7"/>
    <w:rsid w:val="00757B78"/>
    <w:rsid w:val="00794B91"/>
    <w:rsid w:val="007A3682"/>
    <w:rsid w:val="007B7496"/>
    <w:rsid w:val="00854E5A"/>
    <w:rsid w:val="00861D6D"/>
    <w:rsid w:val="008B588D"/>
    <w:rsid w:val="008C4C88"/>
    <w:rsid w:val="008E5688"/>
    <w:rsid w:val="009134F6"/>
    <w:rsid w:val="00915516"/>
    <w:rsid w:val="00923378"/>
    <w:rsid w:val="00940FB4"/>
    <w:rsid w:val="00986AA2"/>
    <w:rsid w:val="009B3431"/>
    <w:rsid w:val="009C76A9"/>
    <w:rsid w:val="009E4722"/>
    <w:rsid w:val="009F5AD1"/>
    <w:rsid w:val="00A35A49"/>
    <w:rsid w:val="00A401A7"/>
    <w:rsid w:val="00A45D63"/>
    <w:rsid w:val="00A71AC5"/>
    <w:rsid w:val="00AC1A55"/>
    <w:rsid w:val="00B042E4"/>
    <w:rsid w:val="00B20A95"/>
    <w:rsid w:val="00B317F6"/>
    <w:rsid w:val="00B50B60"/>
    <w:rsid w:val="00BF537C"/>
    <w:rsid w:val="00C04261"/>
    <w:rsid w:val="00C32DE2"/>
    <w:rsid w:val="00CA18C6"/>
    <w:rsid w:val="00CE6E53"/>
    <w:rsid w:val="00D02539"/>
    <w:rsid w:val="00D12B7D"/>
    <w:rsid w:val="00D75D0C"/>
    <w:rsid w:val="00DC3DBF"/>
    <w:rsid w:val="00DE6FFD"/>
    <w:rsid w:val="00E53CE2"/>
    <w:rsid w:val="00EA1AD7"/>
    <w:rsid w:val="00EB64DE"/>
    <w:rsid w:val="00EF2A8A"/>
    <w:rsid w:val="00F03209"/>
    <w:rsid w:val="00F25272"/>
    <w:rsid w:val="00F5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ADD9"/>
  <w15:chartTrackingRefBased/>
  <w15:docId w15:val="{6B672A8F-66BD-43BB-AD13-4DC7DE4DA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DA"/>
    <w:rPr>
      <w:rFonts w:ascii="Times New Roman" w:hAnsi="Times New Roman"/>
      <w:sz w:val="24"/>
    </w:rPr>
  </w:style>
  <w:style w:type="paragraph" w:styleId="Heading1">
    <w:name w:val="heading 1"/>
    <w:basedOn w:val="Normal"/>
    <w:next w:val="Normal"/>
    <w:link w:val="Heading1Char"/>
    <w:uiPriority w:val="9"/>
    <w:qFormat/>
    <w:rsid w:val="00654ED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54EDA"/>
    <w:pPr>
      <w:keepNext/>
      <w:keepLines/>
      <w:spacing w:before="40" w:after="0"/>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654EDA"/>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688"/>
    <w:pPr>
      <w:ind w:left="720"/>
      <w:contextualSpacing/>
    </w:pPr>
  </w:style>
  <w:style w:type="character" w:customStyle="1" w:styleId="Heading1Char">
    <w:name w:val="Heading 1 Char"/>
    <w:basedOn w:val="DefaultParagraphFont"/>
    <w:link w:val="Heading1"/>
    <w:uiPriority w:val="9"/>
    <w:rsid w:val="00654EDA"/>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654ED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semiHidden/>
    <w:rsid w:val="00654EDA"/>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qFormat/>
    <w:rsid w:val="00654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4EDA"/>
    <w:pPr>
      <w:spacing w:after="0" w:line="240" w:lineRule="auto"/>
    </w:pPr>
  </w:style>
  <w:style w:type="character" w:styleId="Hyperlink">
    <w:name w:val="Hyperlink"/>
    <w:basedOn w:val="DefaultParagraphFont"/>
    <w:uiPriority w:val="99"/>
    <w:unhideWhenUsed/>
    <w:rsid w:val="00CE6E53"/>
    <w:rPr>
      <w:color w:val="0000FF" w:themeColor="hyperlink"/>
      <w:u w:val="single"/>
    </w:rPr>
  </w:style>
  <w:style w:type="character" w:styleId="UnresolvedMention">
    <w:name w:val="Unresolved Mention"/>
    <w:basedOn w:val="DefaultParagraphFont"/>
    <w:uiPriority w:val="99"/>
    <w:semiHidden/>
    <w:unhideWhenUsed/>
    <w:rsid w:val="00CE6E53"/>
    <w:rPr>
      <w:color w:val="605E5C"/>
      <w:shd w:val="clear" w:color="auto" w:fill="E1DFDD"/>
    </w:rPr>
  </w:style>
  <w:style w:type="table" w:customStyle="1" w:styleId="LightShading1">
    <w:name w:val="Light Shading1"/>
    <w:basedOn w:val="TableNormal"/>
    <w:uiPriority w:val="60"/>
    <w:qFormat/>
    <w:rsid w:val="003C48E6"/>
    <w:pPr>
      <w:spacing w:after="0" w:line="240" w:lineRule="auto"/>
    </w:pPr>
    <w:rPr>
      <w:rFonts w:ascii="Calibri" w:eastAsia="Calibri" w:hAnsi="Calibri" w:cs="Times New Roman"/>
      <w:color w:val="000000"/>
      <w:sz w:val="20"/>
      <w:szCs w:val="20"/>
    </w:rPr>
    <w:tblPr>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5E1FD4"/>
    <w:pPr>
      <w:spacing w:line="240" w:lineRule="auto"/>
      <w:jc w:val="both"/>
    </w:pPr>
    <w:rPr>
      <w:b/>
      <w:iCs/>
      <w:szCs w:val="18"/>
    </w:rPr>
  </w:style>
  <w:style w:type="paragraph" w:styleId="Header">
    <w:name w:val="header"/>
    <w:basedOn w:val="Normal"/>
    <w:link w:val="HeaderChar"/>
    <w:uiPriority w:val="99"/>
    <w:unhideWhenUsed/>
    <w:rsid w:val="00EA1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AD7"/>
    <w:rPr>
      <w:rFonts w:ascii="Times New Roman" w:hAnsi="Times New Roman"/>
      <w:sz w:val="24"/>
    </w:rPr>
  </w:style>
  <w:style w:type="paragraph" w:styleId="Footer">
    <w:name w:val="footer"/>
    <w:basedOn w:val="Normal"/>
    <w:link w:val="FooterChar"/>
    <w:uiPriority w:val="99"/>
    <w:unhideWhenUsed/>
    <w:rsid w:val="00EA1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AD7"/>
    <w:rPr>
      <w:rFonts w:ascii="Times New Roman" w:hAnsi="Times New Roman"/>
      <w:sz w:val="24"/>
    </w:rPr>
  </w:style>
  <w:style w:type="table" w:styleId="PlainTable2">
    <w:name w:val="Plain Table 2"/>
    <w:basedOn w:val="TableNormal"/>
    <w:uiPriority w:val="42"/>
    <w:rsid w:val="00DC3D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qFormat/>
    <w:rsid w:val="00D02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28914">
      <w:bodyDiv w:val="1"/>
      <w:marLeft w:val="0"/>
      <w:marRight w:val="0"/>
      <w:marTop w:val="0"/>
      <w:marBottom w:val="0"/>
      <w:divBdr>
        <w:top w:val="none" w:sz="0" w:space="0" w:color="auto"/>
        <w:left w:val="none" w:sz="0" w:space="0" w:color="auto"/>
        <w:bottom w:val="none" w:sz="0" w:space="0" w:color="auto"/>
        <w:right w:val="none" w:sz="0" w:space="0" w:color="auto"/>
      </w:divBdr>
    </w:div>
    <w:div w:id="1053389076">
      <w:bodyDiv w:val="1"/>
      <w:marLeft w:val="0"/>
      <w:marRight w:val="0"/>
      <w:marTop w:val="0"/>
      <w:marBottom w:val="0"/>
      <w:divBdr>
        <w:top w:val="none" w:sz="0" w:space="0" w:color="auto"/>
        <w:left w:val="none" w:sz="0" w:space="0" w:color="auto"/>
        <w:bottom w:val="none" w:sz="0" w:space="0" w:color="auto"/>
        <w:right w:val="none" w:sz="0" w:space="0" w:color="auto"/>
      </w:divBdr>
    </w:div>
    <w:div w:id="1153138124">
      <w:bodyDiv w:val="1"/>
      <w:marLeft w:val="0"/>
      <w:marRight w:val="0"/>
      <w:marTop w:val="0"/>
      <w:marBottom w:val="0"/>
      <w:divBdr>
        <w:top w:val="none" w:sz="0" w:space="0" w:color="auto"/>
        <w:left w:val="none" w:sz="0" w:space="0" w:color="auto"/>
        <w:bottom w:val="none" w:sz="0" w:space="0" w:color="auto"/>
        <w:right w:val="none" w:sz="0" w:space="0" w:color="auto"/>
      </w:divBdr>
    </w:div>
    <w:div w:id="2004160200">
      <w:bodyDiv w:val="1"/>
      <w:marLeft w:val="0"/>
      <w:marRight w:val="0"/>
      <w:marTop w:val="0"/>
      <w:marBottom w:val="0"/>
      <w:divBdr>
        <w:top w:val="none" w:sz="0" w:space="0" w:color="auto"/>
        <w:left w:val="none" w:sz="0" w:space="0" w:color="auto"/>
        <w:bottom w:val="none" w:sz="0" w:space="0" w:color="auto"/>
        <w:right w:val="none" w:sz="0" w:space="0" w:color="auto"/>
      </w:divBdr>
    </w:div>
    <w:div w:id="205464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11CB-2A78-4934-A093-AD58B221D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3</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Minase Abera</dc:creator>
  <cp:keywords/>
  <dc:description/>
  <cp:lastModifiedBy>Minase Abera</cp:lastModifiedBy>
  <cp:revision>56</cp:revision>
  <cp:lastPrinted>2025-05-18T17:23:00Z</cp:lastPrinted>
  <dcterms:created xsi:type="dcterms:W3CDTF">2025-05-18T13:28:00Z</dcterms:created>
  <dcterms:modified xsi:type="dcterms:W3CDTF">2025-05-19T09:16:00Z</dcterms:modified>
</cp:coreProperties>
</file>