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49C7D" w14:textId="77777777" w:rsidR="00467E31" w:rsidRDefault="007469B2">
      <w:pPr>
        <w:rPr>
          <w:b/>
          <w:sz w:val="32"/>
          <w:szCs w:val="32"/>
        </w:rPr>
      </w:pPr>
      <w:r>
        <w:rPr>
          <w:b/>
          <w:sz w:val="32"/>
          <w:szCs w:val="32"/>
        </w:rPr>
        <w:t>Supplementary Materials</w:t>
      </w:r>
    </w:p>
    <w:p w14:paraId="5CE46211" w14:textId="77777777" w:rsidR="00467E31" w:rsidRDefault="00467E31">
      <w:pPr>
        <w:rPr>
          <w:b/>
          <w:sz w:val="32"/>
          <w:szCs w:val="32"/>
        </w:rPr>
      </w:pPr>
    </w:p>
    <w:p w14:paraId="40930D47" w14:textId="093803BA" w:rsidR="00467E31" w:rsidRDefault="007469B2">
      <w:pPr>
        <w:keepNext/>
        <w:keepLines/>
        <w:spacing w:before="400" w:after="120" w:line="360" w:lineRule="auto"/>
        <w:jc w:val="center"/>
        <w:rPr>
          <w:b/>
          <w:sz w:val="32"/>
          <w:szCs w:val="32"/>
        </w:rPr>
      </w:pPr>
      <w:bookmarkStart w:id="0" w:name="_gjdgxs" w:colFirst="0" w:colLast="0"/>
      <w:bookmarkEnd w:id="0"/>
      <w:proofErr w:type="spellStart"/>
      <w:r>
        <w:rPr>
          <w:b/>
          <w:sz w:val="32"/>
          <w:szCs w:val="32"/>
        </w:rPr>
        <w:t>kinCSM</w:t>
      </w:r>
      <w:proofErr w:type="spellEnd"/>
      <w:r>
        <w:rPr>
          <w:b/>
          <w:sz w:val="32"/>
          <w:szCs w:val="32"/>
        </w:rPr>
        <w:t xml:space="preserve">: using graph-based signatures to predict small molecule </w:t>
      </w:r>
      <w:r w:rsidR="004C28DE">
        <w:rPr>
          <w:b/>
          <w:sz w:val="32"/>
          <w:szCs w:val="32"/>
        </w:rPr>
        <w:t xml:space="preserve">CDK2 </w:t>
      </w:r>
      <w:r>
        <w:rPr>
          <w:b/>
          <w:sz w:val="32"/>
          <w:szCs w:val="32"/>
        </w:rPr>
        <w:t xml:space="preserve">kinase inhibitors </w:t>
      </w:r>
    </w:p>
    <w:p w14:paraId="6471343B" w14:textId="04DF88B5" w:rsidR="00467E31" w:rsidRDefault="007469B2">
      <w:pPr>
        <w:spacing w:before="400" w:after="120" w:line="360" w:lineRule="auto"/>
        <w:jc w:val="center"/>
        <w:rPr>
          <w:sz w:val="24"/>
          <w:szCs w:val="24"/>
          <w:vertAlign w:val="superscript"/>
        </w:rPr>
      </w:pPr>
      <w:r>
        <w:rPr>
          <w:sz w:val="24"/>
          <w:szCs w:val="24"/>
        </w:rPr>
        <w:t>Yunzhuo Zhou</w:t>
      </w:r>
      <w:r>
        <w:rPr>
          <w:sz w:val="24"/>
          <w:szCs w:val="24"/>
          <w:vertAlign w:val="superscript"/>
        </w:rPr>
        <w:t>1,2,3</w:t>
      </w:r>
      <w:r>
        <w:rPr>
          <w:sz w:val="24"/>
          <w:szCs w:val="24"/>
        </w:rPr>
        <w:t>, Raghad Al-Jarf</w:t>
      </w:r>
      <w:r>
        <w:rPr>
          <w:sz w:val="24"/>
          <w:szCs w:val="24"/>
          <w:vertAlign w:val="superscript"/>
        </w:rPr>
        <w:t>1,2,3</w:t>
      </w:r>
      <w:r>
        <w:rPr>
          <w:sz w:val="24"/>
          <w:szCs w:val="24"/>
        </w:rPr>
        <w:t>, Azadeh Alavi</w:t>
      </w:r>
      <w:r>
        <w:rPr>
          <w:sz w:val="24"/>
          <w:szCs w:val="24"/>
          <w:vertAlign w:val="superscript"/>
        </w:rPr>
        <w:t>1,2,3,4</w:t>
      </w:r>
      <w:r>
        <w:rPr>
          <w:sz w:val="24"/>
          <w:szCs w:val="24"/>
        </w:rPr>
        <w:t xml:space="preserve">, </w:t>
      </w:r>
      <w:r w:rsidR="00A03ADC">
        <w:rPr>
          <w:sz w:val="24"/>
          <w:szCs w:val="24"/>
        </w:rPr>
        <w:t xml:space="preserve">Thanh Binh </w:t>
      </w:r>
      <w:r>
        <w:rPr>
          <w:sz w:val="24"/>
          <w:szCs w:val="24"/>
        </w:rPr>
        <w:t>Nguyen</w:t>
      </w:r>
      <w:r>
        <w:rPr>
          <w:sz w:val="24"/>
          <w:szCs w:val="24"/>
          <w:vertAlign w:val="superscript"/>
        </w:rPr>
        <w:t>1,2,3,4</w:t>
      </w:r>
      <w:r>
        <w:rPr>
          <w:sz w:val="24"/>
          <w:szCs w:val="24"/>
        </w:rPr>
        <w:t>, Carlos H.M. Rodrigues</w:t>
      </w:r>
      <w:r>
        <w:rPr>
          <w:sz w:val="24"/>
          <w:szCs w:val="24"/>
          <w:vertAlign w:val="superscript"/>
        </w:rPr>
        <w:t>1,2,3</w:t>
      </w:r>
      <w:r>
        <w:rPr>
          <w:sz w:val="24"/>
          <w:szCs w:val="24"/>
        </w:rPr>
        <w:t>, Douglas E.V. Pires</w:t>
      </w:r>
      <w:r>
        <w:rPr>
          <w:sz w:val="24"/>
          <w:szCs w:val="24"/>
          <w:vertAlign w:val="superscript"/>
        </w:rPr>
        <w:t>1,2,3,5*</w:t>
      </w:r>
      <w:r>
        <w:rPr>
          <w:sz w:val="24"/>
          <w:szCs w:val="24"/>
        </w:rPr>
        <w:t>, David B. Ascher</w:t>
      </w:r>
      <w:r>
        <w:rPr>
          <w:sz w:val="24"/>
          <w:szCs w:val="24"/>
          <w:vertAlign w:val="superscript"/>
        </w:rPr>
        <w:t>1,2,3,4,6*</w:t>
      </w:r>
    </w:p>
    <w:p w14:paraId="65EDBAA9" w14:textId="77777777" w:rsidR="00467E31" w:rsidRDefault="007469B2">
      <w:pPr>
        <w:spacing w:after="0" w:line="360" w:lineRule="auto"/>
        <w:jc w:val="both"/>
        <w:rPr>
          <w:sz w:val="18"/>
          <w:szCs w:val="18"/>
        </w:rPr>
      </w:pPr>
      <w:bookmarkStart w:id="1" w:name="_30j0zll" w:colFirst="0" w:colLast="0"/>
      <w:bookmarkEnd w:id="1"/>
      <w:r>
        <w:rPr>
          <w:sz w:val="18"/>
          <w:szCs w:val="18"/>
          <w:vertAlign w:val="superscript"/>
        </w:rPr>
        <w:t>1</w:t>
      </w:r>
      <w:r>
        <w:rPr>
          <w:sz w:val="18"/>
          <w:szCs w:val="18"/>
        </w:rPr>
        <w:t>Structural Biology and Bioinformatics, Department of Biochemistry, University of Melbourne, Melbourne, Victoria, Australia</w:t>
      </w:r>
      <w:r>
        <w:rPr>
          <w:sz w:val="18"/>
          <w:szCs w:val="18"/>
        </w:rPr>
        <w:br/>
      </w:r>
      <w:r>
        <w:rPr>
          <w:sz w:val="18"/>
          <w:szCs w:val="18"/>
          <w:vertAlign w:val="superscript"/>
        </w:rPr>
        <w:t>2</w:t>
      </w:r>
      <w:r>
        <w:rPr>
          <w:sz w:val="18"/>
          <w:szCs w:val="18"/>
        </w:rPr>
        <w:t>Systems and Computational Biology, Bio21 Institute, University of Melbourne, Melbourne, Victoria, Australia</w:t>
      </w:r>
      <w:r>
        <w:rPr>
          <w:sz w:val="18"/>
          <w:szCs w:val="18"/>
        </w:rPr>
        <w:br/>
      </w:r>
      <w:r>
        <w:rPr>
          <w:sz w:val="18"/>
          <w:szCs w:val="18"/>
          <w:vertAlign w:val="superscript"/>
        </w:rPr>
        <w:t>3</w:t>
      </w:r>
      <w:r>
        <w:rPr>
          <w:sz w:val="18"/>
          <w:szCs w:val="18"/>
        </w:rPr>
        <w:t>Computational Biology and Clinical Informatics, Baker Heart and Diabetes Institute, Melbourne, Victoria, Australia</w:t>
      </w:r>
      <w:r>
        <w:rPr>
          <w:sz w:val="18"/>
          <w:szCs w:val="18"/>
        </w:rPr>
        <w:br/>
      </w:r>
      <w:r>
        <w:rPr>
          <w:sz w:val="18"/>
          <w:szCs w:val="18"/>
          <w:vertAlign w:val="superscript"/>
        </w:rPr>
        <w:t>4</w:t>
      </w:r>
      <w:r>
        <w:rPr>
          <w:sz w:val="18"/>
          <w:szCs w:val="18"/>
        </w:rPr>
        <w:t xml:space="preserve">Baker Department of Cardiometabolic Health, Melbourne Medical School, University of Melbourne, Melbourne, Victoria, Australia </w:t>
      </w:r>
    </w:p>
    <w:p w14:paraId="6C1ECF91" w14:textId="77777777" w:rsidR="00467E31" w:rsidRDefault="007469B2">
      <w:pPr>
        <w:spacing w:after="0" w:line="360" w:lineRule="auto"/>
        <w:jc w:val="both"/>
        <w:rPr>
          <w:sz w:val="18"/>
          <w:szCs w:val="18"/>
        </w:rPr>
      </w:pPr>
      <w:bookmarkStart w:id="2" w:name="_1fob9te" w:colFirst="0" w:colLast="0"/>
      <w:bookmarkEnd w:id="2"/>
      <w:r>
        <w:rPr>
          <w:sz w:val="18"/>
          <w:szCs w:val="18"/>
          <w:vertAlign w:val="superscript"/>
        </w:rPr>
        <w:t>5</w:t>
      </w:r>
      <w:r>
        <w:rPr>
          <w:sz w:val="18"/>
          <w:szCs w:val="18"/>
        </w:rPr>
        <w:t>School of Computing and Information Systems, University of Melbourne, Melbourne, Victoria, Australia</w:t>
      </w:r>
      <w:r>
        <w:rPr>
          <w:sz w:val="18"/>
          <w:szCs w:val="18"/>
        </w:rPr>
        <w:br/>
      </w:r>
      <w:r>
        <w:rPr>
          <w:sz w:val="18"/>
          <w:szCs w:val="18"/>
          <w:vertAlign w:val="superscript"/>
        </w:rPr>
        <w:t>6</w:t>
      </w:r>
      <w:r>
        <w:rPr>
          <w:sz w:val="18"/>
          <w:szCs w:val="18"/>
        </w:rPr>
        <w:t>Department of Biochemistry, University of Cambridge, 80 Tennis Ct Rd, Cambridge CB2 1GA</w:t>
      </w:r>
    </w:p>
    <w:p w14:paraId="750DD646" w14:textId="77777777" w:rsidR="00467E31" w:rsidRDefault="007469B2">
      <w:pPr>
        <w:keepNext/>
        <w:keepLines/>
        <w:spacing w:before="400" w:after="120" w:line="360" w:lineRule="auto"/>
        <w:jc w:val="both"/>
        <w:rPr>
          <w:sz w:val="26"/>
          <w:szCs w:val="26"/>
        </w:rPr>
      </w:pPr>
      <w:bookmarkStart w:id="3" w:name="_3znysh7" w:colFirst="0" w:colLast="0"/>
      <w:bookmarkEnd w:id="3"/>
      <w:r>
        <w:rPr>
          <w:sz w:val="18"/>
          <w:szCs w:val="18"/>
        </w:rPr>
        <w:br/>
        <w:t xml:space="preserve">*To whom correspondence should be addressed D.B.A. Tel: +61 90354794; Email: </w:t>
      </w:r>
      <w:hyperlink r:id="rId4">
        <w:r>
          <w:rPr>
            <w:color w:val="1155CC"/>
            <w:sz w:val="18"/>
            <w:szCs w:val="18"/>
            <w:u w:val="single"/>
          </w:rPr>
          <w:t>david.ascher@unimelb.edu.au</w:t>
        </w:r>
      </w:hyperlink>
      <w:r>
        <w:rPr>
          <w:sz w:val="18"/>
          <w:szCs w:val="18"/>
        </w:rPr>
        <w:t xml:space="preserve">. Correspondence may also be addressed to D.E.V.P. </w:t>
      </w:r>
      <w:hyperlink r:id="rId5">
        <w:r>
          <w:rPr>
            <w:color w:val="1155CC"/>
            <w:sz w:val="18"/>
            <w:szCs w:val="18"/>
            <w:u w:val="single"/>
          </w:rPr>
          <w:t>douglas.pires@unimelb.edu.au</w:t>
        </w:r>
      </w:hyperlink>
      <w:r>
        <w:rPr>
          <w:sz w:val="26"/>
          <w:szCs w:val="26"/>
        </w:rPr>
        <w:t>.</w:t>
      </w:r>
    </w:p>
    <w:p w14:paraId="2EE22B26" w14:textId="0609D2C8" w:rsidR="007469B2" w:rsidRDefault="007469B2">
      <w:pPr>
        <w:rPr>
          <w:sz w:val="28"/>
          <w:szCs w:val="28"/>
        </w:rPr>
      </w:pPr>
      <w:r>
        <w:rPr>
          <w:sz w:val="28"/>
          <w:szCs w:val="28"/>
        </w:rPr>
        <w:br w:type="page"/>
      </w:r>
    </w:p>
    <w:p w14:paraId="08ECCFFD" w14:textId="77777777" w:rsidR="00467E31" w:rsidRDefault="007469B2">
      <w:pPr>
        <w:rPr>
          <w:b/>
        </w:rPr>
      </w:pPr>
      <w:r>
        <w:rPr>
          <w:b/>
          <w:sz w:val="26"/>
          <w:szCs w:val="26"/>
        </w:rPr>
        <w:lastRenderedPageBreak/>
        <w:t>TABLES</w:t>
      </w:r>
    </w:p>
    <w:p w14:paraId="7FF3D567" w14:textId="77777777" w:rsidR="00467E31" w:rsidRDefault="007469B2">
      <w:pPr>
        <w:spacing w:after="0" w:line="360" w:lineRule="auto"/>
      </w:pPr>
      <w:r>
        <w:rPr>
          <w:b/>
        </w:rPr>
        <w:t>Table S1.</w:t>
      </w:r>
      <w:r>
        <w:t xml:space="preserve"> Contingency table for a fragment (the blue fragment in Figure S2) enriched in CDK2 inhibitors.</w:t>
      </w:r>
    </w:p>
    <w:p w14:paraId="484EDA79" w14:textId="77777777" w:rsidR="00467E31" w:rsidRDefault="00467E31">
      <w:pPr>
        <w:spacing w:after="0" w:line="360" w:lineRule="auto"/>
        <w:jc w:val="both"/>
        <w:rPr>
          <w:b/>
          <w:sz w:val="28"/>
          <w:szCs w:val="28"/>
        </w:rPr>
      </w:pPr>
    </w:p>
    <w:tbl>
      <w:tblPr>
        <w:tblStyle w:val="a"/>
        <w:tblW w:w="7170" w:type="dxa"/>
        <w:tblBorders>
          <w:top w:val="nil"/>
          <w:left w:val="nil"/>
          <w:bottom w:val="nil"/>
          <w:right w:val="nil"/>
          <w:insideH w:val="nil"/>
          <w:insideV w:val="nil"/>
        </w:tblBorders>
        <w:tblLayout w:type="fixed"/>
        <w:tblLook w:val="0600" w:firstRow="0" w:lastRow="0" w:firstColumn="0" w:lastColumn="0" w:noHBand="1" w:noVBand="1"/>
      </w:tblPr>
      <w:tblGrid>
        <w:gridCol w:w="3165"/>
        <w:gridCol w:w="1905"/>
        <w:gridCol w:w="1860"/>
        <w:gridCol w:w="240"/>
      </w:tblGrid>
      <w:tr w:rsidR="00467E31" w14:paraId="15127D75" w14:textId="77777777">
        <w:trPr>
          <w:trHeight w:val="500"/>
        </w:trPr>
        <w:tc>
          <w:tcPr>
            <w:tcW w:w="3165" w:type="dxa"/>
            <w:tcBorders>
              <w:top w:val="single" w:sz="8" w:space="0" w:color="C9C9C9"/>
              <w:left w:val="nil"/>
              <w:bottom w:val="single" w:sz="8" w:space="0" w:color="C9C9C9"/>
              <w:right w:val="nil"/>
            </w:tcBorders>
            <w:shd w:val="clear" w:color="auto" w:fill="E7E6E6"/>
            <w:tcMar>
              <w:top w:w="100" w:type="dxa"/>
              <w:left w:w="100" w:type="dxa"/>
              <w:bottom w:w="100" w:type="dxa"/>
              <w:right w:w="100" w:type="dxa"/>
            </w:tcMar>
          </w:tcPr>
          <w:p w14:paraId="1420348B" w14:textId="77777777" w:rsidR="00467E31" w:rsidRDefault="00467E31">
            <w:pPr>
              <w:pStyle w:val="Heading3"/>
              <w:spacing w:before="240" w:line="360" w:lineRule="auto"/>
              <w:jc w:val="both"/>
              <w:rPr>
                <w:b w:val="0"/>
                <w:i/>
                <w:sz w:val="22"/>
                <w:szCs w:val="22"/>
              </w:rPr>
            </w:pPr>
            <w:bookmarkStart w:id="4" w:name="_l2da675wtybd" w:colFirst="0" w:colLast="0"/>
            <w:bookmarkEnd w:id="4"/>
          </w:p>
        </w:tc>
        <w:tc>
          <w:tcPr>
            <w:tcW w:w="1905" w:type="dxa"/>
            <w:tcBorders>
              <w:top w:val="single" w:sz="8" w:space="0" w:color="C9C9C9"/>
              <w:left w:val="nil"/>
              <w:bottom w:val="single" w:sz="8" w:space="0" w:color="C9C9C9"/>
              <w:right w:val="nil"/>
            </w:tcBorders>
            <w:shd w:val="clear" w:color="auto" w:fill="E7E6E6"/>
            <w:tcMar>
              <w:top w:w="100" w:type="dxa"/>
              <w:left w:w="100" w:type="dxa"/>
              <w:bottom w:w="100" w:type="dxa"/>
              <w:right w:w="100" w:type="dxa"/>
            </w:tcMar>
          </w:tcPr>
          <w:p w14:paraId="328C7125" w14:textId="77777777" w:rsidR="00467E31" w:rsidRDefault="007469B2">
            <w:pPr>
              <w:spacing w:before="240"/>
              <w:jc w:val="center"/>
            </w:pPr>
            <w:r>
              <w:t>Inhibitors</w:t>
            </w:r>
          </w:p>
        </w:tc>
        <w:tc>
          <w:tcPr>
            <w:tcW w:w="1860" w:type="dxa"/>
            <w:tcBorders>
              <w:top w:val="single" w:sz="8" w:space="0" w:color="C9C9C9"/>
              <w:left w:val="nil"/>
              <w:bottom w:val="single" w:sz="8" w:space="0" w:color="C9C9C9"/>
              <w:right w:val="nil"/>
            </w:tcBorders>
            <w:shd w:val="clear" w:color="auto" w:fill="E7E6E6"/>
            <w:tcMar>
              <w:top w:w="100" w:type="dxa"/>
              <w:left w:w="100" w:type="dxa"/>
              <w:bottom w:w="100" w:type="dxa"/>
              <w:right w:w="100" w:type="dxa"/>
            </w:tcMar>
          </w:tcPr>
          <w:p w14:paraId="50DD5834" w14:textId="77777777" w:rsidR="00467E31" w:rsidRDefault="007469B2">
            <w:pPr>
              <w:spacing w:before="240"/>
              <w:jc w:val="center"/>
            </w:pPr>
            <w:r>
              <w:t>Non-inhibitors</w:t>
            </w:r>
          </w:p>
        </w:tc>
        <w:tc>
          <w:tcPr>
            <w:tcW w:w="240" w:type="dxa"/>
            <w:tcBorders>
              <w:top w:val="single" w:sz="8" w:space="0" w:color="C9C9C9"/>
              <w:left w:val="nil"/>
              <w:bottom w:val="single" w:sz="8" w:space="0" w:color="C9C9C9"/>
              <w:right w:val="nil"/>
            </w:tcBorders>
            <w:shd w:val="clear" w:color="auto" w:fill="E7E6E6"/>
            <w:tcMar>
              <w:top w:w="100" w:type="dxa"/>
              <w:left w:w="100" w:type="dxa"/>
              <w:bottom w:w="100" w:type="dxa"/>
              <w:right w:w="100" w:type="dxa"/>
            </w:tcMar>
          </w:tcPr>
          <w:p w14:paraId="568DB2D5" w14:textId="77777777" w:rsidR="00467E31" w:rsidRDefault="00467E31">
            <w:pPr>
              <w:spacing w:before="240"/>
            </w:pPr>
          </w:p>
        </w:tc>
      </w:tr>
      <w:tr w:rsidR="00467E31" w14:paraId="76C78048" w14:textId="77777777">
        <w:trPr>
          <w:trHeight w:val="504"/>
        </w:trPr>
        <w:tc>
          <w:tcPr>
            <w:tcW w:w="3165" w:type="dxa"/>
            <w:tcBorders>
              <w:top w:val="nil"/>
              <w:left w:val="nil"/>
              <w:bottom w:val="single" w:sz="8" w:space="0" w:color="C9C9C9"/>
              <w:right w:val="nil"/>
            </w:tcBorders>
            <w:shd w:val="clear" w:color="auto" w:fill="FFFFFF"/>
            <w:tcMar>
              <w:top w:w="100" w:type="dxa"/>
              <w:left w:w="100" w:type="dxa"/>
              <w:bottom w:w="100" w:type="dxa"/>
              <w:right w:w="100" w:type="dxa"/>
            </w:tcMar>
          </w:tcPr>
          <w:p w14:paraId="0163B073" w14:textId="77777777" w:rsidR="00467E31" w:rsidRDefault="007469B2">
            <w:pPr>
              <w:spacing w:before="240"/>
            </w:pPr>
            <w:r>
              <w:t>Cases (with the fragment)</w:t>
            </w:r>
          </w:p>
        </w:tc>
        <w:tc>
          <w:tcPr>
            <w:tcW w:w="1905" w:type="dxa"/>
            <w:tcBorders>
              <w:top w:val="nil"/>
              <w:left w:val="nil"/>
              <w:bottom w:val="single" w:sz="8" w:space="0" w:color="C9C9C9"/>
              <w:right w:val="nil"/>
            </w:tcBorders>
            <w:shd w:val="clear" w:color="auto" w:fill="FFFFFF"/>
            <w:tcMar>
              <w:top w:w="100" w:type="dxa"/>
              <w:left w:w="100" w:type="dxa"/>
              <w:bottom w:w="100" w:type="dxa"/>
              <w:right w:w="100" w:type="dxa"/>
            </w:tcMar>
          </w:tcPr>
          <w:p w14:paraId="6874CF11" w14:textId="77777777" w:rsidR="00467E31" w:rsidRDefault="007469B2">
            <w:pPr>
              <w:spacing w:before="240"/>
              <w:jc w:val="center"/>
            </w:pPr>
            <w:r>
              <w:t>168</w:t>
            </w:r>
          </w:p>
        </w:tc>
        <w:tc>
          <w:tcPr>
            <w:tcW w:w="1860" w:type="dxa"/>
            <w:tcBorders>
              <w:top w:val="nil"/>
              <w:left w:val="nil"/>
              <w:bottom w:val="single" w:sz="8" w:space="0" w:color="C9C9C9"/>
              <w:right w:val="nil"/>
            </w:tcBorders>
            <w:shd w:val="clear" w:color="auto" w:fill="FFFFFF"/>
            <w:tcMar>
              <w:top w:w="100" w:type="dxa"/>
              <w:left w:w="100" w:type="dxa"/>
              <w:bottom w:w="100" w:type="dxa"/>
              <w:right w:w="100" w:type="dxa"/>
            </w:tcMar>
          </w:tcPr>
          <w:p w14:paraId="6438AE38" w14:textId="77777777" w:rsidR="00467E31" w:rsidRDefault="007469B2">
            <w:pPr>
              <w:spacing w:before="240"/>
              <w:jc w:val="center"/>
            </w:pPr>
            <w:r>
              <w:t>7</w:t>
            </w:r>
          </w:p>
        </w:tc>
        <w:tc>
          <w:tcPr>
            <w:tcW w:w="240" w:type="dxa"/>
            <w:tcBorders>
              <w:top w:val="nil"/>
              <w:left w:val="nil"/>
              <w:bottom w:val="single" w:sz="8" w:space="0" w:color="C9C9C9"/>
              <w:right w:val="nil"/>
            </w:tcBorders>
            <w:shd w:val="clear" w:color="auto" w:fill="FFFFFF"/>
            <w:tcMar>
              <w:top w:w="100" w:type="dxa"/>
              <w:left w:w="100" w:type="dxa"/>
              <w:bottom w:w="100" w:type="dxa"/>
              <w:right w:w="100" w:type="dxa"/>
            </w:tcMar>
          </w:tcPr>
          <w:p w14:paraId="6D8086FD" w14:textId="77777777" w:rsidR="00467E31" w:rsidRDefault="00467E31">
            <w:pPr>
              <w:spacing w:before="240"/>
              <w:jc w:val="center"/>
            </w:pPr>
          </w:p>
        </w:tc>
      </w:tr>
      <w:tr w:rsidR="00467E31" w14:paraId="43751F2D" w14:textId="77777777">
        <w:trPr>
          <w:trHeight w:val="500"/>
        </w:trPr>
        <w:tc>
          <w:tcPr>
            <w:tcW w:w="3165" w:type="dxa"/>
            <w:tcBorders>
              <w:top w:val="nil"/>
              <w:left w:val="nil"/>
              <w:bottom w:val="single" w:sz="8" w:space="0" w:color="C9C9C9"/>
              <w:right w:val="nil"/>
            </w:tcBorders>
            <w:tcMar>
              <w:top w:w="100" w:type="dxa"/>
              <w:left w:w="100" w:type="dxa"/>
              <w:bottom w:w="100" w:type="dxa"/>
              <w:right w:w="100" w:type="dxa"/>
            </w:tcMar>
          </w:tcPr>
          <w:p w14:paraId="5E914B68" w14:textId="77777777" w:rsidR="00467E31" w:rsidRDefault="007469B2">
            <w:pPr>
              <w:spacing w:before="240"/>
              <w:rPr>
                <w:vertAlign w:val="superscript"/>
              </w:rPr>
            </w:pPr>
            <w:r>
              <w:t>Controls (without the fragment)</w:t>
            </w:r>
          </w:p>
        </w:tc>
        <w:tc>
          <w:tcPr>
            <w:tcW w:w="1905" w:type="dxa"/>
            <w:tcBorders>
              <w:top w:val="nil"/>
              <w:left w:val="nil"/>
              <w:bottom w:val="single" w:sz="8" w:space="0" w:color="C9C9C9"/>
              <w:right w:val="nil"/>
            </w:tcBorders>
            <w:tcMar>
              <w:top w:w="100" w:type="dxa"/>
              <w:left w:w="100" w:type="dxa"/>
              <w:bottom w:w="100" w:type="dxa"/>
              <w:right w:w="100" w:type="dxa"/>
            </w:tcMar>
          </w:tcPr>
          <w:p w14:paraId="0706BB5D" w14:textId="77777777" w:rsidR="00467E31" w:rsidRDefault="007469B2">
            <w:pPr>
              <w:spacing w:before="240"/>
              <w:jc w:val="center"/>
            </w:pPr>
            <w:r>
              <w:t>872</w:t>
            </w:r>
          </w:p>
        </w:tc>
        <w:tc>
          <w:tcPr>
            <w:tcW w:w="1860" w:type="dxa"/>
            <w:tcBorders>
              <w:top w:val="nil"/>
              <w:left w:val="nil"/>
              <w:bottom w:val="single" w:sz="8" w:space="0" w:color="C9C9C9"/>
              <w:right w:val="nil"/>
            </w:tcBorders>
            <w:tcMar>
              <w:top w:w="100" w:type="dxa"/>
              <w:left w:w="100" w:type="dxa"/>
              <w:bottom w:w="100" w:type="dxa"/>
              <w:right w:w="100" w:type="dxa"/>
            </w:tcMar>
          </w:tcPr>
          <w:p w14:paraId="284E8573" w14:textId="77777777" w:rsidR="00467E31" w:rsidRDefault="007469B2">
            <w:pPr>
              <w:spacing w:before="240"/>
              <w:jc w:val="center"/>
            </w:pPr>
            <w:r>
              <w:t>587</w:t>
            </w:r>
          </w:p>
        </w:tc>
        <w:tc>
          <w:tcPr>
            <w:tcW w:w="240" w:type="dxa"/>
            <w:tcBorders>
              <w:top w:val="nil"/>
              <w:left w:val="nil"/>
              <w:bottom w:val="single" w:sz="8" w:space="0" w:color="C9C9C9"/>
              <w:right w:val="nil"/>
            </w:tcBorders>
            <w:tcMar>
              <w:top w:w="100" w:type="dxa"/>
              <w:left w:w="100" w:type="dxa"/>
              <w:bottom w:w="100" w:type="dxa"/>
              <w:right w:w="100" w:type="dxa"/>
            </w:tcMar>
          </w:tcPr>
          <w:p w14:paraId="67625C20" w14:textId="77777777" w:rsidR="00467E31" w:rsidRDefault="00467E31">
            <w:pPr>
              <w:spacing w:before="240"/>
            </w:pPr>
          </w:p>
        </w:tc>
      </w:tr>
    </w:tbl>
    <w:p w14:paraId="7F39DC3B" w14:textId="77777777" w:rsidR="00467E31" w:rsidRDefault="00467E31"/>
    <w:p w14:paraId="69C2D04C" w14:textId="77777777" w:rsidR="00467E31" w:rsidRDefault="007469B2">
      <w:pPr>
        <w:rPr>
          <w:b/>
          <w:sz w:val="26"/>
          <w:szCs w:val="26"/>
        </w:rPr>
      </w:pPr>
      <w:r>
        <w:br w:type="page"/>
      </w:r>
    </w:p>
    <w:p w14:paraId="71BDE007" w14:textId="77777777" w:rsidR="00467E31" w:rsidRDefault="007469B2">
      <w:pPr>
        <w:rPr>
          <w:sz w:val="28"/>
          <w:szCs w:val="28"/>
        </w:rPr>
      </w:pPr>
      <w:r>
        <w:rPr>
          <w:b/>
          <w:sz w:val="26"/>
          <w:szCs w:val="26"/>
        </w:rPr>
        <w:lastRenderedPageBreak/>
        <w:t>FIGURES</w:t>
      </w:r>
    </w:p>
    <w:p w14:paraId="1C486661" w14:textId="77777777" w:rsidR="00467E31" w:rsidRDefault="007469B2">
      <w:pPr>
        <w:spacing w:line="360" w:lineRule="auto"/>
        <w:rPr>
          <w:b/>
        </w:rPr>
      </w:pPr>
      <w:r>
        <w:rPr>
          <w:noProof/>
          <w:sz w:val="28"/>
          <w:szCs w:val="28"/>
        </w:rPr>
        <w:drawing>
          <wp:inline distT="114300" distB="114300" distL="114300" distR="114300" wp14:anchorId="2D1338C2" wp14:editId="55754703">
            <wp:extent cx="5133975" cy="5888971"/>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133975" cy="5888971"/>
                    </a:xfrm>
                    <a:prstGeom prst="rect">
                      <a:avLst/>
                    </a:prstGeom>
                    <a:ln/>
                  </pic:spPr>
                </pic:pic>
              </a:graphicData>
            </a:graphic>
          </wp:inline>
        </w:drawing>
      </w:r>
    </w:p>
    <w:p w14:paraId="208C5834" w14:textId="77777777" w:rsidR="00467E31" w:rsidRDefault="007469B2">
      <w:pPr>
        <w:spacing w:line="360" w:lineRule="auto"/>
        <w:jc w:val="both"/>
      </w:pPr>
      <w:r>
        <w:rPr>
          <w:b/>
        </w:rPr>
        <w:t xml:space="preserve">Figure S1. Drug likeness property distributions for CDK2 inhibitors compared to non-inhibitors. </w:t>
      </w:r>
      <w:r>
        <w:t>The violin plots show</w:t>
      </w:r>
      <w:r>
        <w:rPr>
          <w:b/>
        </w:rPr>
        <w:t xml:space="preserve"> </w:t>
      </w:r>
      <w:r>
        <w:t>distributions of six physicochemical properties evaluating the drug likeness, including hydrogen acceptor and donor counts, log P, number of rotatable bonds, topological polar surface area (TPSA) and ring count. The white dot represents the median, and the range from the first quartile to the third quartile are shaded in black (applied to all the violin plots in this supplementary document). We found both inhibitors (n = 595) and non-inhibitors (n = 1040) obey Lipinski's rule of five (RO5).</w:t>
      </w:r>
      <w:r>
        <w:br w:type="page"/>
      </w:r>
    </w:p>
    <w:p w14:paraId="432088E0" w14:textId="77777777" w:rsidR="00467E31" w:rsidRDefault="007469B2">
      <w:pPr>
        <w:spacing w:line="360" w:lineRule="auto"/>
      </w:pPr>
      <w:r>
        <w:rPr>
          <w:noProof/>
        </w:rPr>
        <w:lastRenderedPageBreak/>
        <w:drawing>
          <wp:anchor distT="0" distB="0" distL="114300" distR="114300" simplePos="0" relativeHeight="251658240" behindDoc="0" locked="0" layoutInCell="1" hidden="0" allowOverlap="1" wp14:anchorId="0F322472" wp14:editId="11ACE18A">
            <wp:simplePos x="0" y="0"/>
            <wp:positionH relativeFrom="column">
              <wp:posOffset>104776</wp:posOffset>
            </wp:positionH>
            <wp:positionV relativeFrom="paragraph">
              <wp:posOffset>0</wp:posOffset>
            </wp:positionV>
            <wp:extent cx="4767110" cy="2557463"/>
            <wp:effectExtent l="0" t="0" r="0" b="0"/>
            <wp:wrapSquare wrapText="bothSides" distT="0" distB="0" distL="114300" distR="11430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767110" cy="2557463"/>
                    </a:xfrm>
                    <a:prstGeom prst="rect">
                      <a:avLst/>
                    </a:prstGeom>
                    <a:ln/>
                  </pic:spPr>
                </pic:pic>
              </a:graphicData>
            </a:graphic>
          </wp:anchor>
        </w:drawing>
      </w:r>
    </w:p>
    <w:p w14:paraId="522FC5E0" w14:textId="77777777" w:rsidR="00467E31" w:rsidRDefault="00467E31">
      <w:pPr>
        <w:spacing w:line="360" w:lineRule="auto"/>
      </w:pPr>
    </w:p>
    <w:p w14:paraId="0DC70DAD" w14:textId="77777777" w:rsidR="00467E31" w:rsidRDefault="00467E31">
      <w:pPr>
        <w:spacing w:line="360" w:lineRule="auto"/>
      </w:pPr>
    </w:p>
    <w:p w14:paraId="28645D85" w14:textId="77777777" w:rsidR="00467E31" w:rsidRDefault="00467E31">
      <w:pPr>
        <w:spacing w:line="360" w:lineRule="auto"/>
      </w:pPr>
    </w:p>
    <w:p w14:paraId="2D648F95" w14:textId="77777777" w:rsidR="00467E31" w:rsidRDefault="00467E31">
      <w:pPr>
        <w:spacing w:line="360" w:lineRule="auto"/>
      </w:pPr>
    </w:p>
    <w:p w14:paraId="05E51FEC" w14:textId="77777777" w:rsidR="00467E31" w:rsidRDefault="00467E31">
      <w:pPr>
        <w:spacing w:line="360" w:lineRule="auto"/>
      </w:pPr>
    </w:p>
    <w:p w14:paraId="42065D94" w14:textId="77777777" w:rsidR="00467E31" w:rsidRDefault="00467E31">
      <w:pPr>
        <w:spacing w:line="360" w:lineRule="auto"/>
      </w:pPr>
    </w:p>
    <w:p w14:paraId="0940BD21" w14:textId="77777777" w:rsidR="00467E31" w:rsidRDefault="00467E31">
      <w:pPr>
        <w:spacing w:line="360" w:lineRule="auto"/>
      </w:pPr>
    </w:p>
    <w:p w14:paraId="13A43D9C" w14:textId="77777777" w:rsidR="00467E31" w:rsidRDefault="007469B2">
      <w:pPr>
        <w:spacing w:line="360" w:lineRule="auto"/>
        <w:jc w:val="both"/>
      </w:pPr>
      <w:r>
        <w:rPr>
          <w:b/>
        </w:rPr>
        <w:t>Figure S2. Substructure enrichment in CDK2 inhibitors.</w:t>
      </w:r>
      <w:r>
        <w:t xml:space="preserve"> The top left fragment (in blue), </w:t>
      </w:r>
      <w:r>
        <w:rPr>
          <w:i/>
        </w:rPr>
        <w:t>sulfanilamide</w:t>
      </w:r>
      <w:r>
        <w:t xml:space="preserve"> contains a sulfonamide and two hydrogen donors (nitrogen atoms at the top and the bottom). It occurs 16.2% in inhibitors, 1.2% in non-inhibitors, with an odds ratio of 16.2. The bottom right fragment, </w:t>
      </w:r>
      <w:r>
        <w:rPr>
          <w:i/>
        </w:rPr>
        <w:t>2-(N-Anilino)pyrimidine</w:t>
      </w:r>
      <w:r>
        <w:t xml:space="preserve"> contains heterocyclic rings that can mimic the adenine part of the ATP. It occurs 10.1% in inhibitors, never in non-inhibitors, so the odds ratio would tend to infinity.</w:t>
      </w:r>
    </w:p>
    <w:p w14:paraId="1EDC3A01" w14:textId="77777777" w:rsidR="00467E31" w:rsidRDefault="007469B2">
      <w:pPr>
        <w:spacing w:line="360" w:lineRule="auto"/>
      </w:pPr>
      <w:r>
        <w:br w:type="page"/>
      </w:r>
    </w:p>
    <w:p w14:paraId="01A9F1EA" w14:textId="77777777" w:rsidR="00467E31" w:rsidRDefault="007469B2">
      <w:pPr>
        <w:spacing w:line="360" w:lineRule="auto"/>
        <w:jc w:val="both"/>
        <w:rPr>
          <w:b/>
        </w:rPr>
      </w:pPr>
      <w:r>
        <w:rPr>
          <w:b/>
          <w:noProof/>
        </w:rPr>
        <w:lastRenderedPageBreak/>
        <w:drawing>
          <wp:inline distT="114300" distB="114300" distL="114300" distR="114300" wp14:anchorId="3055207C" wp14:editId="4CCBF51C">
            <wp:extent cx="5541010" cy="3556000"/>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541010" cy="3556000"/>
                    </a:xfrm>
                    <a:prstGeom prst="rect">
                      <a:avLst/>
                    </a:prstGeom>
                    <a:ln/>
                  </pic:spPr>
                </pic:pic>
              </a:graphicData>
            </a:graphic>
          </wp:inline>
        </w:drawing>
      </w:r>
    </w:p>
    <w:p w14:paraId="6FB23E4D" w14:textId="77777777" w:rsidR="00467E31" w:rsidRDefault="007469B2">
      <w:pPr>
        <w:spacing w:line="360" w:lineRule="auto"/>
        <w:jc w:val="both"/>
      </w:pPr>
      <w:r>
        <w:rPr>
          <w:b/>
        </w:rPr>
        <w:t>Figure S3. Plots comparing CDK2 inhibitors and non-inhibitors.</w:t>
      </w:r>
      <w:r>
        <w:t xml:space="preserve"> </w:t>
      </w:r>
      <w:r>
        <w:rPr>
          <w:b/>
        </w:rPr>
        <w:t>A)</w:t>
      </w:r>
      <w:r>
        <w:t xml:space="preserve"> Inhibitors have higher </w:t>
      </w:r>
      <w:r>
        <w:rPr>
          <w:i/>
        </w:rPr>
        <w:t xml:space="preserve">PEOE_VSA12 </w:t>
      </w:r>
      <w:r>
        <w:t>(which captures partial charges and van der Waals surface area contributions)</w:t>
      </w:r>
      <w:r>
        <w:rPr>
          <w:i/>
        </w:rPr>
        <w:t xml:space="preserve">, </w:t>
      </w:r>
      <w:r>
        <w:t xml:space="preserve">higher frequency of </w:t>
      </w:r>
      <w:r>
        <w:rPr>
          <w:i/>
        </w:rPr>
        <w:t xml:space="preserve">sulfonamide </w:t>
      </w:r>
      <w:r>
        <w:t xml:space="preserve">and hydrogen bond donors compared to non-inhibitors (two-sample Kolmogorov-Smirnov test p-values &lt; 0.001).  </w:t>
      </w:r>
      <w:r>
        <w:rPr>
          <w:b/>
        </w:rPr>
        <w:t>B)</w:t>
      </w:r>
      <w:r>
        <w:t xml:space="preserve"> Molecules with higher binding affinity (</w:t>
      </w:r>
      <w:proofErr w:type="spellStart"/>
      <w:r>
        <w:t>pK</w:t>
      </w:r>
      <w:r>
        <w:rPr>
          <w:vertAlign w:val="subscript"/>
        </w:rPr>
        <w:t>i</w:t>
      </w:r>
      <w:proofErr w:type="spellEnd"/>
      <w:r>
        <w:t xml:space="preserve"> </w:t>
      </w:r>
      <w:r>
        <w:rPr>
          <w:rFonts w:ascii="Arial Unicode MS" w:eastAsia="Arial Unicode MS" w:hAnsi="Arial Unicode MS" w:cs="Arial Unicode MS"/>
          <w:color w:val="222222"/>
          <w:highlight w:val="white"/>
        </w:rPr>
        <w:t>≥</w:t>
      </w:r>
      <w:r>
        <w:t xml:space="preserve"> 6) are more likely to contain </w:t>
      </w:r>
      <w:r>
        <w:rPr>
          <w:i/>
        </w:rPr>
        <w:t>Pyrrole</w:t>
      </w:r>
      <w:r>
        <w:t xml:space="preserve">, they also have higher </w:t>
      </w:r>
      <w:proofErr w:type="spellStart"/>
      <w:r>
        <w:rPr>
          <w:i/>
        </w:rPr>
        <w:t>fr_Ar_N</w:t>
      </w:r>
      <w:proofErr w:type="spellEnd"/>
      <w:r>
        <w:rPr>
          <w:i/>
        </w:rPr>
        <w:t xml:space="preserve"> </w:t>
      </w:r>
      <w:r>
        <w:t>and</w:t>
      </w:r>
      <w:r>
        <w:rPr>
          <w:i/>
        </w:rPr>
        <w:t xml:space="preserve"> PEOE_VSA12</w:t>
      </w:r>
      <w:r>
        <w:t xml:space="preserve"> (two-sample Kolmogorov-Smirnov test p-values &lt; 0.001).</w:t>
      </w:r>
    </w:p>
    <w:p w14:paraId="240CF4D4" w14:textId="77777777" w:rsidR="00467E31" w:rsidRDefault="007469B2">
      <w:pPr>
        <w:spacing w:line="360" w:lineRule="auto"/>
        <w:jc w:val="both"/>
      </w:pPr>
      <w:r>
        <w:br w:type="page"/>
      </w:r>
    </w:p>
    <w:p w14:paraId="20193AC4" w14:textId="77777777" w:rsidR="00467E31" w:rsidRDefault="007469B2">
      <w:pPr>
        <w:spacing w:line="360" w:lineRule="auto"/>
        <w:jc w:val="both"/>
      </w:pPr>
      <w:r>
        <w:rPr>
          <w:noProof/>
        </w:rPr>
        <w:lastRenderedPageBreak/>
        <w:drawing>
          <wp:inline distT="114300" distB="114300" distL="114300" distR="114300" wp14:anchorId="478718A0" wp14:editId="24C889B8">
            <wp:extent cx="5541010" cy="52578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541010" cy="5257800"/>
                    </a:xfrm>
                    <a:prstGeom prst="rect">
                      <a:avLst/>
                    </a:prstGeom>
                    <a:ln/>
                  </pic:spPr>
                </pic:pic>
              </a:graphicData>
            </a:graphic>
          </wp:inline>
        </w:drawing>
      </w:r>
    </w:p>
    <w:p w14:paraId="02F02B34" w14:textId="77777777" w:rsidR="00467E31" w:rsidRDefault="007469B2">
      <w:pPr>
        <w:spacing w:line="360" w:lineRule="auto"/>
        <w:jc w:val="both"/>
      </w:pPr>
      <w:r>
        <w:rPr>
          <w:b/>
        </w:rPr>
        <w:t xml:space="preserve">Figure S4. ROC curves for different binding mode classifiers. </w:t>
      </w:r>
      <w:r>
        <w:t>The ROC curves for type I versus II, type I versus I1/2, type I1/2 versus II and allosteric versus non-allosteric are plotted. The type I1/2 versus II classifier has the highest Area Under the Curve, which means it can achieve higher performance by modifying the learned priors in our model.</w:t>
      </w:r>
    </w:p>
    <w:p w14:paraId="52B60DA1" w14:textId="77777777" w:rsidR="00467E31" w:rsidRDefault="00467E31">
      <w:pPr>
        <w:spacing w:line="360" w:lineRule="auto"/>
        <w:jc w:val="both"/>
        <w:sectPr w:rsidR="00467E31">
          <w:pgSz w:w="12240" w:h="15840"/>
          <w:pgMar w:top="1440" w:right="2074" w:bottom="1440" w:left="1440" w:header="720" w:footer="720" w:gutter="0"/>
          <w:pgNumType w:start="1"/>
          <w:cols w:space="720"/>
        </w:sectPr>
      </w:pPr>
    </w:p>
    <w:p w14:paraId="2D35CBFC" w14:textId="77777777" w:rsidR="00467E31" w:rsidRDefault="007469B2">
      <w:pPr>
        <w:jc w:val="both"/>
      </w:pPr>
      <w:r>
        <w:rPr>
          <w:noProof/>
        </w:rPr>
        <w:lastRenderedPageBreak/>
        <w:drawing>
          <wp:inline distT="114300" distB="114300" distL="114300" distR="114300" wp14:anchorId="3C581848" wp14:editId="1AA86417">
            <wp:extent cx="5541010" cy="60833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541010" cy="6083300"/>
                    </a:xfrm>
                    <a:prstGeom prst="rect">
                      <a:avLst/>
                    </a:prstGeom>
                    <a:ln/>
                  </pic:spPr>
                </pic:pic>
              </a:graphicData>
            </a:graphic>
          </wp:inline>
        </w:drawing>
      </w:r>
    </w:p>
    <w:p w14:paraId="03DF3BA5" w14:textId="77777777" w:rsidR="00467E31" w:rsidRDefault="007469B2">
      <w:pPr>
        <w:spacing w:line="360" w:lineRule="auto"/>
        <w:jc w:val="both"/>
      </w:pPr>
      <w:r>
        <w:rPr>
          <w:b/>
        </w:rPr>
        <w:t xml:space="preserve">Figure S5. Physicochemical properties of different types of kinase inhibitors. </w:t>
      </w:r>
      <w:r>
        <w:t>Panels A (</w:t>
      </w:r>
      <w:proofErr w:type="spellStart"/>
      <w:r>
        <w:rPr>
          <w:i/>
        </w:rPr>
        <w:t>FCount</w:t>
      </w:r>
      <w:proofErr w:type="spellEnd"/>
      <w:r>
        <w:t>) and B (</w:t>
      </w:r>
      <w:proofErr w:type="spellStart"/>
      <w:r>
        <w:rPr>
          <w:i/>
        </w:rPr>
        <w:t>Hydrophobe_Count</w:t>
      </w:r>
      <w:proofErr w:type="spellEnd"/>
      <w:r>
        <w:t xml:space="preserve">) show structural continuum of type I, I1/2 and II inhibitors, where type II have the highest fluorine and </w:t>
      </w:r>
      <w:proofErr w:type="spellStart"/>
      <w:r>
        <w:t>hydrophobe</w:t>
      </w:r>
      <w:proofErr w:type="spellEnd"/>
      <w:r>
        <w:t xml:space="preserve"> pharmacophores (two-sample Kolmogorov-Smirnov test p-values &lt; 0.001 compared to both type I and I1/2).</w:t>
      </w:r>
      <w:r>
        <w:rPr>
          <w:i/>
        </w:rPr>
        <w:t xml:space="preserve"> </w:t>
      </w:r>
      <w:r>
        <w:t>Type I1/2 shows a similar distribution of</w:t>
      </w:r>
      <w:r>
        <w:rPr>
          <w:i/>
        </w:rPr>
        <w:t xml:space="preserve"> </w:t>
      </w:r>
      <w:proofErr w:type="spellStart"/>
      <w:r>
        <w:rPr>
          <w:i/>
        </w:rPr>
        <w:t>MolLogP</w:t>
      </w:r>
      <w:proofErr w:type="spellEnd"/>
      <w:r>
        <w:rPr>
          <w:i/>
        </w:rPr>
        <w:t xml:space="preserve"> </w:t>
      </w:r>
      <w:r>
        <w:t>with type I (panel C)</w:t>
      </w:r>
      <w:r>
        <w:rPr>
          <w:i/>
        </w:rPr>
        <w:t xml:space="preserve">, </w:t>
      </w:r>
      <w:r>
        <w:t>but higher</w:t>
      </w:r>
      <w:r>
        <w:rPr>
          <w:i/>
        </w:rPr>
        <w:t xml:space="preserve"> </w:t>
      </w:r>
      <w:proofErr w:type="spellStart"/>
      <w:r>
        <w:rPr>
          <w:i/>
        </w:rPr>
        <w:t>fr_ArN</w:t>
      </w:r>
      <w:proofErr w:type="spellEnd"/>
      <w:r>
        <w:rPr>
          <w:i/>
        </w:rPr>
        <w:t xml:space="preserve"> </w:t>
      </w:r>
      <w:r>
        <w:t>(panel D) with p-values &lt; 0.001 makes it distinguishable from other types. Type II inhibitors have higher frequency of urea (panel E) with p-values &lt; 0.001. In the bar plots, the ranges from the first quartile to the third quartile are shown in black lines.</w:t>
      </w:r>
      <w:r>
        <w:br w:type="page"/>
      </w:r>
    </w:p>
    <w:p w14:paraId="25FFEC27" w14:textId="77777777" w:rsidR="00467E31" w:rsidRDefault="007469B2">
      <w:pPr>
        <w:spacing w:line="360" w:lineRule="auto"/>
        <w:jc w:val="both"/>
      </w:pPr>
      <w:r>
        <w:rPr>
          <w:noProof/>
        </w:rPr>
        <w:lastRenderedPageBreak/>
        <w:drawing>
          <wp:inline distT="0" distB="0" distL="0" distR="0" wp14:anchorId="49148957" wp14:editId="33E5B748">
            <wp:extent cx="3820035" cy="2890838"/>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820035" cy="2890838"/>
                    </a:xfrm>
                    <a:prstGeom prst="rect">
                      <a:avLst/>
                    </a:prstGeom>
                    <a:ln/>
                  </pic:spPr>
                </pic:pic>
              </a:graphicData>
            </a:graphic>
          </wp:inline>
        </w:drawing>
      </w:r>
    </w:p>
    <w:p w14:paraId="66136B62" w14:textId="77777777" w:rsidR="00467E31" w:rsidRDefault="007469B2">
      <w:pPr>
        <w:spacing w:line="360" w:lineRule="auto"/>
        <w:jc w:val="both"/>
      </w:pPr>
      <w:r>
        <w:rPr>
          <w:b/>
        </w:rPr>
        <w:t xml:space="preserve">Figure S6. Integrated prediction performance on the blind test set. </w:t>
      </w:r>
      <w:r>
        <w:t>The prediction outcomes of binary classifiers were merged to enable multi-class classification according to the majority vote.</w:t>
      </w:r>
    </w:p>
    <w:p w14:paraId="120B78EE" w14:textId="792DFB4A" w:rsidR="007469B2" w:rsidRDefault="007469B2">
      <w:r>
        <w:br w:type="page"/>
      </w:r>
    </w:p>
    <w:p w14:paraId="584E2109" w14:textId="77777777" w:rsidR="00467E31" w:rsidRDefault="007469B2">
      <w:pPr>
        <w:spacing w:line="360" w:lineRule="auto"/>
        <w:jc w:val="both"/>
      </w:pPr>
      <w:r>
        <w:rPr>
          <w:b/>
          <w:noProof/>
        </w:rPr>
        <w:lastRenderedPageBreak/>
        <w:drawing>
          <wp:inline distT="114300" distB="114300" distL="114300" distR="114300" wp14:anchorId="0EB5157C" wp14:editId="5405DEBB">
            <wp:extent cx="5541010" cy="3619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5541010" cy="3619500"/>
                    </a:xfrm>
                    <a:prstGeom prst="rect">
                      <a:avLst/>
                    </a:prstGeom>
                    <a:ln/>
                  </pic:spPr>
                </pic:pic>
              </a:graphicData>
            </a:graphic>
          </wp:inline>
        </w:drawing>
      </w:r>
      <w:r>
        <w:rPr>
          <w:b/>
        </w:rPr>
        <w:t xml:space="preserve">Figure S7. Features generated by </w:t>
      </w:r>
      <w:proofErr w:type="spellStart"/>
      <w:r>
        <w:rPr>
          <w:b/>
        </w:rPr>
        <w:t>pkCSM</w:t>
      </w:r>
      <w:proofErr w:type="spellEnd"/>
      <w:r>
        <w:rPr>
          <w:b/>
        </w:rPr>
        <w:t xml:space="preserve">. </w:t>
      </w:r>
      <w:r>
        <w:t xml:space="preserve">Two types of features are generated, including molecular properties (top right panel) and distance distribution between pharmacophore pairs (bottom left and bottom right panels). The example molecule is a type I1/2 CDK2 inhibitor, named </w:t>
      </w:r>
      <w:r>
        <w:rPr>
          <w:i/>
        </w:rPr>
        <w:t>RC-3-96</w:t>
      </w:r>
      <w:r>
        <w:t xml:space="preserve"> (PDB Chemical ID: 99Z).</w:t>
      </w:r>
    </w:p>
    <w:p w14:paraId="48562D43" w14:textId="77777777" w:rsidR="00467E31" w:rsidRDefault="00467E31">
      <w:pPr>
        <w:spacing w:line="360" w:lineRule="auto"/>
        <w:jc w:val="both"/>
      </w:pPr>
    </w:p>
    <w:sectPr w:rsidR="00467E31">
      <w:pgSz w:w="12240" w:h="15840"/>
      <w:pgMar w:top="1440" w:right="2074"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7E31"/>
    <w:rsid w:val="00467E31"/>
    <w:rsid w:val="004C28DE"/>
    <w:rsid w:val="007469B2"/>
    <w:rsid w:val="00A03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F44D3"/>
  <w15:docId w15:val="{E1309777-D7A8-4F36-911C-18F358D1F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about:blank" TargetMode="External"/><Relationship Id="rId10" Type="http://schemas.openxmlformats.org/officeDocument/2006/relationships/image" Target="media/image5.png"/><Relationship Id="rId4" Type="http://schemas.openxmlformats.org/officeDocument/2006/relationships/hyperlink" Target="about:blank" TargetMode="Externa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690</Words>
  <Characters>3934</Characters>
  <Application>Microsoft Office Word</Application>
  <DocSecurity>0</DocSecurity>
  <Lines>32</Lines>
  <Paragraphs>9</Paragraphs>
  <ScaleCrop>false</ScaleCrop>
  <Company/>
  <LinksUpToDate>false</LinksUpToDate>
  <CharactersWithSpaces>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Ascher</cp:lastModifiedBy>
  <cp:revision>4</cp:revision>
  <dcterms:created xsi:type="dcterms:W3CDTF">2021-05-29T04:59:00Z</dcterms:created>
  <dcterms:modified xsi:type="dcterms:W3CDTF">2021-06-30T10:48:00Z</dcterms:modified>
</cp:coreProperties>
</file>