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8F89D" w14:textId="77777777" w:rsidR="00530E7A" w:rsidRPr="00972872" w:rsidRDefault="00530E7A" w:rsidP="00530E7A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0D4D34">
        <w:rPr>
          <w:rFonts w:ascii="Times New Roman" w:hAnsi="Times New Roman" w:cs="Times New Roman"/>
          <w:b/>
          <w:bCs/>
          <w:sz w:val="24"/>
          <w:szCs w:val="24"/>
        </w:rPr>
        <w:t>Table 1</w:t>
      </w:r>
      <w:r w:rsidRPr="00972872">
        <w:rPr>
          <w:rFonts w:ascii="Times New Roman" w:hAnsi="Times New Roman" w:cs="Times New Roman"/>
          <w:sz w:val="24"/>
          <w:szCs w:val="24"/>
        </w:rPr>
        <w:t xml:space="preserve">: Optimization the reaction conditions for synthesis of </w:t>
      </w:r>
      <w:r w:rsidRPr="00DF3B54">
        <w:rPr>
          <w:rFonts w:ascii="Times New Roman" w:hAnsi="Times New Roman" w:cs="Times New Roman"/>
          <w:sz w:val="24"/>
          <w:szCs w:val="24"/>
        </w:rPr>
        <w:t>oxindole (</w:t>
      </w:r>
      <w:r w:rsidRPr="00972872">
        <w:rPr>
          <w:rFonts w:ascii="Times New Roman" w:hAnsi="Times New Roman" w:cs="Times New Roman"/>
          <w:b/>
          <w:bCs/>
          <w:sz w:val="24"/>
          <w:szCs w:val="24"/>
        </w:rPr>
        <w:t>4a)</w:t>
      </w:r>
      <w:r w:rsidRPr="00972872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1"/>
        <w:gridCol w:w="2165"/>
        <w:gridCol w:w="2366"/>
        <w:gridCol w:w="1724"/>
        <w:gridCol w:w="1709"/>
      </w:tblGrid>
      <w:tr w:rsidR="00530E7A" w:rsidRPr="00972872" w14:paraId="0B738B16" w14:textId="77777777" w:rsidTr="00961662">
        <w:trPr>
          <w:jc w:val="center"/>
        </w:trPr>
        <w:tc>
          <w:tcPr>
            <w:tcW w:w="919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47866F95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object w:dxaOrig="10147" w:dyaOrig="2619" w14:anchorId="143B437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32.9pt;height:112.1pt" o:ole="">
                  <v:imagedata r:id="rId4" o:title=""/>
                </v:shape>
                <o:OLEObject Type="Embed" ProgID="ChemDraw.Document.6.0" ShapeID="_x0000_i1025" DrawAspect="Content" ObjectID="_1810994427" r:id="rId5"/>
              </w:object>
            </w:r>
          </w:p>
        </w:tc>
      </w:tr>
      <w:tr w:rsidR="00530E7A" w:rsidRPr="00972872" w14:paraId="2BB3350F" w14:textId="77777777" w:rsidTr="00961662">
        <w:trPr>
          <w:jc w:val="center"/>
        </w:trPr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6AAB8A4E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Entry</w:t>
            </w:r>
          </w:p>
        </w:tc>
        <w:tc>
          <w:tcPr>
            <w:tcW w:w="2165" w:type="dxa"/>
            <w:tcBorders>
              <w:top w:val="single" w:sz="4" w:space="0" w:color="auto"/>
              <w:bottom w:val="single" w:sz="4" w:space="0" w:color="auto"/>
            </w:tcBorders>
          </w:tcPr>
          <w:p w14:paraId="51E5BED5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Solvent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</w:tcPr>
          <w:p w14:paraId="75D6CBD0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Temperature</w:t>
            </w:r>
          </w:p>
        </w:tc>
        <w:tc>
          <w:tcPr>
            <w:tcW w:w="1724" w:type="dxa"/>
            <w:tcBorders>
              <w:top w:val="single" w:sz="4" w:space="0" w:color="auto"/>
              <w:bottom w:val="single" w:sz="4" w:space="0" w:color="auto"/>
            </w:tcBorders>
          </w:tcPr>
          <w:p w14:paraId="4C55F3FB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Time (h)</w:t>
            </w:r>
          </w:p>
        </w:tc>
        <w:tc>
          <w:tcPr>
            <w:tcW w:w="1709" w:type="dxa"/>
            <w:tcBorders>
              <w:top w:val="single" w:sz="4" w:space="0" w:color="auto"/>
              <w:bottom w:val="single" w:sz="4" w:space="0" w:color="auto"/>
            </w:tcBorders>
          </w:tcPr>
          <w:p w14:paraId="187DC31F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Yield %</w:t>
            </w:r>
            <w:r w:rsidRPr="0097287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</w:tr>
      <w:tr w:rsidR="00530E7A" w:rsidRPr="00972872" w14:paraId="130E8CAC" w14:textId="77777777" w:rsidTr="00961662">
        <w:trPr>
          <w:jc w:val="center"/>
        </w:trPr>
        <w:tc>
          <w:tcPr>
            <w:tcW w:w="1231" w:type="dxa"/>
            <w:tcBorders>
              <w:top w:val="single" w:sz="4" w:space="0" w:color="auto"/>
            </w:tcBorders>
          </w:tcPr>
          <w:p w14:paraId="15074E27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165" w:type="dxa"/>
            <w:tcBorders>
              <w:top w:val="single" w:sz="4" w:space="0" w:color="auto"/>
            </w:tcBorders>
          </w:tcPr>
          <w:p w14:paraId="544DEF81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CH</w:t>
            </w:r>
            <w:r w:rsidRPr="0097287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972872">
              <w:rPr>
                <w:rFonts w:asciiTheme="majorBidi" w:hAnsiTheme="majorBidi" w:cstheme="majorBidi"/>
                <w:sz w:val="24"/>
                <w:szCs w:val="24"/>
              </w:rPr>
              <w:t>CN</w:t>
            </w:r>
          </w:p>
        </w:tc>
        <w:tc>
          <w:tcPr>
            <w:tcW w:w="2366" w:type="dxa"/>
            <w:tcBorders>
              <w:top w:val="single" w:sz="4" w:space="0" w:color="auto"/>
            </w:tcBorders>
          </w:tcPr>
          <w:p w14:paraId="4CEA10B0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reflux</w:t>
            </w:r>
          </w:p>
        </w:tc>
        <w:tc>
          <w:tcPr>
            <w:tcW w:w="1724" w:type="dxa"/>
            <w:tcBorders>
              <w:top w:val="single" w:sz="4" w:space="0" w:color="auto"/>
            </w:tcBorders>
          </w:tcPr>
          <w:p w14:paraId="4A8F0E3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  <w:tcBorders>
              <w:top w:val="single" w:sz="4" w:space="0" w:color="auto"/>
            </w:tcBorders>
          </w:tcPr>
          <w:p w14:paraId="6D208155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79</w:t>
            </w:r>
          </w:p>
        </w:tc>
      </w:tr>
      <w:tr w:rsidR="00530E7A" w:rsidRPr="00972872" w14:paraId="1ED7C8A7" w14:textId="77777777" w:rsidTr="00961662">
        <w:trPr>
          <w:jc w:val="center"/>
        </w:trPr>
        <w:tc>
          <w:tcPr>
            <w:tcW w:w="1231" w:type="dxa"/>
          </w:tcPr>
          <w:p w14:paraId="30376074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2165" w:type="dxa"/>
          </w:tcPr>
          <w:p w14:paraId="577BFDEF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EtOH</w:t>
            </w:r>
          </w:p>
        </w:tc>
        <w:tc>
          <w:tcPr>
            <w:tcW w:w="2366" w:type="dxa"/>
          </w:tcPr>
          <w:p w14:paraId="4AC991B7" w14:textId="77777777" w:rsidR="00530E7A" w:rsidRPr="00972872" w:rsidRDefault="00530E7A" w:rsidP="00961662">
            <w:pPr>
              <w:jc w:val="center"/>
              <w:rPr>
                <w:b/>
                <w:bCs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reflux</w:t>
            </w:r>
          </w:p>
        </w:tc>
        <w:tc>
          <w:tcPr>
            <w:tcW w:w="1724" w:type="dxa"/>
          </w:tcPr>
          <w:p w14:paraId="31E7F5CB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9" w:type="dxa"/>
          </w:tcPr>
          <w:p w14:paraId="2ACD3E3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94</w:t>
            </w:r>
          </w:p>
        </w:tc>
      </w:tr>
      <w:tr w:rsidR="00530E7A" w:rsidRPr="00972872" w14:paraId="2FB95A11" w14:textId="77777777" w:rsidTr="00961662">
        <w:trPr>
          <w:jc w:val="center"/>
        </w:trPr>
        <w:tc>
          <w:tcPr>
            <w:tcW w:w="1231" w:type="dxa"/>
          </w:tcPr>
          <w:p w14:paraId="573962E4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165" w:type="dxa"/>
          </w:tcPr>
          <w:p w14:paraId="4F93B5D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CH</w:t>
            </w:r>
            <w:r w:rsidRPr="0097287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3</w:t>
            </w:r>
            <w:r w:rsidRPr="00972872">
              <w:rPr>
                <w:rFonts w:asciiTheme="majorBidi" w:hAnsiTheme="majorBidi" w:cstheme="majorBidi"/>
                <w:sz w:val="24"/>
                <w:szCs w:val="24"/>
              </w:rPr>
              <w:t>OH</w:t>
            </w:r>
          </w:p>
        </w:tc>
        <w:tc>
          <w:tcPr>
            <w:tcW w:w="2366" w:type="dxa"/>
          </w:tcPr>
          <w:p w14:paraId="70B30FD4" w14:textId="77777777" w:rsidR="00530E7A" w:rsidRPr="00972872" w:rsidRDefault="00530E7A" w:rsidP="00961662">
            <w:pPr>
              <w:jc w:val="center"/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reflux</w:t>
            </w:r>
          </w:p>
        </w:tc>
        <w:tc>
          <w:tcPr>
            <w:tcW w:w="1724" w:type="dxa"/>
          </w:tcPr>
          <w:p w14:paraId="2073305A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</w:tcPr>
          <w:p w14:paraId="7E12BBBE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81</w:t>
            </w:r>
          </w:p>
        </w:tc>
      </w:tr>
      <w:tr w:rsidR="00530E7A" w:rsidRPr="00972872" w14:paraId="10D29EF0" w14:textId="77777777" w:rsidTr="00961662">
        <w:trPr>
          <w:jc w:val="center"/>
        </w:trPr>
        <w:tc>
          <w:tcPr>
            <w:tcW w:w="1231" w:type="dxa"/>
          </w:tcPr>
          <w:p w14:paraId="74C10355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2165" w:type="dxa"/>
          </w:tcPr>
          <w:p w14:paraId="2BA9C6D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THF</w:t>
            </w:r>
          </w:p>
        </w:tc>
        <w:tc>
          <w:tcPr>
            <w:tcW w:w="2366" w:type="dxa"/>
          </w:tcPr>
          <w:p w14:paraId="2B3D3258" w14:textId="77777777" w:rsidR="00530E7A" w:rsidRPr="00972872" w:rsidRDefault="00530E7A" w:rsidP="00961662">
            <w:pPr>
              <w:jc w:val="center"/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reflux</w:t>
            </w:r>
          </w:p>
        </w:tc>
        <w:tc>
          <w:tcPr>
            <w:tcW w:w="1724" w:type="dxa"/>
          </w:tcPr>
          <w:p w14:paraId="65C11B74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</w:tcPr>
          <w:p w14:paraId="3C4727E7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77</w:t>
            </w:r>
          </w:p>
        </w:tc>
      </w:tr>
      <w:tr w:rsidR="00530E7A" w:rsidRPr="00972872" w14:paraId="1CE2E5B9" w14:textId="77777777" w:rsidTr="00961662">
        <w:trPr>
          <w:jc w:val="center"/>
        </w:trPr>
        <w:tc>
          <w:tcPr>
            <w:tcW w:w="1231" w:type="dxa"/>
          </w:tcPr>
          <w:p w14:paraId="7B2824BE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2165" w:type="dxa"/>
          </w:tcPr>
          <w:p w14:paraId="4E1678C5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H</w:t>
            </w:r>
            <w:r w:rsidRPr="00972872">
              <w:rPr>
                <w:rFonts w:asciiTheme="majorBidi" w:hAnsiTheme="majorBidi" w:cstheme="majorBidi"/>
                <w:sz w:val="24"/>
                <w:szCs w:val="24"/>
                <w:vertAlign w:val="subscript"/>
              </w:rPr>
              <w:t>2</w:t>
            </w:r>
            <w:r w:rsidRPr="00972872">
              <w:rPr>
                <w:rFonts w:asciiTheme="majorBidi" w:hAnsiTheme="majorBidi" w:cstheme="majorBidi"/>
                <w:sz w:val="24"/>
                <w:szCs w:val="24"/>
              </w:rPr>
              <w:t>O</w:t>
            </w:r>
          </w:p>
        </w:tc>
        <w:tc>
          <w:tcPr>
            <w:tcW w:w="2366" w:type="dxa"/>
          </w:tcPr>
          <w:p w14:paraId="4F23FF33" w14:textId="77777777" w:rsidR="00530E7A" w:rsidRPr="00972872" w:rsidRDefault="00530E7A" w:rsidP="00961662">
            <w:pPr>
              <w:jc w:val="center"/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reflux</w:t>
            </w:r>
          </w:p>
        </w:tc>
        <w:tc>
          <w:tcPr>
            <w:tcW w:w="1724" w:type="dxa"/>
          </w:tcPr>
          <w:p w14:paraId="33021501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</w:tcPr>
          <w:p w14:paraId="71EC9A28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72</w:t>
            </w:r>
          </w:p>
        </w:tc>
      </w:tr>
      <w:tr w:rsidR="00530E7A" w:rsidRPr="00972872" w14:paraId="1656F3E7" w14:textId="77777777" w:rsidTr="00961662">
        <w:trPr>
          <w:jc w:val="center"/>
        </w:trPr>
        <w:tc>
          <w:tcPr>
            <w:tcW w:w="1231" w:type="dxa"/>
          </w:tcPr>
          <w:p w14:paraId="4793A0FB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2165" w:type="dxa"/>
          </w:tcPr>
          <w:p w14:paraId="05938E8F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EtOH</w:t>
            </w:r>
          </w:p>
        </w:tc>
        <w:tc>
          <w:tcPr>
            <w:tcW w:w="2366" w:type="dxa"/>
          </w:tcPr>
          <w:p w14:paraId="08D0C178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r.t</w:t>
            </w:r>
          </w:p>
        </w:tc>
        <w:tc>
          <w:tcPr>
            <w:tcW w:w="1724" w:type="dxa"/>
          </w:tcPr>
          <w:p w14:paraId="4B9AD0F0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</w:tcPr>
          <w:p w14:paraId="0D4E77CF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</w:tr>
      <w:tr w:rsidR="00530E7A" w:rsidRPr="00972872" w14:paraId="666CA4AD" w14:textId="77777777" w:rsidTr="00961662">
        <w:trPr>
          <w:jc w:val="center"/>
        </w:trPr>
        <w:tc>
          <w:tcPr>
            <w:tcW w:w="1231" w:type="dxa"/>
          </w:tcPr>
          <w:p w14:paraId="20D7A52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2165" w:type="dxa"/>
          </w:tcPr>
          <w:p w14:paraId="0BE6D66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EtOH</w:t>
            </w:r>
          </w:p>
        </w:tc>
        <w:tc>
          <w:tcPr>
            <w:tcW w:w="2366" w:type="dxa"/>
          </w:tcPr>
          <w:p w14:paraId="31BB1697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1724" w:type="dxa"/>
          </w:tcPr>
          <w:p w14:paraId="715E600A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</w:tcPr>
          <w:p w14:paraId="4C9760E2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69</w:t>
            </w:r>
          </w:p>
        </w:tc>
      </w:tr>
      <w:tr w:rsidR="00530E7A" w:rsidRPr="00972872" w14:paraId="232A993E" w14:textId="77777777" w:rsidTr="00961662">
        <w:trPr>
          <w:jc w:val="center"/>
        </w:trPr>
        <w:tc>
          <w:tcPr>
            <w:tcW w:w="1231" w:type="dxa"/>
            <w:tcBorders>
              <w:bottom w:val="single" w:sz="4" w:space="0" w:color="auto"/>
            </w:tcBorders>
          </w:tcPr>
          <w:p w14:paraId="70F6743C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2165" w:type="dxa"/>
            <w:tcBorders>
              <w:bottom w:val="single" w:sz="4" w:space="0" w:color="auto"/>
            </w:tcBorders>
          </w:tcPr>
          <w:p w14:paraId="39D61783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EtOH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6550BDDA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1724" w:type="dxa"/>
            <w:tcBorders>
              <w:bottom w:val="single" w:sz="4" w:space="0" w:color="auto"/>
            </w:tcBorders>
          </w:tcPr>
          <w:p w14:paraId="6590360D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709" w:type="dxa"/>
            <w:tcBorders>
              <w:bottom w:val="single" w:sz="4" w:space="0" w:color="auto"/>
            </w:tcBorders>
          </w:tcPr>
          <w:p w14:paraId="6876731A" w14:textId="77777777" w:rsidR="00530E7A" w:rsidRPr="00972872" w:rsidRDefault="00530E7A" w:rsidP="00961662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</w:rPr>
              <w:t>74</w:t>
            </w:r>
          </w:p>
        </w:tc>
      </w:tr>
      <w:tr w:rsidR="00530E7A" w:rsidRPr="00972872" w14:paraId="70698786" w14:textId="77777777" w:rsidTr="00961662">
        <w:trPr>
          <w:jc w:val="center"/>
        </w:trPr>
        <w:tc>
          <w:tcPr>
            <w:tcW w:w="9195" w:type="dxa"/>
            <w:gridSpan w:val="5"/>
            <w:tcBorders>
              <w:top w:val="single" w:sz="4" w:space="0" w:color="auto"/>
            </w:tcBorders>
          </w:tcPr>
          <w:p w14:paraId="3445AF79" w14:textId="77777777" w:rsidR="00530E7A" w:rsidRPr="00972872" w:rsidRDefault="00530E7A" w:rsidP="00961662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972872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r w:rsidRPr="00972872">
              <w:rPr>
                <w:rFonts w:asciiTheme="majorBidi" w:hAnsiTheme="majorBidi" w:cstheme="majorBidi"/>
                <w:sz w:val="24"/>
                <w:szCs w:val="24"/>
              </w:rPr>
              <w:t xml:space="preserve">Reaction conditions: </w:t>
            </w:r>
            <w:r w:rsidRPr="00DF3B54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N</w:t>
            </w:r>
            <w:r w:rsidRPr="00972872">
              <w:rPr>
                <w:rFonts w:asciiTheme="majorBidi" w:hAnsiTheme="majorBidi" w:cstheme="majorBidi"/>
                <w:sz w:val="24"/>
                <w:szCs w:val="24"/>
              </w:rPr>
              <w:t>-ethyl</w:t>
            </w:r>
            <w:r w:rsidRPr="0097287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de-CH"/>
              </w:rPr>
              <w:t>isatin</w:t>
            </w:r>
            <w:r w:rsidRPr="0097287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t xml:space="preserve"> (</w:t>
            </w:r>
            <w:r w:rsidRPr="00972872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>1a</w:t>
            </w:r>
            <w:r w:rsidRPr="0097287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t>) (1 mmol), 2-Amino-1,4-naphthoquinone (</w:t>
            </w:r>
            <w:r w:rsidRPr="00972872"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  <w:t>2</w:t>
            </w:r>
            <w:r w:rsidRPr="00972872">
              <w:rPr>
                <w:rFonts w:asciiTheme="majorBidi" w:hAnsiTheme="majorBidi" w:cstheme="majorBidi"/>
                <w:bCs/>
                <w:color w:val="000000" w:themeColor="text1"/>
                <w:sz w:val="24"/>
                <w:szCs w:val="24"/>
              </w:rPr>
              <w:t xml:space="preserve">) (1 mmol), 5-methyl-2-phenylpyrazolone </w:t>
            </w:r>
            <w:r w:rsidRPr="0097287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de-CH"/>
              </w:rPr>
              <w:t>(</w:t>
            </w:r>
            <w:r w:rsidRPr="00972872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4"/>
                <w:szCs w:val="24"/>
                <w:lang w:eastAsia="de-CH"/>
              </w:rPr>
              <w:t>3</w:t>
            </w:r>
            <w:r w:rsidRPr="0097287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de-CH"/>
              </w:rPr>
              <w:t xml:space="preserve">) (1 mmol), solvent (3 mL). </w:t>
            </w:r>
            <w:r w:rsidRPr="0097287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vertAlign w:val="superscript"/>
                <w:lang w:eastAsia="de-CH"/>
              </w:rPr>
              <w:t>b</w:t>
            </w:r>
            <w:r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de-CH"/>
              </w:rPr>
              <w:t>The y</w:t>
            </w:r>
            <w:r w:rsidRPr="00972872">
              <w:rPr>
                <w:rFonts w:asciiTheme="majorBidi" w:eastAsia="Times New Roman" w:hAnsiTheme="majorBidi" w:cstheme="majorBidi"/>
                <w:color w:val="000000" w:themeColor="text1"/>
                <w:sz w:val="24"/>
                <w:szCs w:val="24"/>
                <w:lang w:eastAsia="de-CH"/>
              </w:rPr>
              <w:t>ields refer to the isolated pure products.</w:t>
            </w:r>
          </w:p>
        </w:tc>
      </w:tr>
    </w:tbl>
    <w:p w14:paraId="0DE7D98F" w14:textId="77777777" w:rsidR="00530E7A" w:rsidRPr="00DF3B54" w:rsidRDefault="00530E7A" w:rsidP="00530E7A">
      <w:pPr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  <w:lang w:eastAsia="de-CH"/>
        </w:rPr>
      </w:pPr>
      <w:r w:rsidRPr="00DF3B54">
        <w:rPr>
          <w:rFonts w:asciiTheme="majorBidi" w:eastAsia="Times New Roman" w:hAnsiTheme="majorBidi" w:cstheme="majorBidi"/>
          <w:b/>
          <w:bCs/>
          <w:sz w:val="24"/>
          <w:szCs w:val="24"/>
          <w:lang w:eastAsia="de-CH"/>
        </w:rPr>
        <w:t>Table 2:</w:t>
      </w:r>
      <w:r w:rsidRPr="00DF3B54">
        <w:rPr>
          <w:rFonts w:asciiTheme="majorBidi" w:eastAsia="Times New Roman" w:hAnsiTheme="majorBidi" w:cstheme="majorBidi"/>
          <w:sz w:val="24"/>
          <w:szCs w:val="24"/>
          <w:lang w:eastAsia="de-CH"/>
        </w:rPr>
        <w:t xml:space="preserve"> The structure of the synthesized </w:t>
      </w:r>
      <w:r w:rsidRPr="00DF3B54">
        <w:rPr>
          <w:rFonts w:asciiTheme="majorBidi" w:eastAsia="Times New Roman" w:hAnsiTheme="majorBidi" w:cstheme="majorBidi"/>
          <w:sz w:val="24"/>
          <w:szCs w:val="24"/>
          <w:lang w:bidi="fa-IR"/>
        </w:rPr>
        <w:t>2-amino-3-(3-(5-hydroxy-1</w:t>
      </w:r>
      <w:r w:rsidRPr="00DF3B54">
        <w:rPr>
          <w:rFonts w:asciiTheme="majorBidi" w:eastAsia="Times New Roman" w:hAnsiTheme="majorBidi" w:cstheme="majorBidi"/>
          <w:i/>
          <w:iCs/>
          <w:sz w:val="24"/>
          <w:szCs w:val="24"/>
          <w:lang w:bidi="fa-IR"/>
        </w:rPr>
        <w:t>H</w:t>
      </w:r>
      <w:r w:rsidRPr="00DF3B54">
        <w:rPr>
          <w:rFonts w:asciiTheme="majorBidi" w:eastAsia="Times New Roman" w:hAnsiTheme="majorBidi" w:cstheme="majorBidi"/>
          <w:sz w:val="24"/>
          <w:szCs w:val="24"/>
          <w:lang w:bidi="fa-IR"/>
        </w:rPr>
        <w:t xml:space="preserve">-pyrazol-4-yl)-2-oxoindolin-3-yl)naphthalene-1,4-diones </w:t>
      </w:r>
      <w:r w:rsidRPr="00DF3B54">
        <w:rPr>
          <w:rFonts w:asciiTheme="majorBidi" w:eastAsia="Times New Roman" w:hAnsiTheme="majorBidi" w:cstheme="majorBidi"/>
          <w:sz w:val="24"/>
          <w:szCs w:val="24"/>
          <w:lang w:eastAsia="de-CH"/>
        </w:rPr>
        <w:t>(</w:t>
      </w:r>
      <w:r w:rsidRPr="00DF3B54">
        <w:rPr>
          <w:rFonts w:asciiTheme="majorBidi" w:eastAsia="Times New Roman" w:hAnsiTheme="majorBidi" w:cstheme="majorBidi"/>
          <w:b/>
          <w:bCs/>
          <w:sz w:val="24"/>
          <w:szCs w:val="24"/>
          <w:lang w:eastAsia="de-CH"/>
        </w:rPr>
        <w:t>4a‒k</w:t>
      </w:r>
      <w:r w:rsidRPr="00DF3B54">
        <w:rPr>
          <w:rFonts w:asciiTheme="majorBidi" w:eastAsia="Times New Roman" w:hAnsiTheme="majorBidi" w:cstheme="majorBidi"/>
          <w:sz w:val="24"/>
          <w:szCs w:val="24"/>
          <w:lang w:eastAsia="de-CH"/>
        </w:rPr>
        <w:t>)</w:t>
      </w:r>
      <w:r w:rsidRPr="00DF3B54">
        <w:rPr>
          <w:rFonts w:asciiTheme="majorBidi" w:eastAsia="Times New Roman" w:hAnsiTheme="majorBidi" w:cstheme="majorBidi"/>
          <w:sz w:val="24"/>
          <w:szCs w:val="24"/>
          <w:vertAlign w:val="superscript"/>
          <w:lang w:eastAsia="de-CH"/>
        </w:rPr>
        <w:t>a</w:t>
      </w:r>
      <w:r w:rsidRPr="00DF3B54">
        <w:rPr>
          <w:rFonts w:asciiTheme="majorBidi" w:eastAsia="Times New Roman" w:hAnsiTheme="majorBidi" w:cstheme="majorBidi"/>
          <w:sz w:val="24"/>
          <w:szCs w:val="24"/>
          <w:lang w:eastAsia="de-CH"/>
        </w:rPr>
        <w:t xml:space="preserve"> </w:t>
      </w:r>
    </w:p>
    <w:p w14:paraId="12920DCE" w14:textId="77777777" w:rsidR="00530E7A" w:rsidRPr="00972872" w:rsidRDefault="00530E7A" w:rsidP="00530E7A">
      <w:pPr>
        <w:spacing w:line="360" w:lineRule="auto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vertAlign w:val="superscript"/>
          <w:rtl/>
          <w:lang w:eastAsia="de-CH" w:bidi="fa-IR"/>
        </w:rPr>
      </w:pPr>
      <w:r w:rsidRPr="00972872">
        <w:object w:dxaOrig="14215" w:dyaOrig="10140" w14:anchorId="6327EE24">
          <v:shape id="_x0000_i1027" type="#_x0000_t75" style="width:466.2pt;height:332.65pt" o:ole="">
            <v:imagedata r:id="rId6" o:title=""/>
          </v:shape>
          <o:OLEObject Type="Embed" ProgID="ChemDraw.Document.6.0" ShapeID="_x0000_i1027" DrawAspect="Content" ObjectID="_1810994428" r:id="rId7"/>
        </w:object>
      </w:r>
    </w:p>
    <w:p w14:paraId="08285CEC" w14:textId="77777777" w:rsidR="00530E7A" w:rsidRPr="00972872" w:rsidRDefault="00530E7A" w:rsidP="00530E7A">
      <w:pPr>
        <w:tabs>
          <w:tab w:val="left" w:pos="1296"/>
        </w:tabs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rtl/>
          <w:lang w:eastAsia="de-CH" w:bidi="fa-IR"/>
        </w:rPr>
      </w:pP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de-CH"/>
        </w:rPr>
        <w:t>Reaction conditions: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 xml:space="preserve"> 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  <w:lang w:eastAsia="de-CH"/>
        </w:rPr>
        <w:t>a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>isatin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 (</w:t>
      </w:r>
      <w:r w:rsidRPr="00972872">
        <w:rPr>
          <w:rFonts w:asciiTheme="majorBidi" w:hAnsiTheme="majorBidi" w:cstheme="majorBidi"/>
          <w:b/>
          <w:color w:val="000000" w:themeColor="text1"/>
          <w:sz w:val="24"/>
          <w:szCs w:val="24"/>
        </w:rPr>
        <w:t>1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 (1 mmol), 2-Amino-1,4-naphthoquinone (</w:t>
      </w:r>
      <w:r w:rsidRPr="00DF3B54">
        <w:rPr>
          <w:rFonts w:asciiTheme="majorBidi" w:hAnsiTheme="majorBidi" w:cstheme="majorBidi"/>
          <w:b/>
          <w:color w:val="000000" w:themeColor="text1"/>
          <w:sz w:val="24"/>
          <w:szCs w:val="24"/>
        </w:rPr>
        <w:t>2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) (1 mmol), 5-methyl-2-phenylpyrazolone 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>(</w:t>
      </w: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de-CH"/>
        </w:rPr>
        <w:t>3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>) (1 mmol), EtOH (3 mL), reflux, 4 h. The yields refer to the isolated pure products.</w:t>
      </w:r>
    </w:p>
    <w:p w14:paraId="7FD6313E" w14:textId="77777777" w:rsidR="00530E7A" w:rsidRPr="00972872" w:rsidRDefault="00530E7A" w:rsidP="00530E7A">
      <w:pPr>
        <w:spacing w:line="360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  <w:lang w:bidi="fa-IR"/>
        </w:rPr>
      </w:pP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fa-IR"/>
        </w:rPr>
        <w:t>Table 3: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fa-IR"/>
        </w:rPr>
        <w:t xml:space="preserve"> The structure of the synthesized 1</w:t>
      </w:r>
      <w:r w:rsidRPr="00972872">
        <w:rPr>
          <w:rFonts w:asciiTheme="majorBidi" w:eastAsia="Times New Roman" w:hAnsiTheme="majorBidi" w:cstheme="majorBidi"/>
          <w:i/>
          <w:iCs/>
          <w:color w:val="000000" w:themeColor="text1"/>
          <w:sz w:val="24"/>
          <w:szCs w:val="24"/>
          <w:lang w:bidi="fa-IR"/>
        </w:rPr>
        <w:t>H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fa-IR"/>
        </w:rPr>
        <w:t>-spiro[benzo[6,7]chromeno[2,3-</w:t>
      </w:r>
      <w:r w:rsidRPr="00DF3B54">
        <w:rPr>
          <w:rFonts w:asciiTheme="majorBidi" w:eastAsia="Times New Roman" w:hAnsiTheme="majorBidi" w:cstheme="majorBidi"/>
          <w:i/>
          <w:iCs/>
          <w:color w:val="000000" w:themeColor="text1"/>
          <w:sz w:val="24"/>
          <w:szCs w:val="24"/>
          <w:lang w:bidi="fa-IR"/>
        </w:rPr>
        <w:t>c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fa-IR"/>
        </w:rPr>
        <w:t>]pyrazole-4,3'-indoline]-2',5,10-trione (</w:t>
      </w: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bidi="fa-IR"/>
        </w:rPr>
        <w:t>5a-h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bidi="fa-IR"/>
        </w:rPr>
        <w:t xml:space="preserve">) </w:t>
      </w:r>
    </w:p>
    <w:p w14:paraId="572C182D" w14:textId="77777777" w:rsidR="00530E7A" w:rsidRPr="00972872" w:rsidRDefault="00530E7A" w:rsidP="00530E7A">
      <w:pPr>
        <w:spacing w:line="240" w:lineRule="auto"/>
        <w:jc w:val="center"/>
        <w:rPr>
          <w:color w:val="000000" w:themeColor="text1"/>
        </w:rPr>
      </w:pPr>
      <w:r w:rsidRPr="00972872">
        <w:object w:dxaOrig="13731" w:dyaOrig="7510" w14:anchorId="783AB8F3">
          <v:shape id="_x0000_i1029" type="#_x0000_t75" style="width:466.2pt;height:254.3pt" o:ole="">
            <v:imagedata r:id="rId8" o:title=""/>
          </v:shape>
          <o:OLEObject Type="Embed" ProgID="ChemDraw.Document.6.0" ShapeID="_x0000_i1029" DrawAspect="Content" ObjectID="_1810994429" r:id="rId9"/>
        </w:object>
      </w:r>
    </w:p>
    <w:p w14:paraId="51A84B8A" w14:textId="77777777" w:rsidR="00530E7A" w:rsidRPr="00972872" w:rsidRDefault="00530E7A" w:rsidP="00530E7A">
      <w:pPr>
        <w:spacing w:after="240"/>
        <w:jc w:val="both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de-CH"/>
        </w:rPr>
      </w:pP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de-CH"/>
        </w:rPr>
        <w:t xml:space="preserve">Reaction conditions: 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vertAlign w:val="superscript"/>
          <w:lang w:eastAsia="de-CH"/>
        </w:rPr>
        <w:t>a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>isatin (</w:t>
      </w:r>
      <w:r w:rsidRPr="00972872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de-CH"/>
        </w:rPr>
        <w:t>1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 xml:space="preserve">) (1 mmol), 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>2-Amino-1,4-naphthoquinone (</w:t>
      </w:r>
      <w:r w:rsidRPr="00972872">
        <w:rPr>
          <w:rFonts w:asciiTheme="majorBidi" w:hAnsiTheme="majorBidi" w:cstheme="majorBidi"/>
          <w:b/>
          <w:color w:val="000000" w:themeColor="text1"/>
          <w:sz w:val="24"/>
          <w:szCs w:val="24"/>
        </w:rPr>
        <w:t>2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>) (1 mmol), 5-methyl-2-phenylpyrazolone (</w:t>
      </w:r>
      <w:r w:rsidRPr="00972872">
        <w:rPr>
          <w:rFonts w:asciiTheme="majorBidi" w:hAnsiTheme="majorBidi" w:cstheme="majorBidi"/>
          <w:b/>
          <w:color w:val="000000" w:themeColor="text1"/>
          <w:sz w:val="24"/>
          <w:szCs w:val="24"/>
        </w:rPr>
        <w:t>3</w:t>
      </w:r>
      <w:r w:rsidRPr="00972872">
        <w:rPr>
          <w:rFonts w:asciiTheme="majorBidi" w:hAnsiTheme="majorBidi" w:cstheme="majorBidi"/>
          <w:bCs/>
          <w:color w:val="000000" w:themeColor="text1"/>
          <w:sz w:val="24"/>
          <w:szCs w:val="24"/>
        </w:rPr>
        <w:t xml:space="preserve">) (1 mmol), </w:t>
      </w:r>
      <w:r w:rsidRPr="00972872">
        <w:rPr>
          <w:rFonts w:asciiTheme="majorBidi" w:eastAsia="Times New Roman" w:hAnsiTheme="majorBidi" w:cstheme="majorBidi"/>
          <w:color w:val="000000" w:themeColor="text1"/>
          <w:sz w:val="24"/>
          <w:szCs w:val="24"/>
          <w:lang w:eastAsia="de-CH"/>
        </w:rPr>
        <w:t>AcOH (3 mL), reflux, 4 h. The yields refer to the isolated pure products.</w:t>
      </w:r>
    </w:p>
    <w:p w14:paraId="1DCD3E1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E7A"/>
    <w:rsid w:val="002978F5"/>
    <w:rsid w:val="003852CF"/>
    <w:rsid w:val="004D5D96"/>
    <w:rsid w:val="004E780C"/>
    <w:rsid w:val="00530E7A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C8BFC"/>
  <w15:chartTrackingRefBased/>
  <w15:docId w15:val="{237401A7-81C2-468B-B143-5D989842F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0E7A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0E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0E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0E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0E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0E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0E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0E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0E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0E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0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0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0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0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0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0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0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0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0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0E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0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0E7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0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0E7A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0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0E7A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0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0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0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0E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30E7A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2025-06-09T11:43:00Z</dcterms:created>
  <dcterms:modified xsi:type="dcterms:W3CDTF">2025-06-09T11:44:00Z</dcterms:modified>
</cp:coreProperties>
</file>