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AA61C" w14:textId="77777777" w:rsidR="003A1E5F" w:rsidRPr="00E26A12" w:rsidRDefault="003A1E5F" w:rsidP="003A1E5F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E26A12">
        <w:rPr>
          <w:rFonts w:ascii="Times New Roman" w:hAnsi="Times New Roman"/>
          <w:b/>
          <w:sz w:val="24"/>
          <w:szCs w:val="24"/>
        </w:rPr>
        <w:t>Table 1</w:t>
      </w:r>
      <w:r w:rsidRPr="00E26A12">
        <w:rPr>
          <w:rFonts w:ascii="Times New Roman" w:hAnsi="Times New Roman"/>
          <w:sz w:val="24"/>
          <w:szCs w:val="24"/>
        </w:rPr>
        <w:t>│</w:t>
      </w:r>
      <w:bookmarkStart w:id="0" w:name="_Hlk184146566"/>
      <w:r w:rsidRPr="00E26A12">
        <w:rPr>
          <w:rFonts w:ascii="Times New Roman" w:hAnsi="Times New Roman"/>
          <w:b/>
          <w:bCs/>
          <w:sz w:val="24"/>
          <w:szCs w:val="24"/>
        </w:rPr>
        <w:t>Results of ATRP of MA using Phen-CHCP photocatalyst in presence of oxygen or inhibitor under green light irradiation.</w:t>
      </w:r>
      <w:bookmarkEnd w:id="0"/>
    </w:p>
    <w:p w14:paraId="30436434" w14:textId="77777777" w:rsidR="003A1E5F" w:rsidRPr="00E26A12" w:rsidRDefault="003A1E5F" w:rsidP="003A1E5F">
      <w:pPr>
        <w:spacing w:line="480" w:lineRule="auto"/>
        <w:jc w:val="center"/>
        <w:rPr>
          <w:rFonts w:ascii="Times New Roman" w:hAnsi="Times New Roman"/>
          <w:noProof/>
        </w:rPr>
      </w:pPr>
      <w:r w:rsidRPr="00E26A12">
        <w:rPr>
          <w:rFonts w:ascii="Times New Roman" w:eastAsia="DengXian" w:hAnsi="Times New Roman"/>
          <w:noProof/>
        </w:rPr>
        <w:drawing>
          <wp:inline distT="0" distB="0" distL="0" distR="0" wp14:anchorId="7AD3F13B" wp14:editId="2FDA6A55">
            <wp:extent cx="6124575" cy="4057650"/>
            <wp:effectExtent l="0" t="0" r="9525" b="0"/>
            <wp:docPr id="11374783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7E52D" w14:textId="77777777" w:rsidR="003A1E5F" w:rsidRPr="00E26A12" w:rsidRDefault="003A1E5F" w:rsidP="003A1E5F">
      <w:pPr>
        <w:spacing w:line="480" w:lineRule="auto"/>
        <w:rPr>
          <w:rFonts w:ascii="Times New Roman" w:hAnsi="Times New Roman"/>
          <w:bCs/>
          <w:sz w:val="24"/>
          <w:szCs w:val="24"/>
        </w:rPr>
      </w:pPr>
      <w:bookmarkStart w:id="1" w:name="_Hlk184146575"/>
      <w:r w:rsidRPr="00E26A12">
        <w:rPr>
          <w:rFonts w:ascii="Times New Roman" w:hAnsi="Times New Roman"/>
          <w:bCs/>
          <w:sz w:val="24"/>
          <w:szCs w:val="24"/>
        </w:rPr>
        <w:t>Reaction conditions: [MA]/[EBiB]/[CuBr]/[L] = 200/1/0.02/x (L = Me</w:t>
      </w:r>
      <w:r w:rsidRPr="00E26A12">
        <w:rPr>
          <w:rFonts w:ascii="Times New Roman" w:hAnsi="Times New Roman"/>
          <w:bCs/>
          <w:sz w:val="24"/>
          <w:szCs w:val="24"/>
          <w:vertAlign w:val="subscript"/>
        </w:rPr>
        <w:t>6</w:t>
      </w:r>
      <w:r w:rsidRPr="00E26A12">
        <w:rPr>
          <w:rFonts w:ascii="Times New Roman" w:hAnsi="Times New Roman"/>
          <w:bCs/>
          <w:sz w:val="24"/>
          <w:szCs w:val="24"/>
        </w:rPr>
        <w:t xml:space="preserve">TREN, TPMA, or PMDETA; x = 0.04, 0.08, 0.12, 0.16, 0.2 or 0.3 respectively) in 50 vol% different solvents, </w:t>
      </w:r>
      <w:r w:rsidRPr="00E26A12">
        <w:rPr>
          <w:rFonts w:ascii="Times New Roman" w:hAnsi="Times New Roman"/>
          <w:bCs/>
          <w:i/>
          <w:iCs/>
          <w:sz w:val="24"/>
          <w:szCs w:val="24"/>
        </w:rPr>
        <w:t>V</w:t>
      </w:r>
      <w:r w:rsidRPr="00E26A12">
        <w:rPr>
          <w:rFonts w:ascii="Times New Roman" w:hAnsi="Times New Roman"/>
          <w:bCs/>
          <w:i/>
          <w:iCs/>
          <w:sz w:val="24"/>
          <w:szCs w:val="24"/>
          <w:vertAlign w:val="subscript"/>
        </w:rPr>
        <w:t>air</w:t>
      </w:r>
      <w:r w:rsidRPr="00E26A12">
        <w:rPr>
          <w:rFonts w:ascii="Times New Roman" w:hAnsi="Times New Roman"/>
          <w:bCs/>
          <w:sz w:val="24"/>
          <w:szCs w:val="24"/>
        </w:rPr>
        <w:t>/</w:t>
      </w:r>
      <w:r w:rsidRPr="00E26A12">
        <w:rPr>
          <w:rFonts w:ascii="Times New Roman" w:hAnsi="Times New Roman"/>
          <w:bCs/>
          <w:i/>
          <w:iCs/>
          <w:sz w:val="24"/>
          <w:szCs w:val="24"/>
        </w:rPr>
        <w:t>V</w:t>
      </w:r>
      <w:r w:rsidRPr="00E26A12">
        <w:rPr>
          <w:rFonts w:ascii="Times New Roman" w:hAnsi="Times New Roman"/>
          <w:bCs/>
          <w:i/>
          <w:iCs/>
          <w:sz w:val="24"/>
          <w:szCs w:val="24"/>
          <w:vertAlign w:val="subscript"/>
        </w:rPr>
        <w:t>bottle</w:t>
      </w:r>
      <w:r w:rsidRPr="00E26A12">
        <w:rPr>
          <w:rFonts w:ascii="Times New Roman" w:hAnsi="Times New Roman"/>
          <w:bCs/>
          <w:sz w:val="24"/>
          <w:szCs w:val="24"/>
        </w:rPr>
        <w:t xml:space="preserve"> = 0.5, irradiated under green light (0.9 mW/cm</w:t>
      </w:r>
      <w:r w:rsidRPr="00E26A12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Pr="00E26A12">
        <w:rPr>
          <w:rFonts w:ascii="Times New Roman" w:hAnsi="Times New Roman"/>
          <w:bCs/>
          <w:sz w:val="24"/>
          <w:szCs w:val="24"/>
        </w:rPr>
        <w:t xml:space="preserve">). </w:t>
      </w:r>
      <w:r w:rsidRPr="00E26A12">
        <w:rPr>
          <w:rFonts w:ascii="Times New Roman" w:hAnsi="Times New Roman"/>
          <w:bCs/>
          <w:i/>
          <w:iCs/>
          <w:sz w:val="24"/>
          <w:szCs w:val="24"/>
          <w:vertAlign w:val="superscript"/>
        </w:rPr>
        <w:t>a</w:t>
      </w:r>
      <w:r w:rsidRPr="00E26A12">
        <w:rPr>
          <w:rFonts w:ascii="Times New Roman" w:hAnsi="Times New Roman"/>
          <w:bCs/>
          <w:sz w:val="24"/>
          <w:szCs w:val="24"/>
        </w:rPr>
        <w:t xml:space="preserve">Triethanolamine (1.0 equiv relative to EBiB) was used as the electron donor in presence of TPMA. </w:t>
      </w:r>
      <w:r w:rsidRPr="00E26A12">
        <w:rPr>
          <w:rFonts w:ascii="Times New Roman" w:hAnsi="Times New Roman"/>
          <w:bCs/>
          <w:i/>
          <w:iCs/>
          <w:sz w:val="24"/>
          <w:szCs w:val="24"/>
          <w:vertAlign w:val="superscript"/>
        </w:rPr>
        <w:t>b</w:t>
      </w:r>
      <w:r w:rsidRPr="00E26A12">
        <w:rPr>
          <w:rFonts w:ascii="Times New Roman" w:hAnsi="Times New Roman"/>
          <w:bCs/>
          <w:sz w:val="24"/>
          <w:szCs w:val="24"/>
        </w:rPr>
        <w:t>Monomer with inhibitor in presence of oxygen (50% air, v/v).</w:t>
      </w:r>
      <w:bookmarkEnd w:id="1"/>
    </w:p>
    <w:p w14:paraId="40CFB15C" w14:textId="77777777" w:rsidR="00755780" w:rsidRDefault="00755780"/>
    <w:sectPr w:rsidR="00755780" w:rsidSect="003A1E5F">
      <w:pgSz w:w="11906" w:h="16838"/>
      <w:pgMar w:top="1247" w:right="907" w:bottom="1134" w:left="907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E5F"/>
    <w:rsid w:val="00011C58"/>
    <w:rsid w:val="0006021D"/>
    <w:rsid w:val="00331A6B"/>
    <w:rsid w:val="003A1E5F"/>
    <w:rsid w:val="00703E03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87BF4"/>
  <w15:chartTrackingRefBased/>
  <w15:docId w15:val="{78B7F4C4-36AC-441C-881C-333110A81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E5F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1E5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1E5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1E5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1E5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1E5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1E5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1E5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1E5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1E5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1E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1E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1E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1E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1E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1E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1E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1E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1E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1E5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1E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1E5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1E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1E5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1E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1E5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1E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1E5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1E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1E5F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A1E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>Springer Nature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2025-07-04T03:23:00Z</dcterms:created>
  <dcterms:modified xsi:type="dcterms:W3CDTF">2025-07-04T03:23:00Z</dcterms:modified>
</cp:coreProperties>
</file>