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E69F3" w14:textId="77777777" w:rsidR="001614D2" w:rsidRPr="002059CD" w:rsidRDefault="001614D2" w:rsidP="001614D2">
      <w:pPr>
        <w:widowControl/>
        <w:spacing w:line="480" w:lineRule="auto"/>
        <w:jc w:val="left"/>
        <w:textAlignment w:val="bottom"/>
        <w:rPr>
          <w:rFonts w:ascii="Times New Roman" w:eastAsia="ＭＳ Ｐゴシック" w:hAnsi="Times New Roman" w:cs="Times New Roman"/>
          <w:b/>
          <w:bCs/>
          <w:sz w:val="38"/>
          <w:szCs w:val="38"/>
        </w:rPr>
      </w:pPr>
      <w:r w:rsidRPr="002059CD">
        <w:rPr>
          <w:rFonts w:ascii="Times New Roman" w:hAnsi="Times New Roman" w:cs="Times New Roman"/>
          <w:b/>
          <w:i/>
          <w:sz w:val="38"/>
          <w:lang w:bidi="en-US"/>
        </w:rPr>
        <w:t>Study Protocol</w:t>
      </w:r>
    </w:p>
    <w:p w14:paraId="05836287"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A multicenter phase II trial of peri-operative chemotherapy with mFOLFOX6 for resectable liver metastases from colorectal cancer.</w:t>
      </w:r>
    </w:p>
    <w:p w14:paraId="1C6780F4" w14:textId="77777777" w:rsidR="001614D2" w:rsidRPr="00C07D91" w:rsidRDefault="001614D2" w:rsidP="001614D2">
      <w:pPr>
        <w:pStyle w:val="a3"/>
        <w:rPr>
          <w:rFonts w:cs="Times New Roman"/>
          <w:b/>
          <w:bCs/>
          <w:i/>
          <w:iCs/>
          <w:sz w:val="36"/>
          <w:szCs w:val="36"/>
        </w:rPr>
      </w:pPr>
      <w:r w:rsidRPr="00C07D91">
        <w:rPr>
          <w:rFonts w:cs="Times New Roman"/>
          <w:b/>
          <w:bCs/>
          <w:i/>
          <w:iCs/>
          <w:sz w:val="36"/>
          <w:szCs w:val="36"/>
        </w:rPr>
        <w:t>Trial Registration Number</w:t>
      </w:r>
    </w:p>
    <w:p w14:paraId="49CAD50D" w14:textId="77777777" w:rsidR="001614D2" w:rsidRPr="00C07D91" w:rsidRDefault="001614D2" w:rsidP="001614D2">
      <w:pPr>
        <w:spacing w:line="480" w:lineRule="auto"/>
        <w:rPr>
          <w:rFonts w:ascii="Times New Roman" w:hAnsi="Times New Roman" w:cs="Times New Roman"/>
          <w:b/>
          <w:bCs/>
          <w:i/>
          <w:iCs/>
        </w:rPr>
      </w:pPr>
      <w:r w:rsidRPr="00C07D91">
        <w:rPr>
          <w:rFonts w:ascii="Times New Roman" w:hAnsi="Times New Roman" w:cs="Times New Roman"/>
          <w:b/>
          <w:bCs/>
          <w:i/>
          <w:iCs/>
          <w:lang w:bidi="en-US"/>
        </w:rPr>
        <w:t>UMIN000009725</w:t>
      </w:r>
      <w:r w:rsidRPr="00C07D91">
        <w:rPr>
          <w:rFonts w:ascii="ＭＳ 明朝" w:eastAsia="ＭＳ 明朝" w:hAnsi="ＭＳ 明朝" w:cs="ＭＳ 明朝" w:hint="eastAsia"/>
          <w:b/>
          <w:bCs/>
          <w:i/>
          <w:iCs/>
        </w:rPr>
        <w:t xml:space="preserve">　　</w:t>
      </w:r>
      <w:r w:rsidRPr="00C07D91">
        <w:rPr>
          <w:rFonts w:ascii="Times New Roman" w:hAnsi="Times New Roman" w:cs="Times New Roman"/>
          <w:b/>
          <w:bCs/>
          <w:i/>
          <w:iCs/>
        </w:rPr>
        <w:t>15/01/2013</w:t>
      </w:r>
    </w:p>
    <w:p w14:paraId="055C2759" w14:textId="77777777" w:rsidR="001614D2" w:rsidRPr="002059CD" w:rsidRDefault="001614D2" w:rsidP="001614D2">
      <w:pPr>
        <w:spacing w:line="480" w:lineRule="auto"/>
        <w:rPr>
          <w:rFonts w:ascii="Times New Roman" w:hAnsi="Times New Roman" w:cs="Times New Roman"/>
        </w:rPr>
      </w:pPr>
    </w:p>
    <w:p w14:paraId="3B5E29B8" w14:textId="77777777" w:rsidR="001614D2"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 xml:space="preserve">Name of lead principal investigator: </w:t>
      </w:r>
    </w:p>
    <w:p w14:paraId="26734E03" w14:textId="77777777" w:rsidR="001614D2" w:rsidRPr="00DB0771" w:rsidRDefault="001614D2" w:rsidP="001614D2">
      <w:pPr>
        <w:spacing w:line="480" w:lineRule="auto"/>
        <w:rPr>
          <w:rFonts w:ascii="Times New Roman" w:hAnsi="Times New Roman" w:cs="Times New Roman"/>
          <w:b/>
        </w:rPr>
      </w:pPr>
      <w:r w:rsidRPr="00766C72">
        <w:rPr>
          <w:rFonts w:ascii="Times New Roman" w:hAnsi="Times New Roman" w:cs="Times New Roman"/>
          <w:b/>
        </w:rPr>
        <w:t>Takahiro Wada</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Kenji Katsumata</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Kenta Kasahara</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Junichi Mazaki</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Masatoshi Shigoka</w:t>
      </w:r>
      <w:r w:rsidRPr="00766C72">
        <w:rPr>
          <w:rFonts w:ascii="Times New Roman" w:hAnsi="Times New Roman" w:cs="Times New Roman"/>
          <w:b/>
          <w:vertAlign w:val="superscript"/>
        </w:rPr>
        <w:t>2</w:t>
      </w:r>
      <w:r w:rsidRPr="00766C72">
        <w:rPr>
          <w:rFonts w:ascii="Times New Roman" w:hAnsi="Times New Roman" w:cs="Times New Roman"/>
          <w:b/>
          <w:bCs/>
        </w:rPr>
        <w:t>,</w:t>
      </w:r>
      <w:r w:rsidRPr="00766C72">
        <w:rPr>
          <w:rFonts w:ascii="Times New Roman" w:hAnsi="Times New Roman" w:cs="Times New Roman"/>
          <w:b/>
        </w:rPr>
        <w:t xml:space="preserve"> Hideaki Kawakita</w:t>
      </w:r>
      <w:r w:rsidRPr="00766C72">
        <w:rPr>
          <w:rFonts w:ascii="Times New Roman" w:hAnsi="Times New Roman" w:cs="Times New Roman"/>
          <w:b/>
          <w:vertAlign w:val="superscript"/>
        </w:rPr>
        <w:t>3</w:t>
      </w:r>
      <w:r w:rsidRPr="00766C72">
        <w:rPr>
          <w:rFonts w:ascii="Times New Roman" w:hAnsi="Times New Roman" w:cs="Times New Roman"/>
          <w:b/>
          <w:bCs/>
        </w:rPr>
        <w:t>,</w:t>
      </w:r>
      <w:r w:rsidRPr="00766C72">
        <w:rPr>
          <w:rFonts w:ascii="Times New Roman" w:hAnsi="Times New Roman" w:cs="Times New Roman"/>
          <w:b/>
        </w:rPr>
        <w:t xml:space="preserve"> Masanobu Enomoto</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Tetsuo Ishizaki</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Yuichi Nagakawa</w:t>
      </w:r>
      <w:r w:rsidRPr="00766C72">
        <w:rPr>
          <w:rFonts w:ascii="Times New Roman" w:hAnsi="Times New Roman" w:cs="Times New Roman"/>
          <w:b/>
          <w:vertAlign w:val="superscript"/>
        </w:rPr>
        <w:t>1</w:t>
      </w:r>
      <w:r w:rsidRPr="00766C72">
        <w:rPr>
          <w:rFonts w:ascii="Times New Roman" w:hAnsi="Times New Roman" w:cs="Times New Roman"/>
          <w:b/>
          <w:bCs/>
        </w:rPr>
        <w:t>,</w:t>
      </w:r>
      <w:r w:rsidRPr="00766C72">
        <w:rPr>
          <w:rFonts w:ascii="Times New Roman" w:hAnsi="Times New Roman" w:cs="Times New Roman"/>
          <w:b/>
        </w:rPr>
        <w:t xml:space="preserve"> Akihiko Tsuchida</w:t>
      </w:r>
      <w:r w:rsidRPr="00766C72">
        <w:rPr>
          <w:rFonts w:ascii="Times New Roman" w:hAnsi="Times New Roman" w:cs="Times New Roman"/>
          <w:b/>
          <w:vertAlign w:val="superscript"/>
        </w:rPr>
        <w:t>1</w:t>
      </w:r>
    </w:p>
    <w:p w14:paraId="30849E96" w14:textId="77777777" w:rsidR="001614D2" w:rsidRPr="00766C72" w:rsidRDefault="001614D2" w:rsidP="001614D2">
      <w:pPr>
        <w:pStyle w:val="a5"/>
        <w:spacing w:line="480" w:lineRule="auto"/>
        <w:ind w:left="0"/>
        <w:rPr>
          <w:rFonts w:ascii="Times New Roman" w:hAnsi="Times New Roman" w:cs="Times New Roman"/>
        </w:rPr>
      </w:pPr>
      <w:r w:rsidRPr="00766C72">
        <w:rPr>
          <w:rFonts w:ascii="Times New Roman" w:hAnsi="Times New Roman" w:cs="Times New Roman"/>
        </w:rPr>
        <w:t>1 Department of Pediatric Gastrointestinal Surgery, Tokyo Medical University</w:t>
      </w:r>
    </w:p>
    <w:p w14:paraId="6AC49DA2" w14:textId="77777777" w:rsidR="001614D2" w:rsidRPr="00766C72" w:rsidRDefault="001614D2" w:rsidP="001614D2">
      <w:pPr>
        <w:pStyle w:val="a5"/>
        <w:spacing w:line="480" w:lineRule="auto"/>
        <w:ind w:left="0"/>
        <w:rPr>
          <w:rFonts w:ascii="Times New Roman" w:hAnsi="Times New Roman" w:cs="Times New Roman"/>
        </w:rPr>
      </w:pPr>
      <w:r w:rsidRPr="00766C72">
        <w:rPr>
          <w:rFonts w:ascii="Times New Roman" w:hAnsi="Times New Roman" w:cs="Times New Roman"/>
        </w:rPr>
        <w:t>2 Department of Gastrointestinal Surgery and Transplantation Surgery, Tokyo Medical University Hachioji Medical Center</w:t>
      </w:r>
    </w:p>
    <w:p w14:paraId="13E03216" w14:textId="77777777" w:rsidR="001614D2" w:rsidRPr="00766C72" w:rsidRDefault="001614D2" w:rsidP="001614D2">
      <w:pPr>
        <w:pStyle w:val="a5"/>
        <w:spacing w:line="480" w:lineRule="auto"/>
        <w:ind w:left="0"/>
        <w:rPr>
          <w:rFonts w:ascii="Times New Roman" w:hAnsi="Times New Roman" w:cs="Times New Roman"/>
        </w:rPr>
      </w:pPr>
      <w:r w:rsidRPr="00766C72">
        <w:rPr>
          <w:rFonts w:ascii="Times New Roman" w:hAnsi="Times New Roman" w:cs="Times New Roman"/>
        </w:rPr>
        <w:t>3 Department of Surgery, Kohsei Chuo General Hospital</w:t>
      </w:r>
    </w:p>
    <w:p w14:paraId="1AEE2E91" w14:textId="77777777" w:rsidR="001614D2" w:rsidRDefault="001614D2" w:rsidP="001614D2">
      <w:pPr>
        <w:spacing w:line="480" w:lineRule="auto"/>
        <w:rPr>
          <w:rFonts w:ascii="Times New Roman" w:hAnsi="Times New Roman" w:cs="Times New Roman"/>
          <w:lang w:bidi="en-US"/>
        </w:rPr>
      </w:pPr>
    </w:p>
    <w:p w14:paraId="3E7D2979"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Tokyo Medical University, Department of Gastrointestinal and Pediatric Surgery,</w:t>
      </w:r>
    </w:p>
    <w:p w14:paraId="62ACD4A8"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Address: 6-7-1 Nish-Shinjyuku Shinjyuku Tokyo, Zip code: 1600023</w:t>
      </w:r>
    </w:p>
    <w:p w14:paraId="1B6718B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Tel. No.: 0333426111</w:t>
      </w:r>
    </w:p>
    <w:p w14:paraId="5D2CA6C2" w14:textId="77777777" w:rsidR="001614D2" w:rsidRPr="002059CD" w:rsidRDefault="001614D2" w:rsidP="001614D2">
      <w:pPr>
        <w:spacing w:line="480" w:lineRule="auto"/>
        <w:rPr>
          <w:rFonts w:ascii="Times New Roman" w:hAnsi="Times New Roman" w:cs="Times New Roman"/>
        </w:rPr>
      </w:pPr>
    </w:p>
    <w:p w14:paraId="15063EBD" w14:textId="77777777" w:rsidR="001614D2" w:rsidRDefault="001614D2" w:rsidP="001614D2">
      <w:pPr>
        <w:spacing w:line="480" w:lineRule="auto"/>
        <w:rPr>
          <w:rFonts w:ascii="Times New Roman" w:hAnsi="Times New Roman" w:cs="Times New Roman"/>
        </w:rPr>
      </w:pPr>
      <w:r w:rsidRPr="002059CD">
        <w:rPr>
          <w:rFonts w:ascii="Times New Roman" w:hAnsi="Times New Roman" w:cs="Times New Roman"/>
        </w:rPr>
        <w:lastRenderedPageBreak/>
        <w:t>Corresponding author:</w:t>
      </w:r>
      <w:r>
        <w:rPr>
          <w:rFonts w:ascii="Times New Roman" w:hAnsi="Times New Roman" w:cs="Times New Roman"/>
        </w:rPr>
        <w:t xml:space="preserve"> Takahiro Wada</w:t>
      </w:r>
    </w:p>
    <w:p w14:paraId="2BA19F78" w14:textId="77777777" w:rsidR="001614D2" w:rsidRDefault="001614D2" w:rsidP="001614D2">
      <w:pPr>
        <w:spacing w:line="480" w:lineRule="auto"/>
        <w:rPr>
          <w:rFonts w:ascii="Times New Roman" w:hAnsi="Times New Roman" w:cs="Times New Roman"/>
        </w:rPr>
      </w:pPr>
      <w:r>
        <w:rPr>
          <w:rFonts w:ascii="Times New Roman" w:hAnsi="Times New Roman" w:cs="Times New Roman"/>
        </w:rPr>
        <w:t>Takaharuhina0917@yahoo.co.jp</w:t>
      </w:r>
    </w:p>
    <w:p w14:paraId="726F8B05" w14:textId="77777777" w:rsidR="001614D2" w:rsidRPr="00766C72" w:rsidRDefault="001614D2" w:rsidP="001614D2">
      <w:pPr>
        <w:spacing w:line="480" w:lineRule="auto"/>
        <w:rPr>
          <w:rFonts w:ascii="Times New Roman" w:hAnsi="Times New Roman" w:cs="Times New Roman"/>
          <w:b/>
        </w:rPr>
      </w:pPr>
      <w:r w:rsidRPr="00766C72">
        <w:rPr>
          <w:rFonts w:ascii="Times New Roman" w:hAnsi="Times New Roman" w:cs="Times New Roman"/>
          <w:b/>
        </w:rPr>
        <w:t>Abstract</w:t>
      </w:r>
    </w:p>
    <w:p w14:paraId="3C352325"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rPr>
        <w:t>Background</w:t>
      </w:r>
      <w:r w:rsidRPr="00766C72">
        <w:rPr>
          <w:rFonts w:ascii="Times New Roman" w:hAnsi="Times New Roman" w:cs="Times New Roman"/>
        </w:rPr>
        <w:t>: Although resection is effective for managing resectable liver metastases from colorectal cancer, the clinical significance of chemotherapy for such metastases has remained undetermined. Therefore, we conducted a phase II trial of perioperative chemotherapy with mFOLFOX6 to examine its efficacy.</w:t>
      </w:r>
    </w:p>
    <w:p w14:paraId="5D9224AC"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rPr>
        <w:t>Methods:</w:t>
      </w:r>
      <w:r w:rsidRPr="00766C72">
        <w:rPr>
          <w:rFonts w:ascii="Times New Roman" w:hAnsi="Times New Roman" w:cs="Times New Roman"/>
        </w:rPr>
        <w:t xml:space="preserve"> A total of 41 patients were examined. </w:t>
      </w:r>
      <w:r w:rsidRPr="00766C72">
        <w:rPr>
          <w:rFonts w:ascii="Times New Roman" w:eastAsia="Times New Roman" w:hAnsi="Times New Roman" w:cs="Times New Roman"/>
        </w:rPr>
        <w:t>The liver</w:t>
      </w:r>
      <w:r w:rsidRPr="00766C72">
        <w:rPr>
          <w:rFonts w:ascii="Times New Roman" w:hAnsi="Times New Roman" w:cs="Times New Roman"/>
        </w:rPr>
        <w:t xml:space="preserve"> resection rate was the primary endpoint, whereas the response rate, adverse events, completion rate, liver injury rate, R0 resection rate, and histological results were the secondary endpoints.</w:t>
      </w:r>
    </w:p>
    <w:p w14:paraId="4A95B958"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rPr>
        <w:t>Results</w:t>
      </w:r>
      <w:r w:rsidRPr="00766C72">
        <w:rPr>
          <w:rFonts w:ascii="Times New Roman" w:hAnsi="Times New Roman" w:cs="Times New Roman"/>
        </w:rPr>
        <w:t xml:space="preserve">: Overall, 34 (82.9%) patients underwent liver resection, and 77.4% and 100% had synchronous and metachronous liver </w:t>
      </w:r>
      <w:r w:rsidRPr="00766C72">
        <w:rPr>
          <w:rFonts w:ascii="Times New Roman" w:eastAsia="Times New Roman" w:hAnsi="Times New Roman" w:cs="Times New Roman"/>
        </w:rPr>
        <w:t>metastases</w:t>
      </w:r>
      <w:r w:rsidRPr="00766C72">
        <w:rPr>
          <w:rFonts w:ascii="Times New Roman" w:hAnsi="Times New Roman" w:cs="Times New Roman"/>
        </w:rPr>
        <w:t xml:space="preserve">, respectively. The seven remaining patients did not undergo resection because of a progressive disease. Moreover, 2, 15, 17, and 7 patients had </w:t>
      </w:r>
      <w:r w:rsidRPr="00766C72">
        <w:rPr>
          <w:rFonts w:ascii="Times New Roman" w:eastAsia="Times New Roman" w:hAnsi="Times New Roman" w:cs="Times New Roman"/>
        </w:rPr>
        <w:t xml:space="preserve">a </w:t>
      </w:r>
      <w:r w:rsidRPr="00766C72">
        <w:rPr>
          <w:rFonts w:ascii="Times New Roman" w:hAnsi="Times New Roman" w:cs="Times New Roman"/>
        </w:rPr>
        <w:t xml:space="preserve">complete response, partial response, stable disease, and progressive disease, respectively, </w:t>
      </w:r>
      <w:r w:rsidRPr="00766C72">
        <w:rPr>
          <w:rFonts w:ascii="Times New Roman" w:eastAsia="Times New Roman" w:hAnsi="Times New Roman" w:cs="Times New Roman"/>
        </w:rPr>
        <w:t>which indicated</w:t>
      </w:r>
      <w:r w:rsidRPr="00766C72">
        <w:rPr>
          <w:rFonts w:ascii="Times New Roman" w:hAnsi="Times New Roman" w:cs="Times New Roman"/>
        </w:rPr>
        <w:t xml:space="preserve"> that the response rate was 41.5%. Regarding adverse events, three patients exhibited </w:t>
      </w:r>
      <w:r>
        <w:rPr>
          <w:rFonts w:ascii="Times New Roman" w:hAnsi="Times New Roman" w:cs="Times New Roman"/>
        </w:rPr>
        <w:t>G</w:t>
      </w:r>
      <w:r w:rsidRPr="00766C72">
        <w:rPr>
          <w:rFonts w:ascii="Times New Roman" w:hAnsi="Times New Roman" w:cs="Times New Roman"/>
        </w:rPr>
        <w:t xml:space="preserve">rade 3 myelosuppression and one patient had gastrointestinal symptoms. </w:t>
      </w:r>
      <w:r w:rsidRPr="00766C72">
        <w:rPr>
          <w:rFonts w:ascii="Times New Roman" w:eastAsia="Times New Roman" w:hAnsi="Times New Roman" w:cs="Times New Roman"/>
        </w:rPr>
        <w:t>On the basis of</w:t>
      </w:r>
      <w:r w:rsidRPr="00766C72">
        <w:rPr>
          <w:rFonts w:ascii="Times New Roman" w:hAnsi="Times New Roman" w:cs="Times New Roman"/>
        </w:rPr>
        <w:t xml:space="preserve"> histopathological examination, 27, 5, and 2 patients belonged to grades 1a:1b, 2, and 3, respectively. Regarding liver injury, 29.4% had liver sinusoidal injury, whereas 11.7% had steatohepatitis. Meanwhile, all patients underwent postoperative chemotherapy.</w:t>
      </w:r>
    </w:p>
    <w:p w14:paraId="6CF43D28" w14:textId="77777777" w:rsidR="001614D2" w:rsidRDefault="001614D2" w:rsidP="001614D2">
      <w:pPr>
        <w:spacing w:line="480" w:lineRule="auto"/>
        <w:rPr>
          <w:rFonts w:ascii="Times New Roman" w:hAnsi="Times New Roman" w:cs="Times New Roman"/>
        </w:rPr>
      </w:pPr>
      <w:r w:rsidRPr="00766C72">
        <w:rPr>
          <w:rFonts w:ascii="Times New Roman" w:eastAsia="MS UI Gothic" w:hAnsi="Times New Roman" w:cs="Times New Roman"/>
          <w:b/>
          <w:bCs/>
          <w:shd w:val="clear" w:color="auto" w:fill="FFFFFF"/>
        </w:rPr>
        <w:lastRenderedPageBreak/>
        <w:t>Conclusions</w:t>
      </w:r>
      <w:r w:rsidRPr="00766C72">
        <w:rPr>
          <w:rFonts w:ascii="Times New Roman" w:hAnsi="Times New Roman" w:cs="Times New Roman"/>
        </w:rPr>
        <w:t>: mFOLFOX6 is safe</w:t>
      </w:r>
      <w:r w:rsidRPr="00766C72">
        <w:rPr>
          <w:rFonts w:ascii="Times New Roman" w:eastAsia="Times New Roman" w:hAnsi="Times New Roman" w:cs="Times New Roman"/>
        </w:rPr>
        <w:t xml:space="preserve"> and yields</w:t>
      </w:r>
      <w:r w:rsidRPr="00766C72">
        <w:rPr>
          <w:rFonts w:ascii="Times New Roman" w:hAnsi="Times New Roman" w:cs="Times New Roman"/>
        </w:rPr>
        <w:t xml:space="preserve"> favorable therapeutic effects. The indication for liver resection after a certain waiting period is clinically significant.</w:t>
      </w:r>
    </w:p>
    <w:p w14:paraId="70DB1FB7" w14:textId="77777777" w:rsidR="001614D2" w:rsidRDefault="001614D2" w:rsidP="001614D2">
      <w:pPr>
        <w:pStyle w:val="a3"/>
        <w:rPr>
          <w:rFonts w:cs="Times New Roman"/>
          <w:sz w:val="24"/>
          <w:szCs w:val="24"/>
        </w:rPr>
      </w:pPr>
      <w:r w:rsidRPr="00C81F8A">
        <w:rPr>
          <w:rFonts w:cs="Times New Roman"/>
          <w:sz w:val="24"/>
          <w:szCs w:val="24"/>
        </w:rPr>
        <w:t>Trial</w:t>
      </w:r>
      <w:r>
        <w:rPr>
          <w:rFonts w:ascii="ＭＳ 明朝" w:eastAsia="ＭＳ 明朝" w:hAnsi="ＭＳ 明朝" w:cs="ＭＳ 明朝" w:hint="eastAsia"/>
          <w:sz w:val="24"/>
          <w:szCs w:val="24"/>
        </w:rPr>
        <w:t xml:space="preserve">　</w:t>
      </w:r>
      <w:r w:rsidRPr="00C81F8A">
        <w:rPr>
          <w:rFonts w:cs="Times New Roman"/>
          <w:sz w:val="24"/>
          <w:szCs w:val="24"/>
        </w:rPr>
        <w:t>Registration</w:t>
      </w:r>
      <w:r>
        <w:rPr>
          <w:rFonts w:ascii="ＭＳ 明朝" w:eastAsia="ＭＳ 明朝" w:hAnsi="ＭＳ 明朝" w:cs="ＭＳ 明朝" w:hint="eastAsia"/>
          <w:sz w:val="24"/>
          <w:szCs w:val="24"/>
        </w:rPr>
        <w:t xml:space="preserve">　</w:t>
      </w:r>
      <w:r w:rsidRPr="00C81F8A">
        <w:rPr>
          <w:rFonts w:cs="Times New Roman"/>
          <w:sz w:val="24"/>
          <w:szCs w:val="24"/>
        </w:rPr>
        <w:t>Number</w:t>
      </w:r>
    </w:p>
    <w:p w14:paraId="215C96CF" w14:textId="77777777" w:rsidR="001614D2" w:rsidRDefault="001614D2" w:rsidP="001614D2">
      <w:pPr>
        <w:pStyle w:val="a3"/>
        <w:rPr>
          <w:rFonts w:cs="Times New Roman"/>
        </w:rPr>
      </w:pPr>
      <w:r>
        <w:rPr>
          <w:rFonts w:cs="Times New Roman"/>
        </w:rPr>
        <w:t>:</w:t>
      </w:r>
      <w:r w:rsidRPr="00693170">
        <w:rPr>
          <w:rFonts w:cs="Times New Roman"/>
        </w:rPr>
        <w:t xml:space="preserve">UMIN000009725,Registered </w:t>
      </w:r>
      <w:r>
        <w:rPr>
          <w:rFonts w:cs="Times New Roman" w:hint="eastAsia"/>
        </w:rPr>
        <w:t>15/01</w:t>
      </w:r>
      <w:r w:rsidRPr="00693170">
        <w:rPr>
          <w:rFonts w:cs="Times New Roman"/>
        </w:rPr>
        <w:t xml:space="preserve">/2013 </w:t>
      </w:r>
    </w:p>
    <w:p w14:paraId="78124941" w14:textId="77777777" w:rsidR="001614D2" w:rsidRPr="00E62024" w:rsidRDefault="001614D2" w:rsidP="001614D2">
      <w:pPr>
        <w:pStyle w:val="a3"/>
        <w:rPr>
          <w:rFonts w:cs="Times New Roman"/>
        </w:rPr>
      </w:pPr>
      <w:r w:rsidRPr="00693170">
        <w:rPr>
          <w:rFonts w:cs="Times New Roman"/>
        </w:rPr>
        <w:t>URL;</w:t>
      </w:r>
      <w:r w:rsidRPr="00693170">
        <w:t xml:space="preserve"> </w:t>
      </w:r>
      <w:r w:rsidRPr="00693170">
        <w:rPr>
          <w:rFonts w:cs="Times New Roman"/>
        </w:rPr>
        <w:t>https://upload.umin.ac.jp/cgi-open-bin/ctr_e/ctr_view.cgi?recptno=R000011399</w:t>
      </w:r>
    </w:p>
    <w:p w14:paraId="70913C72" w14:textId="77777777" w:rsidR="001614D2" w:rsidRDefault="001614D2" w:rsidP="001614D2">
      <w:pPr>
        <w:spacing w:line="480" w:lineRule="auto"/>
        <w:rPr>
          <w:rFonts w:ascii="Times New Roman" w:hAnsi="Times New Roman" w:cs="Times New Roman"/>
        </w:rPr>
      </w:pPr>
      <w:r w:rsidRPr="00766C72">
        <w:rPr>
          <w:rFonts w:ascii="Times New Roman" w:hAnsi="Times New Roman" w:cs="Times New Roman"/>
          <w:b/>
          <w:i/>
        </w:rPr>
        <w:t>Keywords</w:t>
      </w:r>
      <w:r w:rsidRPr="00766C72">
        <w:rPr>
          <w:rFonts w:ascii="Times New Roman" w:hAnsi="Times New Roman" w:cs="Times New Roman"/>
        </w:rPr>
        <w:t>: mFOLFOX6, perioperative chemotherapy, liver metastases, colorectal cancer</w:t>
      </w:r>
    </w:p>
    <w:p w14:paraId="0EC8C8BE" w14:textId="77777777" w:rsidR="001614D2" w:rsidRPr="00E62024" w:rsidRDefault="001614D2" w:rsidP="001614D2">
      <w:pPr>
        <w:spacing w:line="480" w:lineRule="auto"/>
        <w:rPr>
          <w:rFonts w:ascii="Times New Roman" w:hAnsi="Times New Roman" w:cs="Times New Roman"/>
        </w:rPr>
      </w:pPr>
    </w:p>
    <w:p w14:paraId="47C9E715" w14:textId="77777777" w:rsidR="001614D2" w:rsidRPr="002059CD" w:rsidRDefault="001614D2" w:rsidP="001614D2">
      <w:pPr>
        <w:spacing w:line="480" w:lineRule="auto"/>
        <w:rPr>
          <w:rFonts w:ascii="Times New Roman" w:hAnsi="Times New Roman" w:cs="Times New Roman"/>
        </w:rPr>
      </w:pPr>
    </w:p>
    <w:p w14:paraId="27B2E41A" w14:textId="77777777" w:rsidR="001614D2" w:rsidRPr="002059CD" w:rsidRDefault="001614D2" w:rsidP="001614D2">
      <w:pPr>
        <w:spacing w:line="480" w:lineRule="auto"/>
        <w:rPr>
          <w:rFonts w:ascii="Times New Roman" w:hAnsi="Times New Roman" w:cs="Times New Roman"/>
        </w:rPr>
      </w:pPr>
    </w:p>
    <w:p w14:paraId="14E57A4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b/>
          <w:sz w:val="27"/>
          <w:lang w:bidi="en-US"/>
        </w:rPr>
        <w:t>Background</w:t>
      </w:r>
    </w:p>
    <w:p w14:paraId="4290146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Since liver metastasis is the most common distant metastasis of colorectal cancer, it is very important to improve the treatment results of liver metastasis. At present, there is no consensus indication for hepatectomy for cases of liver metastasis from colorectal cancer, but it is recommended to perform curative hepatectomy if the residual liver function after hepatectomy is maintained. [1]. In addition, the number, size, and location of liver metastases were accurately assessed, and the prognosis was relatively good if surgical resection was possible, and the 5-year survival with curative hepatectomy was 15. It is reported to be ~ 59%, but not enough [2-11]. Although the effectiveness of resection for resectable colorectal cancer liver metastasis has been shown, the clinical significance of perioperative chemotherapy for resectable colorectal cancer liver metastasis has not been sufficiently shown. While there are reports that a good prognosis can be obtained with hepatectomy alone, the recurrence rate of residual liver is high even with </w:t>
      </w:r>
      <w:r w:rsidRPr="002059CD">
        <w:rPr>
          <w:rFonts w:ascii="Times New Roman" w:hAnsi="Times New Roman" w:cs="Times New Roman"/>
          <w:lang w:bidi="en-US"/>
        </w:rPr>
        <w:lastRenderedPageBreak/>
        <w:t>chemotherapy, and a new treatment strategy to improve the resection results is necessary.</w:t>
      </w:r>
    </w:p>
    <w:p w14:paraId="2C6AEEB6" w14:textId="77777777" w:rsidR="001614D2" w:rsidRPr="002059CD" w:rsidRDefault="001614D2" w:rsidP="001614D2">
      <w:pPr>
        <w:widowControl/>
        <w:spacing w:line="480" w:lineRule="auto"/>
        <w:jc w:val="left"/>
        <w:rPr>
          <w:rFonts w:ascii="Times New Roman" w:eastAsia="ＭＳ Ｐゴシック" w:hAnsi="Times New Roman" w:cs="Times New Roman"/>
          <w:sz w:val="24"/>
          <w:szCs w:val="24"/>
        </w:rPr>
      </w:pPr>
    </w:p>
    <w:p w14:paraId="1D54804E" w14:textId="77777777" w:rsidR="001614D2" w:rsidRPr="002059CD" w:rsidRDefault="001614D2" w:rsidP="001614D2">
      <w:pPr>
        <w:widowControl/>
        <w:spacing w:before="100" w:beforeAutospacing="1" w:after="100" w:afterAutospacing="1" w:line="480" w:lineRule="auto"/>
        <w:jc w:val="left"/>
        <w:outlineLvl w:val="2"/>
        <w:rPr>
          <w:rFonts w:ascii="Times New Roman" w:hAnsi="Times New Roman" w:cs="Times New Roman"/>
          <w:b/>
          <w:sz w:val="27"/>
          <w:lang w:bidi="en-US"/>
        </w:rPr>
      </w:pPr>
      <w:r w:rsidRPr="002059CD">
        <w:rPr>
          <w:rFonts w:ascii="Times New Roman" w:hAnsi="Times New Roman" w:cs="Times New Roman"/>
          <w:b/>
          <w:sz w:val="27"/>
          <w:lang w:bidi="en-US"/>
        </w:rPr>
        <w:t>Methods/Design</w:t>
      </w:r>
    </w:p>
    <w:p w14:paraId="4DCAEF0D"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Study goals and objectives</w:t>
      </w:r>
    </w:p>
    <w:p w14:paraId="7D41A0D5"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This time, we conducted a multicenter phase II clinical trial to investigate the efficacy and safety of mFOLFOX6 therapy as pre- and post-hepatectomy chemotherapy for colorectal cancer with resectable hepatic localized metastasis. The primary endpoint is the rate of hepatectomy performed, and the secondary items are response rate, adverse events, completion rate, incidence of liver damage, incidence of complications after hepatectomy, length of hospital stay after hepatectomy, R0 resection rate, and histology. It was examined as an effect.</w:t>
      </w:r>
    </w:p>
    <w:p w14:paraId="59C406C9"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Study design</w:t>
      </w:r>
    </w:p>
    <w:p w14:paraId="50452D27"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In this study, first, four cycles of mFOLFOX6 therapy will be administered as a mandate, liver resection will be performed if determined to be feasible and then eight cycles of mFOLFOX6 therapy will be administered as a mandate.</w:t>
      </w:r>
    </w:p>
    <w:p w14:paraId="08E20CB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In the EFC2962 study where FOLFOX therapy </w:t>
      </w:r>
      <w:r>
        <w:rPr>
          <w:rFonts w:ascii="Times New Roman" w:hAnsi="Times New Roman" w:cs="Times New Roman"/>
          <w:lang w:bidi="en-US"/>
        </w:rPr>
        <w:t>[</w:t>
      </w:r>
      <w:r w:rsidRPr="00FF516E">
        <w:rPr>
          <w:rFonts w:ascii="Times New Roman" w:hAnsi="Times New Roman" w:cs="Times New Roman"/>
          <w:lang w:bidi="en-US"/>
        </w:rPr>
        <w:t>leucovorin calcium (folinic acid), fluorouracil, and oxaliplatin</w:t>
      </w:r>
      <w:r>
        <w:rPr>
          <w:rFonts w:ascii="Times New Roman" w:hAnsi="Times New Roman" w:cs="Times New Roman"/>
          <w:lang w:bidi="en-US"/>
        </w:rPr>
        <w:t>]</w:t>
      </w:r>
      <w:r w:rsidRPr="00FF516E">
        <w:rPr>
          <w:rFonts w:ascii="Times New Roman" w:hAnsi="Times New Roman" w:cs="Times New Roman"/>
          <w:lang w:bidi="en-US"/>
        </w:rPr>
        <w:t xml:space="preserve"> </w:t>
      </w:r>
      <w:r w:rsidRPr="002059CD">
        <w:rPr>
          <w:rFonts w:ascii="Times New Roman" w:hAnsi="Times New Roman" w:cs="Times New Roman"/>
          <w:lang w:bidi="en-US"/>
        </w:rPr>
        <w:t xml:space="preserve">and 5-fluorouracil (5FU)/leucovorin (LV) therapy were compared in chemotherapy-naive </w:t>
      </w:r>
      <w:r w:rsidRPr="002059CD">
        <w:rPr>
          <w:rFonts w:ascii="Times New Roman" w:hAnsi="Times New Roman" w:cs="Times New Roman"/>
          <w:lang w:bidi="en-US"/>
        </w:rPr>
        <w:lastRenderedPageBreak/>
        <w:t>advanced/recurrent colorectal cancer patients, the median time to response (MTR) was 9 weeks in 105 patients who showed antitumor effects among 210 patients who received FOLFOX therapy [</w:t>
      </w:r>
      <w:r>
        <w:rPr>
          <w:rFonts w:ascii="Times New Roman" w:hAnsi="Times New Roman" w:cs="Times New Roman"/>
          <w:lang w:bidi="en-US"/>
        </w:rPr>
        <w:t>12</w:t>
      </w:r>
      <w:r w:rsidRPr="002059CD">
        <w:rPr>
          <w:rFonts w:ascii="Times New Roman" w:hAnsi="Times New Roman" w:cs="Times New Roman"/>
          <w:lang w:bidi="en-US"/>
        </w:rPr>
        <w:t>]. In addition, in the V308 study where treatment sequences for FOLFOX and FOLFIRI</w:t>
      </w:r>
      <w:r>
        <w:rPr>
          <w:rFonts w:ascii="Times New Roman" w:hAnsi="Times New Roman" w:cs="Times New Roman"/>
          <w:lang w:bidi="en-US"/>
        </w:rPr>
        <w:t xml:space="preserve"> [</w:t>
      </w:r>
      <w:r w:rsidRPr="0081334E">
        <w:rPr>
          <w:rFonts w:ascii="Times New Roman" w:hAnsi="Times New Roman" w:cs="Times New Roman"/>
          <w:lang w:bidi="en-US"/>
        </w:rPr>
        <w:t>leucovorin calcium (folinic acid), fluorouracil, and irinotecan hydrochloride</w:t>
      </w:r>
      <w:r>
        <w:rPr>
          <w:rFonts w:ascii="Times New Roman" w:hAnsi="Times New Roman" w:cs="Times New Roman"/>
          <w:lang w:bidi="en-US"/>
        </w:rPr>
        <w:t>]</w:t>
      </w:r>
      <w:r w:rsidRPr="002059CD">
        <w:rPr>
          <w:rFonts w:ascii="Times New Roman" w:hAnsi="Times New Roman" w:cs="Times New Roman"/>
          <w:lang w:bidi="en-US"/>
        </w:rPr>
        <w:t xml:space="preserve"> were compared in patients with unresectable metastatic/recurrent colorectal cancer, the MTR was 1.8 months in 59 patients who showed antitumor effects among 111 patients who received FOLFOX [1</w:t>
      </w:r>
      <w:r>
        <w:rPr>
          <w:rFonts w:ascii="Times New Roman" w:hAnsi="Times New Roman" w:cs="Times New Roman"/>
          <w:lang w:bidi="en-US"/>
        </w:rPr>
        <w:t>3</w:t>
      </w:r>
      <w:r w:rsidRPr="002059CD">
        <w:rPr>
          <w:rFonts w:ascii="Times New Roman" w:hAnsi="Times New Roman" w:cs="Times New Roman"/>
          <w:lang w:bidi="en-US"/>
        </w:rPr>
        <w:t>]. Based on these results, the time to response in this study for the FOLFOX therapy is expected to be approximately 2 months.</w:t>
      </w:r>
    </w:p>
    <w:p w14:paraId="630F3A6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Moreover, as noted previously, damage to the normal liver must be considered when liver resection is performed after chemotherapy. In the EORTC40983 study where neoadjuvant/adjuvant FOLFOX therapy and surgery alone were investigated in patients with resectable hepatic metastases from colorectal cancer, six cycles of FOLFOX were administered prior to surgery and Grade 2/3 hepatic sinusoid disorders were reportedly observed in 41% and steatohepatitis in 24% of patients, and hepatic sinusoid disorders significantly increased in patients who were administered FOLFOX therapy compared to those undergoing surgery alone [</w:t>
      </w:r>
      <w:r>
        <w:rPr>
          <w:rFonts w:ascii="Times New Roman" w:hAnsi="Times New Roman" w:cs="Times New Roman"/>
          <w:lang w:bidi="en-US"/>
        </w:rPr>
        <w:t>14</w:t>
      </w:r>
      <w:r w:rsidRPr="002059CD">
        <w:rPr>
          <w:rFonts w:ascii="Times New Roman" w:hAnsi="Times New Roman" w:cs="Times New Roman"/>
          <w:lang w:bidi="en-US"/>
        </w:rPr>
        <w:t>]. Therefore, reducing the incidence of liver damage caused by neoadjuvant FOLFOX therapy is essential, and reducing the number of cycles of neoadjuvant FOLFOX therapy and confirming its effects on liver disorders would prove beneficial.</w:t>
      </w:r>
    </w:p>
    <w:p w14:paraId="5A412EE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Furthermore, peripheral neuropathy is a cumulative adverse reaction associated with FOLFOX therapy, and functional impairment reportedly occurs from around the 5th cycle of FOLFOX therapy [</w:t>
      </w:r>
      <w:r>
        <w:rPr>
          <w:rFonts w:ascii="Times New Roman" w:hAnsi="Times New Roman" w:cs="Times New Roman"/>
          <w:lang w:bidi="en-US"/>
        </w:rPr>
        <w:t>15</w:t>
      </w:r>
      <w:r w:rsidRPr="002059CD">
        <w:rPr>
          <w:rFonts w:ascii="Times New Roman" w:hAnsi="Times New Roman" w:cs="Times New Roman"/>
          <w:lang w:bidi="en-US"/>
        </w:rPr>
        <w:t xml:space="preserve">]. At present, </w:t>
      </w:r>
      <w:r w:rsidRPr="002059CD">
        <w:rPr>
          <w:rFonts w:ascii="Times New Roman" w:hAnsi="Times New Roman" w:cs="Times New Roman"/>
          <w:lang w:bidi="en-US"/>
        </w:rPr>
        <w:lastRenderedPageBreak/>
        <w:t>there are no effective treatments for peripheral neuropathy; however, recovery is reportedly observed with the cessation of oxaliplatin. Thus, discontinuing neoadjuvant FOLFOX therapy prior to the onset of functional impairment and suspending oxaliplatin during the period from liver resection to adjuvant chemotherapy is considered useful.</w:t>
      </w:r>
    </w:p>
    <w:p w14:paraId="11B2374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In the EORTC40983 study, which reports the utility of FOLFOX therapy in patients with resectable hepatic metastases from colorectal cancer, and the MOSAIC study, which reports the utility of FOLFOX therapy in patients with Stage II/III colon cancer, 12 cycles of FOLFOX therapy were administered [</w:t>
      </w:r>
      <w:r>
        <w:rPr>
          <w:rFonts w:ascii="Times New Roman" w:hAnsi="Times New Roman" w:cs="Times New Roman"/>
          <w:lang w:bidi="en-US"/>
        </w:rPr>
        <w:t>14</w:t>
      </w:r>
      <w:r w:rsidRPr="002059CD">
        <w:rPr>
          <w:rFonts w:ascii="Times New Roman" w:hAnsi="Times New Roman" w:cs="Times New Roman"/>
          <w:lang w:bidi="en-US"/>
        </w:rPr>
        <w:t>,</w:t>
      </w:r>
      <w:r>
        <w:rPr>
          <w:rFonts w:ascii="Times New Roman" w:hAnsi="Times New Roman" w:cs="Times New Roman"/>
          <w:lang w:bidi="en-US"/>
        </w:rPr>
        <w:t>16</w:t>
      </w:r>
      <w:r w:rsidRPr="002059CD">
        <w:rPr>
          <w:rFonts w:ascii="Times New Roman" w:hAnsi="Times New Roman" w:cs="Times New Roman"/>
          <w:lang w:bidi="en-US"/>
        </w:rPr>
        <w:t>]. Accordingly, it was decided to administer eight cycles of adjuvant FOLFOX therapy in this study in principle.</w:t>
      </w:r>
    </w:p>
    <w:p w14:paraId="7D0072D0"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Methodology</w:t>
      </w:r>
    </w:p>
    <w:p w14:paraId="1541A0B5"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In the FC2962 study, among the 210 patients who received FOLFOX therapy, the MTR was 9 weeks in 105 patients showing confirmed antitumor effects [16]. In addition, in the V308 study where treatment sequences for FOLFOX and FOLFIRI were compared in patients with unresectable metastatic/recurrent colorectal cancer, the MTR was 1.8 months in 59 patients who showed antitumor effects among a total of 111 patients who received FOLFOX [18]. Based on these results, the time to response for the FOLFOX therapy is expected to be approximately 2 months (i.e., approximately 3–4 cycles of the FOLFOX therapy).</w:t>
      </w:r>
    </w:p>
    <w:p w14:paraId="11BEFF12"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Safety considerations</w:t>
      </w:r>
    </w:p>
    <w:p w14:paraId="674C1BAB"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lastRenderedPageBreak/>
        <w:t>The protocol treatment is to be discontinued when any of the following criteria are met.</w:t>
      </w:r>
    </w:p>
    <w:p w14:paraId="6DCE6FEC"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the patient is determined to have a progressive disease (PD) during neoadjuvant/adjuvant chemotherapy</w:t>
      </w:r>
    </w:p>
    <w:p w14:paraId="23A893CB"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curative liver resection is determined to be unfeasible after the completion of neoadjuvant chemotherapy</w:t>
      </w:r>
    </w:p>
    <w:p w14:paraId="153A8B52"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curative liver resection was determined to be feasible, but liver resection could not be performed within 3–5 weeks after the completion of neoadjuvant chemotherapy</w:t>
      </w:r>
    </w:p>
    <w:p w14:paraId="01FF8197"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adjuvant chemotherapy could not be administered within 4–8 weeks after liver resection</w:t>
      </w:r>
    </w:p>
    <w:p w14:paraId="421B2531"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there is a difficulty in continuing neoadjuvant/adjuvant chemotherapy due to adverse events</w:t>
      </w:r>
    </w:p>
    <w:p w14:paraId="266EB081"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hypersensitivity of ≥Grade 2 severity is observed</w:t>
      </w:r>
    </w:p>
    <w:p w14:paraId="7F761E53"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treatment cannot be initiated again when administration was postponed for at least 2 weeks due to adverse events</w:t>
      </w:r>
    </w:p>
    <w:p w14:paraId="717651B5"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 xml:space="preserve">If toxicities meeting dose reduction criteria are observed again even after reducing the dose by </w:t>
      </w:r>
      <w:r>
        <w:rPr>
          <w:rFonts w:ascii="Times New Roman" w:hAnsi="Times New Roman" w:cs="Times New Roman"/>
          <w:lang w:bidi="en-US"/>
        </w:rPr>
        <w:t>two</w:t>
      </w:r>
      <w:r w:rsidRPr="002059CD">
        <w:rPr>
          <w:rFonts w:ascii="Times New Roman" w:hAnsi="Times New Roman" w:cs="Times New Roman"/>
          <w:lang w:bidi="en-US"/>
        </w:rPr>
        <w:t xml:space="preserve"> levels</w:t>
      </w:r>
    </w:p>
    <w:p w14:paraId="63297AD2"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discontinuation is determined to be necessary by the attending physician due to an adverse event for reasons other than those listed above</w:t>
      </w:r>
    </w:p>
    <w:p w14:paraId="4959C40C"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the patient requests the discontinuation of treatment</w:t>
      </w:r>
    </w:p>
    <w:p w14:paraId="13C2E092"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the condition of the patient becomes unfavorable due to, for e.g., the worsening of complications</w:t>
      </w:r>
    </w:p>
    <w:p w14:paraId="362DFD35"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lastRenderedPageBreak/>
        <w:t>Death during treatment protocol</w:t>
      </w:r>
    </w:p>
    <w:p w14:paraId="1D57AEA0"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If ineligibility is discovered due to reasons such as worsening after enrollment but prior to the start of treatment or the discovery of protocol violations</w:t>
      </w:r>
    </w:p>
    <w:p w14:paraId="47D2F7D5" w14:textId="77777777" w:rsidR="001614D2" w:rsidRPr="002059CD" w:rsidRDefault="001614D2" w:rsidP="001614D2">
      <w:pPr>
        <w:pStyle w:val="a5"/>
        <w:numPr>
          <w:ilvl w:val="0"/>
          <w:numId w:val="1"/>
        </w:numPr>
        <w:spacing w:line="480" w:lineRule="auto"/>
        <w:contextualSpacing/>
        <w:rPr>
          <w:rFonts w:ascii="Times New Roman" w:hAnsi="Times New Roman" w:cs="Times New Roman"/>
        </w:rPr>
      </w:pPr>
      <w:r w:rsidRPr="002059CD">
        <w:rPr>
          <w:rFonts w:ascii="Times New Roman" w:hAnsi="Times New Roman" w:cs="Times New Roman"/>
          <w:lang w:bidi="en-US"/>
        </w:rPr>
        <w:t>Patients who discontinued for reasons other than those mentioned above</w:t>
      </w:r>
    </w:p>
    <w:p w14:paraId="037A79B4" w14:textId="77777777" w:rsidR="001614D2" w:rsidRPr="002059CD" w:rsidRDefault="001614D2" w:rsidP="001614D2">
      <w:pPr>
        <w:widowControl/>
        <w:spacing w:line="480" w:lineRule="auto"/>
        <w:jc w:val="left"/>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Follow-up</w:t>
      </w:r>
    </w:p>
    <w:p w14:paraId="0C9BA145" w14:textId="77777777" w:rsidR="001614D2" w:rsidRPr="002059CD"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After the completion of treatment protocol, patients would be followed up without further treatment unless recurrence or cancer lesions due to reasons other than recurrence are observed. However, treatment of these conditions is not restricted. The participants would be followed up for at least 3 years after study enrollment.</w:t>
      </w:r>
    </w:p>
    <w:p w14:paraId="4986945B"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Data management and statistical analysis</w:t>
      </w:r>
    </w:p>
    <w:p w14:paraId="4AF63B0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Primary endpoint</w:t>
      </w:r>
    </w:p>
    <w:p w14:paraId="63445350"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Liver resection rate:</w:t>
      </w:r>
    </w:p>
    <w:p w14:paraId="4F3D0BF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Among all the eligible patients, the proportion of patients undergoing liver resection is defined as the liver resection rate.</w:t>
      </w:r>
    </w:p>
    <w:p w14:paraId="7401C046" w14:textId="77777777" w:rsidR="001614D2" w:rsidRPr="002059CD" w:rsidRDefault="001614D2" w:rsidP="001614D2">
      <w:pPr>
        <w:spacing w:line="480" w:lineRule="auto"/>
        <w:rPr>
          <w:rFonts w:ascii="Times New Roman" w:hAnsi="Times New Roman" w:cs="Times New Roman"/>
        </w:rPr>
      </w:pPr>
    </w:p>
    <w:p w14:paraId="023A35B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Secondary endpoints</w:t>
      </w:r>
    </w:p>
    <w:p w14:paraId="0E2A8F4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Response rate:</w:t>
      </w:r>
    </w:p>
    <w:p w14:paraId="11C89289"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The response rate is the proportion of eligible patients with measurable disease who achieved either a </w:t>
      </w:r>
      <w:r w:rsidRPr="002059CD">
        <w:rPr>
          <w:rFonts w:ascii="Times New Roman" w:hAnsi="Times New Roman" w:cs="Times New Roman"/>
          <w:lang w:bidi="en-US"/>
        </w:rPr>
        <w:lastRenderedPageBreak/>
        <w:t>complete response (CR) or partial response (PR).</w:t>
      </w:r>
    </w:p>
    <w:p w14:paraId="56AA4B2A"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CR: It requires at least two assessments showing a CR at least 4 weeks (28 days) after the first documentation of PD</w:t>
      </w:r>
    </w:p>
    <w:p w14:paraId="5E126957"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PR: It requires at least two assessments showing an overall assessment of PR or better (i.e., PR or CR) at least 4 weeks (28 days) after the first documentation of PD</w:t>
      </w:r>
    </w:p>
    <w:p w14:paraId="03601BB5"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Stable disease (SD): If an overall assessment of PR or CR is obtained but its confirmation has not been obtained</w:t>
      </w:r>
    </w:p>
    <w:p w14:paraId="19138DDA"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If the first assessment after the start of treatment (6</w:t>
      </w:r>
      <w:r w:rsidRPr="002059CD">
        <w:rPr>
          <w:rFonts w:ascii="Times New Roman" w:hAnsi="Times New Roman" w:cs="Times New Roman" w:hint="cs"/>
          <w:lang w:bidi="en-US"/>
        </w:rPr>
        <w:t>–</w:t>
      </w:r>
      <w:r w:rsidRPr="002059CD">
        <w:rPr>
          <w:rFonts w:ascii="Times New Roman" w:hAnsi="Times New Roman" w:cs="Times New Roman"/>
          <w:lang w:bidi="en-US"/>
        </w:rPr>
        <w:t>8 weeks after the start of treatment as a mandate) is SD for patients whose best overall response throughout all cycles is SD</w:t>
      </w:r>
    </w:p>
    <w:p w14:paraId="1E35A649"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PD: If assessments do not correspond to either CR, PR, SD, or nonevaluable (NE)</w:t>
      </w:r>
    </w:p>
    <w:p w14:paraId="0B38F9F1" w14:textId="77777777" w:rsidR="001614D2" w:rsidRPr="002059CD" w:rsidRDefault="001614D2" w:rsidP="001614D2">
      <w:pPr>
        <w:pStyle w:val="a5"/>
        <w:numPr>
          <w:ilvl w:val="0"/>
          <w:numId w:val="2"/>
        </w:numPr>
        <w:spacing w:line="480" w:lineRule="auto"/>
        <w:contextualSpacing/>
        <w:rPr>
          <w:rFonts w:ascii="Times New Roman" w:hAnsi="Times New Roman" w:cs="Times New Roman"/>
        </w:rPr>
      </w:pPr>
      <w:r w:rsidRPr="002059CD">
        <w:rPr>
          <w:rFonts w:ascii="Times New Roman" w:hAnsi="Times New Roman" w:cs="Times New Roman"/>
          <w:lang w:bidi="en-US"/>
        </w:rPr>
        <w:t>NE: If all of the overall assessments are NE</w:t>
      </w:r>
    </w:p>
    <w:p w14:paraId="23D9479A" w14:textId="77777777" w:rsidR="001614D2" w:rsidRPr="002059CD" w:rsidRDefault="001614D2" w:rsidP="001614D2">
      <w:pPr>
        <w:spacing w:line="480" w:lineRule="auto"/>
        <w:rPr>
          <w:rFonts w:ascii="Times New Roman" w:hAnsi="Times New Roman" w:cs="Times New Roman"/>
        </w:rPr>
      </w:pPr>
    </w:p>
    <w:p w14:paraId="619CA97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Safety (adverse events)</w:t>
      </w:r>
    </w:p>
    <w:p w14:paraId="521F631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The number of patients who participated in at least a part of the treatment protocol (all patients receiving treatment) regardless of the eligibility will be used as the denominator and the incidence of the worst grade event among all cycles based on the Common Terminology Criteria for Adverse </w:t>
      </w:r>
      <w:r>
        <w:rPr>
          <w:rFonts w:ascii="Times New Roman" w:hAnsi="Times New Roman" w:cs="Times New Roman"/>
          <w:lang w:bidi="en-US"/>
        </w:rPr>
        <w:t>Events</w:t>
      </w:r>
      <w:r w:rsidRPr="002059CD">
        <w:rPr>
          <w:rFonts w:ascii="Times New Roman" w:hAnsi="Times New Roman" w:cs="Times New Roman"/>
          <w:lang w:bidi="en-US"/>
        </w:rPr>
        <w:t xml:space="preserve"> v4.0, Jap</w:t>
      </w:r>
      <w:r>
        <w:rPr>
          <w:rFonts w:ascii="Times New Roman" w:hAnsi="Times New Roman" w:cs="Times New Roman"/>
          <w:lang w:bidi="en-US"/>
        </w:rPr>
        <w:t>an Clinical Oncology Group</w:t>
      </w:r>
      <w:r w:rsidRPr="002059CD">
        <w:rPr>
          <w:rFonts w:ascii="Times New Roman" w:hAnsi="Times New Roman" w:cs="Times New Roman"/>
          <w:lang w:bidi="en-US"/>
        </w:rPr>
        <w:t>/Japan Society of Clinical Oncology Japanese version, or Neurotoxicity Criteria of Debiopharm for each of the following adverse events (toxicities) will be calculated (by group).</w:t>
      </w:r>
    </w:p>
    <w:p w14:paraId="1928A5FF" w14:textId="77777777" w:rsidR="001614D2" w:rsidRPr="002059CD" w:rsidRDefault="001614D2" w:rsidP="001614D2">
      <w:pPr>
        <w:spacing w:line="480" w:lineRule="auto"/>
        <w:rPr>
          <w:rFonts w:ascii="Times New Roman" w:hAnsi="Times New Roman" w:cs="Times New Roman"/>
          <w:lang w:bidi="en-US"/>
        </w:rPr>
      </w:pPr>
    </w:p>
    <w:p w14:paraId="4774F629"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Safety (treatment completion rate)</w:t>
      </w:r>
    </w:p>
    <w:p w14:paraId="6D146A85"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treatment completion rate is calculated using the number of patients determined to have completed adjuvant chemotherapy as the numerator and the number of all eligible patients as the denominator.</w:t>
      </w:r>
    </w:p>
    <w:p w14:paraId="4347522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Definition of treatment completion: Patients who received neoadjuvant chemotherapy and could complete adjuvant chemotherapy after curative liver resection (if oxaliplatin in neoadjuvant/adjuvant chemotherapy is interrupted due to peripheral neuropathy, the treatment will be considered completed if 5FU/LV therapy can be completed)</w:t>
      </w:r>
    </w:p>
    <w:p w14:paraId="22284484" w14:textId="77777777" w:rsidR="001614D2" w:rsidRPr="002059CD" w:rsidRDefault="001614D2" w:rsidP="001614D2">
      <w:pPr>
        <w:spacing w:line="480" w:lineRule="auto"/>
        <w:rPr>
          <w:rFonts w:ascii="Times New Roman" w:hAnsi="Times New Roman" w:cs="Times New Roman"/>
        </w:rPr>
      </w:pPr>
    </w:p>
    <w:p w14:paraId="7DD9505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Safety (incidence of liver disorders)</w:t>
      </w:r>
    </w:p>
    <w:p w14:paraId="14EB47D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incidence of liver disorders is defined as the rate calculated using the number of patients who underwent liver resection as the denominator and the number of patients with liver disorders as the numerator.</w:t>
      </w:r>
    </w:p>
    <w:p w14:paraId="21309652" w14:textId="77777777" w:rsidR="001614D2" w:rsidRPr="002059CD" w:rsidRDefault="001614D2" w:rsidP="001614D2">
      <w:pPr>
        <w:spacing w:line="480" w:lineRule="auto"/>
        <w:rPr>
          <w:rFonts w:ascii="Times New Roman" w:hAnsi="Times New Roman" w:cs="Times New Roman"/>
        </w:rPr>
      </w:pPr>
    </w:p>
    <w:p w14:paraId="600381A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Safety (incidence of postoperative complications)</w:t>
      </w:r>
    </w:p>
    <w:p w14:paraId="0191066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incidence of postoperative complications is defined as the rate calculated using the number of patients who underwent liver resection as the denominator and the number of patients with postoperative complications as the numerator.</w:t>
      </w:r>
    </w:p>
    <w:p w14:paraId="33AEB1F9" w14:textId="77777777" w:rsidR="001614D2" w:rsidRPr="002059CD" w:rsidRDefault="001614D2" w:rsidP="001614D2">
      <w:pPr>
        <w:spacing w:line="480" w:lineRule="auto"/>
        <w:rPr>
          <w:rFonts w:ascii="Times New Roman" w:hAnsi="Times New Roman" w:cs="Times New Roman"/>
        </w:rPr>
      </w:pPr>
    </w:p>
    <w:p w14:paraId="4FEE652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lastRenderedPageBreak/>
        <w:t>Safety (duration of hospitalization after surgery)</w:t>
      </w:r>
    </w:p>
    <w:p w14:paraId="07ABDB15"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Duration of hospitalization from the date of surgery in patients who underwent liver resection</w:t>
      </w:r>
    </w:p>
    <w:p w14:paraId="6700761D" w14:textId="77777777" w:rsidR="001614D2" w:rsidRPr="002059CD" w:rsidRDefault="001614D2" w:rsidP="001614D2">
      <w:pPr>
        <w:spacing w:line="480" w:lineRule="auto"/>
        <w:rPr>
          <w:rFonts w:ascii="Times New Roman" w:hAnsi="Times New Roman" w:cs="Times New Roman"/>
        </w:rPr>
      </w:pPr>
    </w:p>
    <w:p w14:paraId="17C02D4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R0 resection rate</w:t>
      </w:r>
    </w:p>
    <w:p w14:paraId="429692A1"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This is the proportion of R0 resection performed among all the eligible patients. R0 is determined by the histological examination of the resected specimen.</w:t>
      </w:r>
    </w:p>
    <w:p w14:paraId="2583F20C" w14:textId="77777777" w:rsidR="001614D2" w:rsidRPr="002059CD" w:rsidRDefault="001614D2" w:rsidP="001614D2">
      <w:pPr>
        <w:pStyle w:val="a5"/>
        <w:numPr>
          <w:ilvl w:val="0"/>
          <w:numId w:val="3"/>
        </w:numPr>
        <w:spacing w:line="480" w:lineRule="auto"/>
        <w:contextualSpacing/>
        <w:rPr>
          <w:rFonts w:ascii="Times New Roman" w:hAnsi="Times New Roman" w:cs="Times New Roman"/>
        </w:rPr>
      </w:pPr>
      <w:r w:rsidRPr="002059CD">
        <w:rPr>
          <w:rFonts w:ascii="Times New Roman" w:hAnsi="Times New Roman" w:cs="Times New Roman"/>
          <w:lang w:bidi="en-US"/>
        </w:rPr>
        <w:t>RX: Indeterminate for residual cancer</w:t>
      </w:r>
    </w:p>
    <w:p w14:paraId="51E97BBE" w14:textId="77777777" w:rsidR="001614D2" w:rsidRPr="002059CD" w:rsidRDefault="001614D2" w:rsidP="001614D2">
      <w:pPr>
        <w:pStyle w:val="a5"/>
        <w:numPr>
          <w:ilvl w:val="0"/>
          <w:numId w:val="3"/>
        </w:numPr>
        <w:spacing w:line="480" w:lineRule="auto"/>
        <w:contextualSpacing/>
        <w:rPr>
          <w:rFonts w:ascii="Times New Roman" w:hAnsi="Times New Roman" w:cs="Times New Roman"/>
        </w:rPr>
      </w:pPr>
      <w:r w:rsidRPr="002059CD">
        <w:rPr>
          <w:rFonts w:ascii="Times New Roman" w:hAnsi="Times New Roman" w:cs="Times New Roman"/>
          <w:lang w:bidi="en-US"/>
        </w:rPr>
        <w:t>R0: No residual cancer</w:t>
      </w:r>
    </w:p>
    <w:p w14:paraId="053D0982" w14:textId="77777777" w:rsidR="001614D2" w:rsidRPr="002059CD" w:rsidRDefault="001614D2" w:rsidP="001614D2">
      <w:pPr>
        <w:pStyle w:val="a5"/>
        <w:numPr>
          <w:ilvl w:val="0"/>
          <w:numId w:val="3"/>
        </w:numPr>
        <w:spacing w:line="480" w:lineRule="auto"/>
        <w:contextualSpacing/>
        <w:rPr>
          <w:rFonts w:ascii="Times New Roman" w:hAnsi="Times New Roman" w:cs="Times New Roman"/>
        </w:rPr>
      </w:pPr>
      <w:r w:rsidRPr="002059CD">
        <w:rPr>
          <w:rFonts w:ascii="Times New Roman" w:hAnsi="Times New Roman" w:cs="Times New Roman"/>
          <w:lang w:bidi="en-US"/>
        </w:rPr>
        <w:t>R1: Cancer has been removed, but is exposed at the cut edge of the resected specimen or at the surface of circumferential resection margin</w:t>
      </w:r>
    </w:p>
    <w:p w14:paraId="11A27FC5" w14:textId="77777777" w:rsidR="001614D2" w:rsidRPr="002059CD" w:rsidRDefault="001614D2" w:rsidP="001614D2">
      <w:pPr>
        <w:pStyle w:val="a5"/>
        <w:numPr>
          <w:ilvl w:val="0"/>
          <w:numId w:val="3"/>
        </w:numPr>
        <w:spacing w:line="480" w:lineRule="auto"/>
        <w:contextualSpacing/>
        <w:rPr>
          <w:rFonts w:ascii="Times New Roman" w:hAnsi="Times New Roman" w:cs="Times New Roman"/>
        </w:rPr>
      </w:pPr>
      <w:r w:rsidRPr="002059CD">
        <w:rPr>
          <w:rFonts w:ascii="Times New Roman" w:hAnsi="Times New Roman" w:cs="Times New Roman"/>
          <w:lang w:bidi="en-US"/>
        </w:rPr>
        <w:t>R2: Presence of definite residual cancer</w:t>
      </w:r>
    </w:p>
    <w:p w14:paraId="220C5D3E" w14:textId="77777777" w:rsidR="001614D2" w:rsidRPr="002059CD" w:rsidRDefault="001614D2" w:rsidP="001614D2">
      <w:pPr>
        <w:spacing w:line="480" w:lineRule="auto"/>
        <w:rPr>
          <w:rFonts w:ascii="Times New Roman" w:hAnsi="Times New Roman" w:cs="Times New Roman"/>
        </w:rPr>
      </w:pPr>
    </w:p>
    <w:p w14:paraId="4F61E199"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Histological response</w:t>
      </w:r>
    </w:p>
    <w:p w14:paraId="79188EC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Histological response will be assessed according to the following criteria. The histological response rate is defined as the proportion of patients with at least a Grade 1 response among all eligible patients.</w:t>
      </w:r>
    </w:p>
    <w:p w14:paraId="3E29A30F" w14:textId="77777777" w:rsidR="001614D2" w:rsidRPr="002059CD" w:rsidRDefault="001614D2" w:rsidP="001614D2">
      <w:pPr>
        <w:pStyle w:val="a5"/>
        <w:numPr>
          <w:ilvl w:val="0"/>
          <w:numId w:val="4"/>
        </w:numPr>
        <w:spacing w:line="480" w:lineRule="auto"/>
        <w:contextualSpacing/>
        <w:rPr>
          <w:rFonts w:ascii="Times New Roman" w:hAnsi="Times New Roman" w:cs="Times New Roman"/>
        </w:rPr>
      </w:pPr>
      <w:r w:rsidRPr="002059CD">
        <w:rPr>
          <w:rFonts w:ascii="Times New Roman" w:hAnsi="Times New Roman" w:cs="Times New Roman"/>
          <w:lang w:bidi="en-US"/>
        </w:rPr>
        <w:t>Grade 0: No evidence of therapeutically induced degeneration, necrosis, etc. of cancer cells</w:t>
      </w:r>
    </w:p>
    <w:p w14:paraId="5E615695" w14:textId="77777777" w:rsidR="001614D2" w:rsidRPr="002059CD" w:rsidRDefault="001614D2" w:rsidP="001614D2">
      <w:pPr>
        <w:pStyle w:val="a5"/>
        <w:numPr>
          <w:ilvl w:val="0"/>
          <w:numId w:val="4"/>
        </w:numPr>
        <w:spacing w:line="480" w:lineRule="auto"/>
        <w:contextualSpacing/>
        <w:rPr>
          <w:rFonts w:ascii="Times New Roman" w:hAnsi="Times New Roman" w:cs="Times New Roman"/>
        </w:rPr>
      </w:pPr>
      <w:r w:rsidRPr="002059CD">
        <w:rPr>
          <w:rFonts w:ascii="Times New Roman" w:hAnsi="Times New Roman" w:cs="Times New Roman"/>
          <w:lang w:bidi="en-US"/>
        </w:rPr>
        <w:t>Grade 1a: Degeneration or necrosis of cancer cells seen in about less than 1/3 of the cancer</w:t>
      </w:r>
    </w:p>
    <w:p w14:paraId="57436DB1" w14:textId="77777777" w:rsidR="001614D2" w:rsidRPr="002059CD" w:rsidRDefault="001614D2" w:rsidP="001614D2">
      <w:pPr>
        <w:pStyle w:val="a5"/>
        <w:numPr>
          <w:ilvl w:val="0"/>
          <w:numId w:val="4"/>
        </w:numPr>
        <w:spacing w:line="480" w:lineRule="auto"/>
        <w:contextualSpacing/>
        <w:rPr>
          <w:rFonts w:ascii="Times New Roman" w:hAnsi="Times New Roman" w:cs="Times New Roman"/>
        </w:rPr>
      </w:pPr>
      <w:r w:rsidRPr="002059CD">
        <w:rPr>
          <w:rFonts w:ascii="Times New Roman" w:hAnsi="Times New Roman" w:cs="Times New Roman"/>
          <w:lang w:bidi="en-US"/>
        </w:rPr>
        <w:t xml:space="preserve">Grade 1b: Degeneration, necrosis or lysis of cancer cells in 1/3 or more but less than 2/3 of the </w:t>
      </w:r>
      <w:r w:rsidRPr="002059CD">
        <w:rPr>
          <w:rFonts w:ascii="Times New Roman" w:hAnsi="Times New Roman" w:cs="Times New Roman"/>
          <w:lang w:bidi="en-US"/>
        </w:rPr>
        <w:lastRenderedPageBreak/>
        <w:t>cancer</w:t>
      </w:r>
    </w:p>
    <w:p w14:paraId="50D3F7CA" w14:textId="77777777" w:rsidR="001614D2" w:rsidRPr="002059CD" w:rsidRDefault="001614D2" w:rsidP="001614D2">
      <w:pPr>
        <w:pStyle w:val="a5"/>
        <w:numPr>
          <w:ilvl w:val="0"/>
          <w:numId w:val="4"/>
        </w:numPr>
        <w:spacing w:line="480" w:lineRule="auto"/>
        <w:contextualSpacing/>
        <w:rPr>
          <w:rFonts w:ascii="Times New Roman" w:hAnsi="Times New Roman" w:cs="Times New Roman"/>
        </w:rPr>
      </w:pPr>
      <w:r w:rsidRPr="002059CD">
        <w:rPr>
          <w:rFonts w:ascii="Times New Roman" w:hAnsi="Times New Roman" w:cs="Times New Roman"/>
          <w:lang w:bidi="en-US"/>
        </w:rPr>
        <w:t>Grade 2: Marked degeneration, necrosis, lysis, or disappearance of at least 2/3 of the cancer</w:t>
      </w:r>
    </w:p>
    <w:p w14:paraId="6ED5EE13" w14:textId="77777777" w:rsidR="001614D2" w:rsidRPr="002059CD" w:rsidRDefault="001614D2" w:rsidP="001614D2">
      <w:pPr>
        <w:pStyle w:val="a5"/>
        <w:numPr>
          <w:ilvl w:val="0"/>
          <w:numId w:val="4"/>
        </w:numPr>
        <w:spacing w:line="480" w:lineRule="auto"/>
        <w:contextualSpacing/>
        <w:rPr>
          <w:rFonts w:ascii="Times New Roman" w:hAnsi="Times New Roman" w:cs="Times New Roman"/>
        </w:rPr>
      </w:pPr>
      <w:r w:rsidRPr="002059CD">
        <w:rPr>
          <w:rFonts w:ascii="Times New Roman" w:hAnsi="Times New Roman" w:cs="Times New Roman"/>
          <w:lang w:bidi="en-US"/>
        </w:rPr>
        <w:t>Grade 3: The entire cancer has necrotized, lysed, or disappeared and has been replaced by granulomatous tissue or fibrotic foci</w:t>
      </w:r>
    </w:p>
    <w:p w14:paraId="201B4C1C" w14:textId="77777777" w:rsidR="001614D2" w:rsidRPr="002059CD" w:rsidRDefault="001614D2" w:rsidP="001614D2">
      <w:pPr>
        <w:spacing w:line="480" w:lineRule="auto"/>
        <w:rPr>
          <w:rFonts w:ascii="Times New Roman" w:hAnsi="Times New Roman" w:cs="Times New Roman"/>
        </w:rPr>
      </w:pPr>
    </w:p>
    <w:p w14:paraId="524395BA" w14:textId="77777777" w:rsidR="001614D2" w:rsidRPr="002059CD" w:rsidRDefault="001614D2" w:rsidP="001614D2">
      <w:pPr>
        <w:widowControl/>
        <w:spacing w:line="480" w:lineRule="auto"/>
        <w:jc w:val="left"/>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Quality assurance</w:t>
      </w:r>
    </w:p>
    <w:p w14:paraId="05D3EC52" w14:textId="77777777" w:rsidR="001614D2" w:rsidRPr="002059CD"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This protocol was implemented after careful consideration so that it could be implemented safely.</w:t>
      </w:r>
    </w:p>
    <w:p w14:paraId="2E1DC0E9" w14:textId="77777777" w:rsidR="001614D2" w:rsidRPr="002059CD" w:rsidRDefault="001614D2" w:rsidP="001614D2">
      <w:pPr>
        <w:spacing w:line="480" w:lineRule="auto"/>
        <w:rPr>
          <w:rFonts w:ascii="Times New Roman" w:hAnsi="Times New Roman" w:cs="Times New Roman"/>
          <w:lang w:bidi="en-US"/>
        </w:rPr>
      </w:pPr>
    </w:p>
    <w:p w14:paraId="467E6A2F" w14:textId="77777777" w:rsidR="001614D2" w:rsidRDefault="001614D2" w:rsidP="001614D2">
      <w:pPr>
        <w:widowControl/>
        <w:spacing w:before="100" w:beforeAutospacing="1" w:after="100" w:afterAutospacing="1" w:line="480" w:lineRule="auto"/>
        <w:jc w:val="left"/>
        <w:outlineLvl w:val="2"/>
        <w:rPr>
          <w:rFonts w:ascii="Times New Roman" w:hAnsi="Times New Roman" w:cs="Times New Roman"/>
          <w:b/>
          <w:sz w:val="27"/>
          <w:lang w:bidi="en-US"/>
        </w:rPr>
      </w:pPr>
      <w:r w:rsidRPr="002059CD">
        <w:rPr>
          <w:rFonts w:ascii="Times New Roman" w:hAnsi="Times New Roman" w:cs="Times New Roman"/>
          <w:b/>
          <w:sz w:val="27"/>
          <w:lang w:bidi="en-US"/>
        </w:rPr>
        <w:t>Discussion</w:t>
      </w:r>
    </w:p>
    <w:p w14:paraId="7ABC681C" w14:textId="77777777" w:rsidR="001614D2" w:rsidRPr="00595981" w:rsidRDefault="001614D2" w:rsidP="001614D2">
      <w:pPr>
        <w:rPr>
          <w:rFonts w:ascii="Times New Roman" w:hAnsi="Times New Roman" w:cs="Times New Roman"/>
          <w:sz w:val="24"/>
          <w:szCs w:val="24"/>
        </w:rPr>
      </w:pPr>
      <w:r w:rsidRPr="00595981">
        <w:rPr>
          <w:rFonts w:ascii="Times New Roman" w:hAnsi="Times New Roman" w:cs="Times New Roman"/>
          <w:sz w:val="24"/>
          <w:szCs w:val="24"/>
        </w:rPr>
        <w:t>If the patient's condition worsened or his condition worsened during this study, this study was appropriately discontinued and treated. The treatment to be performed at that time was left to the discretion of the attending physician.</w:t>
      </w:r>
    </w:p>
    <w:p w14:paraId="28F2EE9D"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Expected outcomes of the study</w:t>
      </w:r>
    </w:p>
    <w:p w14:paraId="0AB8BB01"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sz w:val="24"/>
          <w:szCs w:val="24"/>
        </w:rPr>
      </w:pPr>
      <w:r w:rsidRPr="002059CD">
        <w:rPr>
          <w:rFonts w:ascii="Times New Roman" w:hAnsi="Times New Roman" w:cs="Times New Roman"/>
          <w:sz w:val="24"/>
          <w:lang w:bidi="en-US"/>
        </w:rPr>
        <w:t>Induction of chemotherapy as a “watch and wait” approach before attempting liver resection was effective for assessing the true suitability of liver resection. Furthermore, the induction of preoperative chemotherapy with four mFOLFOX</w:t>
      </w:r>
      <w:r>
        <w:rPr>
          <w:rFonts w:ascii="Times New Roman" w:hAnsi="Times New Roman" w:cs="Times New Roman"/>
          <w:sz w:val="24"/>
          <w:lang w:bidi="en-US"/>
        </w:rPr>
        <w:t>6</w:t>
      </w:r>
      <w:r w:rsidRPr="002059CD">
        <w:rPr>
          <w:rFonts w:ascii="Times New Roman" w:hAnsi="Times New Roman" w:cs="Times New Roman"/>
          <w:sz w:val="24"/>
          <w:lang w:bidi="en-US"/>
        </w:rPr>
        <w:t xml:space="preserve"> cycles was unlikely to affect liver resection, and the postoperative chemotherapy induction rate was high; </w:t>
      </w:r>
      <w:r w:rsidRPr="002059CD">
        <w:rPr>
          <w:rFonts w:ascii="Times New Roman" w:hAnsi="Times New Roman" w:cs="Times New Roman"/>
          <w:sz w:val="24"/>
          <w:lang w:bidi="en-US"/>
        </w:rPr>
        <w:lastRenderedPageBreak/>
        <w:t>thus, four cycles were considered effective.</w:t>
      </w:r>
      <w:r w:rsidRPr="002059CD">
        <w:rPr>
          <w:rStyle w:val="30"/>
          <w:rFonts w:ascii="Times New Roman" w:hAnsi="Times New Roman" w:cs="Times New Roman"/>
          <w:sz w:val="36"/>
          <w:shd w:val="clear" w:color="auto" w:fill="F5F5F5"/>
          <w:lang w:bidi="en-US"/>
        </w:rPr>
        <w:t xml:space="preserve"> </w:t>
      </w:r>
      <w:r w:rsidRPr="002059CD">
        <w:rPr>
          <w:rFonts w:ascii="Times New Roman" w:hAnsi="Times New Roman" w:cs="Times New Roman"/>
          <w:lang w:bidi="en-US"/>
        </w:rPr>
        <w:t>We believe that this treatment method has shown the potential to be an effective means.</w:t>
      </w:r>
    </w:p>
    <w:p w14:paraId="6BEAD127"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Dissemination of results and publication policy</w:t>
      </w:r>
    </w:p>
    <w:p w14:paraId="2A66C36C"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szCs w:val="21"/>
        </w:rPr>
      </w:pPr>
      <w:r w:rsidRPr="002059CD">
        <w:rPr>
          <w:rFonts w:ascii="Times New Roman" w:hAnsi="Times New Roman" w:cs="Times New Roman"/>
          <w:lang w:bidi="en-US"/>
        </w:rPr>
        <w:t>This manuscript has not been published elsewhere and is not under consideration by another journal.</w:t>
      </w:r>
    </w:p>
    <w:p w14:paraId="4363E29F" w14:textId="77777777" w:rsidR="001614D2" w:rsidRDefault="001614D2" w:rsidP="001614D2">
      <w:pPr>
        <w:widowControl/>
        <w:spacing w:before="100" w:beforeAutospacing="1" w:after="100" w:afterAutospacing="1" w:line="480" w:lineRule="auto"/>
        <w:jc w:val="left"/>
        <w:outlineLvl w:val="2"/>
        <w:rPr>
          <w:rFonts w:ascii="Times New Roman" w:hAnsi="Times New Roman" w:cs="Times New Roman"/>
          <w:b/>
          <w:sz w:val="27"/>
          <w:lang w:bidi="en-US"/>
        </w:rPr>
      </w:pPr>
      <w:r w:rsidRPr="002059CD">
        <w:rPr>
          <w:rFonts w:ascii="Times New Roman" w:hAnsi="Times New Roman" w:cs="Times New Roman"/>
          <w:b/>
          <w:sz w:val="27"/>
          <w:lang w:bidi="en-US"/>
        </w:rPr>
        <w:t>Duration of the project</w:t>
      </w:r>
    </w:p>
    <w:p w14:paraId="69F9C62D" w14:textId="77777777" w:rsidR="001614D2" w:rsidRPr="00343E4A"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A41966">
        <w:rPr>
          <w:rFonts w:ascii="Times New Roman" w:hAnsi="Times New Roman" w:cs="Times New Roman"/>
          <w:sz w:val="22"/>
          <w:lang w:bidi="en-US"/>
        </w:rPr>
        <w:t>January 11, 2012 to January 12, 2018</w:t>
      </w:r>
      <w:r w:rsidRPr="002059CD">
        <w:rPr>
          <w:rFonts w:ascii="Times New Roman" w:hAnsi="Times New Roman" w:cs="Times New Roman"/>
          <w:sz w:val="22"/>
          <w:lang w:bidi="en-US"/>
        </w:rPr>
        <w:t xml:space="preserve"> </w:t>
      </w:r>
    </w:p>
    <w:p w14:paraId="2E349313"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hAnsi="Times New Roman" w:cs="Times New Roman"/>
          <w:b/>
          <w:sz w:val="27"/>
          <w:lang w:bidi="en-US"/>
        </w:rPr>
        <w:t>Problems anticipated</w:t>
      </w:r>
    </w:p>
    <w:p w14:paraId="31FB1AD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Serious adverse events (e.g., peripheral neurotoxicity, diarrhea, myelotoxicity, nausea/vomiting, anorexia, general malaise, and alopecia) are expected with treatment with mFOLFOX6. However, there is abundant evidence, and the incidence and severity of adverse reactions are unlikely to exceed those reported previously. To minimize the risks and disadvantages associated with these adverse events, patient selection criteria, concomitant/supportive therapy, and dose reduction criteria, etc. have been carefully considered. In addition, the severity and frequency of toxicities after the start of the study will be periodically checked in this study to confirm whether adverse events are within the expected range and, in the event of a serious adverse event or an unexpected adverse event, the serious adverse event or unexpected adverse event is carefully evaluated and reviewed in accordance with the provisions of this guidance on conduct and </w:t>
      </w:r>
      <w:r w:rsidRPr="002059CD">
        <w:rPr>
          <w:rFonts w:ascii="Times New Roman" w:hAnsi="Times New Roman" w:cs="Times New Roman"/>
          <w:lang w:bidi="en-US"/>
        </w:rPr>
        <w:lastRenderedPageBreak/>
        <w:t>necessary measures are taken.</w:t>
      </w:r>
    </w:p>
    <w:p w14:paraId="09427DC2" w14:textId="77777777" w:rsidR="001614D2" w:rsidRPr="002059CD" w:rsidRDefault="001614D2" w:rsidP="001614D2">
      <w:pPr>
        <w:widowControl/>
        <w:spacing w:line="480" w:lineRule="auto"/>
        <w:jc w:val="left"/>
        <w:rPr>
          <w:rFonts w:ascii="Times New Roman" w:eastAsia="ＭＳ Ｐゴシック" w:hAnsi="Times New Roman" w:cs="Times New Roman"/>
          <w:sz w:val="24"/>
          <w:szCs w:val="24"/>
        </w:rPr>
      </w:pPr>
      <w:r w:rsidRPr="002059CD">
        <w:rPr>
          <w:rFonts w:ascii="Times New Roman" w:hAnsi="Times New Roman" w:cs="Times New Roman"/>
          <w:b/>
          <w:sz w:val="27"/>
          <w:lang w:bidi="en-US"/>
        </w:rPr>
        <w:t>Project management</w:t>
      </w:r>
    </w:p>
    <w:p w14:paraId="56DF3D6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Research Secretariat:</w:t>
      </w:r>
    </w:p>
    <w:p w14:paraId="4D43DF5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Tokyo Medical University Department of Gastroenterological Pediatric Surgery</w:t>
      </w:r>
    </w:p>
    <w:p w14:paraId="3FDC635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Kenji Katsumata, Wada Takahiro</w:t>
      </w:r>
    </w:p>
    <w:p w14:paraId="04DC3D81"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Data manager:</w:t>
      </w:r>
    </w:p>
    <w:p w14:paraId="10302E1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Tokyo Medical University Department of Gastroenterological Pediatric Surgery</w:t>
      </w:r>
    </w:p>
    <w:p w14:paraId="23660DD7" w14:textId="77777777" w:rsidR="001614D2"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Tetsuo Ishizaki, Takahiro Wada</w:t>
      </w:r>
    </w:p>
    <w:p w14:paraId="1D2DBBE3" w14:textId="77777777" w:rsidR="001614D2" w:rsidRPr="002059CD" w:rsidRDefault="001614D2" w:rsidP="001614D2">
      <w:pPr>
        <w:spacing w:line="480" w:lineRule="auto"/>
        <w:rPr>
          <w:rFonts w:ascii="Times New Roman" w:hAnsi="Times New Roman" w:cs="Times New Roman"/>
        </w:rPr>
      </w:pPr>
      <w:r>
        <w:rPr>
          <w:rFonts w:ascii="Times New Roman" w:hAnsi="Times New Roman" w:cs="Times New Roman"/>
          <w:lang w:bidi="en-US"/>
        </w:rPr>
        <w:t>Email;takaharuhina0917@yahoo.co.jp</w:t>
      </w:r>
    </w:p>
    <w:p w14:paraId="7E8DB194"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eastAsia="ＭＳ Ｐゴシック" w:hAnsi="Times New Roman" w:cs="Times New Roman"/>
          <w:b/>
          <w:bCs/>
          <w:sz w:val="27"/>
          <w:szCs w:val="27"/>
        </w:rPr>
        <w:t>Ethics</w:t>
      </w:r>
    </w:p>
    <w:p w14:paraId="1CE26AD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Regulations to be followed</w:t>
      </w:r>
    </w:p>
    <w:p w14:paraId="352A499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-Protection of research participants</w:t>
      </w:r>
    </w:p>
    <w:p w14:paraId="3255431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All parties involved in this study will conduct this study in accordance with the Declaration of Helsinki and the Ethical Guidelines for Clinical Research.</w:t>
      </w:r>
    </w:p>
    <w:p w14:paraId="0BFC06D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supplementary study does not fall under the "Ethical Guidelines for Human Genome/Gene Analysis Research."</w:t>
      </w:r>
    </w:p>
    <w:p w14:paraId="5E9F9AD5" w14:textId="77777777" w:rsidR="001614D2" w:rsidRPr="002059CD" w:rsidRDefault="001614D2" w:rsidP="001614D2">
      <w:pPr>
        <w:spacing w:line="480" w:lineRule="auto"/>
        <w:rPr>
          <w:rFonts w:ascii="Times New Roman" w:hAnsi="Times New Roman" w:cs="Times New Roman"/>
        </w:rPr>
      </w:pPr>
    </w:p>
    <w:p w14:paraId="2C03BBB7"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lastRenderedPageBreak/>
        <w:t>-Adherence to the protocol</w:t>
      </w:r>
    </w:p>
    <w:p w14:paraId="2645294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Researchers participating in this study and the supplementary study will comply with this protocol as long as the safety and human rights of research participants are not jeopardized.</w:t>
      </w:r>
    </w:p>
    <w:p w14:paraId="464C9148" w14:textId="77777777" w:rsidR="001614D2" w:rsidRPr="002059CD" w:rsidRDefault="001614D2" w:rsidP="001614D2">
      <w:pPr>
        <w:spacing w:line="480" w:lineRule="auto"/>
        <w:rPr>
          <w:rFonts w:ascii="Times New Roman" w:hAnsi="Times New Roman" w:cs="Times New Roman"/>
        </w:rPr>
      </w:pPr>
    </w:p>
    <w:p w14:paraId="026E5BD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-Institutional Review Board approval</w:t>
      </w:r>
    </w:p>
    <w:p w14:paraId="5EC6E58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protocol and written information for patients must be approved by the local review board (ethics committee or Institutional Review Board [IRB]) at each site prior to participation in the supplementary study. If an approval is obtained, the investigator at each site will send a “Notice of Approval by IRB/Ethics Committee” to the study secretariat.</w:t>
      </w:r>
    </w:p>
    <w:p w14:paraId="0F61623E" w14:textId="77777777" w:rsidR="001614D2" w:rsidRPr="002059CD" w:rsidRDefault="001614D2" w:rsidP="001614D2">
      <w:pPr>
        <w:spacing w:line="480" w:lineRule="auto"/>
        <w:rPr>
          <w:rFonts w:ascii="Times New Roman" w:hAnsi="Times New Roman" w:cs="Times New Roman"/>
        </w:rPr>
      </w:pPr>
    </w:p>
    <w:p w14:paraId="26028CF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-Preparation and revision of informed consent forms and written information</w:t>
      </w:r>
    </w:p>
    <w:p w14:paraId="4AE77CA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The informed consent form and written information will be prepared by the investigator at each study site and must be approved by the review board at each study site. In addition, if revisions are necessary, the informed consent form/written information and withdrawal form together with this protocol will be submitted to the review board at each site for review and approval. Revisions to the informed consent forms/written information and withdrawal form will be made by the investigator at each study site in accordance with the rules of each study site.</w:t>
      </w:r>
    </w:p>
    <w:p w14:paraId="2DA716F3" w14:textId="77777777" w:rsidR="001614D2" w:rsidRPr="002059CD"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Cs w:val="21"/>
        </w:rPr>
      </w:pPr>
      <w:r w:rsidRPr="002059CD">
        <w:rPr>
          <w:rFonts w:ascii="Times New Roman" w:hAnsi="Times New Roman" w:cs="Times New Roman"/>
          <w:b/>
          <w:lang w:bidi="en-US"/>
        </w:rPr>
        <w:t>Informed consent forms</w:t>
      </w:r>
    </w:p>
    <w:p w14:paraId="7E2825C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lastRenderedPageBreak/>
        <w:t>Explanation to patients</w:t>
      </w:r>
    </w:p>
    <w:p w14:paraId="653EBB74" w14:textId="77777777" w:rsidR="001614D2"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Prior to enrollment, a full explanation will be given to the patients using the written information approved by the review board at each site.</w:t>
      </w:r>
    </w:p>
    <w:p w14:paraId="32AA41C2" w14:textId="77777777" w:rsidR="001614D2" w:rsidRPr="002059CD" w:rsidRDefault="001614D2" w:rsidP="001614D2">
      <w:pPr>
        <w:spacing w:line="480" w:lineRule="auto"/>
        <w:rPr>
          <w:rFonts w:ascii="Times New Roman" w:hAnsi="Times New Roman" w:cs="Times New Roman"/>
        </w:rPr>
      </w:pPr>
    </w:p>
    <w:p w14:paraId="48A9898A"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Consent</w:t>
      </w:r>
    </w:p>
    <w:p w14:paraId="2B0E59B6" w14:textId="77777777" w:rsidR="001614D2"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After the explanation about the study has been given, the patient’s own voluntary consent to participate in the study will be obtained in writing. If the patient agrees to participate in the study, the patient should sign the consent form appended to this protocol or the consent form approved by each site that includes the following items. A copy of the informed consent form will be given to the patient and one copy will be retained by the patient's treating physician. The original will be attached to the medical chart and retained.</w:t>
      </w:r>
    </w:p>
    <w:p w14:paraId="60946824" w14:textId="77777777" w:rsidR="001614D2" w:rsidRPr="002059CD" w:rsidRDefault="001614D2" w:rsidP="001614D2">
      <w:pPr>
        <w:spacing w:line="480" w:lineRule="auto"/>
        <w:rPr>
          <w:rFonts w:ascii="Times New Roman" w:hAnsi="Times New Roman" w:cs="Times New Roman"/>
        </w:rPr>
      </w:pPr>
      <w:r w:rsidRPr="00A41966">
        <w:rPr>
          <w:rFonts w:ascii="Times New Roman" w:hAnsi="Times New Roman" w:cs="Times New Roman"/>
        </w:rPr>
        <w:t>The contents of the written information includes:</w:t>
      </w:r>
    </w:p>
    <w:p w14:paraId="386C22CB"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Overview of the study</w:t>
      </w:r>
    </w:p>
    <w:p w14:paraId="277F86E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Objectives of this study</w:t>
      </w:r>
    </w:p>
    <w:p w14:paraId="626859B6"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Study methods</w:t>
      </w:r>
    </w:p>
    <w:p w14:paraId="5846819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Planned duration of patient participation in this study</w:t>
      </w:r>
    </w:p>
    <w:p w14:paraId="23E776D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Planned number of patients participating in this study</w:t>
      </w:r>
    </w:p>
    <w:p w14:paraId="01C629C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Participation in this study is voluntary</w:t>
      </w:r>
    </w:p>
    <w:p w14:paraId="2A3CDEA8"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If your health is compromised</w:t>
      </w:r>
    </w:p>
    <w:p w14:paraId="7C368B14"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lastRenderedPageBreak/>
        <w:t>Your privacy will be protected even if the results of this study are published</w:t>
      </w:r>
    </w:p>
    <w:p w14:paraId="53826A03"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Information on this study will be communicated from time to time</w:t>
      </w:r>
    </w:p>
    <w:p w14:paraId="4D29D6B9"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Scientific and ethical validity of this study</w:t>
      </w:r>
    </w:p>
    <w:p w14:paraId="591F44A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Expected clinical benefits and risks or disadvantages</w:t>
      </w:r>
    </w:p>
    <w:p w14:paraId="1F9AC05F"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Source of funding for this study</w:t>
      </w:r>
    </w:p>
    <w:p w14:paraId="0ED2CB57"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Compensation paid to participants and the burden of expenses</w:t>
      </w:r>
    </w:p>
    <w:p w14:paraId="47CF7F61"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Ownership of intellectual property rights</w:t>
      </w:r>
    </w:p>
    <w:p w14:paraId="7E567D9B"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Consent through legally acceptable representatives</w:t>
      </w:r>
    </w:p>
    <w:p w14:paraId="571DAD8D"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Your study doctor</w:t>
      </w:r>
    </w:p>
    <w:p w14:paraId="2897D902"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Please contact the information desk at any time</w:t>
      </w:r>
    </w:p>
    <w:p w14:paraId="646CF2F2" w14:textId="77777777" w:rsidR="001614D2" w:rsidRPr="002059CD" w:rsidRDefault="001614D2" w:rsidP="001614D2">
      <w:pPr>
        <w:spacing w:line="480" w:lineRule="auto"/>
        <w:rPr>
          <w:rFonts w:ascii="Times New Roman" w:hAnsi="Times New Roman" w:cs="Times New Roman"/>
        </w:rPr>
      </w:pPr>
    </w:p>
    <w:p w14:paraId="42B12A38"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Withdrawal of consent</w:t>
      </w:r>
    </w:p>
    <w:p w14:paraId="21AD8D4C"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If a research participant expresses a desire to withdraw consent from the study, the research participant must sign a withdrawal of consent form that has been approved by the local review board at the site and includes the following:</w:t>
      </w:r>
    </w:p>
    <w:p w14:paraId="1A12661E"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1) The study title</w:t>
      </w:r>
    </w:p>
    <w:p w14:paraId="4EE447A4"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2) Explanatory items</w:t>
      </w:r>
    </w:p>
    <w:p w14:paraId="269D4801"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 xml:space="preserve">3) Signature field for the research participant (statement of withdrawal, date of withdrawal of consent, </w:t>
      </w:r>
      <w:r w:rsidRPr="002059CD">
        <w:rPr>
          <w:rFonts w:ascii="Times New Roman" w:hAnsi="Times New Roman" w:cs="Times New Roman"/>
          <w:lang w:bidi="en-US"/>
        </w:rPr>
        <w:lastRenderedPageBreak/>
        <w:t>signature)</w:t>
      </w:r>
    </w:p>
    <w:p w14:paraId="7AE017A4"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4) Signature field for the physician (statement regarding withdrawal, date of explanation, signature)</w:t>
      </w:r>
    </w:p>
    <w:p w14:paraId="01F7E126"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A copy of the withdrawal of consent form will be given to the research participant, and the original will be attached to the medical chart and kept at the study site.</w:t>
      </w:r>
    </w:p>
    <w:p w14:paraId="1D8517F1" w14:textId="77777777" w:rsidR="001614D2" w:rsidRPr="002059CD" w:rsidRDefault="001614D2" w:rsidP="001614D2">
      <w:pPr>
        <w:spacing w:line="480" w:lineRule="auto"/>
        <w:rPr>
          <w:rFonts w:ascii="Times New Roman" w:hAnsi="Times New Roman" w:cs="Times New Roman"/>
        </w:rPr>
      </w:pPr>
      <w:r w:rsidRPr="002059CD">
        <w:rPr>
          <w:rFonts w:ascii="Times New Roman" w:hAnsi="Times New Roman" w:cs="Times New Roman"/>
          <w:lang w:bidi="en-US"/>
        </w:rPr>
        <w:t>-Privacy and confidentiality</w:t>
      </w:r>
    </w:p>
    <w:p w14:paraId="15F447AE" w14:textId="77777777" w:rsidR="001614D2" w:rsidRPr="002059CD" w:rsidRDefault="001614D2" w:rsidP="001614D2">
      <w:pPr>
        <w:spacing w:line="480" w:lineRule="auto"/>
        <w:rPr>
          <w:rFonts w:ascii="Times New Roman" w:hAnsi="Times New Roman" w:cs="Times New Roman"/>
          <w:lang w:bidi="en-US"/>
        </w:rPr>
      </w:pPr>
      <w:r w:rsidRPr="002059CD">
        <w:rPr>
          <w:rFonts w:ascii="Times New Roman" w:hAnsi="Times New Roman" w:cs="Times New Roman"/>
          <w:lang w:bidi="en-US"/>
        </w:rPr>
        <w:t>Researchers involved in this supplementary study will strictly protect the personal information of research participants based on the Personal Information Protection Act. Study sites will not provide information on the names of research participants to the study secretariat. Research participants will be identified using the enrollment number issued at the time of enrollment.</w:t>
      </w:r>
    </w:p>
    <w:p w14:paraId="576EA17F" w14:textId="77777777" w:rsidR="001614D2" w:rsidRPr="002059CD" w:rsidRDefault="001614D2" w:rsidP="001614D2">
      <w:pPr>
        <w:spacing w:line="480" w:lineRule="auto"/>
        <w:rPr>
          <w:rFonts w:ascii="Times New Roman" w:hAnsi="Times New Roman" w:cs="Times New Roman"/>
          <w:lang w:bidi="en-US"/>
        </w:rPr>
      </w:pPr>
    </w:p>
    <w:p w14:paraId="4A366352" w14:textId="77777777" w:rsidR="001614D2" w:rsidRDefault="001614D2" w:rsidP="001614D2">
      <w:pPr>
        <w:widowControl/>
        <w:spacing w:before="100" w:beforeAutospacing="1" w:after="100" w:afterAutospacing="1" w:line="480" w:lineRule="auto"/>
        <w:jc w:val="left"/>
        <w:outlineLvl w:val="2"/>
        <w:rPr>
          <w:rFonts w:ascii="Times New Roman" w:hAnsi="Times New Roman" w:cs="Times New Roman"/>
          <w:b/>
          <w:lang w:bidi="en-US"/>
        </w:rPr>
      </w:pPr>
      <w:r>
        <w:rPr>
          <w:rFonts w:ascii="Times New Roman" w:hAnsi="Times New Roman" w:cs="Times New Roman"/>
          <w:b/>
          <w:lang w:bidi="en-US"/>
        </w:rPr>
        <w:t>List of A</w:t>
      </w:r>
      <w:r w:rsidRPr="009953A7">
        <w:rPr>
          <w:rFonts w:ascii="Times New Roman" w:hAnsi="Times New Roman" w:cs="Times New Roman"/>
          <w:b/>
          <w:lang w:bidi="en-US"/>
        </w:rPr>
        <w:t>bbreviations</w:t>
      </w:r>
    </w:p>
    <w:p w14:paraId="238D26FE" w14:textId="77777777" w:rsidR="001614D2" w:rsidRPr="009953A7" w:rsidRDefault="001614D2" w:rsidP="001614D2">
      <w:pPr>
        <w:widowControl/>
        <w:spacing w:before="100" w:beforeAutospacing="1" w:after="100" w:afterAutospacing="1" w:line="480" w:lineRule="auto"/>
        <w:jc w:val="left"/>
        <w:outlineLvl w:val="2"/>
        <w:rPr>
          <w:rFonts w:ascii="Times New Roman" w:hAnsi="Times New Roman" w:cs="Times New Roman"/>
          <w:lang w:bidi="en-US"/>
        </w:rPr>
      </w:pPr>
      <w:r>
        <w:rPr>
          <w:rFonts w:ascii="Times New Roman" w:hAnsi="Times New Roman" w:cs="Times New Roman"/>
          <w:lang w:bidi="en-US"/>
        </w:rPr>
        <w:t>CR</w:t>
      </w:r>
      <w:r>
        <w:rPr>
          <w:rFonts w:ascii="Times New Roman" w:hAnsi="Times New Roman" w:cs="Times New Roman"/>
          <w:lang w:bidi="en-US"/>
        </w:rPr>
        <w:tab/>
      </w:r>
      <w:r w:rsidRPr="009953A7">
        <w:rPr>
          <w:rFonts w:ascii="Times New Roman" w:hAnsi="Times New Roman" w:cs="Times New Roman"/>
          <w:lang w:bidi="en-US"/>
        </w:rPr>
        <w:t>Complete response</w:t>
      </w:r>
    </w:p>
    <w:p w14:paraId="791DAED1" w14:textId="77777777" w:rsidR="001614D2" w:rsidRPr="009953A7" w:rsidRDefault="001614D2" w:rsidP="001614D2">
      <w:pPr>
        <w:widowControl/>
        <w:spacing w:before="100" w:beforeAutospacing="1" w:after="100" w:afterAutospacing="1" w:line="480" w:lineRule="auto"/>
        <w:jc w:val="left"/>
        <w:outlineLvl w:val="2"/>
        <w:rPr>
          <w:rFonts w:ascii="Times New Roman" w:hAnsi="Times New Roman" w:cs="Times New Roman"/>
          <w:lang w:bidi="en-US"/>
        </w:rPr>
      </w:pPr>
      <w:r>
        <w:rPr>
          <w:rFonts w:ascii="Times New Roman" w:hAnsi="Times New Roman" w:cs="Times New Roman"/>
          <w:lang w:bidi="en-US"/>
        </w:rPr>
        <w:t>MTR</w:t>
      </w:r>
      <w:r>
        <w:rPr>
          <w:rFonts w:ascii="Times New Roman" w:hAnsi="Times New Roman" w:cs="Times New Roman"/>
          <w:lang w:bidi="en-US"/>
        </w:rPr>
        <w:tab/>
      </w:r>
      <w:r w:rsidRPr="009953A7">
        <w:rPr>
          <w:rFonts w:ascii="Times New Roman" w:hAnsi="Times New Roman" w:cs="Times New Roman"/>
          <w:lang w:bidi="en-US"/>
        </w:rPr>
        <w:t>Median time to response</w:t>
      </w:r>
    </w:p>
    <w:p w14:paraId="02C8923F" w14:textId="77777777" w:rsidR="001614D2" w:rsidRPr="009953A7" w:rsidRDefault="001614D2" w:rsidP="001614D2">
      <w:pPr>
        <w:widowControl/>
        <w:spacing w:before="100" w:beforeAutospacing="1" w:after="100" w:afterAutospacing="1" w:line="480" w:lineRule="auto"/>
        <w:jc w:val="left"/>
        <w:outlineLvl w:val="2"/>
        <w:rPr>
          <w:rFonts w:ascii="Times New Roman" w:hAnsi="Times New Roman" w:cs="Times New Roman"/>
          <w:lang w:bidi="en-US"/>
        </w:rPr>
      </w:pPr>
      <w:r>
        <w:rPr>
          <w:rFonts w:ascii="Times New Roman" w:hAnsi="Times New Roman" w:cs="Times New Roman"/>
          <w:lang w:bidi="en-US"/>
        </w:rPr>
        <w:t>PD</w:t>
      </w:r>
      <w:r>
        <w:rPr>
          <w:rFonts w:ascii="Times New Roman" w:hAnsi="Times New Roman" w:cs="Times New Roman"/>
          <w:lang w:bidi="en-US"/>
        </w:rPr>
        <w:tab/>
      </w:r>
      <w:r w:rsidRPr="009953A7">
        <w:rPr>
          <w:rFonts w:ascii="Times New Roman" w:hAnsi="Times New Roman" w:cs="Times New Roman"/>
          <w:lang w:bidi="en-US"/>
        </w:rPr>
        <w:t>Progressive disease</w:t>
      </w:r>
    </w:p>
    <w:p w14:paraId="639F3A59" w14:textId="77777777" w:rsidR="001614D2" w:rsidRPr="009953A7" w:rsidRDefault="001614D2" w:rsidP="001614D2">
      <w:pPr>
        <w:widowControl/>
        <w:spacing w:before="100" w:beforeAutospacing="1" w:after="100" w:afterAutospacing="1" w:line="480" w:lineRule="auto"/>
        <w:jc w:val="left"/>
        <w:outlineLvl w:val="2"/>
        <w:rPr>
          <w:rFonts w:ascii="Times New Roman" w:hAnsi="Times New Roman" w:cs="Times New Roman"/>
          <w:lang w:bidi="en-US"/>
        </w:rPr>
      </w:pPr>
      <w:r>
        <w:rPr>
          <w:rFonts w:ascii="Times New Roman" w:hAnsi="Times New Roman" w:cs="Times New Roman"/>
          <w:lang w:bidi="en-US"/>
        </w:rPr>
        <w:t>PR</w:t>
      </w:r>
      <w:r>
        <w:rPr>
          <w:rFonts w:ascii="Times New Roman" w:hAnsi="Times New Roman" w:cs="Times New Roman"/>
          <w:lang w:bidi="en-US"/>
        </w:rPr>
        <w:tab/>
      </w:r>
      <w:r w:rsidRPr="009953A7">
        <w:rPr>
          <w:rFonts w:ascii="Times New Roman" w:hAnsi="Times New Roman" w:cs="Times New Roman"/>
          <w:lang w:bidi="en-US"/>
        </w:rPr>
        <w:t>Partial response</w:t>
      </w:r>
    </w:p>
    <w:p w14:paraId="6E8E62C4" w14:textId="77777777" w:rsidR="001614D2" w:rsidRPr="009953A7" w:rsidRDefault="001614D2" w:rsidP="001614D2">
      <w:pPr>
        <w:widowControl/>
        <w:spacing w:before="100" w:beforeAutospacing="1" w:after="100" w:afterAutospacing="1" w:line="480" w:lineRule="auto"/>
        <w:jc w:val="left"/>
        <w:outlineLvl w:val="2"/>
        <w:rPr>
          <w:rFonts w:ascii="Times New Roman" w:hAnsi="Times New Roman" w:cs="Times New Roman"/>
          <w:lang w:bidi="en-US"/>
        </w:rPr>
      </w:pPr>
      <w:r>
        <w:rPr>
          <w:rFonts w:ascii="Times New Roman" w:hAnsi="Times New Roman" w:cs="Times New Roman"/>
          <w:lang w:bidi="en-US"/>
        </w:rPr>
        <w:t>SD</w:t>
      </w:r>
      <w:r>
        <w:rPr>
          <w:rFonts w:ascii="Times New Roman" w:hAnsi="Times New Roman" w:cs="Times New Roman"/>
          <w:lang w:bidi="en-US"/>
        </w:rPr>
        <w:tab/>
      </w:r>
      <w:r w:rsidRPr="009953A7">
        <w:rPr>
          <w:rFonts w:ascii="Times New Roman" w:hAnsi="Times New Roman" w:cs="Times New Roman"/>
          <w:lang w:bidi="en-US"/>
        </w:rPr>
        <w:t>Stable disease</w:t>
      </w:r>
    </w:p>
    <w:p w14:paraId="676FE266" w14:textId="77777777" w:rsidR="001614D2" w:rsidRPr="00766C72" w:rsidRDefault="001614D2" w:rsidP="001614D2">
      <w:pPr>
        <w:spacing w:line="480" w:lineRule="auto"/>
        <w:rPr>
          <w:rFonts w:ascii="Times New Roman" w:hAnsi="Times New Roman" w:cs="Times New Roman"/>
          <w:shd w:val="clear" w:color="auto" w:fill="FFFFFF"/>
        </w:rPr>
      </w:pPr>
      <w:r w:rsidRPr="00766C72">
        <w:rPr>
          <w:rFonts w:ascii="Times New Roman" w:hAnsi="Times New Roman" w:cs="Times New Roman"/>
          <w:b/>
          <w:shd w:val="clear" w:color="auto" w:fill="FFFFFF"/>
        </w:rPr>
        <w:lastRenderedPageBreak/>
        <w:t>Declarations</w:t>
      </w:r>
    </w:p>
    <w:p w14:paraId="4A4D6428" w14:textId="77777777" w:rsidR="001614D2" w:rsidRPr="00766C72" w:rsidRDefault="001614D2" w:rsidP="001614D2">
      <w:pPr>
        <w:widowControl/>
        <w:shd w:val="clear" w:color="auto" w:fill="FFFFFF"/>
        <w:spacing w:before="100" w:beforeAutospacing="1" w:after="96" w:line="480" w:lineRule="auto"/>
        <w:jc w:val="left"/>
        <w:rPr>
          <w:rFonts w:ascii="Times New Roman" w:hAnsi="Times New Roman" w:cs="Times New Roman"/>
        </w:rPr>
      </w:pPr>
      <w:r w:rsidRPr="00766C72">
        <w:rPr>
          <w:rFonts w:ascii="Times New Roman" w:hAnsi="Times New Roman" w:cs="Times New Roman"/>
          <w:b/>
          <w:i/>
          <w:shd w:val="clear" w:color="auto" w:fill="FFFFFF"/>
        </w:rPr>
        <w:t>Ethics approval and consent to participate</w:t>
      </w:r>
      <w:r w:rsidRPr="00766C72">
        <w:rPr>
          <w:rFonts w:ascii="Times New Roman" w:eastAsia="ＭＳ Ｐゴシック" w:hAnsi="Times New Roman" w:cs="Times New Roman"/>
          <w:i/>
        </w:rPr>
        <w:t xml:space="preserve">: </w:t>
      </w:r>
      <w:r w:rsidRPr="00766C72">
        <w:rPr>
          <w:rFonts w:ascii="Times New Roman" w:hAnsi="Times New Roman" w:cs="Times New Roman"/>
        </w:rPr>
        <w:t>The protocol for this study was approved by the Tokyo Medical University Medical Ethics Review Board. The subject of this treatment is a case in which the person gave sufficient informed consent, and consent was obtained in writing.</w:t>
      </w:r>
    </w:p>
    <w:p w14:paraId="16082B19" w14:textId="77777777" w:rsidR="001614D2" w:rsidRPr="00766C72" w:rsidRDefault="001614D2" w:rsidP="001614D2">
      <w:pPr>
        <w:spacing w:line="480" w:lineRule="auto"/>
        <w:rPr>
          <w:rFonts w:ascii="Times New Roman" w:hAnsi="Times New Roman" w:cs="Times New Roman"/>
          <w:b/>
          <w:shd w:val="clear" w:color="auto" w:fill="FFFFFF"/>
        </w:rPr>
      </w:pPr>
    </w:p>
    <w:p w14:paraId="526A2C62" w14:textId="77777777" w:rsidR="001614D2" w:rsidRPr="00766C72" w:rsidRDefault="001614D2" w:rsidP="001614D2">
      <w:pPr>
        <w:spacing w:line="480" w:lineRule="auto"/>
        <w:rPr>
          <w:rFonts w:ascii="Times New Roman" w:hAnsi="Times New Roman" w:cs="Times New Roman"/>
          <w:shd w:val="clear" w:color="auto" w:fill="FFFFFF"/>
        </w:rPr>
      </w:pPr>
      <w:r w:rsidRPr="00766C72">
        <w:rPr>
          <w:rFonts w:ascii="Times New Roman" w:hAnsi="Times New Roman" w:cs="Times New Roman"/>
          <w:b/>
          <w:i/>
          <w:shd w:val="clear" w:color="auto" w:fill="FFFFFF"/>
        </w:rPr>
        <w:t>Consent for publication</w:t>
      </w:r>
      <w:r w:rsidRPr="00766C72">
        <w:rPr>
          <w:rFonts w:ascii="Times New Roman" w:hAnsi="Times New Roman" w:cs="Times New Roman"/>
          <w:shd w:val="clear" w:color="auto" w:fill="FFFFFF"/>
        </w:rPr>
        <w:t xml:space="preserve">: </w:t>
      </w:r>
      <w:r w:rsidRPr="00766C72">
        <w:rPr>
          <w:rFonts w:ascii="Times New Roman" w:hAnsi="Times New Roman" w:cs="Times New Roman"/>
        </w:rPr>
        <w:t>No problem</w:t>
      </w:r>
    </w:p>
    <w:p w14:paraId="4E357E52" w14:textId="77777777" w:rsidR="001614D2" w:rsidRPr="00766C72" w:rsidRDefault="001614D2" w:rsidP="001614D2">
      <w:pPr>
        <w:spacing w:line="480" w:lineRule="auto"/>
        <w:rPr>
          <w:rFonts w:ascii="Times New Roman" w:hAnsi="Times New Roman" w:cs="Times New Roman"/>
          <w:b/>
        </w:rPr>
      </w:pPr>
    </w:p>
    <w:p w14:paraId="753BFE01"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Availability of data and materials</w:t>
      </w:r>
      <w:r w:rsidRPr="00766C72">
        <w:rPr>
          <w:rFonts w:ascii="Times New Roman" w:eastAsia="ＭＳ 明朝" w:hAnsi="Times New Roman" w:cs="Times New Roman"/>
          <w:i/>
        </w:rPr>
        <w:t>:</w:t>
      </w:r>
      <w:r w:rsidRPr="00766C72">
        <w:rPr>
          <w:rFonts w:ascii="Times New Roman" w:eastAsia="ＭＳ 明朝" w:hAnsi="Times New Roman" w:cs="Times New Roman"/>
        </w:rPr>
        <w:t xml:space="preserve"> </w:t>
      </w:r>
      <w:r w:rsidRPr="00766C72">
        <w:rPr>
          <w:rFonts w:ascii="Times New Roman" w:hAnsi="Times New Roman" w:cs="Times New Roman"/>
          <w:shd w:val="clear" w:color="auto" w:fill="FFFFFF"/>
        </w:rPr>
        <w:t xml:space="preserve">The datasets </w:t>
      </w:r>
      <w:r w:rsidRPr="00766C72">
        <w:rPr>
          <w:rFonts w:ascii="Times New Roman" w:eastAsia="MS UI Gothic" w:hAnsi="Times New Roman" w:cs="Times New Roman"/>
          <w:shd w:val="clear" w:color="auto" w:fill="FFFFFF"/>
        </w:rPr>
        <w:t>supporting</w:t>
      </w:r>
      <w:r w:rsidRPr="00766C72">
        <w:rPr>
          <w:rFonts w:ascii="Times New Roman" w:hAnsi="Times New Roman" w:cs="Times New Roman"/>
          <w:shd w:val="clear" w:color="auto" w:fill="FFFFFF"/>
        </w:rPr>
        <w:t xml:space="preserve"> the </w:t>
      </w:r>
      <w:r w:rsidRPr="00766C72">
        <w:rPr>
          <w:rFonts w:ascii="Times New Roman" w:eastAsia="MS UI Gothic" w:hAnsi="Times New Roman" w:cs="Times New Roman"/>
          <w:shd w:val="clear" w:color="auto" w:fill="FFFFFF"/>
        </w:rPr>
        <w:t>conclusions of this article are</w:t>
      </w:r>
      <w:r w:rsidRPr="00766C72">
        <w:rPr>
          <w:rFonts w:ascii="Times New Roman" w:hAnsi="Times New Roman" w:cs="Times New Roman"/>
          <w:shd w:val="clear" w:color="auto" w:fill="FFFFFF"/>
        </w:rPr>
        <w:t xml:space="preserve"> available from the corresponding author </w:t>
      </w:r>
      <w:r w:rsidRPr="00766C72">
        <w:rPr>
          <w:rFonts w:ascii="Times New Roman" w:eastAsia="MS UI Gothic" w:hAnsi="Times New Roman" w:cs="Times New Roman"/>
          <w:shd w:val="clear" w:color="auto" w:fill="FFFFFF"/>
        </w:rPr>
        <w:t>upon</w:t>
      </w:r>
      <w:r w:rsidRPr="00766C72">
        <w:rPr>
          <w:rFonts w:ascii="Times New Roman" w:hAnsi="Times New Roman" w:cs="Times New Roman"/>
          <w:shd w:val="clear" w:color="auto" w:fill="FFFFFF"/>
        </w:rPr>
        <w:t xml:space="preserve"> reasonable request</w:t>
      </w:r>
      <w:r w:rsidRPr="00766C72">
        <w:rPr>
          <w:rFonts w:ascii="Times New Roman" w:eastAsia="MS UI Gothic" w:hAnsi="Times New Roman" w:cs="Times New Roman"/>
          <w:shd w:val="clear" w:color="auto" w:fill="FFFFFF"/>
        </w:rPr>
        <w:t xml:space="preserve">. </w:t>
      </w:r>
      <w:r w:rsidRPr="00766C72">
        <w:rPr>
          <w:rFonts w:ascii="Times New Roman" w:hAnsi="Times New Roman" w:cs="Times New Roman"/>
        </w:rPr>
        <w:t>[Research Secretariat] Tokyo Medical University Gastroenterological Pediatric Surgery Secretariat [Data Manager] Takahiro Wada (Tokyo Medical University, Department of Gastroenterological Pediatric Surgery)</w:t>
      </w:r>
    </w:p>
    <w:p w14:paraId="198C73FC" w14:textId="77777777" w:rsidR="001614D2" w:rsidRPr="00CA7092" w:rsidRDefault="001614D2" w:rsidP="001614D2">
      <w:pPr>
        <w:spacing w:line="480" w:lineRule="auto"/>
        <w:rPr>
          <w:rFonts w:ascii="Times New Roman" w:hAnsi="Times New Roman" w:cs="Times New Roman"/>
        </w:rPr>
      </w:pPr>
    </w:p>
    <w:p w14:paraId="3C4A5BB2"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Competing interests</w:t>
      </w:r>
      <w:r w:rsidRPr="00766C72">
        <w:rPr>
          <w:rFonts w:ascii="Times New Roman" w:eastAsia="HGMaruGothicMPRO" w:hAnsi="Times New Roman" w:cs="Times New Roman"/>
          <w:bCs/>
          <w:i/>
        </w:rPr>
        <w:t>:</w:t>
      </w:r>
      <w:r w:rsidRPr="00766C72">
        <w:rPr>
          <w:rFonts w:ascii="Times New Roman" w:eastAsia="HGMaruGothicMPRO" w:hAnsi="Times New Roman" w:cs="Times New Roman"/>
          <w:bCs/>
        </w:rPr>
        <w:t xml:space="preserve"> </w:t>
      </w:r>
      <w:r w:rsidRPr="00766C72">
        <w:rPr>
          <w:rFonts w:ascii="Times New Roman" w:hAnsi="Times New Roman" w:cs="Times New Roman"/>
        </w:rPr>
        <w:t>Not applicable</w:t>
      </w:r>
    </w:p>
    <w:p w14:paraId="0BAC8AA4" w14:textId="77777777" w:rsidR="001614D2" w:rsidRPr="00564658" w:rsidRDefault="001614D2" w:rsidP="001614D2">
      <w:pPr>
        <w:spacing w:line="480" w:lineRule="auto"/>
        <w:rPr>
          <w:rFonts w:ascii="Times New Roman" w:hAnsi="Times New Roman" w:cs="Times New Roman"/>
          <w:b/>
        </w:rPr>
      </w:pPr>
    </w:p>
    <w:p w14:paraId="754F7A49"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Funding</w:t>
      </w:r>
      <w:r w:rsidRPr="00766C72">
        <w:rPr>
          <w:rFonts w:ascii="Times New Roman" w:eastAsia="HGMaruGothicMPRO" w:hAnsi="Times New Roman" w:cs="Times New Roman"/>
          <w:bCs/>
          <w:i/>
        </w:rPr>
        <w:t>:</w:t>
      </w:r>
      <w:r w:rsidRPr="00766C72">
        <w:rPr>
          <w:rFonts w:ascii="Times New Roman" w:eastAsia="HGMaruGothicMPRO" w:hAnsi="Times New Roman" w:cs="Times New Roman"/>
          <w:bCs/>
        </w:rPr>
        <w:t xml:space="preserve"> </w:t>
      </w:r>
      <w:r w:rsidRPr="00766C72">
        <w:rPr>
          <w:rFonts w:ascii="Times New Roman" w:hAnsi="Times New Roman" w:cs="Times New Roman"/>
        </w:rPr>
        <w:t>Not applicable</w:t>
      </w:r>
    </w:p>
    <w:p w14:paraId="05133204" w14:textId="77777777" w:rsidR="001614D2" w:rsidRPr="00766C72" w:rsidRDefault="001614D2" w:rsidP="001614D2">
      <w:pPr>
        <w:spacing w:line="480" w:lineRule="auto"/>
        <w:rPr>
          <w:rFonts w:ascii="Times New Roman" w:hAnsi="Times New Roman" w:cs="Times New Roman"/>
        </w:rPr>
      </w:pPr>
    </w:p>
    <w:p w14:paraId="4C7281B8"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Author’ contributions</w:t>
      </w:r>
      <w:r w:rsidRPr="00766C72">
        <w:rPr>
          <w:rFonts w:ascii="Times New Roman" w:hAnsi="Times New Roman" w:cs="Times New Roman"/>
          <w:i/>
        </w:rPr>
        <w:t>:</w:t>
      </w:r>
      <w:r w:rsidRPr="00766C72">
        <w:rPr>
          <w:rFonts w:ascii="Times New Roman" w:hAnsi="Times New Roman" w:cs="Times New Roman"/>
        </w:rPr>
        <w:t xml:space="preserve"> Substantial contributions to the conception </w:t>
      </w:r>
      <w:r w:rsidRPr="00766C72">
        <w:rPr>
          <w:rFonts w:ascii="Times New Roman" w:eastAsia="ＭＳ Ｐゴシック" w:hAnsi="Times New Roman" w:cs="Times New Roman"/>
        </w:rPr>
        <w:t>and</w:t>
      </w:r>
      <w:r w:rsidRPr="00766C72">
        <w:rPr>
          <w:rFonts w:ascii="Times New Roman" w:hAnsi="Times New Roman" w:cs="Times New Roman"/>
        </w:rPr>
        <w:t xml:space="preserve"> design of the work</w:t>
      </w:r>
      <w:r w:rsidRPr="00766C72">
        <w:rPr>
          <w:rFonts w:ascii="Times New Roman" w:eastAsia="ＭＳ Ｐゴシック" w:hAnsi="Times New Roman" w:cs="Times New Roman"/>
        </w:rPr>
        <w:t xml:space="preserve"> and/</w:t>
      </w:r>
      <w:r w:rsidRPr="00766C72">
        <w:rPr>
          <w:rFonts w:ascii="Times New Roman" w:hAnsi="Times New Roman" w:cs="Times New Roman"/>
        </w:rPr>
        <w:t xml:space="preserve">or the acquisition, analysis, or interpretation of data for the work: </w:t>
      </w:r>
      <w:r w:rsidRPr="000916F8">
        <w:rPr>
          <w:rFonts w:ascii="Times New Roman" w:hAnsi="Times New Roman" w:cs="Times New Roman"/>
          <w:b/>
          <w:bCs/>
        </w:rPr>
        <w:t>T</w:t>
      </w:r>
      <w:r>
        <w:rPr>
          <w:rFonts w:ascii="Times New Roman" w:hAnsi="Times New Roman" w:cs="Times New Roman"/>
          <w:b/>
          <w:bCs/>
        </w:rPr>
        <w:t xml:space="preserve"> </w:t>
      </w:r>
      <w:r w:rsidRPr="000916F8">
        <w:rPr>
          <w:rFonts w:ascii="Times New Roman" w:hAnsi="Times New Roman" w:cs="Times New Roman"/>
          <w:b/>
          <w:bCs/>
        </w:rPr>
        <w:t>W</w:t>
      </w:r>
      <w:r>
        <w:rPr>
          <w:rFonts w:ascii="Times New Roman" w:hAnsi="Times New Roman" w:cs="Times New Roman"/>
        </w:rPr>
        <w:t xml:space="preserve"> </w:t>
      </w:r>
      <w:r w:rsidRPr="00766C72">
        <w:rPr>
          <w:rFonts w:ascii="Times New Roman" w:hAnsi="Times New Roman" w:cs="Times New Roman"/>
        </w:rPr>
        <w:t xml:space="preserve">and </w:t>
      </w:r>
      <w:r w:rsidRPr="00766C72">
        <w:rPr>
          <w:rFonts w:ascii="Times New Roman" w:hAnsi="Times New Roman" w:cs="Times New Roman"/>
          <w:b/>
        </w:rPr>
        <w:t xml:space="preserve">Kenji </w:t>
      </w:r>
      <w:r w:rsidRPr="00766C72">
        <w:rPr>
          <w:rFonts w:ascii="Times New Roman" w:hAnsi="Times New Roman" w:cs="Times New Roman"/>
          <w:b/>
          <w:bCs/>
        </w:rPr>
        <w:t xml:space="preserve">K. </w:t>
      </w:r>
      <w:r w:rsidRPr="00766C72">
        <w:rPr>
          <w:rFonts w:ascii="Times New Roman" w:hAnsi="Times New Roman" w:cs="Times New Roman"/>
        </w:rPr>
        <w:t xml:space="preserve">Drafting the work or revising </w:t>
      </w:r>
      <w:r w:rsidRPr="00766C72">
        <w:rPr>
          <w:rFonts w:ascii="Times New Roman" w:hAnsi="Times New Roman" w:cs="Times New Roman"/>
        </w:rPr>
        <w:lastRenderedPageBreak/>
        <w:t>it critically for important intellectual content:</w:t>
      </w:r>
      <w:r w:rsidRPr="00766C72">
        <w:rPr>
          <w:rFonts w:ascii="Times New Roman" w:hAnsi="Times New Roman" w:cs="Times New Roman"/>
          <w:b/>
        </w:rPr>
        <w:t xml:space="preserve"> A </w:t>
      </w:r>
      <w:r w:rsidRPr="00766C72">
        <w:rPr>
          <w:rFonts w:ascii="Times New Roman" w:hAnsi="Times New Roman" w:cs="Times New Roman"/>
          <w:b/>
          <w:bCs/>
        </w:rPr>
        <w:t>T</w:t>
      </w:r>
      <w:r w:rsidRPr="00766C72">
        <w:rPr>
          <w:rFonts w:ascii="Times New Roman" w:hAnsi="Times New Roman" w:cs="Times New Roman"/>
        </w:rPr>
        <w:t>,</w:t>
      </w:r>
      <w:r w:rsidRPr="00766C72">
        <w:rPr>
          <w:rFonts w:ascii="Times New Roman" w:hAnsi="Times New Roman" w:cs="Times New Roman"/>
          <w:vertAlign w:val="superscript"/>
        </w:rPr>
        <w:t xml:space="preserve"> </w:t>
      </w:r>
      <w:r w:rsidRPr="00766C72">
        <w:rPr>
          <w:rFonts w:ascii="Times New Roman" w:hAnsi="Times New Roman" w:cs="Times New Roman"/>
          <w:b/>
        </w:rPr>
        <w:t xml:space="preserve">Kenta </w:t>
      </w:r>
      <w:r w:rsidRPr="00766C72">
        <w:rPr>
          <w:rFonts w:ascii="Times New Roman" w:hAnsi="Times New Roman" w:cs="Times New Roman"/>
          <w:b/>
          <w:bCs/>
        </w:rPr>
        <w:t>K</w:t>
      </w:r>
      <w:r w:rsidRPr="00766C72">
        <w:rPr>
          <w:rFonts w:ascii="Times New Roman" w:hAnsi="Times New Roman" w:cs="Times New Roman"/>
        </w:rPr>
        <w:t>,</w:t>
      </w:r>
      <w:r w:rsidRPr="00766C72">
        <w:rPr>
          <w:rFonts w:ascii="Times New Roman" w:hAnsi="Times New Roman" w:cs="Times New Roman"/>
          <w:b/>
        </w:rPr>
        <w:t xml:space="preserve"> J </w:t>
      </w:r>
      <w:r w:rsidRPr="00766C72">
        <w:rPr>
          <w:rFonts w:ascii="Times New Roman" w:hAnsi="Times New Roman" w:cs="Times New Roman"/>
          <w:b/>
          <w:bCs/>
        </w:rPr>
        <w:t>M</w:t>
      </w:r>
      <w:r w:rsidRPr="00766C72">
        <w:rPr>
          <w:rFonts w:ascii="Times New Roman" w:hAnsi="Times New Roman" w:cs="Times New Roman"/>
        </w:rPr>
        <w:t xml:space="preserve">, </w:t>
      </w:r>
      <w:r w:rsidRPr="00766C72">
        <w:rPr>
          <w:rFonts w:ascii="Times New Roman" w:hAnsi="Times New Roman" w:cs="Times New Roman"/>
          <w:b/>
        </w:rPr>
        <w:t xml:space="preserve">M </w:t>
      </w:r>
      <w:r w:rsidRPr="00564658">
        <w:rPr>
          <w:rFonts w:ascii="Times New Roman" w:hAnsi="Times New Roman" w:cs="Times New Roman"/>
          <w:b/>
          <w:bCs/>
        </w:rPr>
        <w:t>S</w:t>
      </w:r>
      <w:r w:rsidRPr="00766C72">
        <w:rPr>
          <w:rFonts w:ascii="Times New Roman" w:hAnsi="Times New Roman" w:cs="Times New Roman"/>
        </w:rPr>
        <w:t xml:space="preserve">, </w:t>
      </w:r>
      <w:r w:rsidRPr="00766C72">
        <w:rPr>
          <w:rFonts w:ascii="Times New Roman" w:hAnsi="Times New Roman" w:cs="Times New Roman"/>
          <w:b/>
        </w:rPr>
        <w:t xml:space="preserve">H </w:t>
      </w:r>
      <w:r w:rsidRPr="00766C72">
        <w:rPr>
          <w:rFonts w:ascii="Times New Roman" w:hAnsi="Times New Roman" w:cs="Times New Roman"/>
          <w:b/>
          <w:bCs/>
        </w:rPr>
        <w:t>K</w:t>
      </w:r>
      <w:r w:rsidRPr="00766C72">
        <w:rPr>
          <w:rFonts w:ascii="Times New Roman" w:hAnsi="Times New Roman" w:cs="Times New Roman"/>
        </w:rPr>
        <w:t xml:space="preserve">, </w:t>
      </w:r>
      <w:r w:rsidRPr="00766C72">
        <w:rPr>
          <w:rFonts w:ascii="Times New Roman" w:hAnsi="Times New Roman" w:cs="Times New Roman"/>
          <w:b/>
        </w:rPr>
        <w:t xml:space="preserve">M </w:t>
      </w:r>
      <w:r w:rsidRPr="00766C72">
        <w:rPr>
          <w:rFonts w:ascii="Times New Roman" w:hAnsi="Times New Roman" w:cs="Times New Roman"/>
          <w:b/>
          <w:bCs/>
        </w:rPr>
        <w:t>E</w:t>
      </w:r>
      <w:r w:rsidRPr="00766C72">
        <w:rPr>
          <w:rFonts w:ascii="Times New Roman" w:hAnsi="Times New Roman" w:cs="Times New Roman"/>
        </w:rPr>
        <w:t>,</w:t>
      </w:r>
      <w:r w:rsidRPr="00766C72">
        <w:rPr>
          <w:rFonts w:ascii="Times New Roman" w:hAnsi="Times New Roman" w:cs="Times New Roman"/>
          <w:b/>
        </w:rPr>
        <w:t xml:space="preserve"> T </w:t>
      </w:r>
      <w:r w:rsidRPr="00766C72">
        <w:rPr>
          <w:rFonts w:ascii="Times New Roman" w:hAnsi="Times New Roman" w:cs="Times New Roman"/>
          <w:b/>
          <w:bCs/>
        </w:rPr>
        <w:t>I</w:t>
      </w:r>
      <w:r w:rsidRPr="00766C72">
        <w:rPr>
          <w:rFonts w:ascii="Times New Roman" w:hAnsi="Times New Roman" w:cs="Times New Roman"/>
        </w:rPr>
        <w:t xml:space="preserve">, and </w:t>
      </w:r>
      <w:r w:rsidRPr="00766C72">
        <w:rPr>
          <w:rFonts w:ascii="Times New Roman" w:hAnsi="Times New Roman" w:cs="Times New Roman"/>
          <w:b/>
        </w:rPr>
        <w:t xml:space="preserve">Y </w:t>
      </w:r>
      <w:r w:rsidRPr="00766C72">
        <w:rPr>
          <w:rFonts w:ascii="Times New Roman" w:hAnsi="Times New Roman" w:cs="Times New Roman"/>
          <w:b/>
          <w:bCs/>
        </w:rPr>
        <w:t>N.</w:t>
      </w:r>
    </w:p>
    <w:p w14:paraId="5FE74782" w14:textId="77777777" w:rsidR="001614D2" w:rsidRDefault="001614D2" w:rsidP="001614D2">
      <w:pPr>
        <w:spacing w:line="480" w:lineRule="auto"/>
        <w:rPr>
          <w:rStyle w:val="a6"/>
          <w:rFonts w:ascii="Times New Roman" w:eastAsia="MS UI Gothic" w:hAnsi="Times New Roman" w:cs="Times New Roman"/>
          <w:b w:val="0"/>
          <w:bCs w:val="0"/>
          <w:color w:val="454545"/>
          <w:szCs w:val="21"/>
          <w:shd w:val="clear" w:color="auto" w:fill="FFFFFF"/>
        </w:rPr>
      </w:pPr>
      <w:r w:rsidRPr="00CA7092">
        <w:rPr>
          <w:rStyle w:val="a6"/>
          <w:rFonts w:ascii="Times New Roman" w:eastAsia="MS UI Gothic" w:hAnsi="Times New Roman" w:cs="Times New Roman"/>
          <w:color w:val="454545"/>
          <w:szCs w:val="21"/>
          <w:shd w:val="clear" w:color="auto" w:fill="FFFFFF"/>
        </w:rPr>
        <w:t>all authors have read and approved the manuscript</w:t>
      </w:r>
      <w:r>
        <w:rPr>
          <w:rStyle w:val="a6"/>
          <w:rFonts w:ascii="Times New Roman" w:eastAsia="MS UI Gothic" w:hAnsi="Times New Roman" w:cs="Times New Roman" w:hint="eastAsia"/>
          <w:color w:val="454545"/>
          <w:szCs w:val="21"/>
          <w:shd w:val="clear" w:color="auto" w:fill="FFFFFF"/>
        </w:rPr>
        <w:t>.</w:t>
      </w:r>
    </w:p>
    <w:p w14:paraId="46AF33FF" w14:textId="77777777" w:rsidR="001614D2" w:rsidRPr="006D7B6A" w:rsidRDefault="001614D2" w:rsidP="001614D2">
      <w:pPr>
        <w:spacing w:line="480" w:lineRule="auto"/>
        <w:rPr>
          <w:rFonts w:ascii="Times New Roman" w:hAnsi="Times New Roman" w:cs="Times New Roman"/>
        </w:rPr>
      </w:pPr>
    </w:p>
    <w:p w14:paraId="4A6A9B72"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Acknowledgements</w:t>
      </w:r>
      <w:r w:rsidRPr="00766C72">
        <w:rPr>
          <w:rFonts w:ascii="Times New Roman" w:eastAsia="HGMaruGothicMPRO" w:hAnsi="Times New Roman" w:cs="Times New Roman"/>
          <w:bCs/>
          <w:i/>
        </w:rPr>
        <w:t>:</w:t>
      </w:r>
      <w:r w:rsidRPr="00766C72">
        <w:rPr>
          <w:rFonts w:ascii="Times New Roman" w:eastAsia="HGMaruGothicMPRO" w:hAnsi="Times New Roman" w:cs="Times New Roman"/>
          <w:bCs/>
        </w:rPr>
        <w:t xml:space="preserve"> </w:t>
      </w:r>
      <w:r w:rsidRPr="00766C72">
        <w:rPr>
          <w:rFonts w:ascii="Times New Roman" w:hAnsi="Times New Roman" w:cs="Times New Roman"/>
        </w:rPr>
        <w:t>We would like to thank all the authors for their data collection and guidance regarding this research.</w:t>
      </w:r>
    </w:p>
    <w:p w14:paraId="76DA4E23" w14:textId="77777777" w:rsidR="001614D2" w:rsidRPr="00766C72" w:rsidRDefault="001614D2" w:rsidP="001614D2">
      <w:pPr>
        <w:spacing w:line="480" w:lineRule="auto"/>
        <w:rPr>
          <w:rFonts w:ascii="Times New Roman" w:hAnsi="Times New Roman" w:cs="Times New Roman"/>
          <w:b/>
        </w:rPr>
      </w:pPr>
    </w:p>
    <w:p w14:paraId="2FF479DF" w14:textId="77777777" w:rsidR="001614D2" w:rsidRPr="00766C72" w:rsidRDefault="001614D2" w:rsidP="001614D2">
      <w:pPr>
        <w:spacing w:line="480" w:lineRule="auto"/>
        <w:rPr>
          <w:rFonts w:ascii="Times New Roman" w:hAnsi="Times New Roman" w:cs="Times New Roman"/>
        </w:rPr>
      </w:pPr>
      <w:r w:rsidRPr="00766C72">
        <w:rPr>
          <w:rFonts w:ascii="Times New Roman" w:hAnsi="Times New Roman" w:cs="Times New Roman"/>
          <w:b/>
          <w:i/>
        </w:rPr>
        <w:t>Authors’ information</w:t>
      </w:r>
      <w:r w:rsidRPr="00766C72">
        <w:rPr>
          <w:rFonts w:ascii="Times New Roman" w:eastAsia="HGMaruGothicMPRO" w:hAnsi="Times New Roman" w:cs="Times New Roman"/>
          <w:bCs/>
          <w:i/>
        </w:rPr>
        <w:t>:</w:t>
      </w:r>
      <w:r w:rsidRPr="00766C72">
        <w:rPr>
          <w:rFonts w:ascii="Times New Roman" w:eastAsia="HGMaruGothicMPRO" w:hAnsi="Times New Roman" w:cs="Times New Roman"/>
          <w:bCs/>
        </w:rPr>
        <w:t xml:space="preserve"> </w:t>
      </w:r>
      <w:r w:rsidRPr="00766C72">
        <w:rPr>
          <w:rFonts w:ascii="Times New Roman" w:hAnsi="Times New Roman" w:cs="Times New Roman"/>
        </w:rPr>
        <w:t>Assistant Professor, Tokyo Medical University Hospital</w:t>
      </w:r>
    </w:p>
    <w:p w14:paraId="50F41BE1" w14:textId="77777777" w:rsidR="001614D2" w:rsidRPr="002059CD" w:rsidRDefault="001614D2" w:rsidP="001614D2">
      <w:pPr>
        <w:spacing w:line="480" w:lineRule="auto"/>
        <w:rPr>
          <w:rFonts w:ascii="Times New Roman" w:hAnsi="Times New Roman" w:cs="Times New Roman"/>
          <w:lang w:bidi="en-US"/>
        </w:rPr>
      </w:pPr>
    </w:p>
    <w:p w14:paraId="3FDE6599" w14:textId="77777777" w:rsidR="001614D2" w:rsidRDefault="001614D2" w:rsidP="001614D2">
      <w:pPr>
        <w:widowControl/>
        <w:spacing w:before="100" w:beforeAutospacing="1" w:after="100" w:afterAutospacing="1" w:line="480" w:lineRule="auto"/>
        <w:jc w:val="left"/>
        <w:outlineLvl w:val="2"/>
        <w:rPr>
          <w:rFonts w:ascii="Times New Roman" w:eastAsia="ＭＳ Ｐゴシック" w:hAnsi="Times New Roman" w:cs="Times New Roman"/>
          <w:b/>
          <w:bCs/>
          <w:sz w:val="27"/>
          <w:szCs w:val="27"/>
        </w:rPr>
      </w:pPr>
      <w:r w:rsidRPr="002059CD">
        <w:rPr>
          <w:rFonts w:ascii="Times New Roman" w:eastAsia="ＭＳ Ｐゴシック" w:hAnsi="Times New Roman" w:cs="Times New Roman"/>
          <w:b/>
          <w:bCs/>
          <w:sz w:val="27"/>
          <w:szCs w:val="27"/>
        </w:rPr>
        <w:t>References</w:t>
      </w:r>
    </w:p>
    <w:p w14:paraId="51EC76C6" w14:textId="77777777" w:rsidR="001614D2" w:rsidRPr="00FB4624" w:rsidRDefault="001614D2" w:rsidP="001614D2">
      <w:r w:rsidRPr="00FB4624">
        <w:t>1.Cancer. (2008) [in Japanese]. http://ganjoho.jp. Stat In Japan</w:t>
      </w:r>
    </w:p>
    <w:p w14:paraId="77955BC0" w14:textId="77777777" w:rsidR="001614D2" w:rsidRPr="00FB4624" w:rsidRDefault="001614D2" w:rsidP="001614D2">
      <w:r w:rsidRPr="00FB4624">
        <w:t>2.Japanese Society for Cancer of the Colon and Rectum. JSCCR Guidelines 2010 For the treatment of colorectal cancer [in Japanese]. Tokyo: Kanehara Shuppan; 2010.</w:t>
      </w:r>
    </w:p>
    <w:p w14:paraId="37EDBC14" w14:textId="77777777" w:rsidR="001614D2" w:rsidRPr="00FB4624" w:rsidRDefault="001614D2" w:rsidP="001614D2">
      <w:r w:rsidRPr="00FB4624">
        <w:t>3.Weiss L, Grundmann E, Torhorst J, Hartveit F, Moberg I, Eder M, Fenoglio</w:t>
      </w:r>
      <w:r w:rsidRPr="00FB4624">
        <w:rPr>
          <w:rFonts w:ascii="ＭＳ 明朝" w:eastAsia="ＭＳ 明朝" w:hAnsi="ＭＳ 明朝" w:cs="ＭＳ 明朝" w:hint="eastAsia"/>
        </w:rPr>
        <w:t>‐</w:t>
      </w:r>
      <w:r w:rsidRPr="00FB4624">
        <w:t>Preiser CM, Napier J, Horne CH, Lopez MJ, Shaw</w:t>
      </w:r>
      <w:r w:rsidRPr="00FB4624">
        <w:rPr>
          <w:rFonts w:ascii="ＭＳ 明朝" w:eastAsia="ＭＳ 明朝" w:hAnsi="ＭＳ 明朝" w:cs="ＭＳ 明朝" w:hint="eastAsia"/>
        </w:rPr>
        <w:t>‐</w:t>
      </w:r>
      <w:r w:rsidRPr="00FB4624">
        <w:t>Dunn RI. Haematogenous metastatic patterns in colonic carcinoma; an analysis of 1541 necropsies. J Pathol. 1986;150:195-203.</w:t>
      </w:r>
    </w:p>
    <w:p w14:paraId="36551153" w14:textId="77777777" w:rsidR="001614D2" w:rsidRPr="00FB4624" w:rsidRDefault="001614D2" w:rsidP="001614D2">
      <w:r w:rsidRPr="00FB4624">
        <w:t>4.Fong Y, Cohen AM, Fortner JG, Enker WE, Turnbull AD, Coit DG, Marrero AM, Prasad M, Blumgart LH, Brennan MF.</w:t>
      </w:r>
      <w:r w:rsidRPr="00FB4624" w:rsidDel="00215DFC">
        <w:t xml:space="preserve"> </w:t>
      </w:r>
      <w:r w:rsidRPr="00FB4624">
        <w:t>Liver resection for colorectal metastases. J Clin Oncol 1197;15:938-46.</w:t>
      </w:r>
    </w:p>
    <w:p w14:paraId="7886709F" w14:textId="77777777" w:rsidR="001614D2" w:rsidRPr="00FB4624" w:rsidRDefault="001614D2" w:rsidP="001614D2">
      <w:r w:rsidRPr="00FB4624">
        <w:t>5.Kato T, Yasui K, Hirai T, Kanemitsu Y, Mori T, Sugihara K, Mochizuki H, Yamamoto J. Therapeutic results for hepatic metastasis of colorectal cancer with special reference to effectiveness of hepatectomy; Analysis of prognostic factors for 763 cases recorded at 18 institutions. Dis Colon Rectum. 2003;46 Suppl 10:S22-31.</w:t>
      </w:r>
    </w:p>
    <w:p w14:paraId="589B6AF0" w14:textId="77777777" w:rsidR="001614D2" w:rsidRPr="00FB4624" w:rsidRDefault="001614D2" w:rsidP="001614D2">
      <w:r w:rsidRPr="00FB4624">
        <w:t>6.Yamamoto J et al. Surgical treatment Clinical Oncology second ed. 1st ed. Tokyo:Japanese Journal of Cancer and Chemotherapy Japan Clinical Oncology Group, ed (199), 1645-1657.</w:t>
      </w:r>
    </w:p>
    <w:p w14:paraId="5D6257AC" w14:textId="77777777" w:rsidR="001614D2" w:rsidRPr="00FB4624" w:rsidRDefault="001614D2" w:rsidP="001614D2">
      <w:r w:rsidRPr="00FB4624">
        <w:t>7.Wanebo HJ, Chu QD, Vezeridis MP, Soderberg C. Patients selection for hepatic resection of colorectal metastases. Arch Surg. 1996;131:322-9.</w:t>
      </w:r>
    </w:p>
    <w:p w14:paraId="20CA3D33" w14:textId="77777777" w:rsidR="001614D2" w:rsidRPr="00FB4624" w:rsidRDefault="001614D2" w:rsidP="001614D2">
      <w:r w:rsidRPr="00FB4624">
        <w:lastRenderedPageBreak/>
        <w:t>8.Scheele J, Stang R, Altendorf-Hofmann A, Paul M. Resection of colorectal liver metastases. World J Surg. 1995;19:59-71.</w:t>
      </w:r>
    </w:p>
    <w:p w14:paraId="099A8D98" w14:textId="77777777" w:rsidR="001614D2" w:rsidRPr="00FB4624" w:rsidRDefault="001614D2" w:rsidP="001614D2">
      <w:r w:rsidRPr="00FB4624">
        <w:t>9.Rodgers MS, McCall JL. Surgery for colorectal liver metastases with hepatic lymph node involvement; a systematic review. Br J Surg. 2000;87:1142-55.</w:t>
      </w:r>
    </w:p>
    <w:p w14:paraId="0936BF50" w14:textId="77777777" w:rsidR="001614D2" w:rsidRPr="00FB4624" w:rsidRDefault="001614D2" w:rsidP="001614D2">
      <w:r w:rsidRPr="00FB4624">
        <w:t>10.Choti MA, Sitzmann JV, Tiburi MF, Sumetchotimetha W, Rangsin R, Schulick RD, Lillemoe KD, Yeo CJ, Cameron JL. Trends in long-term survival following liver resection for hepatic colorectal metastases. Ann Surg. 2002;235:759-66.</w:t>
      </w:r>
    </w:p>
    <w:p w14:paraId="1456114B" w14:textId="77777777" w:rsidR="001614D2" w:rsidRPr="00FB4624" w:rsidRDefault="001614D2" w:rsidP="001614D2">
      <w:r w:rsidRPr="00FB4624">
        <w:t>11.Ohlsson B, Stenram U, Tranberg KG. Resection of colorectal liver metastases; 25-year experience. World J Surg. 1998;22:268-77.</w:t>
      </w:r>
    </w:p>
    <w:p w14:paraId="44E22AAF" w14:textId="77777777" w:rsidR="001614D2" w:rsidRPr="00FB4624" w:rsidRDefault="001614D2" w:rsidP="001614D2">
      <w:r w:rsidRPr="00FB4624">
        <w:t>12. de Gramont A et al. :Leucovorin and fluorouracil with or without oxaliplatin as first-line treatment in advanced colorectal cancer. J Clin Oncol.18:2938-2947,2000</w:t>
      </w:r>
    </w:p>
    <w:p w14:paraId="338C5D82" w14:textId="77777777" w:rsidR="001614D2" w:rsidRPr="00FB4624" w:rsidRDefault="001614D2" w:rsidP="001614D2"/>
    <w:p w14:paraId="2AEC0737" w14:textId="77777777" w:rsidR="001614D2" w:rsidRPr="00FB4624" w:rsidRDefault="001614D2" w:rsidP="001614D2">
      <w:r w:rsidRPr="00FB4624">
        <w:t>13. Tournigand C et al.: FOLFIRI followed by FOLFOX6 or the reverse sequence in advanced colorectal cancer : A randomized GERCOR study. J Clin oncol.22:229-237,2004</w:t>
      </w:r>
    </w:p>
    <w:p w14:paraId="3BDD8B4B" w14:textId="77777777" w:rsidR="001614D2" w:rsidRPr="00FB4624" w:rsidRDefault="001614D2" w:rsidP="001614D2"/>
    <w:p w14:paraId="3D358C92" w14:textId="77777777" w:rsidR="001614D2" w:rsidRPr="00FB4624" w:rsidRDefault="001614D2" w:rsidP="001614D2">
      <w:r w:rsidRPr="00FB4624">
        <w:t>14. Nordlinger B et al.: Perioperative chemotherapy with FOLFOX4 and surgery versus surgery alone for resectable liver metastases from colorectal cancer (EORTC Intergroup trial 40983): a randomised controlled trial. Lancet 371:1007-1016,2008</w:t>
      </w:r>
    </w:p>
    <w:p w14:paraId="4A5E8C17" w14:textId="77777777" w:rsidR="001614D2" w:rsidRPr="00FB4624" w:rsidRDefault="001614D2" w:rsidP="001614D2"/>
    <w:p w14:paraId="28311A09" w14:textId="77777777" w:rsidR="001614D2" w:rsidRPr="00FB4624" w:rsidRDefault="001614D2" w:rsidP="001614D2">
      <w:r w:rsidRPr="00FB4624">
        <w:t>15. Grothey A : Oxaliplatin-safety profile: neurotoxicity. Semin Oncol.30: 5-13,2003</w:t>
      </w:r>
    </w:p>
    <w:p w14:paraId="7EC09046" w14:textId="77777777" w:rsidR="001614D2" w:rsidRPr="00FB4624" w:rsidRDefault="001614D2" w:rsidP="001614D2"/>
    <w:p w14:paraId="3C6BD8CC" w14:textId="77777777" w:rsidR="001614D2" w:rsidRPr="00FB4624" w:rsidRDefault="001614D2" w:rsidP="001614D2">
      <w:r w:rsidRPr="00FB4624">
        <w:t>16. Andre T et al: Oxaliplatin, fluorouracil, and leucovorin as adjuvant treatment for colon cancer. N Engl J Med.350: 2343-2351, 2004</w:t>
      </w:r>
    </w:p>
    <w:p w14:paraId="1068DE42" w14:textId="77777777" w:rsidR="001614D2" w:rsidRPr="00766C72" w:rsidRDefault="001614D2" w:rsidP="001614D2">
      <w:pPr>
        <w:tabs>
          <w:tab w:val="left" w:pos="1560"/>
        </w:tabs>
        <w:spacing w:line="480" w:lineRule="auto"/>
        <w:ind w:left="418" w:hanging="418"/>
        <w:rPr>
          <w:rFonts w:ascii="Times New Roman" w:hAnsi="Times New Roman" w:cs="Times New Roman"/>
        </w:rPr>
      </w:pPr>
    </w:p>
    <w:p w14:paraId="22233CC8" w14:textId="77777777" w:rsidR="001614D2" w:rsidRDefault="001614D2" w:rsidP="001614D2">
      <w:pPr>
        <w:tabs>
          <w:tab w:val="num" w:pos="540"/>
        </w:tabs>
        <w:spacing w:line="480" w:lineRule="auto"/>
        <w:rPr>
          <w:rFonts w:ascii="Times New Roman" w:hAnsi="Times New Roman" w:cs="Times New Roman"/>
          <w:sz w:val="22"/>
        </w:rPr>
      </w:pPr>
    </w:p>
    <w:p w14:paraId="3CDF7DFA" w14:textId="77777777" w:rsidR="001614D2" w:rsidRDefault="001614D2" w:rsidP="001614D2">
      <w:pPr>
        <w:tabs>
          <w:tab w:val="num" w:pos="540"/>
        </w:tabs>
        <w:spacing w:line="480" w:lineRule="auto"/>
        <w:rPr>
          <w:rFonts w:ascii="Times New Roman" w:hAnsi="Times New Roman" w:cs="Times New Roman"/>
          <w:sz w:val="22"/>
        </w:rPr>
      </w:pPr>
    </w:p>
    <w:p w14:paraId="64F0B7EF" w14:textId="77777777" w:rsidR="001614D2" w:rsidRDefault="001614D2" w:rsidP="001614D2">
      <w:pPr>
        <w:tabs>
          <w:tab w:val="num" w:pos="540"/>
        </w:tabs>
        <w:spacing w:line="480" w:lineRule="auto"/>
        <w:rPr>
          <w:rFonts w:ascii="Times New Roman" w:hAnsi="Times New Roman" w:cs="Times New Roman"/>
          <w:sz w:val="22"/>
        </w:rPr>
      </w:pPr>
    </w:p>
    <w:p w14:paraId="01CD3D0C" w14:textId="77777777" w:rsidR="001614D2" w:rsidRDefault="001614D2" w:rsidP="001614D2">
      <w:pPr>
        <w:tabs>
          <w:tab w:val="num" w:pos="540"/>
        </w:tabs>
        <w:spacing w:line="480" w:lineRule="auto"/>
        <w:rPr>
          <w:rFonts w:ascii="Times New Roman" w:hAnsi="Times New Roman" w:cs="Times New Roman"/>
          <w:sz w:val="22"/>
        </w:rPr>
      </w:pPr>
    </w:p>
    <w:p w14:paraId="5FB73756" w14:textId="77777777" w:rsidR="00C67381" w:rsidRDefault="001614D2"/>
    <w:sectPr w:rsidR="00C6738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altName w:val="Century"/>
    <w:panose1 w:val="020406030507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HGMaruGothicMPRO">
    <w:altName w:val="HG丸ｺﾞｼｯｸM-PRO"/>
    <w:charset w:val="80"/>
    <w:family w:val="swiss"/>
    <w:pitch w:val="variable"/>
    <w:sig w:usb0="E00002FF" w:usb1="2AC7EDFE"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F31C54"/>
    <w:multiLevelType w:val="hybridMultilevel"/>
    <w:tmpl w:val="069E23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7333282"/>
    <w:multiLevelType w:val="hybridMultilevel"/>
    <w:tmpl w:val="E3607A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D8071FB"/>
    <w:multiLevelType w:val="hybridMultilevel"/>
    <w:tmpl w:val="E71E2F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5931629D"/>
    <w:multiLevelType w:val="hybridMultilevel"/>
    <w:tmpl w:val="E4B6B9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4D2"/>
    <w:rsid w:val="001614D2"/>
    <w:rsid w:val="00A61674"/>
    <w:rsid w:val="00EB29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D36DDE6"/>
  <w15:chartTrackingRefBased/>
  <w15:docId w15:val="{241EB086-1B4C-4041-84B5-B7E3F0282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14D2"/>
    <w:pPr>
      <w:widowControl w:val="0"/>
      <w:jc w:val="both"/>
    </w:pPr>
    <w:rPr>
      <w:rFonts w:ascii="Century" w:eastAsia="Century" w:hAnsi="Century" w:cs="Century"/>
      <w:kern w:val="0"/>
      <w:sz w:val="20"/>
      <w:szCs w:val="20"/>
      <w:lang w:val=""/>
    </w:rPr>
  </w:style>
  <w:style w:type="paragraph" w:styleId="3">
    <w:name w:val="heading 3"/>
    <w:basedOn w:val="a"/>
    <w:link w:val="30"/>
    <w:qFormat/>
    <w:rsid w:val="001614D2"/>
    <w:pPr>
      <w:numPr>
        <w:ilvl w:val="2"/>
      </w:numPr>
      <w:spacing w:before="240" w:line="309" w:lineRule="auto"/>
      <w:jc w:val="left"/>
      <w:outlineLvl w:val="2"/>
    </w:pPr>
    <w:rPr>
      <w:rFonts w:ascii="Calibri Light" w:eastAsia="Calibri Light" w:hAnsi="Calibri Light" w:cs="Calibri Light"/>
      <w:b/>
      <w:color w:val="5B89C1"/>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rsid w:val="001614D2"/>
    <w:rPr>
      <w:rFonts w:ascii="Calibri Light" w:eastAsia="Calibri Light" w:hAnsi="Calibri Light" w:cs="Calibri Light"/>
      <w:b/>
      <w:color w:val="5B89C1"/>
      <w:kern w:val="0"/>
      <w:sz w:val="28"/>
      <w:szCs w:val="20"/>
      <w:lang w:val=""/>
    </w:rPr>
  </w:style>
  <w:style w:type="paragraph" w:styleId="a3">
    <w:name w:val="annotation text"/>
    <w:basedOn w:val="a"/>
    <w:link w:val="a4"/>
    <w:autoRedefine/>
    <w:uiPriority w:val="99"/>
    <w:rsid w:val="001614D2"/>
    <w:pPr>
      <w:jc w:val="left"/>
    </w:pPr>
    <w:rPr>
      <w:rFonts w:ascii="Times New Roman" w:eastAsia="Calibri" w:hAnsi="Times New Roman" w:cs="Calibri"/>
    </w:rPr>
  </w:style>
  <w:style w:type="character" w:customStyle="1" w:styleId="a4">
    <w:name w:val="コメント文字列 (文字)"/>
    <w:basedOn w:val="a0"/>
    <w:link w:val="a3"/>
    <w:uiPriority w:val="99"/>
    <w:rsid w:val="001614D2"/>
    <w:rPr>
      <w:rFonts w:ascii="Times New Roman" w:eastAsia="Calibri" w:hAnsi="Times New Roman" w:cs="Calibri"/>
      <w:kern w:val="0"/>
      <w:sz w:val="20"/>
      <w:szCs w:val="20"/>
      <w:lang w:val=""/>
    </w:rPr>
  </w:style>
  <w:style w:type="paragraph" w:styleId="a5">
    <w:name w:val="List Paragraph"/>
    <w:basedOn w:val="a"/>
    <w:uiPriority w:val="34"/>
    <w:qFormat/>
    <w:rsid w:val="001614D2"/>
    <w:pPr>
      <w:ind w:left="840"/>
    </w:pPr>
  </w:style>
  <w:style w:type="character" w:styleId="a6">
    <w:name w:val="Strong"/>
    <w:basedOn w:val="a0"/>
    <w:uiPriority w:val="22"/>
    <w:qFormat/>
    <w:rsid w:val="001614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3680</Words>
  <Characters>20982</Characters>
  <Application>Microsoft Office Word</Application>
  <DocSecurity>0</DocSecurity>
  <Lines>174</Lines>
  <Paragraphs>49</Paragraphs>
  <ScaleCrop>false</ScaleCrop>
  <Company/>
  <LinksUpToDate>false</LinksUpToDate>
  <CharactersWithSpaces>24613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わだたかひろ わだたかひろ</dc:creator>
  <cp:keywords/>
  <dc:description/>
  <cp:lastModifiedBy>わだたかひろ わだたかひろ</cp:lastModifiedBy>
  <cp:revision>1</cp:revision>
  <dcterms:created xsi:type="dcterms:W3CDTF">2021-08-27T02:11:00Z</dcterms:created>
  <dcterms:modified xsi:type="dcterms:W3CDTF">2021-08-27T02:11:00Z</dcterms:modified>
</cp:coreProperties>
</file>