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F6454" w14:textId="77777777" w:rsidR="0095592E" w:rsidRDefault="0095592E" w:rsidP="0095592E">
      <w:pPr>
        <w:pStyle w:val="Heading1"/>
      </w:pPr>
      <w:r>
        <w:t>Supplementary Information</w:t>
      </w:r>
    </w:p>
    <w:p w14:paraId="0308CFE6" w14:textId="77777777" w:rsidR="0095592E" w:rsidRDefault="0095592E" w:rsidP="0095592E">
      <w:pPr>
        <w:pStyle w:val="Heading2"/>
        <w:jc w:val="center"/>
      </w:pPr>
      <w:r>
        <w:rPr>
          <w:noProof/>
        </w:rPr>
        <w:drawing>
          <wp:inline distT="0" distB="0" distL="0" distR="0" wp14:anchorId="4732BDE1" wp14:editId="7730FD29">
            <wp:extent cx="4102707" cy="2484030"/>
            <wp:effectExtent l="0" t="0" r="0" b="5715"/>
            <wp:docPr id="1358909575" name="Picture 2" descr="A comparison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909575" name="Picture 2" descr="A comparison of different colored ba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707" cy="248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1C54D1" w14:textId="77777777" w:rsidR="0095592E" w:rsidRPr="00DA5CAB" w:rsidRDefault="0095592E" w:rsidP="0095592E">
      <w:r>
        <w:rPr>
          <w:b/>
          <w:bCs/>
          <w:i/>
          <w:iCs/>
        </w:rPr>
        <w:t>Supplementary Figure 1</w:t>
      </w:r>
      <w:r w:rsidRPr="10EF3AEA">
        <w:rPr>
          <w:b/>
          <w:bCs/>
          <w:i/>
          <w:iCs/>
        </w:rPr>
        <w:t>. Primary ICH detection AI performance</w:t>
      </w:r>
      <w:r>
        <w:rPr>
          <w:b/>
          <w:bCs/>
          <w:i/>
          <w:iCs/>
        </w:rPr>
        <w:t xml:space="preserve"> at different ICH prevalences. </w:t>
      </w:r>
      <w:r w:rsidRPr="00512950">
        <w:rPr>
          <w:i/>
          <w:iCs/>
        </w:rPr>
        <w:t xml:space="preserve">Two primary </w:t>
      </w:r>
      <w:r>
        <w:rPr>
          <w:i/>
          <w:iCs/>
        </w:rPr>
        <w:t xml:space="preserve">ICH detection </w:t>
      </w:r>
      <w:r w:rsidRPr="00512950">
        <w:rPr>
          <w:i/>
          <w:iCs/>
        </w:rPr>
        <w:t xml:space="preserve">models were evaluated in this study: an FDA-cleared model and an open-source model. The FDA-cleared model demonstrated relatively lower sensitivity and </w:t>
      </w:r>
      <w:r>
        <w:rPr>
          <w:i/>
          <w:iCs/>
        </w:rPr>
        <w:t>NPV</w:t>
      </w:r>
      <w:r w:rsidRPr="00512950">
        <w:rPr>
          <w:i/>
          <w:iCs/>
        </w:rPr>
        <w:t>, but higher precision, specificity, and overall accuracy compared to the open-source model. As prevalence decreased from 30% to 5%, both models exhibited decreased precision with increased NPV and accuracy, while sensitivity and specificity remained unchanged.</w:t>
      </w:r>
    </w:p>
    <w:p w14:paraId="4DEE9A7D" w14:textId="77777777" w:rsidR="0095592E" w:rsidRPr="003F5628" w:rsidRDefault="0095592E" w:rsidP="0095592E"/>
    <w:p w14:paraId="55A97F99" w14:textId="77777777" w:rsidR="0095592E" w:rsidRDefault="0095592E" w:rsidP="0095592E">
      <w:pPr>
        <w:jc w:val="left"/>
      </w:pPr>
      <w:r>
        <w:br w:type="page"/>
      </w:r>
    </w:p>
    <w:p w14:paraId="6290E519" w14:textId="77777777" w:rsidR="0095592E" w:rsidRDefault="0095592E" w:rsidP="0095592E">
      <w:pPr>
        <w:jc w:val="center"/>
      </w:pPr>
      <w:r>
        <w:rPr>
          <w:noProof/>
        </w:rPr>
        <w:lastRenderedPageBreak/>
        <w:drawing>
          <wp:inline distT="0" distB="0" distL="0" distR="0" wp14:anchorId="460119C5" wp14:editId="2E9DCF93">
            <wp:extent cx="5928101" cy="6324425"/>
            <wp:effectExtent l="0" t="0" r="3175" b="635"/>
            <wp:docPr id="2085518751" name="Picture 9" descr="A close-up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518751" name="Picture 9" descr="A close-up of a char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919" cy="634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1EC16" w14:textId="77777777" w:rsidR="0095592E" w:rsidRDefault="0095592E" w:rsidP="0095592E">
      <w:r w:rsidRPr="000E5446">
        <w:rPr>
          <w:b/>
          <w:bCs/>
          <w:i/>
          <w:iCs/>
        </w:rPr>
        <w:t xml:space="preserve">Supplementary Figure </w:t>
      </w:r>
      <w:r>
        <w:rPr>
          <w:b/>
          <w:bCs/>
          <w:i/>
          <w:iCs/>
        </w:rPr>
        <w:t>2</w:t>
      </w:r>
      <w:r w:rsidRPr="000E5446">
        <w:rPr>
          <w:b/>
          <w:bCs/>
          <w:i/>
          <w:iCs/>
        </w:rPr>
        <w:t>.</w:t>
      </w:r>
      <w:r>
        <w:t xml:space="preserve"> </w:t>
      </w:r>
      <w:r>
        <w:rPr>
          <w:b/>
          <w:bCs/>
          <w:i/>
          <w:iCs/>
        </w:rPr>
        <w:t xml:space="preserve">a. </w:t>
      </w:r>
      <w:r>
        <w:rPr>
          <w:i/>
          <w:iCs/>
        </w:rPr>
        <w:t>Example cases</w:t>
      </w:r>
      <w:r w:rsidRPr="00D61436">
        <w:rPr>
          <w:i/>
          <w:iCs/>
        </w:rPr>
        <w:t xml:space="preserve"> </w:t>
      </w:r>
      <w:r>
        <w:rPr>
          <w:i/>
          <w:iCs/>
        </w:rPr>
        <w:t>for which</w:t>
      </w:r>
      <w:r w:rsidRPr="00D61436">
        <w:rPr>
          <w:i/>
          <w:iCs/>
        </w:rPr>
        <w:t xml:space="preserve"> EMM </w:t>
      </w:r>
      <w:r>
        <w:rPr>
          <w:i/>
          <w:iCs/>
        </w:rPr>
        <w:t>showed</w:t>
      </w:r>
      <w:r w:rsidRPr="00D61436">
        <w:rPr>
          <w:i/>
          <w:iCs/>
        </w:rPr>
        <w:t xml:space="preserve"> different </w:t>
      </w:r>
      <w:r>
        <w:rPr>
          <w:i/>
          <w:iCs/>
        </w:rPr>
        <w:t>levels</w:t>
      </w:r>
      <w:r w:rsidRPr="00D61436">
        <w:rPr>
          <w:i/>
          <w:iCs/>
        </w:rPr>
        <w:t xml:space="preserve"> of agreement</w:t>
      </w:r>
      <w:r>
        <w:rPr>
          <w:i/>
          <w:iCs/>
        </w:rPr>
        <w:t xml:space="preserve"> with the Open-Source primary ICH detection model. </w:t>
      </w:r>
      <w:r w:rsidRPr="00D61436">
        <w:rPr>
          <w:b/>
          <w:bCs/>
          <w:i/>
          <w:iCs/>
        </w:rPr>
        <w:t>b.</w:t>
      </w:r>
      <w:r>
        <w:rPr>
          <w:i/>
          <w:iCs/>
        </w:rPr>
        <w:t xml:space="preserve"> Quantitative analysis on the importance of features affecting EMM agreement with the commercial primary model in ICH-positive and ICH-negative cases. c</w:t>
      </w:r>
      <w:r w:rsidRPr="00D84EA0">
        <w:rPr>
          <w:i/>
          <w:iCs/>
        </w:rPr>
        <w:t xml:space="preserve">. </w:t>
      </w:r>
      <w:r>
        <w:rPr>
          <w:i/>
          <w:iCs/>
        </w:rPr>
        <w:t>Shapley analysis on feature values’ a</w:t>
      </w:r>
      <w:r w:rsidRPr="00D84EA0">
        <w:rPr>
          <w:i/>
          <w:iCs/>
        </w:rPr>
        <w:t>ssociat</w:t>
      </w:r>
      <w:r>
        <w:rPr>
          <w:i/>
          <w:iCs/>
        </w:rPr>
        <w:t>ion</w:t>
      </w:r>
      <w:r w:rsidRPr="00D84EA0">
        <w:rPr>
          <w:i/>
          <w:iCs/>
        </w:rPr>
        <w:t xml:space="preserve"> with 100% EMM </w:t>
      </w:r>
      <w:r>
        <w:rPr>
          <w:i/>
          <w:iCs/>
        </w:rPr>
        <w:t>a</w:t>
      </w:r>
      <w:r w:rsidRPr="00D84EA0">
        <w:rPr>
          <w:i/>
          <w:iCs/>
        </w:rPr>
        <w:t>greements</w:t>
      </w:r>
      <w:r>
        <w:rPr>
          <w:i/>
          <w:iCs/>
        </w:rPr>
        <w:t xml:space="preserve"> for the commercial AI.</w:t>
      </w:r>
      <w:r w:rsidRPr="004425F1">
        <w:rPr>
          <w:i/>
          <w:iCs/>
        </w:rPr>
        <w:t xml:space="preserve"> </w:t>
      </w:r>
      <w:r>
        <w:rPr>
          <w:i/>
          <w:iCs/>
        </w:rPr>
        <w:t>d</w:t>
      </w:r>
      <w:r w:rsidRPr="00F8404B">
        <w:rPr>
          <w:i/>
          <w:iCs/>
        </w:rPr>
        <w:t xml:space="preserve">. </w:t>
      </w:r>
      <w:r>
        <w:rPr>
          <w:i/>
          <w:iCs/>
        </w:rPr>
        <w:t>Shapley analysis on feature values’ a</w:t>
      </w:r>
      <w:r w:rsidRPr="00F8404B">
        <w:rPr>
          <w:i/>
          <w:iCs/>
        </w:rPr>
        <w:t>ssociat</w:t>
      </w:r>
      <w:r>
        <w:rPr>
          <w:i/>
          <w:iCs/>
        </w:rPr>
        <w:t>ion</w:t>
      </w:r>
      <w:r w:rsidRPr="00F8404B">
        <w:rPr>
          <w:i/>
          <w:iCs/>
        </w:rPr>
        <w:t xml:space="preserve"> with 100% EMM </w:t>
      </w:r>
      <w:r>
        <w:rPr>
          <w:i/>
          <w:iCs/>
        </w:rPr>
        <w:t>a</w:t>
      </w:r>
      <w:r w:rsidRPr="00F8404B">
        <w:rPr>
          <w:i/>
          <w:iCs/>
        </w:rPr>
        <w:t>greements</w:t>
      </w:r>
      <w:r>
        <w:rPr>
          <w:i/>
          <w:iCs/>
        </w:rPr>
        <w:t xml:space="preserve"> for the open-source AI.</w:t>
      </w:r>
    </w:p>
    <w:p w14:paraId="23BAF970" w14:textId="77777777" w:rsidR="0095592E" w:rsidRDefault="0095592E" w:rsidP="0095592E">
      <w:pPr>
        <w:jc w:val="left"/>
      </w:pPr>
    </w:p>
    <w:p w14:paraId="56FFF176" w14:textId="77777777" w:rsidR="0095592E" w:rsidRDefault="0095592E" w:rsidP="0095592E">
      <w:pPr>
        <w:jc w:val="center"/>
      </w:pPr>
      <w:r>
        <w:rPr>
          <w:noProof/>
        </w:rPr>
        <w:lastRenderedPageBreak/>
        <w:drawing>
          <wp:inline distT="0" distB="0" distL="0" distR="0" wp14:anchorId="32D26110" wp14:editId="4BE26E44">
            <wp:extent cx="5943600" cy="3024967"/>
            <wp:effectExtent l="0" t="0" r="0" b="0"/>
            <wp:docPr id="6366993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699305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4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F296A" w14:textId="77777777" w:rsidR="0095592E" w:rsidRPr="00691977" w:rsidRDefault="0095592E" w:rsidP="0095592E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</w:t>
      </w:r>
      <w:r w:rsidRPr="10EF3AEA">
        <w:rPr>
          <w:b/>
          <w:bCs/>
          <w:i/>
          <w:iCs/>
        </w:rPr>
        <w:t xml:space="preserve">Figure </w:t>
      </w:r>
      <w:r>
        <w:rPr>
          <w:b/>
          <w:bCs/>
          <w:i/>
          <w:iCs/>
        </w:rPr>
        <w:t>3</w:t>
      </w:r>
      <w:r w:rsidRPr="10EF3AEA">
        <w:rPr>
          <w:b/>
          <w:bCs/>
          <w:i/>
          <w:iCs/>
        </w:rPr>
        <w:t xml:space="preserve">. EMM </w:t>
      </w:r>
      <w:r>
        <w:rPr>
          <w:b/>
          <w:bCs/>
          <w:i/>
          <w:iCs/>
        </w:rPr>
        <w:t xml:space="preserve">level of agreement stratified primary AI predictions into categories of different accuracies.  </w:t>
      </w:r>
      <w:r w:rsidRPr="00691977">
        <w:rPr>
          <w:i/>
          <w:iCs/>
        </w:rPr>
        <w:t xml:space="preserve">The </w:t>
      </w:r>
      <w:r w:rsidRPr="00E95E49">
        <w:rPr>
          <w:i/>
          <w:iCs/>
        </w:rPr>
        <w:t>primary</w:t>
      </w:r>
      <w:r w:rsidRPr="007C34BB">
        <w:rPr>
          <w:i/>
          <w:iCs/>
        </w:rPr>
        <w:t xml:space="preserve"> </w:t>
      </w:r>
      <w:r>
        <w:rPr>
          <w:i/>
          <w:iCs/>
        </w:rPr>
        <w:t>model’s</w:t>
      </w:r>
      <w:r w:rsidRPr="007C34BB">
        <w:rPr>
          <w:i/>
          <w:iCs/>
        </w:rPr>
        <w:t xml:space="preserve"> accuracy for both positive</w:t>
      </w:r>
      <w:r>
        <w:rPr>
          <w:i/>
          <w:iCs/>
        </w:rPr>
        <w:t xml:space="preserve"> (blue)</w:t>
      </w:r>
      <w:r w:rsidRPr="007C34BB">
        <w:rPr>
          <w:i/>
          <w:iCs/>
        </w:rPr>
        <w:t xml:space="preserve"> and negative</w:t>
      </w:r>
      <w:r>
        <w:rPr>
          <w:i/>
          <w:iCs/>
        </w:rPr>
        <w:t xml:space="preserve"> (yellow)</w:t>
      </w:r>
      <w:r w:rsidRPr="007C34BB">
        <w:rPr>
          <w:i/>
          <w:iCs/>
        </w:rPr>
        <w:t xml:space="preserve"> predictions is shown across different EMM agreement</w:t>
      </w:r>
      <w:r>
        <w:rPr>
          <w:i/>
          <w:iCs/>
        </w:rPr>
        <w:t xml:space="preserve"> and </w:t>
      </w:r>
      <w:r w:rsidRPr="2A3517E0">
        <w:rPr>
          <w:i/>
          <w:iCs/>
        </w:rPr>
        <w:t xml:space="preserve">prevalence </w:t>
      </w:r>
      <w:r w:rsidRPr="6095DAD5">
        <w:rPr>
          <w:i/>
          <w:iCs/>
        </w:rPr>
        <w:t>levels.</w:t>
      </w:r>
      <w:r>
        <w:rPr>
          <w:i/>
          <w:iCs/>
        </w:rPr>
        <w:t xml:space="preserve"> </w:t>
      </w:r>
    </w:p>
    <w:p w14:paraId="1344906B" w14:textId="77777777" w:rsidR="0095592E" w:rsidRDefault="0095592E" w:rsidP="0095592E">
      <w:pPr>
        <w:jc w:val="left"/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4865023B" w14:textId="77777777" w:rsidR="0095592E" w:rsidRDefault="0095592E" w:rsidP="0095592E">
      <w:pPr>
        <w:jc w:val="center"/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48ACFD2C" wp14:editId="3EBA3EDF">
            <wp:extent cx="5987363" cy="4752680"/>
            <wp:effectExtent l="0" t="0" r="0" b="0"/>
            <wp:docPr id="1320138710" name="Picture 1" descr="A group of graphs with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138710" name="Picture 1" descr="A group of graphs with different colored bar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7363" cy="475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37576" w14:textId="77777777" w:rsidR="0095592E" w:rsidRPr="001D6702" w:rsidRDefault="0095592E" w:rsidP="0095592E">
      <w:pPr>
        <w:rPr>
          <w:i/>
          <w:iCs/>
        </w:rPr>
      </w:pPr>
      <w:r w:rsidRPr="000E5446">
        <w:rPr>
          <w:b/>
          <w:bCs/>
          <w:i/>
          <w:iCs/>
        </w:rPr>
        <w:t xml:space="preserve">Supplementary </w:t>
      </w:r>
      <w:r w:rsidRPr="00111788">
        <w:rPr>
          <w:b/>
          <w:bCs/>
          <w:i/>
          <w:iCs/>
        </w:rPr>
        <w:t xml:space="preserve">Figure </w:t>
      </w:r>
      <w:r>
        <w:rPr>
          <w:b/>
          <w:bCs/>
          <w:i/>
          <w:iCs/>
        </w:rPr>
        <w:t>4</w:t>
      </w:r>
      <w:r w:rsidRPr="00111788">
        <w:rPr>
          <w:b/>
          <w:bCs/>
          <w:i/>
          <w:iCs/>
        </w:rPr>
        <w:t xml:space="preserve">. </w:t>
      </w:r>
      <w:r>
        <w:rPr>
          <w:b/>
          <w:bCs/>
          <w:i/>
          <w:iCs/>
        </w:rPr>
        <w:t>EMM stratified cases into increased, similar, and decreased confidence groups for open-source primary AI and enables customized clinical decision making. a.</w:t>
      </w:r>
      <w:r>
        <w:rPr>
          <w:i/>
          <w:iCs/>
        </w:rPr>
        <w:t xml:space="preserve"> Accuracy of each subgroups. </w:t>
      </w:r>
      <w:r w:rsidRPr="001D6702">
        <w:rPr>
          <w:b/>
          <w:bCs/>
          <w:i/>
          <w:iCs/>
        </w:rPr>
        <w:t>b.</w:t>
      </w:r>
      <w:r>
        <w:rPr>
          <w:i/>
          <w:iCs/>
        </w:rPr>
        <w:t xml:space="preserve"> Percent of cases of each subgroups. </w:t>
      </w:r>
      <w:r w:rsidRPr="001D6702">
        <w:rPr>
          <w:b/>
          <w:bCs/>
          <w:i/>
          <w:iCs/>
        </w:rPr>
        <w:t>c.</w:t>
      </w:r>
      <w:r>
        <w:rPr>
          <w:i/>
          <w:iCs/>
        </w:rPr>
        <w:t xml:space="preserve"> Tradeoff between the unnecessary false alarm review and the relative accuracy improvement. Same EMM agreement thresholds were used as in </w:t>
      </w:r>
      <w:r w:rsidRPr="001D6702">
        <w:rPr>
          <w:b/>
          <w:bCs/>
          <w:i/>
          <w:iCs/>
        </w:rPr>
        <w:t>Figure 1b</w:t>
      </w:r>
      <w:r>
        <w:rPr>
          <w:i/>
          <w:iCs/>
        </w:rPr>
        <w:t>.</w:t>
      </w:r>
    </w:p>
    <w:p w14:paraId="138E1C84" w14:textId="77777777" w:rsidR="0095592E" w:rsidRDefault="0095592E" w:rsidP="0095592E">
      <w:pPr>
        <w:jc w:val="left"/>
      </w:pPr>
    </w:p>
    <w:p w14:paraId="4DE8B5F7" w14:textId="77777777" w:rsidR="0095592E" w:rsidRDefault="0095592E" w:rsidP="0095592E">
      <w:pPr>
        <w:jc w:val="center"/>
      </w:pPr>
      <w:r>
        <w:rPr>
          <w:noProof/>
        </w:rPr>
        <w:lastRenderedPageBreak/>
        <w:drawing>
          <wp:inline distT="0" distB="0" distL="0" distR="0" wp14:anchorId="5B64FBEE" wp14:editId="0A0AB846">
            <wp:extent cx="5905632" cy="2735943"/>
            <wp:effectExtent l="0" t="0" r="0" b="0"/>
            <wp:docPr id="676084690" name="Picture 3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084690" name="Picture 3" descr="A graph of different colored bar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416" cy="277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99F8A" w14:textId="77777777" w:rsidR="0095592E" w:rsidRPr="004315ED" w:rsidRDefault="0095592E" w:rsidP="0095592E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Supplementary Figure 5. </w:t>
      </w:r>
      <w:r w:rsidRPr="004315ED">
        <w:rPr>
          <w:b/>
          <w:bCs/>
          <w:i/>
          <w:iCs/>
        </w:rPr>
        <w:t xml:space="preserve">EMM </w:t>
      </w:r>
      <w:r>
        <w:rPr>
          <w:b/>
          <w:bCs/>
          <w:i/>
          <w:iCs/>
        </w:rPr>
        <w:t xml:space="preserve">performance on catching open-source ICH AI errors generally improves with increasing </w:t>
      </w:r>
      <w:r w:rsidRPr="004315ED">
        <w:rPr>
          <w:b/>
          <w:bCs/>
          <w:i/>
          <w:iCs/>
        </w:rPr>
        <w:t xml:space="preserve">training </w:t>
      </w:r>
      <w:r>
        <w:rPr>
          <w:b/>
          <w:bCs/>
          <w:i/>
          <w:iCs/>
        </w:rPr>
        <w:t>data volume (a), number of sub-models (b), and sub-model sizes.</w:t>
      </w:r>
      <w:r>
        <w:t xml:space="preserve">  </w:t>
      </w:r>
    </w:p>
    <w:p w14:paraId="678A7707" w14:textId="77777777" w:rsidR="0095592E" w:rsidRDefault="0095592E" w:rsidP="0095592E"/>
    <w:p w14:paraId="46053829" w14:textId="77777777" w:rsidR="0095592E" w:rsidRDefault="0095592E" w:rsidP="0095592E"/>
    <w:p w14:paraId="514856F5" w14:textId="77777777" w:rsidR="0095592E" w:rsidRDefault="0095592E" w:rsidP="0095592E">
      <w:pPr>
        <w:jc w:val="center"/>
      </w:pPr>
      <w:r>
        <w:rPr>
          <w:noProof/>
        </w:rPr>
        <w:lastRenderedPageBreak/>
        <w:drawing>
          <wp:inline distT="0" distB="0" distL="0" distR="0" wp14:anchorId="4563D193" wp14:editId="584BFEF0">
            <wp:extent cx="6023414" cy="4781298"/>
            <wp:effectExtent l="0" t="0" r="0" b="0"/>
            <wp:docPr id="1258265637" name="Picture 2" descr="A group of graphs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265637" name="Picture 2" descr="A group of graphs with numbers and symbol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3414" cy="478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CDB94" w14:textId="77777777" w:rsidR="0095592E" w:rsidRDefault="0095592E" w:rsidP="0095592E">
      <w:r w:rsidRPr="001D6702">
        <w:rPr>
          <w:b/>
          <w:bCs/>
          <w:i/>
          <w:iCs/>
        </w:rPr>
        <w:t xml:space="preserve">Supplementary Figure </w:t>
      </w:r>
      <w:r>
        <w:rPr>
          <w:b/>
          <w:bCs/>
          <w:i/>
          <w:iCs/>
        </w:rPr>
        <w:t>6</w:t>
      </w:r>
      <w:r w:rsidRPr="001D6702">
        <w:rPr>
          <w:b/>
          <w:bCs/>
          <w:i/>
          <w:iCs/>
        </w:rPr>
        <w:t>.</w:t>
      </w:r>
      <w:r w:rsidRPr="001D6702">
        <w:rPr>
          <w:i/>
          <w:iCs/>
        </w:rPr>
        <w:t xml:space="preserve"> </w:t>
      </w:r>
      <w:r w:rsidRPr="00D84EA0">
        <w:rPr>
          <w:b/>
          <w:bCs/>
          <w:i/>
          <w:iCs/>
        </w:rPr>
        <w:t xml:space="preserve">Suboptimal EMM stratification threshold increased unnecessary reviews for false alarm cases while reduced the relative accuracy gain. </w:t>
      </w:r>
      <w:r w:rsidRPr="00D84EA0">
        <w:rPr>
          <w:i/>
          <w:iCs/>
        </w:rPr>
        <w:t>Red arrow</w:t>
      </w:r>
      <w:r>
        <w:rPr>
          <w:i/>
          <w:iCs/>
        </w:rPr>
        <w:t>s</w:t>
      </w:r>
      <w:r w:rsidRPr="00D84EA0">
        <w:rPr>
          <w:i/>
          <w:iCs/>
        </w:rPr>
        <w:t xml:space="preserve"> </w:t>
      </w:r>
      <w:r>
        <w:rPr>
          <w:i/>
          <w:iCs/>
        </w:rPr>
        <w:t>indicate</w:t>
      </w:r>
      <w:r w:rsidRPr="00D84EA0">
        <w:rPr>
          <w:i/>
          <w:iCs/>
        </w:rPr>
        <w:t xml:space="preserve"> the changes compared to Figure 3</w:t>
      </w:r>
      <w:r>
        <w:rPr>
          <w:b/>
          <w:bCs/>
          <w:i/>
          <w:iCs/>
        </w:rPr>
        <w:t xml:space="preserve">. </w:t>
      </w:r>
      <w:r>
        <w:rPr>
          <w:i/>
          <w:iCs/>
        </w:rPr>
        <w:t xml:space="preserve">In this example, the </w:t>
      </w:r>
      <w:r w:rsidRPr="00691977">
        <w:rPr>
          <w:i/>
          <w:iCs/>
        </w:rPr>
        <w:t>negative yellow thresholds changed from [80%, 60%, 40%, and 20%] to [80% and 60%], and negative red thresholds changed from [0%] to [40%, 20%, and 0%]</w:t>
      </w:r>
      <w:r>
        <w:rPr>
          <w:i/>
          <w:iCs/>
        </w:rPr>
        <w:t xml:space="preserve"> compared to </w:t>
      </w:r>
      <w:r w:rsidRPr="001D6702">
        <w:rPr>
          <w:b/>
          <w:bCs/>
          <w:i/>
          <w:iCs/>
        </w:rPr>
        <w:t>Figure 3a</w:t>
      </w:r>
      <w:r>
        <w:rPr>
          <w:i/>
          <w:iCs/>
        </w:rPr>
        <w:t>.</w:t>
      </w:r>
    </w:p>
    <w:p w14:paraId="3CC0B028" w14:textId="77777777" w:rsidR="0095592E" w:rsidRPr="00D95EFF" w:rsidRDefault="0095592E" w:rsidP="0095592E">
      <w:pPr>
        <w:jc w:val="left"/>
      </w:pPr>
    </w:p>
    <w:p w14:paraId="7F87DE3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92E"/>
    <w:rsid w:val="00011C58"/>
    <w:rsid w:val="0006021D"/>
    <w:rsid w:val="00331A6B"/>
    <w:rsid w:val="00755780"/>
    <w:rsid w:val="00857596"/>
    <w:rsid w:val="0095592E"/>
    <w:rsid w:val="00C025DD"/>
    <w:rsid w:val="00E2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5C712"/>
  <w15:chartTrackingRefBased/>
  <w15:docId w15:val="{A404CB04-A05B-41D5-A36E-730FA2981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2E"/>
    <w:pPr>
      <w:spacing w:line="279" w:lineRule="auto"/>
      <w:jc w:val="both"/>
    </w:pPr>
    <w:rPr>
      <w:rFonts w:ascii="Times New Roman" w:eastAsia="Aptos" w:hAnsi="Times New Roman" w:cs="Times New Roman"/>
      <w:color w:val="000000" w:themeColor="text1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592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592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92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92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92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92E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92E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92E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92E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9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559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9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9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9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9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9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9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9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92E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559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92E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559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92E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559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92E"/>
    <w:pPr>
      <w:spacing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559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9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9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9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350</Words>
  <Characters>1996</Characters>
  <Application>Microsoft Office Word</Application>
  <DocSecurity>0</DocSecurity>
  <Lines>16</Lines>
  <Paragraphs>4</Paragraphs>
  <ScaleCrop>false</ScaleCrop>
  <Company>Springer Nature</Company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2025-05-23T05:48:00Z</dcterms:created>
  <dcterms:modified xsi:type="dcterms:W3CDTF">2025-05-23T05:49:00Z</dcterms:modified>
</cp:coreProperties>
</file>