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0B204" w14:textId="6DCAEFE8" w:rsidR="00100C95" w:rsidRPr="001D3180" w:rsidRDefault="00100C95" w:rsidP="6B11BC5C">
      <w:pPr>
        <w:pStyle w:val="Title"/>
        <w:spacing w:after="240"/>
        <w:rPr>
          <w:sz w:val="48"/>
          <w:szCs w:val="48"/>
          <w:lang w:val="en-US"/>
        </w:rPr>
      </w:pPr>
      <w:r w:rsidRPr="6B11BC5C">
        <w:rPr>
          <w:sz w:val="48"/>
          <w:szCs w:val="48"/>
          <w:lang w:val="en-US"/>
        </w:rPr>
        <w:t>Targeted green recovery measures in a post-COVID</w:t>
      </w:r>
      <w:r w:rsidR="27211B08" w:rsidRPr="6B11BC5C">
        <w:rPr>
          <w:sz w:val="48"/>
          <w:szCs w:val="48"/>
          <w:lang w:val="en-US"/>
        </w:rPr>
        <w:t>-19</w:t>
      </w:r>
      <w:r w:rsidRPr="6B11BC5C">
        <w:rPr>
          <w:sz w:val="48"/>
          <w:szCs w:val="48"/>
          <w:lang w:val="en-US"/>
        </w:rPr>
        <w:t xml:space="preserve"> world enable </w:t>
      </w:r>
      <w:r w:rsidR="5FC881AA" w:rsidRPr="6B11BC5C">
        <w:rPr>
          <w:sz w:val="48"/>
          <w:szCs w:val="48"/>
          <w:lang w:val="en-US"/>
        </w:rPr>
        <w:t xml:space="preserve">the </w:t>
      </w:r>
      <w:r w:rsidRPr="6B11BC5C">
        <w:rPr>
          <w:sz w:val="48"/>
          <w:szCs w:val="48"/>
          <w:lang w:val="en-US"/>
        </w:rPr>
        <w:t>energy transition</w:t>
      </w:r>
    </w:p>
    <w:p w14:paraId="7BDBA0EC" w14:textId="2FA86397" w:rsidR="003911FC" w:rsidRDefault="211A7623" w:rsidP="15770024">
      <w:pPr>
        <w:rPr>
          <w:rFonts w:ascii="Calibri Light" w:eastAsia="Calibri Light" w:hAnsi="Calibri Light" w:cs="Calibri Light"/>
          <w:lang w:val="pt-BR"/>
        </w:rPr>
      </w:pPr>
      <w:r w:rsidRPr="15770024">
        <w:rPr>
          <w:rFonts w:ascii="Calibri Light" w:eastAsia="Calibri Light" w:hAnsi="Calibri Light" w:cs="Calibri Light"/>
          <w:lang w:val="pt-BR"/>
        </w:rPr>
        <w:t>Ioannis Dafnomilis</w:t>
      </w:r>
      <w:r w:rsidRPr="15770024">
        <w:rPr>
          <w:rFonts w:ascii="Calibri Light" w:eastAsia="Calibri Light" w:hAnsi="Calibri Light" w:cs="Calibri Light"/>
          <w:vertAlign w:val="superscript"/>
          <w:lang w:val="pt-BR"/>
        </w:rPr>
        <w:t>1,*</w:t>
      </w:r>
      <w:r w:rsidRPr="15770024">
        <w:rPr>
          <w:rFonts w:ascii="Calibri Light" w:eastAsia="Calibri Light" w:hAnsi="Calibri Light" w:cs="Calibri Light"/>
          <w:lang w:val="pt-BR"/>
        </w:rPr>
        <w:t>, Hsing-Hsuan Chen</w:t>
      </w:r>
      <w:r w:rsidRPr="15770024">
        <w:rPr>
          <w:rFonts w:ascii="Calibri Light" w:eastAsia="Calibri Light" w:hAnsi="Calibri Light" w:cs="Calibri Light"/>
          <w:vertAlign w:val="superscript"/>
          <w:lang w:val="pt-BR"/>
        </w:rPr>
        <w:t>1</w:t>
      </w:r>
      <w:r w:rsidR="00A431D8">
        <w:rPr>
          <w:rFonts w:ascii="Calibri Light" w:eastAsia="Calibri Light" w:hAnsi="Calibri Light" w:cs="Calibri Light"/>
          <w:lang w:val="pt-BR"/>
        </w:rPr>
        <w:t>, M</w:t>
      </w:r>
      <w:r w:rsidRPr="15770024">
        <w:rPr>
          <w:rFonts w:ascii="Calibri Light" w:eastAsia="Calibri Light" w:hAnsi="Calibri Light" w:cs="Calibri Light"/>
          <w:lang w:val="pt-BR"/>
        </w:rPr>
        <w:t>ichel den Elzen</w:t>
      </w:r>
      <w:r w:rsidRPr="15770024">
        <w:rPr>
          <w:rFonts w:ascii="Calibri Light" w:eastAsia="Calibri Light" w:hAnsi="Calibri Light" w:cs="Calibri Light"/>
          <w:vertAlign w:val="superscript"/>
          <w:lang w:val="pt-BR"/>
        </w:rPr>
        <w:t>1</w:t>
      </w:r>
      <w:r w:rsidR="009715BB">
        <w:rPr>
          <w:rFonts w:ascii="Calibri Light" w:eastAsia="Calibri Light" w:hAnsi="Calibri Light" w:cs="Calibri Light"/>
          <w:vertAlign w:val="superscript"/>
          <w:lang w:val="pt-BR"/>
        </w:rPr>
        <w:t>,5</w:t>
      </w:r>
      <w:r w:rsidRPr="15770024">
        <w:rPr>
          <w:rFonts w:ascii="Calibri Light" w:eastAsia="Calibri Light" w:hAnsi="Calibri Light" w:cs="Calibri Light"/>
          <w:lang w:val="pt-BR"/>
        </w:rPr>
        <w:t xml:space="preserve">, </w:t>
      </w:r>
      <w:r w:rsidRPr="15770024">
        <w:rPr>
          <w:rFonts w:ascii="Calibri Light" w:eastAsia="Calibri Light" w:hAnsi="Calibri Light" w:cs="Calibri Light"/>
          <w:lang w:val="sv"/>
        </w:rPr>
        <w:t>Panagiotis Fragkos</w:t>
      </w:r>
      <w:r w:rsidRPr="15770024">
        <w:rPr>
          <w:rFonts w:ascii="Calibri Light" w:eastAsia="Calibri Light" w:hAnsi="Calibri Light" w:cs="Calibri Light"/>
          <w:vertAlign w:val="superscript"/>
          <w:lang w:val="pt-BR"/>
        </w:rPr>
        <w:t>3</w:t>
      </w:r>
      <w:r w:rsidRPr="15770024">
        <w:rPr>
          <w:rFonts w:ascii="Calibri Light" w:eastAsia="Calibri Light" w:hAnsi="Calibri Light" w:cs="Calibri Light"/>
          <w:lang w:val="pt-BR"/>
        </w:rPr>
        <w:t>, Unnada Chewpreecha</w:t>
      </w:r>
      <w:r w:rsidRPr="15770024">
        <w:rPr>
          <w:rFonts w:ascii="Calibri Light" w:eastAsia="Calibri Light" w:hAnsi="Calibri Light" w:cs="Calibri Light"/>
          <w:vertAlign w:val="superscript"/>
          <w:lang w:val="pt-BR"/>
        </w:rPr>
        <w:t>2</w:t>
      </w:r>
      <w:r w:rsidRPr="15770024">
        <w:rPr>
          <w:rFonts w:ascii="Calibri Light" w:eastAsia="Calibri Light" w:hAnsi="Calibri Light" w:cs="Calibri Light"/>
          <w:lang w:val="pt-BR"/>
        </w:rPr>
        <w:t>, Heleen van Soest</w:t>
      </w:r>
      <w:r w:rsidRPr="15770024">
        <w:rPr>
          <w:rFonts w:ascii="Calibri Light" w:eastAsia="Calibri Light" w:hAnsi="Calibri Light" w:cs="Calibri Light"/>
          <w:vertAlign w:val="superscript"/>
          <w:lang w:val="pt-BR"/>
        </w:rPr>
        <w:t>1,4</w:t>
      </w:r>
      <w:r w:rsidRPr="15770024">
        <w:rPr>
          <w:rFonts w:ascii="Calibri Light" w:eastAsia="Calibri Light" w:hAnsi="Calibri Light" w:cs="Calibri Light"/>
          <w:lang w:val="pt-BR"/>
        </w:rPr>
        <w:t>, Kostas Fragkiadakis</w:t>
      </w:r>
      <w:r w:rsidRPr="15770024">
        <w:rPr>
          <w:rFonts w:ascii="Calibri Light" w:eastAsia="Calibri Light" w:hAnsi="Calibri Light" w:cs="Calibri Light"/>
          <w:vertAlign w:val="superscript"/>
          <w:lang w:val="pt-BR"/>
        </w:rPr>
        <w:t>3</w:t>
      </w:r>
      <w:r w:rsidRPr="15770024">
        <w:rPr>
          <w:rFonts w:ascii="Calibri Light" w:eastAsia="Calibri Light" w:hAnsi="Calibri Light" w:cs="Calibri Light"/>
          <w:lang w:val="pt-BR"/>
        </w:rPr>
        <w:t xml:space="preserve">, </w:t>
      </w:r>
      <w:r w:rsidRPr="15770024">
        <w:rPr>
          <w:rFonts w:ascii="Calibri Light" w:eastAsia="Calibri Light" w:hAnsi="Calibri Light" w:cs="Calibri Light"/>
          <w:lang w:val="sv"/>
        </w:rPr>
        <w:t>Panagiotis Karatsoulis</w:t>
      </w:r>
      <w:r w:rsidRPr="15770024">
        <w:rPr>
          <w:rFonts w:ascii="Calibri Light" w:eastAsia="Calibri Light" w:hAnsi="Calibri Light" w:cs="Calibri Light"/>
          <w:vertAlign w:val="superscript"/>
          <w:lang w:val="pt-BR"/>
        </w:rPr>
        <w:t>3</w:t>
      </w:r>
      <w:r w:rsidRPr="15770024">
        <w:rPr>
          <w:rFonts w:ascii="Calibri Light" w:eastAsia="Calibri Light" w:hAnsi="Calibri Light" w:cs="Calibri Light"/>
          <w:lang w:val="pt-BR"/>
        </w:rPr>
        <w:t>, Leonidas Paroussos</w:t>
      </w:r>
      <w:r w:rsidRPr="15770024">
        <w:rPr>
          <w:rFonts w:ascii="Calibri Light" w:eastAsia="Calibri Light" w:hAnsi="Calibri Light" w:cs="Calibri Light"/>
          <w:vertAlign w:val="superscript"/>
          <w:lang w:val="pt-BR"/>
        </w:rPr>
        <w:t>3</w:t>
      </w:r>
      <w:r w:rsidRPr="15770024">
        <w:rPr>
          <w:rFonts w:ascii="Calibri Light" w:eastAsia="Calibri Light" w:hAnsi="Calibri Light" w:cs="Calibri Light"/>
          <w:lang w:val="pt-BR"/>
        </w:rPr>
        <w:t xml:space="preserve">, </w:t>
      </w:r>
      <w:r w:rsidRPr="15770024">
        <w:rPr>
          <w:rFonts w:ascii="Calibri Light" w:eastAsia="Calibri Light" w:hAnsi="Calibri Light" w:cs="Calibri Light"/>
          <w:color w:val="000000" w:themeColor="text1"/>
          <w:lang w:val="pt-BR"/>
        </w:rPr>
        <w:t>Harmen-Sytze de Boer</w:t>
      </w:r>
      <w:r w:rsidRPr="15770024">
        <w:rPr>
          <w:rFonts w:ascii="Calibri Light" w:eastAsia="Calibri Light" w:hAnsi="Calibri Light" w:cs="Calibri Light"/>
          <w:vertAlign w:val="superscript"/>
          <w:lang w:val="pt-BR"/>
        </w:rPr>
        <w:t>1</w:t>
      </w:r>
      <w:r w:rsidRPr="15770024">
        <w:rPr>
          <w:rFonts w:ascii="Calibri Light" w:eastAsia="Calibri Light" w:hAnsi="Calibri Light" w:cs="Calibri Light"/>
          <w:color w:val="000000" w:themeColor="text1"/>
          <w:lang w:val="pt-BR"/>
        </w:rPr>
        <w:t>, Vasillis Daioglou</w:t>
      </w:r>
      <w:r w:rsidR="463F0342" w:rsidRPr="15770024">
        <w:rPr>
          <w:rFonts w:ascii="Calibri Light" w:eastAsia="Calibri Light" w:hAnsi="Calibri Light" w:cs="Calibri Light"/>
          <w:vertAlign w:val="superscript"/>
          <w:lang w:val="pt-BR"/>
        </w:rPr>
        <w:t>4</w:t>
      </w:r>
      <w:r w:rsidRPr="15770024">
        <w:rPr>
          <w:rFonts w:ascii="Calibri Light" w:eastAsia="Calibri Light" w:hAnsi="Calibri Light" w:cs="Calibri Light"/>
          <w:color w:val="000000" w:themeColor="text1"/>
          <w:lang w:val="pt-BR"/>
        </w:rPr>
        <w:t>, Oreane Edelenbosch</w:t>
      </w:r>
      <w:r w:rsidRPr="15770024">
        <w:rPr>
          <w:rFonts w:ascii="Calibri Light" w:eastAsia="Calibri Light" w:hAnsi="Calibri Light" w:cs="Calibri Light"/>
          <w:vertAlign w:val="superscript"/>
          <w:lang w:val="pt-BR"/>
        </w:rPr>
        <w:t>1</w:t>
      </w:r>
      <w:r w:rsidRPr="15770024">
        <w:rPr>
          <w:rFonts w:ascii="Calibri Light" w:eastAsia="Calibri Light" w:hAnsi="Calibri Light" w:cs="Calibri Light"/>
          <w:color w:val="000000" w:themeColor="text1"/>
          <w:lang w:val="pt-BR"/>
        </w:rPr>
        <w:t xml:space="preserve">, </w:t>
      </w:r>
      <w:r w:rsidRPr="15770024">
        <w:rPr>
          <w:rFonts w:ascii="Calibri Light" w:eastAsia="Calibri Light" w:hAnsi="Calibri Light" w:cs="Calibri Light"/>
          <w:lang w:val="pt-BR"/>
        </w:rPr>
        <w:t>Bence Kiss-Dobronyi</w:t>
      </w:r>
      <w:r w:rsidRPr="15770024">
        <w:rPr>
          <w:rFonts w:ascii="Calibri Light" w:eastAsia="Calibri Light" w:hAnsi="Calibri Light" w:cs="Calibri Light"/>
          <w:vertAlign w:val="superscript"/>
          <w:lang w:val="pt-BR"/>
        </w:rPr>
        <w:t>2</w:t>
      </w:r>
      <w:r w:rsidR="2CFEA494" w:rsidRPr="15770024">
        <w:rPr>
          <w:rFonts w:ascii="Calibri Light" w:eastAsia="Calibri Light" w:hAnsi="Calibri Light" w:cs="Calibri Light"/>
          <w:lang w:val="pt-BR"/>
        </w:rPr>
        <w:t>, Detlef van Vuuren</w:t>
      </w:r>
      <w:r w:rsidR="2CFEA494" w:rsidRPr="15770024">
        <w:rPr>
          <w:rFonts w:ascii="Calibri Light" w:eastAsia="Calibri Light" w:hAnsi="Calibri Light" w:cs="Calibri Light"/>
          <w:vertAlign w:val="superscript"/>
          <w:lang w:val="pt-BR"/>
        </w:rPr>
        <w:t>1,4</w:t>
      </w:r>
    </w:p>
    <w:p w14:paraId="7DCC28EB" w14:textId="46D00EFE" w:rsidR="003911FC" w:rsidRDefault="211A7623" w:rsidP="7A1C5170">
      <w:r w:rsidRPr="7A1C5170">
        <w:rPr>
          <w:rFonts w:ascii="Calibri Light" w:eastAsia="Calibri Light" w:hAnsi="Calibri Light" w:cs="Calibri Light"/>
          <w:vertAlign w:val="superscript"/>
          <w:lang w:val="pt-BR"/>
        </w:rPr>
        <w:t xml:space="preserve"> </w:t>
      </w:r>
    </w:p>
    <w:p w14:paraId="0D8B6954" w14:textId="77777777" w:rsidR="00236706" w:rsidRPr="008856B4" w:rsidRDefault="00236706" w:rsidP="00236706">
      <w:pPr>
        <w:spacing w:after="0" w:line="240" w:lineRule="auto"/>
        <w:rPr>
          <w:rFonts w:cstheme="majorHAnsi"/>
          <w:lang w:val="pt-BR"/>
        </w:rPr>
      </w:pPr>
      <w:r w:rsidRPr="008856B4">
        <w:rPr>
          <w:rFonts w:cstheme="majorHAnsi"/>
          <w:vertAlign w:val="superscript"/>
          <w:lang w:val="pt-BR"/>
        </w:rPr>
        <w:t>1</w:t>
      </w:r>
      <w:r w:rsidRPr="008856B4">
        <w:rPr>
          <w:rFonts w:cstheme="majorHAnsi"/>
          <w:lang w:val="pt-BR"/>
        </w:rPr>
        <w:t xml:space="preserve"> PBL Netherlands Environmental Assessment Agency, </w:t>
      </w:r>
      <w:r>
        <w:t>PO Box 30314, 2500 GH The Hague,</w:t>
      </w:r>
      <w:r w:rsidRPr="008856B4" w:rsidDel="00930F62">
        <w:rPr>
          <w:rFonts w:cstheme="majorHAnsi"/>
          <w:lang w:val="pt-BR"/>
        </w:rPr>
        <w:t xml:space="preserve"> </w:t>
      </w:r>
      <w:r w:rsidRPr="008856B4">
        <w:rPr>
          <w:rFonts w:cstheme="majorHAnsi"/>
          <w:lang w:val="pt-BR"/>
        </w:rPr>
        <w:t xml:space="preserve">the Netherlands </w:t>
      </w:r>
    </w:p>
    <w:p w14:paraId="385480C0" w14:textId="77777777" w:rsidR="00236706" w:rsidRPr="008856B4" w:rsidRDefault="00236706" w:rsidP="00236706">
      <w:pPr>
        <w:spacing w:after="0" w:line="240" w:lineRule="auto"/>
        <w:rPr>
          <w:rFonts w:cstheme="majorHAnsi"/>
          <w:lang w:val="pt-BR"/>
        </w:rPr>
      </w:pPr>
      <w:r w:rsidRPr="008856B4">
        <w:rPr>
          <w:rFonts w:cstheme="majorHAnsi"/>
          <w:vertAlign w:val="superscript"/>
          <w:lang w:val="pt-BR"/>
        </w:rPr>
        <w:t>2</w:t>
      </w:r>
      <w:r w:rsidRPr="008856B4">
        <w:rPr>
          <w:rFonts w:cstheme="majorHAnsi"/>
          <w:lang w:val="pt-BR"/>
        </w:rPr>
        <w:t xml:space="preserve"> Cambridge Econometrics</w:t>
      </w:r>
      <w:r w:rsidRPr="00CC3B18">
        <w:rPr>
          <w:rFonts w:cstheme="majorHAnsi"/>
          <w:lang w:val="pt-BR"/>
        </w:rPr>
        <w:t xml:space="preserve">, Covent Garden, Cambridge, CB1 2HT, </w:t>
      </w:r>
      <w:r w:rsidRPr="008856B4">
        <w:rPr>
          <w:rFonts w:cstheme="majorHAnsi"/>
          <w:lang w:val="pt-BR"/>
        </w:rPr>
        <w:t>United Kingdom</w:t>
      </w:r>
    </w:p>
    <w:p w14:paraId="1CDC194C" w14:textId="77777777" w:rsidR="00236706" w:rsidRPr="008856B4" w:rsidRDefault="00236706" w:rsidP="00236706">
      <w:pPr>
        <w:spacing w:after="0" w:line="240" w:lineRule="auto"/>
        <w:rPr>
          <w:rFonts w:cstheme="majorHAnsi"/>
          <w:lang w:val="pt-BR"/>
        </w:rPr>
      </w:pPr>
      <w:r w:rsidRPr="008856B4">
        <w:rPr>
          <w:rFonts w:cstheme="majorHAnsi"/>
          <w:vertAlign w:val="superscript"/>
          <w:lang w:val="pt-BR"/>
        </w:rPr>
        <w:t>3</w:t>
      </w:r>
      <w:r w:rsidRPr="008856B4">
        <w:rPr>
          <w:rFonts w:cstheme="majorHAnsi"/>
          <w:lang w:val="pt-BR"/>
        </w:rPr>
        <w:t xml:space="preserve"> E3Modelling S</w:t>
      </w:r>
      <w:r>
        <w:rPr>
          <w:rFonts w:cstheme="majorHAnsi"/>
          <w:lang w:val="pt-BR"/>
        </w:rPr>
        <w:t>.</w:t>
      </w:r>
      <w:r w:rsidRPr="008856B4">
        <w:rPr>
          <w:rFonts w:cstheme="majorHAnsi"/>
          <w:lang w:val="pt-BR"/>
        </w:rPr>
        <w:t>A</w:t>
      </w:r>
      <w:r>
        <w:rPr>
          <w:rFonts w:cstheme="majorHAnsi"/>
          <w:lang w:val="pt-BR"/>
        </w:rPr>
        <w:t>.</w:t>
      </w:r>
      <w:r w:rsidRPr="008856B4">
        <w:rPr>
          <w:rFonts w:cstheme="majorHAnsi"/>
          <w:lang w:val="pt-BR"/>
        </w:rPr>
        <w:t xml:space="preserve">, </w:t>
      </w:r>
      <w:r>
        <w:rPr>
          <w:rFonts w:cstheme="majorHAnsi"/>
          <w:lang w:val="pt-BR"/>
        </w:rPr>
        <w:t xml:space="preserve">Panormou 70-72, Athens, </w:t>
      </w:r>
      <w:r w:rsidRPr="008856B4">
        <w:rPr>
          <w:rFonts w:cstheme="majorHAnsi"/>
          <w:lang w:val="pt-BR"/>
        </w:rPr>
        <w:t>Greece</w:t>
      </w:r>
    </w:p>
    <w:p w14:paraId="42C34064" w14:textId="07D92139" w:rsidR="00236706" w:rsidRDefault="00236706" w:rsidP="00236706">
      <w:pPr>
        <w:spacing w:after="0" w:line="240" w:lineRule="auto"/>
        <w:rPr>
          <w:rFonts w:cstheme="majorHAnsi"/>
          <w:lang w:val="pt-BR"/>
        </w:rPr>
      </w:pPr>
      <w:r w:rsidRPr="008856B4">
        <w:rPr>
          <w:rFonts w:cstheme="majorHAnsi"/>
          <w:vertAlign w:val="superscript"/>
          <w:lang w:val="pt-BR"/>
        </w:rPr>
        <w:t>4</w:t>
      </w:r>
      <w:r w:rsidRPr="008856B4">
        <w:rPr>
          <w:rFonts w:cstheme="majorHAnsi"/>
          <w:lang w:val="pt-BR"/>
        </w:rPr>
        <w:t xml:space="preserve"> Copernicus Institute of Sustainable Development, Utrecht University, </w:t>
      </w:r>
      <w:r>
        <w:t>Princetonlaan 8a, 3584 CB Utrecht</w:t>
      </w:r>
      <w:r w:rsidRPr="008856B4">
        <w:rPr>
          <w:rFonts w:cstheme="majorHAnsi"/>
          <w:lang w:val="pt-BR"/>
        </w:rPr>
        <w:t>, the Netherlands</w:t>
      </w:r>
    </w:p>
    <w:p w14:paraId="2FDC4CDE" w14:textId="69547816" w:rsidR="009715BB" w:rsidRPr="00B84C21" w:rsidRDefault="009715BB" w:rsidP="00236706">
      <w:pPr>
        <w:spacing w:after="0" w:line="240" w:lineRule="auto"/>
        <w:rPr>
          <w:rFonts w:cstheme="majorHAnsi"/>
          <w:lang w:val="nl-NL"/>
        </w:rPr>
      </w:pPr>
      <w:r w:rsidRPr="00B84C21">
        <w:rPr>
          <w:rStyle w:val="normaltextrun"/>
          <w:rFonts w:cstheme="majorHAnsi"/>
          <w:shd w:val="clear" w:color="auto" w:fill="FFFFFF"/>
          <w:vertAlign w:val="superscript"/>
          <w:lang w:val="pt-BR"/>
        </w:rPr>
        <w:t>5</w:t>
      </w:r>
      <w:r w:rsidRPr="00B84C21">
        <w:rPr>
          <w:rStyle w:val="normaltextrun"/>
          <w:rFonts w:cstheme="majorHAnsi"/>
          <w:shd w:val="clear" w:color="auto" w:fill="FFFFFF"/>
          <w:lang w:val="pt-BR"/>
        </w:rPr>
        <w:t> Institute for Environmental Studies (IVM), Vrije Universiteit Amsterdam, the Netherlands</w:t>
      </w:r>
      <w:r w:rsidRPr="00B84C21">
        <w:rPr>
          <w:rStyle w:val="eop"/>
          <w:rFonts w:cstheme="majorHAnsi"/>
          <w:shd w:val="clear" w:color="auto" w:fill="FFFFFF"/>
          <w:lang w:val="nl-NL"/>
        </w:rPr>
        <w:t> </w:t>
      </w:r>
    </w:p>
    <w:p w14:paraId="567E348F" w14:textId="7B5C834E" w:rsidR="003911FC" w:rsidRDefault="211A7623" w:rsidP="7A1C5170">
      <w:pPr>
        <w:spacing w:line="288" w:lineRule="auto"/>
      </w:pPr>
      <w:r w:rsidRPr="7A1C5170">
        <w:rPr>
          <w:rFonts w:ascii="Calibri Light" w:eastAsia="Calibri Light" w:hAnsi="Calibri Light" w:cs="Calibri Light"/>
          <w:lang w:val="pt-BR"/>
        </w:rPr>
        <w:t>* Corresponding author</w:t>
      </w:r>
      <w:r w:rsidRPr="7A1C5170">
        <w:rPr>
          <w:rFonts w:ascii="Calibri" w:eastAsia="Calibri" w:hAnsi="Calibri" w:cs="Calibri"/>
        </w:rPr>
        <w:t xml:space="preserve"> </w:t>
      </w:r>
    </w:p>
    <w:p w14:paraId="7B544B76" w14:textId="35DC0ED5" w:rsidR="003911FC" w:rsidRDefault="00C353D8">
      <w:r>
        <w:br/>
      </w:r>
    </w:p>
    <w:p w14:paraId="542DC8BD" w14:textId="77777777" w:rsidR="0075001B" w:rsidRDefault="0075001B">
      <w:pPr>
        <w:rPr>
          <w:rFonts w:eastAsiaTheme="majorEastAsia" w:cstheme="majorBidi"/>
          <w:b/>
          <w:color w:val="000000" w:themeColor="text1"/>
          <w:sz w:val="28"/>
          <w:szCs w:val="32"/>
          <w:lang w:val="en-GB" w:eastAsia="ja-JP"/>
        </w:rPr>
      </w:pPr>
      <w:r>
        <w:br w:type="page"/>
      </w:r>
    </w:p>
    <w:p w14:paraId="171C6B5F" w14:textId="452C9627" w:rsidR="0075001B" w:rsidRPr="00195091" w:rsidRDefault="001B2D6D" w:rsidP="0075001B">
      <w:pPr>
        <w:pStyle w:val="Heading1"/>
        <w:numPr>
          <w:ilvl w:val="0"/>
          <w:numId w:val="0"/>
        </w:numPr>
        <w:ind w:left="432" w:hanging="432"/>
        <w:rPr>
          <w:rFonts w:cstheme="majorHAnsi"/>
        </w:rPr>
      </w:pPr>
      <w:r>
        <w:rPr>
          <w:rFonts w:cstheme="majorHAnsi"/>
        </w:rPr>
        <w:lastRenderedPageBreak/>
        <w:t xml:space="preserve">Supplementary </w:t>
      </w:r>
      <w:r w:rsidR="007B55E3">
        <w:rPr>
          <w:rFonts w:cstheme="majorHAnsi"/>
        </w:rPr>
        <w:t>Data</w:t>
      </w:r>
      <w:r w:rsidR="0075001B" w:rsidRPr="00195091">
        <w:rPr>
          <w:rFonts w:cstheme="majorHAnsi"/>
        </w:rPr>
        <w:t xml:space="preserve"> </w:t>
      </w:r>
      <w:r w:rsidR="007B55E3">
        <w:rPr>
          <w:rFonts w:cstheme="majorHAnsi"/>
        </w:rPr>
        <w:t>1</w:t>
      </w:r>
      <w:r w:rsidR="00195091" w:rsidRPr="00195091">
        <w:rPr>
          <w:rFonts w:cstheme="majorHAnsi"/>
        </w:rPr>
        <w:t>:</w:t>
      </w:r>
      <w:r w:rsidR="0075001B" w:rsidRPr="00195091">
        <w:rPr>
          <w:rFonts w:cstheme="majorHAnsi"/>
        </w:rPr>
        <w:t xml:space="preserve"> Models</w:t>
      </w:r>
    </w:p>
    <w:p w14:paraId="384FEA69" w14:textId="2BFBA935" w:rsidR="0075001B" w:rsidRPr="00195091" w:rsidRDefault="0075001B" w:rsidP="0075001B">
      <w:pPr>
        <w:rPr>
          <w:rFonts w:cstheme="majorHAnsi"/>
        </w:rPr>
      </w:pPr>
      <w:r w:rsidRPr="00195091">
        <w:rPr>
          <w:rFonts w:cstheme="majorHAnsi"/>
        </w:rPr>
        <w:t xml:space="preserve">The analysis involves developing the capacity of a suite of quantitative models and using them to </w:t>
      </w:r>
      <w:r w:rsidR="003004B4" w:rsidRPr="00195091">
        <w:rPr>
          <w:rFonts w:cstheme="majorHAnsi"/>
        </w:rPr>
        <w:t>analyze</w:t>
      </w:r>
      <w:r w:rsidRPr="00195091">
        <w:rPr>
          <w:rFonts w:cstheme="majorHAnsi"/>
        </w:rPr>
        <w:t xml:space="preserve"> actual and potential global climate change policies, and to assess the adequacy of greenhouse gas emission development strategies. A key contribution is the development of model-based mitigation scenarios at the level of different countries and regions from global integrated assessment models, macro-economic models. Three models are used to </w:t>
      </w:r>
      <w:r w:rsidR="003004B4" w:rsidRPr="00195091">
        <w:rPr>
          <w:rFonts w:cstheme="majorHAnsi"/>
        </w:rPr>
        <w:t>analyze</w:t>
      </w:r>
      <w:r w:rsidRPr="00195091">
        <w:rPr>
          <w:rFonts w:cstheme="majorHAnsi"/>
        </w:rPr>
        <w:t xml:space="preserve"> economic, energy system and environmental implications of global change mitigation pathways. The models that can be used for this purpose include:</w:t>
      </w:r>
    </w:p>
    <w:p w14:paraId="6CE0A23F" w14:textId="77777777" w:rsidR="0075001B" w:rsidRPr="00195091" w:rsidRDefault="0075001B" w:rsidP="0075001B">
      <w:pPr>
        <w:rPr>
          <w:rFonts w:cstheme="majorHAnsi"/>
          <w:b/>
        </w:rPr>
      </w:pPr>
      <w:r w:rsidRPr="00195091">
        <w:rPr>
          <w:rFonts w:cstheme="majorHAnsi"/>
          <w:b/>
        </w:rPr>
        <w:t>IMAGE model</w:t>
      </w:r>
    </w:p>
    <w:p w14:paraId="00BD3E81" w14:textId="5DFFD91D" w:rsidR="0075001B" w:rsidRPr="00195091" w:rsidRDefault="0075001B" w:rsidP="0075001B">
      <w:pPr>
        <w:rPr>
          <w:rFonts w:cstheme="majorHAnsi"/>
        </w:rPr>
      </w:pPr>
      <w:r w:rsidRPr="00195091">
        <w:rPr>
          <w:rFonts w:cstheme="majorHAnsi"/>
        </w:rPr>
        <w:t xml:space="preserve">PBL’s </w:t>
      </w:r>
      <w:r w:rsidRPr="00195091">
        <w:rPr>
          <w:rFonts w:cstheme="majorHAnsi"/>
          <w:b/>
        </w:rPr>
        <w:t>IMAGE</w:t>
      </w:r>
      <w:r w:rsidRPr="00195091">
        <w:rPr>
          <w:rFonts w:cstheme="majorHAnsi"/>
        </w:rPr>
        <w:t xml:space="preserve"> modelling framework, which is an integrated assessment model framework that simulates the environmental consequences of human activities worldwide</w:t>
      </w:r>
      <w:r w:rsidR="004D5710">
        <w:rPr>
          <w:rFonts w:cstheme="majorHAnsi"/>
        </w:rPr>
        <w:fldChar w:fldCharType="begin" w:fldLock="1"/>
      </w:r>
      <w:r w:rsidR="004D5710">
        <w:rPr>
          <w:rFonts w:cstheme="majorHAnsi"/>
        </w:rPr>
        <w:instrText>ADDIN CSL_CITATION {"citationItems":[{"id":"ITEM-1","itemData":{"DOI":"978-94-91506-71-0","author":[{"dropping-particle":"","family":"Stehfest","given":"Elke","non-dropping-particle":"","parse-names":false,"suffix":""},{"dropping-particle":"","family":"Vuuren","given":"Detlef P.","non-dropping-particle":"van","parse-names":false,"suffix":""},{"dropping-particle":"","family":"Kram","given":"Tom","non-dropping-particle":"","parse-names":false,"suffix":""},{"dropping-particle":"","family":"Bouwman","given":"Lex","non-dropping-particle":"","parse-names":false,"suffix":""}],"id":"ITEM-1","issued":{"date-parts":[["2014"]]},"title":"Integrated Assessment of Global Environmental Change with IMAGE 3.0","type":"report"},"uris":["http://www.mendeley.com/documents/?uuid=ac412879-177b-3f0f-9c72-6984f85b5f1f"]},{"id":"ITEM-2","itemData":{"DOI":"10.1016/j.gloenvcha.2016.05.008","ISSN":"09593780","abstract":"This paper describes the possible developments in global energy use and production, land use, emissions and climate changes following the SSP1 storyline, a development consistent with the green growth (or sustainable development) paradigm (a more inclusive development respecting environmental boundaries). The results are based on the implementation using the IMAGE 3.0 integrated assessment model and are compared with a) other IMAGE implementations of the SSPs (SSP2 and SSP3) and b) the SSP1 implementation of other integrated assessment models. The results show that a combination of resource efficiency, preferences for sustainable production methods and investment in human development could lead to a strong transition towards a more renewable energy supply, less land use and lower anthropogenic greenhouse gas emissions in 2100 than in 2010, even in the absence of explicit climate policies. At the same time, climate policy would still be needed to reduce emissions further, in order to reduce the projected increase of global mean temperature from 3 °C (SSP1 reference scenario) to 2 or 1.5 °C (in line with current policy targets). The SSP1 storyline could be a basis for further discussions on how climate policy can be combined with achieving other societal goals.","author":[{"dropping-particle":"","family":"Vuuren","given":"Detlef P.","non-dropping-particle":"van","parse-names":false,"suffix":""},{"dropping-particle":"","family":"Stehfest","given":"Elke","non-dropping-particle":"","parse-names":false,"suffix":""},{"dropping-particle":"","family":"Gernaat","given":"David E.H.J.","non-dropping-particle":"","parse-names":false,"suffix":""},{"dropping-particle":"","family":"Doelman","given":"Jonathan C.","non-dropping-particle":"","parse-names":false,"suffix":""},{"dropping-particle":"","family":"Berg","given":"Maarten","non-dropping-particle":"van den","parse-names":false,"suffix":""},{"dropping-particle":"","family":"Harmsen","given":"Mathijs","non-dropping-particle":"","parse-names":false,"suffix":""},{"dropping-particle":"","family":"Boer","given":"Harmen Sytze","non-dropping-particle":"de","parse-names":false,"suffix":""},{"dropping-particle":"","family":"Bouwman","given":"Lex F.","non-dropping-particle":"","parse-names":false,"suffix":""},{"dropping-particle":"","family":"Daioglou","given":"Vassilis","non-dropping-particle":"","parse-names":false,"suffix":""},{"dropping-particle":"","family":"Edelenbosch","given":"Oreane Y.","non-dropping-particle":"","parse-names":false,"suffix":""},{"dropping-particle":"","family":"Girod","given":"Bastien","non-dropping-particle":"","parse-names":false,"suffix":""},{"dropping-particle":"","family":"Kram","given":"Tom","non-dropping-particle":"","parse-names":false,"suffix":""},{"dropping-particle":"","family":"Lassaletta","given":"Luis","non-dropping-particle":"","parse-names":false,"suffix":""},{"dropping-particle":"","family":"Lucas","given":"Paul L.","non-dropping-particle":"","parse-names":false,"suffix":""},{"dropping-particle":"","family":"Meijl","given":"Hans","non-dropping-particle":"van","parse-names":false,"suffix":""},{"dropping-particle":"","family":"Müller","given":"Christoph","non-dropping-particle":"","parse-names":false,"suffix":""},{"dropping-particle":"","family":"Ruijven","given":"Bas J.","non-dropping-particle":"van","parse-names":false,"suffix":""},{"dropping-particle":"","family":"Sluis","given":"Sietske","non-dropping-particle":"van der","parse-names":false,"suffix":""},{"dropping-particle":"","family":"Tabeau","given":"Andrzej","non-dropping-particle":"","parse-names":false,"suffix":""}],"container-title":"Global Environmental Change","id":"ITEM-2","issued":{"date-parts":[["2017","1","1"]]},"page":"237-250","publisher":"Elsevier Ltd","title":"Energy, land-use and greenhouse gas emissions trajectories under a green growth paradigm","type":"article-journal","volume":"42"},"uris":["http://www.mendeley.com/documents/?uuid=60961e71-72b9-313a-b71e-3be886567e36"]},{"id":"ITEM-3","itemData":{"DOI":"10.1038/s41558-018-0119-8","ISSN":"17586798","abstract":"Mitigation scenarios that achieve the ambitious targets included in the Paris Agreement typically rely on greenhouse gas emission reductions combined with net carbon dioxide removal (CDR) from the atmosphere, mostly accomplished through large-scale application of bioenergy with carbon capture and storage, and afforestation. However, CDR strategies face several difficulties such as reliance on underground CO2 storage and competition for land with food production and biodiversity protection. The question arises whether alternative deep mitigation pathways exist. Here, using an integrated assessment model, we explore the impact of alternative pathways that include lifestyle change, additional reduction of non-CO2 greenhouse gases and more rapid electrification of energy demand based on renewable energy. Although these alternatives also face specific difficulties, they are found to significantly reduce the need for CDR, but not fully eliminate it. The alternatives offer a means to diversify transition pathways to meet the Paris Agreement targets, while simultaneously benefiting other sustainability goals.","author":[{"dropping-particle":"","family":"Vuuren","given":"Detlef P.","non-dropping-particle":"Van","parse-names":false,"suffix":""},{"dropping-particle":"","family":"Stehfest","given":"Elke","non-dropping-particle":"","parse-names":false,"suffix":""},{"dropping-particle":"","family":"Gernaat","given":"David E.H.J.","non-dropping-particle":"","parse-names":false,"suffix":""},{"dropping-particle":"","family":"Berg","given":"Maarten","non-dropping-particle":"Van Den","parse-names":false,"suffix":""},{"dropping-particle":"","family":"Bijl","given":"David L.","non-dropping-particle":"","parse-names":false,"suffix":""},{"dropping-particle":"","family":"Boer","given":"Harmen Sytze","non-dropping-particle":"De","parse-names":false,"suffix":""},{"dropping-particle":"","family":"Daioglou","given":"Vassilis","non-dropping-particle":"","parse-names":false,"suffix":""},{"dropping-particle":"","family":"Doelman","given":"Jonathan C.","non-dropping-particle":"","parse-names":false,"suffix":""},{"dropping-particle":"","family":"Edelenbosch","given":"Oreane Y.","non-dropping-particle":"","parse-names":false,"suffix":""},{"dropping-particle":"","family":"Harmsen","given":"Mathijs","non-dropping-particle":"","parse-names":false,"suffix":""},{"dropping-particle":"","family":"Hof","given":"Andries F.","non-dropping-particle":"","parse-names":false,"suffix":""},{"dropping-particle":"","family":"Sluisveld","given":"Mariësse A.E.","non-dropping-particle":"Van","parse-names":false,"suffix":""}],"container-title":"Nature Climate Change","id":"ITEM-3","issue":"5","issued":{"date-parts":[["2018","5","1"]]},"page":"391-397","publisher":"Nature Publishing Group","title":"Alternative pathways to the 1.5 °c target reduce the need for negative emission technologies","type":"article-journal","volume":"8"},"uris":["http://www.mendeley.com/documents/?uuid=ca6311e7-10eb-37fa-a2fb-93db212aab8f"]}],"mendeley":{"formattedCitation":"&lt;sup&gt;1–3&lt;/sup&gt;","plainTextFormattedCitation":"1–3","previouslyFormattedCitation":"&lt;sup&gt;1–3&lt;/sup&gt;"},"properties":{"noteIndex":0},"schema":"https://github.com/citation-style-language/schema/raw/master/csl-citation.json"}</w:instrText>
      </w:r>
      <w:r w:rsidR="004D5710">
        <w:rPr>
          <w:rFonts w:cstheme="majorHAnsi"/>
        </w:rPr>
        <w:fldChar w:fldCharType="separate"/>
      </w:r>
      <w:r w:rsidR="004D5710" w:rsidRPr="004D5710">
        <w:rPr>
          <w:rFonts w:cstheme="majorHAnsi"/>
          <w:noProof/>
          <w:vertAlign w:val="superscript"/>
        </w:rPr>
        <w:t>1–3</w:t>
      </w:r>
      <w:r w:rsidR="004D5710">
        <w:rPr>
          <w:rFonts w:cstheme="majorHAnsi"/>
        </w:rPr>
        <w:fldChar w:fldCharType="end"/>
      </w:r>
      <w:r w:rsidRPr="00195091">
        <w:rPr>
          <w:rFonts w:cstheme="majorHAnsi"/>
        </w:rPr>
        <w:t>. The IMAGE scenarios analyzed here are all based on the IMAGE implementation of the SSP2 scenario (no policy baseline)</w:t>
      </w:r>
      <w:r w:rsidR="004D5710">
        <w:rPr>
          <w:rFonts w:cstheme="majorHAnsi"/>
        </w:rPr>
        <w:fldChar w:fldCharType="begin" w:fldLock="1"/>
      </w:r>
      <w:r w:rsidR="004D5710">
        <w:rPr>
          <w:rFonts w:cstheme="majorHAnsi"/>
        </w:rPr>
        <w:instrText>ADDIN CSL_CITATION {"citationItems":[{"id":"ITEM-1","itemData":{"DOI":"10.1016/j.gloenvcha.2016.05.008","ISSN":"09593780","abstract":"This paper describes the possible developments in global energy use and production, land use, emissions and climate changes following the SSP1 storyline, a development consistent with the green growth (or sustainable development) paradigm (a more inclusive development respecting environmental boundaries). The results are based on the implementation using the IMAGE 3.0 integrated assessment model and are compared with a) other IMAGE implementations of the SSPs (SSP2 and SSP3) and b) the SSP1 implementation of other integrated assessment models. The results show that a combination of resource efficiency, preferences for sustainable production methods and investment in human development could lead to a strong transition towards a more renewable energy supply, less land use and lower anthropogenic greenhouse gas emissions in 2100 than in 2010, even in the absence of explicit climate policies. At the same time, climate policy would still be needed to reduce emissions further, in order to reduce the projected increase of global mean temperature from 3 °C (SSP1 reference scenario) to 2 or 1.5 °C (in line with current policy targets). The SSP1 storyline could be a basis for further discussions on how climate policy can be combined with achieving other societal goals.","author":[{"dropping-particle":"","family":"Vuuren","given":"Detlef P.","non-dropping-particle":"van","parse-names":false,"suffix":""},{"dropping-particle":"","family":"Stehfest","given":"Elke","non-dropping-particle":"","parse-names":false,"suffix":""},{"dropping-particle":"","family":"Gernaat","given":"David E.H.J.","non-dropping-particle":"","parse-names":false,"suffix":""},{"dropping-particle":"","family":"Doelman","given":"Jonathan C.","non-dropping-particle":"","parse-names":false,"suffix":""},{"dropping-particle":"","family":"Berg","given":"Maarten","non-dropping-particle":"van den","parse-names":false,"suffix":""},{"dropping-particle":"","family":"Harmsen","given":"Mathijs","non-dropping-particle":"","parse-names":false,"suffix":""},{"dropping-particle":"","family":"Boer","given":"Harmen Sytze","non-dropping-particle":"de","parse-names":false,"suffix":""},{"dropping-particle":"","family":"Bouwman","given":"Lex F.","non-dropping-particle":"","parse-names":false,"suffix":""},{"dropping-particle":"","family":"Daioglou","given":"Vassilis","non-dropping-particle":"","parse-names":false,"suffix":""},{"dropping-particle":"","family":"Edelenbosch","given":"Oreane Y.","non-dropping-particle":"","parse-names":false,"suffix":""},{"dropping-particle":"","family":"Girod","given":"Bastien","non-dropping-particle":"","parse-names":false,"suffix":""},{"dropping-particle":"","family":"Kram","given":"Tom","non-dropping-particle":"","parse-names":false,"suffix":""},{"dropping-particle":"","family":"Lassaletta","given":"Luis","non-dropping-particle":"","parse-names":false,"suffix":""},{"dropping-particle":"","family":"Lucas","given":"Paul L.","non-dropping-particle":"","parse-names":false,"suffix":""},{"dropping-particle":"","family":"Meijl","given":"Hans","non-dropping-particle":"van","parse-names":false,"suffix":""},{"dropping-particle":"","family":"Müller","given":"Christoph","non-dropping-particle":"","parse-names":false,"suffix":""},{"dropping-particle":"","family":"Ruijven","given":"Bas J.","non-dropping-particle":"van","parse-names":false,"suffix":""},{"dropping-particle":"","family":"Sluis","given":"Sietske","non-dropping-particle":"van der","parse-names":false,"suffix":""},{"dropping-particle":"","family":"Tabeau","given":"Andrzej","non-dropping-particle":"","parse-names":false,"suffix":""}],"container-title":"Global Environmental Change","id":"ITEM-1","issued":{"date-parts":[["2017","1","1"]]},"page":"237-250","publisher":"Elsevier Ltd","title":"Energy, land-use and greenhouse gas emissions trajectories under a green growth paradigm","type":"article-journal","volume":"42"},"uris":["http://www.mendeley.com/documents/?uuid=60961e71-72b9-313a-b71e-3be886567e36"]}],"mendeley":{"formattedCitation":"&lt;sup&gt;2&lt;/sup&gt;","plainTextFormattedCitation":"2","previouslyFormattedCitation":"&lt;sup&gt;2&lt;/sup&gt;"},"properties":{"noteIndex":0},"schema":"https://github.com/citation-style-language/schema/raw/master/csl-citation.json"}</w:instrText>
      </w:r>
      <w:r w:rsidR="004D5710">
        <w:rPr>
          <w:rFonts w:cstheme="majorHAnsi"/>
        </w:rPr>
        <w:fldChar w:fldCharType="separate"/>
      </w:r>
      <w:r w:rsidR="004D5710" w:rsidRPr="004D5710">
        <w:rPr>
          <w:rFonts w:cstheme="majorHAnsi"/>
          <w:noProof/>
          <w:vertAlign w:val="superscript"/>
        </w:rPr>
        <w:t>2</w:t>
      </w:r>
      <w:r w:rsidR="004D5710">
        <w:rPr>
          <w:rFonts w:cstheme="majorHAnsi"/>
        </w:rPr>
        <w:fldChar w:fldCharType="end"/>
      </w:r>
      <w:r w:rsidRPr="00195091">
        <w:rPr>
          <w:rFonts w:cstheme="majorHAnsi"/>
        </w:rPr>
        <w:t xml:space="preserve">, which is the IMAGE baseline scenario in the analysis. The SSP2 scenario describes a middle-of-the-road scenario in terms of economic and population growth and other long-term trends such as technology development. The main drivers of this scenario for the energy and industry sectors are population, gross domestic product (GDP), lifestyle and technology change. The IMAGE current policies scenario was derived from the original SSP2 baseline by introducing explicit policy </w:t>
      </w:r>
      <w:r w:rsidR="004D5710" w:rsidRPr="00195091">
        <w:rPr>
          <w:rFonts w:cstheme="majorHAnsi"/>
        </w:rPr>
        <w:t>measures and</w:t>
      </w:r>
      <w:r w:rsidRPr="00195091">
        <w:rPr>
          <w:rFonts w:cstheme="majorHAnsi"/>
        </w:rPr>
        <w:t xml:space="preserve"> is reported in detail in Roelfsema et al.</w:t>
      </w:r>
      <w:r w:rsidR="004D5710">
        <w:rPr>
          <w:rFonts w:cstheme="majorHAnsi"/>
        </w:rPr>
        <w:fldChar w:fldCharType="begin" w:fldLock="1"/>
      </w:r>
      <w:r w:rsidR="00DE35B5">
        <w:rPr>
          <w:rFonts w:cstheme="majorHAnsi"/>
        </w:rPr>
        <w:instrText>ADDIN CSL_CITATION {"citationItems":[{"id":"ITEM-1","itemData":{"DOI":"10.1038/s41467-020-15414-6","ISSN":"20411723","PMID":"32350258","abstract":"Many countries have implemented national climate policies to accomplish pledged Nationally Determined Contributions and to contribute to the temperature objectives of the Paris Agreement on climate change. In 2023, the global stocktake will assess the combined effort of countries. Here, based on a public policy database and a multi-model scenario analysis, we show that implementation of current policies leaves a median emission gap of 22.4 to 28.2 GtCO2eq by 2030 with the optimal pathways to implement the well below 2 °C and 1.5 °C Paris goals. If Nationally Determined Contributions would be fully implemented, this gap would be reduced by a third. Interestingly, the countries evaluated were found to not achieve their pledged contributions with implemented policies (implementation gap), or to have an ambition gap with optimal pathways towards well below 2 °C. This shows that all countries would need to accelerate the implementation of policies for renewable technologies, while efficiency improvements are especially important in emerging countries and fossil-fuel-dependent countries.","author":[{"dropping-particle":"","family":"Roelfsema","given":"Mark","non-dropping-particle":"","parse-names":false,"suffix":""},{"dropping-particle":"","family":"Soest","given":"Heleen L.","non-dropping-particle":"van","parse-names":false,"suffix":""},{"dropping-particle":"","family":"Harmsen","given":"Mathijs","non-dropping-particle":"","parse-names":false,"suffix":""},{"dropping-particle":"","family":"Vuuren","given":"Detlef P.","non-dropping-particle":"van","parse-names":false,"suffix":""},{"dropping-particle":"","family":"Bertram","given":"Christoph","non-dropping-particle":"","parse-names":false,"suffix":""},{"dropping-particle":"","family":"Elzen","given":"Michel","non-dropping-particle":"den","parse-names":false,"suffix":""},{"dropping-particle":"","family":"Höhne","given":"Niklas","non-dropping-particle":"","parse-names":false,"suffix":""},{"dropping-particle":"","family":"Iacobuta","given":"Gabriela","non-dropping-particle":"","parse-names":false,"suffix":""},{"dropping-particle":"","family":"Krey","given":"Volker","non-dropping-particle":"","parse-names":false,"suffix":""},{"dropping-particle":"","family":"Kriegler","given":"Elmar","non-dropping-particle":"","parse-names":false,"suffix":""},{"dropping-particle":"","family":"Luderer","given":"Gunnar","non-dropping-particle":"","parse-names":false,"suffix":""},{"dropping-particle":"","family":"Riahi","given":"Keywan","non-dropping-particle":"","parse-names":false,"suffix":""},{"dropping-particle":"","family":"Ueckerdt","given":"Falko","non-dropping-particle":"","parse-names":false,"suffix":""},{"dropping-particle":"","family":"Després","given":"Jacques","non-dropping-particle":"","parse-names":false,"suffix":""},{"dropping-particle":"","family":"Drouet","given":"Laurent","non-dropping-particle":"","parse-names":false,"suffix":""},{"dropping-particle":"","family":"Emmerling","given":"Johannes","non-dropping-particle":"","parse-names":false,"suffix":""},{"dropping-particle":"","family":"Frank","given":"Stefan","non-dropping-particle":"","parse-names":false,"suffix":""},{"dropping-particle":"","family":"Fricko","given":"Oliver","non-dropping-particle":"","parse-names":false,"suffix":""},{"dropping-particle":"","family":"Gidden","given":"Matthew","non-dropping-particle":"","parse-names":false,"suffix":""},{"dropping-particle":"","family":"Humpenöder","given":"Florian","non-dropping-particle":"","parse-names":false,"suffix":""},{"dropping-particle":"","family":"Huppmann","given":"Daniel","non-dropping-particle":"","parse-names":false,"suffix":""},{"dropping-particle":"","family":"Fujimori","given":"Shinichiro","non-dropping-particle":"","parse-names":false,"suffix":""},{"dropping-particle":"","family":"Fragkiadakis","given":"Kostas","non-dropping-particle":"","parse-names":false,"suffix":""},{"dropping-particle":"","family":"Gi","given":"Keii","non-dropping-particle":"","parse-names":false,"suffix":""},{"dropping-particle":"","family":"Keramidas","given":"Kimon","non-dropping-particle":"","parse-names":false,"suffix":""},{"dropping-particle":"","family":"Köberle","given":"Alexandre C.","non-dropping-particle":"","parse-names":false,"suffix":""},{"dropping-particle":"","family":"Aleluia Reis","given":"Lara","non-dropping-particle":"","parse-names":false,"suffix":""},{"dropping-particle":"","family":"Rochedo","given":"Pedro","non-dropping-particle":"","parse-names":false,"suffix":""},{"dropping-particle":"","family":"Schaeffer","given":"Roberto","non-dropping-particle":"","parse-names":false,"suffix":""},{"dropping-particle":"","family":"Oshiro","given":"Ken","non-dropping-particle":"","parse-names":false,"suffix":""},{"dropping-particle":"","family":"Vrontisi","given":"Zoi","non-dropping-particle":"","parse-names":false,"suffix":""},{"dropping-particle":"","family":"Chen","given":"Wenying","non-dropping-particle":"","parse-names":false,"suffix":""},{"dropping-particle":"","family":"Iyer","given":"Gokul C.","non-dropping-particle":"","parse-names":false,"suffix":""},{"dropping-particle":"","family":"Edmonds","given":"Jae","non-dropping-particle":"","parse-names":false,"suffix":""},{"dropping-particle":"","family":"Kannavou","given":"Maria","non-dropping-particle":"","parse-names":false,"suffix":""},{"dropping-particle":"","family":"Jiang","given":"Kejun","non-dropping-particle":"","parse-names":false,"suffix":""},{"dropping-particle":"","family":"Mathur","given":"Ritu","non-dropping-particle":"","parse-names":false,"suffix":""},{"dropping-particle":"","family":"Safonov","given":"George","non-dropping-particle":"","parse-names":false,"suffix":""},{"dropping-particle":"","family":"Vishwanathan","given":"Saritha Sudharmma","non-dropping-particle":"","parse-names":false,"suffix":""}],"container-title":"Nature Communications","id":"ITEM-1","issue":"1","issued":{"date-parts":[["2020","12","1"]]},"page":"1-12","publisher":"Nature Research","title":"Taking stock of national climate policies to evaluate implementation of the Paris Agreement","type":"article-journal","volume":"11"},"uris":["http://www.mendeley.com/documents/?uuid=4ee72164-e708-326b-8a27-903fb9f54038"]}],"mendeley":{"formattedCitation":"&lt;sup&gt;4&lt;/sup&gt;","plainTextFormattedCitation":"4","previouslyFormattedCitation":"&lt;sup&gt;4&lt;/sup&gt;"},"properties":{"noteIndex":0},"schema":"https://github.com/citation-style-language/schema/raw/master/csl-citation.json"}</w:instrText>
      </w:r>
      <w:r w:rsidR="004D5710">
        <w:rPr>
          <w:rFonts w:cstheme="majorHAnsi"/>
        </w:rPr>
        <w:fldChar w:fldCharType="separate"/>
      </w:r>
      <w:r w:rsidR="004D5710" w:rsidRPr="004D5710">
        <w:rPr>
          <w:rFonts w:cstheme="majorHAnsi"/>
          <w:noProof/>
          <w:vertAlign w:val="superscript"/>
        </w:rPr>
        <w:t>4</w:t>
      </w:r>
      <w:r w:rsidR="004D5710">
        <w:rPr>
          <w:rFonts w:cstheme="majorHAnsi"/>
        </w:rPr>
        <w:fldChar w:fldCharType="end"/>
      </w:r>
      <w:r w:rsidRPr="00195091">
        <w:rPr>
          <w:rFonts w:cstheme="majorHAnsi"/>
        </w:rPr>
        <w:t xml:space="preserve">. This scenario assumes that current policies are implemented up until 2030. For the period 2030-2100 the scenario assumes no new policies. Policies may have a long-term effect through the induced technology learning effects (e.g. by additionally installed renewable energy technologies compared to the SSP2 baseline). Mitigation efforts in the land use sector assume an implementation of a low carbon tax in the sector, to enhance REDD and to increase reforestation of half of the degraded forest, as described in more detail in </w:t>
      </w:r>
      <w:r w:rsidRPr="00540684">
        <w:rPr>
          <w:rFonts w:cstheme="majorHAnsi"/>
        </w:rPr>
        <w:t>Doelman et al.</w:t>
      </w:r>
      <w:r w:rsidR="00DE35B5">
        <w:rPr>
          <w:rFonts w:cstheme="majorHAnsi"/>
        </w:rPr>
        <w:fldChar w:fldCharType="begin" w:fldLock="1"/>
      </w:r>
      <w:r w:rsidR="00DE35B5">
        <w:rPr>
          <w:rFonts w:cstheme="majorHAnsi"/>
        </w:rPr>
        <w:instrText>ADDIN CSL_CITATION {"citationItems":[{"id":"ITEM-1","itemData":{"DOI":"10.1016/j.gloenvcha.2017.11.014","ISSN":"09593780","abstract":"Projected increases in population, income and consumption rates are expected to lead to rising pressure on the land system. Ambitions to limit global warming to 2 °C or even 1.5 °C could also lead to additional pressures from land-based mitigation measures such as bioenergy production and afforestation. To investigate these dynamics, this paper describes five elaborations of the Shared Socio-economic Pathways (SSP) using the IMAGE 3.0 integrated assessment model framework to produce regional and gridded scenarios up to the year 2100. Additionally, land-based climate change mitigation is modelled aiming for long-term mitigation targets including 1.5 °C. Results show diverging global trends in agricultural land in the baseline scenarios ranging from an expansion of nearly 826 Mha in SSP3 to a decrease of more than 305 Mha in SSP1 for the period 2010–2050. Key drivers are population growth, changes in food consumption, and agricultural efficiency. The largest changes take place in Sub-Saharan Africa in SSP3 and SSP4, predominantly due to high population growth. With low increases in agricultural efficiency this leads to expansion of agricultural land and reduced food security. Land use also plays a crucial role in ambitious mitigation scenarios. First, agricultural emissions could form a substantial component of emissions that cannot be fully mitigated. Second, bioenergy and reforestation are crucial to create net negative emissions reducing emissions in SSP2 in 2050 by 8.7 Gt CO2/yr and 1.9 Gt CO2/yr, respectively (1.5 °C scenario compared to baseline). This is achieved by expansion of bioenergy area (516 Mha in 2050) and reforestation. Expansion of agriculture for food production is reduced due to REDD policy (290 Mha in 2050) affecting food security especially in Sub-Saharan Africa indicating an important trade-off of land-based mitigation. This set of SSP land-use scenarios provides a comprehensive quantification of interacting trends in the land system, both socio-economic and biophysical. By providing high resolution data, the scenario output can improve interactions between climate research and impact studies.","author":[{"dropping-particle":"","family":"Doelman","given":"Jonathan C.","non-dropping-particle":"","parse-names":false,"suffix":""},{"dropping-particle":"","family":"Stehfest","given":"Elke","non-dropping-particle":"","parse-names":false,"suffix":""},{"dropping-particle":"","family":"Tabeau","given":"Andrzej","non-dropping-particle":"","parse-names":false,"suffix":""},{"dropping-particle":"","family":"Meijl","given":"Hans","non-dropping-particle":"van","parse-names":false,"suffix":""},{"dropping-particle":"","family":"Lassaletta","given":"Luis","non-dropping-particle":"","parse-names":false,"suffix":""},{"dropping-particle":"","family":"Gernaat","given":"David E.H.J.","non-dropping-particle":"","parse-names":false,"suffix":""},{"dropping-particle":"","family":"Neumann-Hermans","given":"Kathleen","non-dropping-particle":"","parse-names":false,"suffix":""},{"dropping-particle":"","family":"Harmsen","given":"Mathijs","non-dropping-particle":"","parse-names":false,"suffix":""},{"dropping-particle":"","family":"Daioglou","given":"Vassilis","non-dropping-particle":"","parse-names":false,"suffix":""},{"dropping-particle":"","family":"Biemans","given":"Hester","non-dropping-particle":"","parse-names":false,"suffix":""},{"dropping-particle":"","family":"Sluis","given":"Sietske","non-dropping-particle":"van der","parse-names":false,"suffix":""},{"dropping-particle":"","family":"Vuuren","given":"Detlef P.","non-dropping-particle":"van","parse-names":false,"suffix":""}],"container-title":"Global Environmental Change","id":"ITEM-1","issued":{"date-parts":[["2018","1","1"]]},"page":"119-135","publisher":"Elsevier Ltd","title":"Exploring SSP land-use dynamics using the IMAGE model: Regional and gridded scenarios of land-use change and land-based climate change mitigation","type":"article-journal","volume":"48"},"uris":["http://www.mendeley.com/documents/?uuid=d5e9f476-b2fc-3292-bc01-c41eb2ba1177"]}],"mendeley":{"formattedCitation":"&lt;sup&gt;5&lt;/sup&gt;","plainTextFormattedCitation":"5","previouslyFormattedCitation":"&lt;sup&gt;5&lt;/sup&gt;"},"properties":{"noteIndex":0},"schema":"https://github.com/citation-style-language/schema/raw/master/csl-citation.json"}</w:instrText>
      </w:r>
      <w:r w:rsidR="00DE35B5">
        <w:rPr>
          <w:rFonts w:cstheme="majorHAnsi"/>
        </w:rPr>
        <w:fldChar w:fldCharType="separate"/>
      </w:r>
      <w:r w:rsidR="00DE35B5" w:rsidRPr="00DE35B5">
        <w:rPr>
          <w:rFonts w:cstheme="majorHAnsi"/>
          <w:noProof/>
          <w:vertAlign w:val="superscript"/>
        </w:rPr>
        <w:t>5</w:t>
      </w:r>
      <w:r w:rsidR="00DE35B5">
        <w:rPr>
          <w:rFonts w:cstheme="majorHAnsi"/>
        </w:rPr>
        <w:fldChar w:fldCharType="end"/>
      </w:r>
      <w:r w:rsidRPr="00195091">
        <w:rPr>
          <w:rFonts w:cstheme="majorHAnsi"/>
        </w:rPr>
        <w:t>.</w:t>
      </w:r>
    </w:p>
    <w:p w14:paraId="771398D3" w14:textId="77777777" w:rsidR="0075001B" w:rsidRPr="00195091" w:rsidRDefault="0075001B" w:rsidP="0075001B">
      <w:pPr>
        <w:rPr>
          <w:rFonts w:cstheme="majorHAnsi"/>
        </w:rPr>
      </w:pPr>
      <w:r w:rsidRPr="00195091">
        <w:rPr>
          <w:rFonts w:cstheme="majorHAnsi"/>
        </w:rPr>
        <w:t>In terms of mitigation in the energy system, TIMER covers a wide range of mitigation options, including nuclear power, renewable energy (different solar and wind technologies, hydropower), bio-energy (first and second generation), nuclear power and CCS technology.</w:t>
      </w:r>
    </w:p>
    <w:p w14:paraId="45DADF2C" w14:textId="3EB0BA4B" w:rsidR="0075001B" w:rsidRPr="00195091" w:rsidRDefault="0075001B" w:rsidP="0075001B">
      <w:pPr>
        <w:widowControl w:val="0"/>
        <w:autoSpaceDE w:val="0"/>
        <w:autoSpaceDN w:val="0"/>
        <w:adjustRightInd w:val="0"/>
        <w:rPr>
          <w:rFonts w:cstheme="majorHAnsi"/>
        </w:rPr>
      </w:pPr>
      <w:r w:rsidRPr="00195091">
        <w:rPr>
          <w:rFonts w:cstheme="majorHAnsi"/>
        </w:rPr>
        <w:t>The model further represents all sectors and greenhouse gases, with a relatively detailed representation of mitigation policies beyond carbon taxes (existing and potential new policies)</w:t>
      </w:r>
      <w:r w:rsidR="00DE35B5">
        <w:rPr>
          <w:rFonts w:cstheme="majorHAnsi"/>
        </w:rPr>
        <w:fldChar w:fldCharType="begin" w:fldLock="1"/>
      </w:r>
      <w:r w:rsidR="00DE35B5">
        <w:rPr>
          <w:rFonts w:cstheme="majorHAnsi"/>
        </w:rPr>
        <w:instrText>ADDIN CSL_CITATION {"citationItems":[{"id":"ITEM-1","itemData":{"DOI":"10.1080/14693062.2018.1481356","ISSN":"17527457","abstract":"This article shows the potential impact on global GHG emissions in 2030, if all countries were to implement sectoral climate policies similar to successful examples already implemented elsewhere. This assessment was represented in the IMAGE and GLOBIOM/G4M models by replicating the impact of successful national policies at the sector level in all world regions. The first step was to select successful policies in nine policy areas. In the second step, the impact on the energy and land-use systems or GHG emissions was identified and translated into model parameters, assuming that it would be possible to translate the impacts of the policies to other countries. As a result, projected annual GHG emission levels would be about 50 GtCO2e by 2030 (2% above 2010 levels), compared to the 60 GtCO2e in the ‘current policies’ scenario. Most reductions are achieved in the electricity sector through expanding renewable energy, followed by the reduction of fluorinated gases, reducing venting and flaring in oil and gas production, and improving industry efficiency. Materializing the calculated mitigation potential might not be as straightforward given different country priorities, policy preferences and circumstances. Key policy insights Considerable emissions reductions globally would be possible, if a selection of successful policies were replicated and implemented in all countries worldwide. This would significantly reduce, but not close, the emissions gap with a 2°C pathway. From the selection of successful policies evaluated in this study, those implemented in the sector ‘electricity supply’ have the highest impact on global emissions compared to the ‘current policies’ scenario. Replicating the impact of these policies worldwide could lead to emission and energy trends in the renewable electricity, passenger transport, industry (including fluorinated gases) and buildings sector, that are close to those in a 2°C scenario. Using successful policies and translating these to policy impact per sector is a more reality-based alternative to most mitigation pathways, which need to make theoretical assumptions on policy cost-effectiveness.","author":[{"dropping-particle":"","family":"Roelfsema","given":"Mark","non-dropping-particle":"","parse-names":false,"suffix":""},{"dropping-particle":"","family":"Fekete","given":"Hanna","non-dropping-particle":"","parse-names":false,"suffix":""},{"dropping-particle":"","family":"Höhne","given":"Niklas","non-dropping-particle":"","parse-names":false,"suffix":""},{"dropping-particle":"","family":"Elzen","given":"Michel","non-dropping-particle":"den","parse-names":false,"suffix":""},{"dropping-particle":"","family":"Forsell","given":"Nicklas","non-dropping-particle":"","parse-names":false,"suffix":""},{"dropping-particle":"","family":"Kuramochi","given":"Takeshi","non-dropping-particle":"","parse-names":false,"suffix":""},{"dropping-particle":"","family":"Coninck","given":"Heleen","non-dropping-particle":"de","parse-names":false,"suffix":""},{"dropping-particle":"","family":"Vuuren","given":"Detlef P.","non-dropping-particle":"van","parse-names":false,"suffix":""}],"container-title":"Climate Policy","id":"ITEM-1","issue":"9","issued":{"date-parts":[["2018","10","21"]]},"page":"1103-1113","publisher":"Taylor and Francis Ltd.","title":"Reducing global GHG emissions by replicating successful sector examples: the ‘good practice policies’ scenario","type":"article-journal","volume":"18"},"uris":["http://www.mendeley.com/documents/?uuid=6b04c408-2803-381d-856c-daa867804dc4"]},{"id":"ITEM-2","itemData":{"DOI":"10.1038/s41467-020-15414-6","ISSN":"20411723","PMID":"32350258","abstract":"Many countries have implemented national climate policies to accomplish pledged Nationally Determined Contributions and to contribute to the temperature objectives of the Paris Agreement on climate change. In 2023, the global stocktake will assess the combined effort of countries. Here, based on a public policy database and a multi-model scenario analysis, we show that implementation of current policies leaves a median emission gap of 22.4 to 28.2 GtCO2eq by 2030 with the optimal pathways to implement the well below 2 °C and 1.5 °C Paris goals. If Nationally Determined Contributions would be fully implemented, this gap would be reduced by a third. Interestingly, the countries evaluated were found to not achieve their pledged contributions with implemented policies (implementation gap), or to have an ambition gap with optimal pathways towards well below 2 °C. This shows that all countries would need to accelerate the implementation of policies for renewable technologies, while efficiency improvements are especially important in emerging countries and fossil-fuel-dependent countries.","author":[{"dropping-particle":"","family":"Roelfsema","given":"Mark","non-dropping-particle":"","parse-names":false,"suffix":""},{"dropping-particle":"","family":"Soest","given":"Heleen L.","non-dropping-particle":"van","parse-names":false,"suffix":""},{"dropping-particle":"","family":"Harmsen","given":"Mathijs","non-dropping-particle":"","parse-names":false,"suffix":""},{"dropping-particle":"","family":"Vuuren","given":"Detlef P.","non-dropping-particle":"van","parse-names":false,"suffix":""},{"dropping-particle":"","family":"Bertram","given":"Christoph","non-dropping-particle":"","parse-names":false,"suffix":""},{"dropping-particle":"","family":"Elzen","given":"Michel","non-dropping-particle":"den","parse-names":false,"suffix":""},{"dropping-particle":"","family":"Höhne","given":"Niklas","non-dropping-particle":"","parse-names":false,"suffix":""},{"dropping-particle":"","family":"Iacobuta","given":"Gabriela","non-dropping-particle":"","parse-names":false,"suffix":""},{"dropping-particle":"","family":"Krey","given":"Volker","non-dropping-particle":"","parse-names":false,"suffix":""},{"dropping-particle":"","family":"Kriegler","given":"Elmar","non-dropping-particle":"","parse-names":false,"suffix":""},{"dropping-particle":"","family":"Luderer","given":"Gunnar","non-dropping-particle":"","parse-names":false,"suffix":""},{"dropping-particle":"","family":"Riahi","given":"Keywan","non-dropping-particle":"","parse-names":false,"suffix":""},{"dropping-particle":"","family":"Ueckerdt","given":"Falko","non-dropping-particle":"","parse-names":false,"suffix":""},{"dropping-particle":"","family":"Després","given":"Jacques","non-dropping-particle":"","parse-names":false,"suffix":""},{"dropping-particle":"","family":"Drouet","given":"Laurent","non-dropping-particle":"","parse-names":false,"suffix":""},{"dropping-particle":"","family":"Emmerling","given":"Johannes","non-dropping-particle":"","parse-names":false,"suffix":""},{"dropping-particle":"","family":"Frank","given":"Stefan","non-dropping-particle":"","parse-names":false,"suffix":""},{"dropping-particle":"","family":"Fricko","given":"Oliver","non-dropping-particle":"","parse-names":false,"suffix":""},{"dropping-particle":"","family":"Gidden","given":"Matthew","non-dropping-particle":"","parse-names":false,"suffix":""},{"dropping-particle":"","family":"Humpenöder","given":"Florian","non-dropping-particle":"","parse-names":false,"suffix":""},{"dropping-particle":"","family":"Huppmann","given":"Daniel","non-dropping-particle":"","parse-names":false,"suffix":""},{"dropping-particle":"","family":"Fujimori","given":"Shinichiro","non-dropping-particle":"","parse-names":false,"suffix":""},{"dropping-particle":"","family":"Fragkiadakis","given":"Kostas","non-dropping-particle":"","parse-names":false,"suffix":""},{"dropping-particle":"","family":"Gi","given":"Keii","non-dropping-particle":"","parse-names":false,"suffix":""},{"dropping-particle":"","family":"Keramidas","given":"Kimon","non-dropping-particle":"","parse-names":false,"suffix":""},{"dropping-particle":"","family":"Köberle","given":"Alexandre C.","non-dropping-particle":"","parse-names":false,"suffix":""},{"dropping-particle":"","family":"Aleluia Reis","given":"Lara","non-dropping-particle":"","parse-names":false,"suffix":""},{"dropping-particle":"","family":"Rochedo","given":"Pedro","non-dropping-particle":"","parse-names":false,"suffix":""},{"dropping-particle":"","family":"Schaeffer","given":"Roberto","non-dropping-particle":"","parse-names":false,"suffix":""},{"dropping-particle":"","family":"Oshiro","given":"Ken","non-dropping-particle":"","parse-names":false,"suffix":""},{"dropping-particle":"","family":"Vrontisi","given":"Zoi","non-dropping-particle":"","parse-names":false,"suffix":""},{"dropping-particle":"","family":"Chen","given":"Wenying","non-dropping-particle":"","parse-names":false,"suffix":""},{"dropping-particle":"","family":"Iyer","given":"Gokul C.","non-dropping-particle":"","parse-names":false,"suffix":""},{"dropping-particle":"","family":"Edmonds","given":"Jae","non-dropping-particle":"","parse-names":false,"suffix":""},{"dropping-particle":"","family":"Kannavou","given":"Maria","non-dropping-particle":"","parse-names":false,"suffix":""},{"dropping-particle":"","family":"Jiang","given":"Kejun","non-dropping-particle":"","parse-names":false,"suffix":""},{"dropping-particle":"","family":"Mathur","given":"Ritu","non-dropping-particle":"","parse-names":false,"suffix":""},{"dropping-particle":"","family":"Safonov","given":"George","non-dropping-particle":"","parse-names":false,"suffix":""},{"dropping-particle":"","family":"Vishwanathan","given":"Saritha Sudharmma","non-dropping-particle":"","parse-names":false,"suffix":""}],"container-title":"Nature Communications","id":"ITEM-2","issue":"1","issued":{"date-parts":[["2020","12","1"]]},"page":"1-12","publisher":"Nature Research","title":"Taking stock of national climate policies to evaluate implementation of the Paris Agreement","type":"article-journal","volume":"11"},"uris":["http://www.mendeley.com/documents/?uuid=4ee72164-e708-326b-8a27-903fb9f54038"]}],"mendeley":{"formattedCitation":"&lt;sup&gt;4,6&lt;/sup&gt;","plainTextFormattedCitation":"4,6","previouslyFormattedCitation":"&lt;sup&gt;4,6&lt;/sup&gt;"},"properties":{"noteIndex":0},"schema":"https://github.com/citation-style-language/schema/raw/master/csl-citation.json"}</w:instrText>
      </w:r>
      <w:r w:rsidR="00DE35B5">
        <w:rPr>
          <w:rFonts w:cstheme="majorHAnsi"/>
        </w:rPr>
        <w:fldChar w:fldCharType="separate"/>
      </w:r>
      <w:r w:rsidR="00DE35B5" w:rsidRPr="00DE35B5">
        <w:rPr>
          <w:rFonts w:cstheme="majorHAnsi"/>
          <w:noProof/>
          <w:vertAlign w:val="superscript"/>
        </w:rPr>
        <w:t>4,6</w:t>
      </w:r>
      <w:r w:rsidR="00DE35B5">
        <w:rPr>
          <w:rFonts w:cstheme="majorHAnsi"/>
        </w:rPr>
        <w:fldChar w:fldCharType="end"/>
      </w:r>
      <w:r w:rsidRPr="00195091">
        <w:rPr>
          <w:rFonts w:cstheme="majorHAnsi"/>
        </w:rPr>
        <w:t>, and good coverage of SDG-related processes (e.g. sustainable development, air quality, energy access, land use, water management)</w:t>
      </w:r>
      <w:r w:rsidR="00DE35B5">
        <w:rPr>
          <w:rFonts w:cstheme="majorHAnsi"/>
        </w:rPr>
        <w:fldChar w:fldCharType="begin" w:fldLock="1"/>
      </w:r>
      <w:r w:rsidR="000F3278">
        <w:rPr>
          <w:rFonts w:cstheme="majorHAnsi"/>
        </w:rPr>
        <w:instrText>ADDIN CSL_CITATION {"citationItems":[{"id":"ITEM-1","itemData":{"DOI":"10.1016/j.techfore.2015.03.005","ISSN":"00401625","abstract":"In 2012, governments worldwide renewed their commitments to a more sustainable development that would eradicate poverty, halt climate change and conserve ecosystems, and initiated a process to create a long-term vision by formulating Sustainable Development Goals (SDGs). Although progress in achieving a more sustainable development has been made in some areas, overall, actions have not been able to bend the trend in critical areas (including those related to the so-called food-water-energy nexus). Here, we analyze how different combinations of technological measures and behavioral changes could contribute to achieving a set of sustainability objectives, taking into account the interlinkages between them. The objectives include eradicating hunger, providing universal access to modern energy, preventing dangerous climate change, conserving biodiversity and controlling air pollution. The analysis identifies different pathways that achieve these objectives simultaneously, but they all require substantial transformations in the energy and food systems, that go far beyond historic progress and currently formulated policies. The analysis also shows synergies and trade-offs between achieving the different objectives, concluding that achieving them requires a comprehensive approach. The scenario analysis does not point at a fundamental trade-off between the objectives related to poverty eradication and those related to environmental sustainability. The different pathways of achieving the set of long-term objectives and their implications for short-term action can contribute to building a comprehensive strategy to meet the SDGs by proposing near-term actions.","author":[{"dropping-particle":"","family":"Vuuren","given":"Detlef P.","non-dropping-particle":"van","parse-names":false,"suffix":""},{"dropping-particle":"","family":"Kok","given":"Marcel","non-dropping-particle":"","parse-names":false,"suffix":""},{"dropping-particle":"","family":"Lucas","given":"Paul L.","non-dropping-particle":"","parse-names":false,"suffix":""},{"dropping-particle":"","family":"Prins","given":"Anne Gerdien","non-dropping-particle":"","parse-names":false,"suffix":""},{"dropping-particle":"","family":"Alkemade","given":"Rob","non-dropping-particle":"","parse-names":false,"suffix":""},{"dropping-particle":"","family":"Berg","given":"Maurits","non-dropping-particle":"van den","parse-names":false,"suffix":""},{"dropping-particle":"","family":"Bouwman","given":"Lex","non-dropping-particle":"","parse-names":false,"suffix":""},{"dropping-particle":"","family":"Esch","given":"Stefan","non-dropping-particle":"van der","parse-names":false,"suffix":""},{"dropping-particle":"","family":"Jeuken","given":"Michel","non-dropping-particle":"","parse-names":false,"suffix":""},{"dropping-particle":"","family":"Kram","given":"Tom","non-dropping-particle":"","parse-names":false,"suffix":""},{"dropping-particle":"","family":"Stehfest","given":"Elke","non-dropping-particle":"","parse-names":false,"suffix":""}],"container-title":"Technological Forecasting and Social Change","id":"ITEM-1","issued":{"date-parts":[["2015","9","1"]]},"page":"303-323","publisher":"Elsevier Inc.","title":"Pathways to achieve a set of ambitious global sustainability objectives by 2050: Explorations using the IMAGE integrated assessment model","type":"article-journal","volume":"98"},"uris":["http://www.mendeley.com/documents/?uuid=42adbea3-57cf-3e46-8fbd-0bdedb38ff44"]},{"id":"ITEM-2","itemData":{"author":[{"dropping-particle":"","family":"Vuuren","given":"Detlef","non-dropping-particle":"van","parse-names":false,"suffix":""},{"dropping-particle":"","family":"Lucas","given":"P","non-dropping-particle":"","parse-names":false,"suffix":""},{"dropping-particle":"","family":"Calvin","given":"K.V","non-dropping-particle":"","parse-names":false,"suffix":""},{"dropping-particle":"","family":"Chung","given":"S.H","non-dropping-particle":"","parse-names":false,"suffix":""},{"dropping-particle":"","family":"Harfoot","given":"M","non-dropping-particle":"","parse-names":false,"suffix":""},{"dropping-particle":"","family":"Hedden","given":"S","non-dropping-particle":"","parse-names":false,"suffix":""},{"dropping-particle":"","family":"Köberle","given":"A.C","non-dropping-particle":"","parse-names":false,"suffix":""},{"dropping-particle":"","family":"Wada","given":"Y","non-dropping-particle":"","parse-names":false,"suffix":""},{"dropping-particle":"","family":"Bouwman","given":"L","non-dropping-particle":"","parse-names":false,"suffix":""},{"dropping-particle":"","family":"He","given":"C","non-dropping-particle":"","parse-names":false,"suffix":""}],"id":"ITEM-2","issued":{"date-parts":[["2019"]]},"title":"Pathways Toward Sustainable Development - Global Environment Outlook 6, Chapter 22","type":"report"},"uris":["http://www.mendeley.com/documents/?uuid=7e32643c-9b05-3cee-b185-54cd6e109601"]}],"mendeley":{"formattedCitation":"&lt;sup&gt;7,8&lt;/sup&gt;","plainTextFormattedCitation":"7,8","previouslyFormattedCitation":"&lt;sup&gt;7,8&lt;/sup&gt;"},"properties":{"noteIndex":0},"schema":"https://github.com/citation-style-language/schema/raw/master/csl-citation.json"}</w:instrText>
      </w:r>
      <w:r w:rsidR="00DE35B5">
        <w:rPr>
          <w:rFonts w:cstheme="majorHAnsi"/>
        </w:rPr>
        <w:fldChar w:fldCharType="separate"/>
      </w:r>
      <w:r w:rsidR="00DE35B5" w:rsidRPr="00DE35B5">
        <w:rPr>
          <w:rFonts w:cstheme="majorHAnsi"/>
          <w:noProof/>
          <w:vertAlign w:val="superscript"/>
        </w:rPr>
        <w:t>7,8</w:t>
      </w:r>
      <w:r w:rsidR="00DE35B5">
        <w:rPr>
          <w:rFonts w:cstheme="majorHAnsi"/>
        </w:rPr>
        <w:fldChar w:fldCharType="end"/>
      </w:r>
      <w:r w:rsidRPr="00195091">
        <w:rPr>
          <w:rFonts w:cstheme="majorHAnsi"/>
        </w:rPr>
        <w:t xml:space="preserve">. A detailed description of the IMAGE model is presented on: </w:t>
      </w:r>
      <w:hyperlink r:id="rId9" w:history="1">
        <w:r w:rsidRPr="00195091">
          <w:rPr>
            <w:rStyle w:val="Hyperlink"/>
            <w:rFonts w:cstheme="majorHAnsi"/>
          </w:rPr>
          <w:t>www.pbl.nl/image</w:t>
        </w:r>
      </w:hyperlink>
      <w:r w:rsidRPr="00195091">
        <w:rPr>
          <w:rFonts w:cstheme="majorHAnsi"/>
        </w:rPr>
        <w:t xml:space="preserve"> ; and in the following key publications</w:t>
      </w:r>
      <w:r w:rsidR="000F3278">
        <w:rPr>
          <w:rFonts w:cstheme="majorHAnsi"/>
        </w:rPr>
        <w:fldChar w:fldCharType="begin" w:fldLock="1"/>
      </w:r>
      <w:r w:rsidR="002E3C96">
        <w:rPr>
          <w:rFonts w:cstheme="majorHAnsi"/>
        </w:rPr>
        <w:instrText>ADDIN CSL_CITATION {"citationItems":[{"id":"ITEM-1","itemData":{"DOI":"978-94-91506-71-0","author":[{"dropping-particle":"","family":"Stehfest","given":"Elke","non-dropping-particle":"","parse-names":false,"suffix":""},{"dropping-particle":"","family":"Vuuren","given":"Detlef P.","non-dropping-particle":"van","parse-names":false,"suffix":""},{"dropping-particle":"","family":"Kram","given":"Tom","non-dropping-particle":"","parse-names":false,"suffix":""},{"dropping-particle":"","family":"Bouwman","given":"Lex","non-dropping-particle":"","parse-names":false,"suffix":""}],"id":"ITEM-1","issued":{"date-parts":[["2014"]]},"title":"Integrated Assessment of Global Environmental Change with IMAGE 3.0","type":"report"},"uris":["http://www.mendeley.com/documents/?uuid=ac412879-177b-3f0f-9c72-6984f85b5f1f"]},{"id":"ITEM-2","itemData":{"DOI":"10.1016/j.gloenvcha.2016.05.008","ISSN":"09593780","abstract":"This paper describes the possible developments in global energy use and production, land use, emissions and climate changes following the SSP1 storyline, a development consistent with the green growth (or sustainable development) paradigm (a more inclusive development respecting environmental boundaries). The results are based on the implementation using the IMAGE 3.0 integrated assessment model and are compared with a) other IMAGE implementations of the SSPs (SSP2 and SSP3) and b) the SSP1 implementation of other integrated assessment models. The results show that a combination of resource efficiency, preferences for sustainable production methods and investment in human development could lead to a strong transition towards a more renewable energy supply, less land use and lower anthropogenic greenhouse gas emissions in 2100 than in 2010, even in the absence of explicit climate policies. At the same time, climate policy would still be needed to reduce emissions further, in order to reduce the projected increase of global mean temperature from 3 °C (SSP1 reference scenario) to 2 or 1.5 °C (in line with current policy targets). The SSP1 storyline could be a basis for further discussions on how climate policy can be combined with achieving other societal goals.","author":[{"dropping-particle":"","family":"Vuuren","given":"Detlef P.","non-dropping-particle":"van","parse-names":false,"suffix":""},{"dropping-particle":"","family":"Stehfest","given":"Elke","non-dropping-particle":"","parse-names":false,"suffix":""},{"dropping-particle":"","family":"Gernaat","given":"David E.H.J.","non-dropping-particle":"","parse-names":false,"suffix":""},{"dropping-particle":"","family":"Doelman","given":"Jonathan C.","non-dropping-particle":"","parse-names":false,"suffix":""},{"dropping-particle":"","family":"Berg","given":"Maarten","non-dropping-particle":"van den","parse-names":false,"suffix":""},{"dropping-particle":"","family":"Harmsen","given":"Mathijs","non-dropping-particle":"","parse-names":false,"suffix":""},{"dropping-particle":"","family":"Boer","given":"Harmen Sytze","non-dropping-particle":"de","parse-names":false,"suffix":""},{"dropping-particle":"","family":"Bouwman","given":"Lex F.","non-dropping-particle":"","parse-names":false,"suffix":""},{"dropping-particle":"","family":"Daioglou","given":"Vassilis","non-dropping-particle":"","parse-names":false,"suffix":""},{"dropping-particle":"","family":"Edelenbosch","given":"Oreane Y.","non-dropping-particle":"","parse-names":false,"suffix":""},{"dropping-particle":"","family":"Girod","given":"Bastien","non-dropping-particle":"","parse-names":false,"suffix":""},{"dropping-particle":"","family":"Kram","given":"Tom","non-dropping-particle":"","parse-names":false,"suffix":""},{"dropping-particle":"","family":"Lassaletta","given":"Luis","non-dropping-particle":"","parse-names":false,"suffix":""},{"dropping-particle":"","family":"Lucas","given":"Paul L.","non-dropping-particle":"","parse-names":false,"suffix":""},{"dropping-particle":"","family":"Meijl","given":"Hans","non-dropping-particle":"van","parse-names":false,"suffix":""},{"dropping-particle":"","family":"Müller","given":"Christoph","non-dropping-particle":"","parse-names":false,"suffix":""},{"dropping-particle":"","family":"Ruijven","given":"Bas J.","non-dropping-particle":"van","parse-names":false,"suffix":""},{"dropping-particle":"","family":"Sluis","given":"Sietske","non-dropping-particle":"van der","parse-names":false,"suffix":""},{"dropping-particle":"","family":"Tabeau","given":"Andrzej","non-dropping-particle":"","parse-names":false,"suffix":""}],"container-title":"Global Environmental Change","id":"ITEM-2","issued":{"date-parts":[["2017","1","1"]]},"page":"237-250","publisher":"Elsevier Ltd","title":"Energy, land-use and greenhouse gas emissions trajectories under a green growth paradigm","type":"article-journal","volume":"42"},"uris":["http://www.mendeley.com/documents/?uuid=60961e71-72b9-313a-b71e-3be886567e36"]},{"id":"ITEM-3","itemData":{"DOI":"10.1038/s41558-018-0119-8","ISSN":"17586798","abstract":"Mitigation scenarios that achieve the ambitious targets included in the Paris Agreement typically rely on greenhouse gas emission reductions combined with net carbon dioxide removal (CDR) from the atmosphere, mostly accomplished through large-scale application of bioenergy with carbon capture and storage, and afforestation. However, CDR strategies face several difficulties such as reliance on underground CO2 storage and competition for land with food production and biodiversity protection. The question arises whether alternative deep mitigation pathways exist. Here, using an integrated assessment model, we explore the impact of alternative pathways that include lifestyle change, additional reduction of non-CO2 greenhouse gases and more rapid electrification of energy demand based on renewable energy. Although these alternatives also face specific difficulties, they are found to significantly reduce the need for CDR, but not fully eliminate it. The alternatives offer a means to diversify transition pathways to meet the Paris Agreement targets, while simultaneously benefiting other sustainability goals.","author":[{"dropping-particle":"","family":"Vuuren","given":"Detlef P.","non-dropping-particle":"Van","parse-names":false,"suffix":""},{"dropping-particle":"","family":"Stehfest","given":"Elke","non-dropping-particle":"","parse-names":false,"suffix":""},{"dropping-particle":"","family":"Gernaat","given":"David E.H.J.","non-dropping-particle":"","parse-names":false,"suffix":""},{"dropping-particle":"","family":"Berg","given":"Maarten","non-dropping-particle":"Van Den","parse-names":false,"suffix":""},{"dropping-particle":"","family":"Bijl","given":"David L.","non-dropping-particle":"","parse-names":false,"suffix":""},{"dropping-particle":"","family":"Boer","given":"Harmen Sytze","non-dropping-particle":"De","parse-names":false,"suffix":""},{"dropping-particle":"","family":"Daioglou","given":"Vassilis","non-dropping-particle":"","parse-names":false,"suffix":""},{"dropping-particle":"","family":"Doelman","given":"Jonathan C.","non-dropping-particle":"","parse-names":false,"suffix":""},{"dropping-particle":"","family":"Edelenbosch","given":"Oreane Y.","non-dropping-particle":"","parse-names":false,"suffix":""},{"dropping-particle":"","family":"Harmsen","given":"Mathijs","non-dropping-particle":"","parse-names":false,"suffix":""},{"dropping-particle":"","family":"Hof","given":"Andries F.","non-dropping-particle":"","parse-names":false,"suffix":""},{"dropping-particle":"","family":"Sluisveld","given":"Mariësse A.E.","non-dropping-particle":"Van","parse-names":false,"suffix":""}],"container-title":"Nature Climate Change","id":"ITEM-3","issue":"5","issued":{"date-parts":[["2018","5","1"]]},"page":"391-397","publisher":"Nature Publishing Group","title":"Alternative pathways to the 1.5 °c target reduce the need for negative emission technologies","type":"article-journal","volume":"8"},"uris":["http://www.mendeley.com/documents/?uuid=ca6311e7-10eb-37fa-a2fb-93db212aab8f"]}],"mendeley":{"formattedCitation":"&lt;sup&gt;1–3&lt;/sup&gt;","plainTextFormattedCitation":"1–3","previouslyFormattedCitation":"&lt;sup&gt;1–3&lt;/sup&gt;"},"properties":{"noteIndex":0},"schema":"https://github.com/citation-style-language/schema/raw/master/csl-citation.json"}</w:instrText>
      </w:r>
      <w:r w:rsidR="000F3278">
        <w:rPr>
          <w:rFonts w:cstheme="majorHAnsi"/>
        </w:rPr>
        <w:fldChar w:fldCharType="separate"/>
      </w:r>
      <w:r w:rsidR="000F3278" w:rsidRPr="000F3278">
        <w:rPr>
          <w:rFonts w:cstheme="majorHAnsi"/>
          <w:noProof/>
          <w:vertAlign w:val="superscript"/>
        </w:rPr>
        <w:t>1–3</w:t>
      </w:r>
      <w:r w:rsidR="000F3278">
        <w:rPr>
          <w:rFonts w:cstheme="majorHAnsi"/>
        </w:rPr>
        <w:fldChar w:fldCharType="end"/>
      </w:r>
      <w:r w:rsidRPr="00195091">
        <w:rPr>
          <w:rFonts w:cstheme="majorHAnsi"/>
        </w:rPr>
        <w:t xml:space="preserve">. </w:t>
      </w:r>
    </w:p>
    <w:p w14:paraId="78B07E69" w14:textId="77777777" w:rsidR="0075001B" w:rsidRPr="00195091" w:rsidRDefault="0075001B" w:rsidP="0075001B">
      <w:pPr>
        <w:widowControl w:val="0"/>
        <w:autoSpaceDE w:val="0"/>
        <w:autoSpaceDN w:val="0"/>
        <w:adjustRightInd w:val="0"/>
        <w:rPr>
          <w:rFonts w:cstheme="majorHAnsi"/>
        </w:rPr>
      </w:pPr>
      <w:r w:rsidRPr="00195091">
        <w:rPr>
          <w:rFonts w:cstheme="majorHAnsi"/>
          <w:b/>
        </w:rPr>
        <w:t>E3ME</w:t>
      </w:r>
      <w:r w:rsidRPr="00195091">
        <w:rPr>
          <w:rFonts w:cstheme="majorHAnsi"/>
        </w:rPr>
        <w:t xml:space="preserve"> </w:t>
      </w:r>
      <w:r w:rsidRPr="00195091">
        <w:rPr>
          <w:rFonts w:cstheme="majorHAnsi"/>
          <w:b/>
        </w:rPr>
        <w:t>model</w:t>
      </w:r>
    </w:p>
    <w:p w14:paraId="25EE83C6" w14:textId="77777777" w:rsidR="0075001B" w:rsidRPr="00195091" w:rsidRDefault="0075001B" w:rsidP="0075001B">
      <w:pPr>
        <w:widowControl w:val="0"/>
        <w:autoSpaceDE w:val="0"/>
        <w:autoSpaceDN w:val="0"/>
        <w:adjustRightInd w:val="0"/>
        <w:rPr>
          <w:rFonts w:cstheme="majorHAnsi"/>
        </w:rPr>
      </w:pPr>
      <w:bookmarkStart w:id="0" w:name="_Hlk12289905"/>
      <w:r w:rsidRPr="00195091">
        <w:rPr>
          <w:rFonts w:cstheme="majorHAnsi"/>
        </w:rPr>
        <w:t>Cambridge Econometrics</w:t>
      </w:r>
      <w:bookmarkEnd w:id="0"/>
      <w:r w:rsidRPr="00195091">
        <w:rPr>
          <w:rFonts w:cstheme="majorHAnsi"/>
        </w:rPr>
        <w:t xml:space="preserve">’ </w:t>
      </w:r>
      <w:r w:rsidRPr="00195091">
        <w:rPr>
          <w:rFonts w:cstheme="majorHAnsi"/>
          <w:b/>
        </w:rPr>
        <w:t>E3ME</w:t>
      </w:r>
      <w:r w:rsidRPr="00195091">
        <w:rPr>
          <w:rFonts w:cstheme="majorHAnsi"/>
        </w:rPr>
        <w:t xml:space="preserve"> model (for assessing the economic consequences of climate policy, including the uptake of energy technologies); </w:t>
      </w:r>
    </w:p>
    <w:p w14:paraId="4A41FFB2" w14:textId="77777777" w:rsidR="0075001B" w:rsidRPr="00195091" w:rsidRDefault="0075001B" w:rsidP="0075001B">
      <w:pPr>
        <w:widowControl w:val="0"/>
        <w:autoSpaceDE w:val="0"/>
        <w:autoSpaceDN w:val="0"/>
        <w:adjustRightInd w:val="0"/>
        <w:rPr>
          <w:rFonts w:cstheme="majorHAnsi"/>
        </w:rPr>
      </w:pPr>
      <w:r w:rsidRPr="00195091">
        <w:rPr>
          <w:rFonts w:cstheme="majorHAnsi"/>
        </w:rPr>
        <w:t>E3ME is a global, macro-econometric model designed to address major economic and economy-environment policy challenges. Developed over the last 25 years, it is one of the most advanced models of its type. Its strengths are:</w:t>
      </w:r>
    </w:p>
    <w:p w14:paraId="60FB356A" w14:textId="77777777" w:rsidR="0075001B" w:rsidRPr="00195091" w:rsidRDefault="0075001B" w:rsidP="0075001B">
      <w:pPr>
        <w:pStyle w:val="ListParagraph"/>
        <w:numPr>
          <w:ilvl w:val="0"/>
          <w:numId w:val="3"/>
        </w:numPr>
        <w:rPr>
          <w:rFonts w:asciiTheme="majorHAnsi" w:hAnsiTheme="majorHAnsi" w:cstheme="majorHAnsi"/>
          <w:sz w:val="22"/>
        </w:rPr>
      </w:pPr>
      <w:r w:rsidRPr="00195091">
        <w:rPr>
          <w:rFonts w:asciiTheme="majorHAnsi" w:hAnsiTheme="majorHAnsi" w:cstheme="majorHAnsi"/>
          <w:sz w:val="22"/>
        </w:rPr>
        <w:t xml:space="preserve">A high level of disaggregation (70 sectors in 61 countries/regions), enabling detailed analysis of sectoral and country-level effects from a wide range of policy inputs. All EU and G20 countries are </w:t>
      </w:r>
      <w:r w:rsidRPr="00195091">
        <w:rPr>
          <w:rFonts w:asciiTheme="majorHAnsi" w:hAnsiTheme="majorHAnsi" w:cstheme="majorHAnsi"/>
          <w:sz w:val="22"/>
        </w:rPr>
        <w:lastRenderedPageBreak/>
        <w:t>represented explicitly. Social impacts (including unemployment levels and distributional effects) are important model outcomes.</w:t>
      </w:r>
    </w:p>
    <w:p w14:paraId="203D16F9" w14:textId="77777777" w:rsidR="0075001B" w:rsidRPr="00195091" w:rsidRDefault="0075001B" w:rsidP="0075001B">
      <w:pPr>
        <w:pStyle w:val="ListParagraph"/>
        <w:numPr>
          <w:ilvl w:val="0"/>
          <w:numId w:val="3"/>
        </w:numPr>
        <w:rPr>
          <w:rFonts w:asciiTheme="majorHAnsi" w:hAnsiTheme="majorHAnsi" w:cstheme="majorHAnsi"/>
          <w:sz w:val="22"/>
        </w:rPr>
      </w:pPr>
      <w:r w:rsidRPr="00195091">
        <w:rPr>
          <w:rFonts w:asciiTheme="majorHAnsi" w:hAnsiTheme="majorHAnsi" w:cstheme="majorHAnsi"/>
          <w:sz w:val="22"/>
        </w:rPr>
        <w:t>Its econometric specification addresses concerns about conventional macroeconomic models and provides a strong empirical basis for analysis. It can fully assess both short and long-term impacts and is not limited by many of the restrictive assumptions common to Computable General Equilibrium (CGE) models.</w:t>
      </w:r>
    </w:p>
    <w:p w14:paraId="62A724C6" w14:textId="77777777" w:rsidR="0075001B" w:rsidRPr="00195091" w:rsidRDefault="0075001B" w:rsidP="0075001B">
      <w:pPr>
        <w:pStyle w:val="ListParagraph"/>
        <w:numPr>
          <w:ilvl w:val="0"/>
          <w:numId w:val="3"/>
        </w:numPr>
        <w:rPr>
          <w:rFonts w:asciiTheme="majorHAnsi" w:hAnsiTheme="majorHAnsi" w:cstheme="majorHAnsi"/>
          <w:sz w:val="22"/>
        </w:rPr>
      </w:pPr>
      <w:r w:rsidRPr="00195091">
        <w:rPr>
          <w:rFonts w:asciiTheme="majorHAnsi" w:hAnsiTheme="majorHAnsi" w:cstheme="majorHAnsi"/>
          <w:sz w:val="22"/>
        </w:rPr>
        <w:t xml:space="preserve">Integrated treatment of the world’s economies, energy systems, emissions and material demands. This enables it to capture two-way linkages and feedbacks between these components. The integrated FTT models of technology diffusion (for the power sector, steel sector, household heating and passenger vehicles) allow for a detailed analysis of the interaction of technology policy and rates of adoption. </w:t>
      </w:r>
    </w:p>
    <w:p w14:paraId="413AA35C" w14:textId="51421A3F" w:rsidR="0075001B" w:rsidRPr="00195091" w:rsidRDefault="0075001B" w:rsidP="0075001B">
      <w:pPr>
        <w:widowControl w:val="0"/>
        <w:autoSpaceDE w:val="0"/>
        <w:autoSpaceDN w:val="0"/>
        <w:adjustRightInd w:val="0"/>
        <w:rPr>
          <w:rFonts w:cstheme="majorHAnsi"/>
        </w:rPr>
      </w:pPr>
      <w:r w:rsidRPr="00195091">
        <w:rPr>
          <w:rFonts w:cstheme="majorHAnsi"/>
        </w:rPr>
        <w:t xml:space="preserve">A detailed description of the E3ME model given is given in Appendix A.2, </w:t>
      </w:r>
      <w:hyperlink r:id="rId10" w:history="1">
        <w:r w:rsidR="005836B6" w:rsidRPr="006F0A9E">
          <w:rPr>
            <w:rStyle w:val="Hyperlink"/>
            <w:rFonts w:cstheme="majorHAnsi"/>
          </w:rPr>
          <w:t>www.e3me.com</w:t>
        </w:r>
      </w:hyperlink>
      <w:r w:rsidR="005836B6">
        <w:rPr>
          <w:rFonts w:cstheme="majorHAnsi"/>
        </w:rPr>
        <w:t xml:space="preserve"> </w:t>
      </w:r>
      <w:r w:rsidRPr="00195091">
        <w:rPr>
          <w:rFonts w:cstheme="majorHAnsi"/>
        </w:rPr>
        <w:t>; and in the model manual</w:t>
      </w:r>
      <w:r w:rsidR="002E3C96">
        <w:rPr>
          <w:rFonts w:cstheme="majorHAnsi"/>
        </w:rPr>
        <w:fldChar w:fldCharType="begin" w:fldLock="1"/>
      </w:r>
      <w:r w:rsidR="002E3C96">
        <w:rPr>
          <w:rFonts w:cstheme="majorHAnsi"/>
        </w:rPr>
        <w:instrText>ADDIN CSL_CITATION {"citationItems":[{"id":"ITEM-1","itemData":{"author":[{"dropping-particle":"","family":"Cambridge Econometrics","given":"","non-dropping-particle":"","parse-names":false,"suffix":""}],"id":"ITEM-1","issued":{"date-parts":[["2019"]]},"title":"Model Manual (V6.1 temporary update) E3ME Technical Manual v6.1","type":"report"},"uris":["http://www.mendeley.com/documents/?uuid=436ac1a4-3a31-34d5-b26b-f33fdabd8e72"]}],"mendeley":{"formattedCitation":"&lt;sup&gt;9&lt;/sup&gt;","plainTextFormattedCitation":"9","previouslyFormattedCitation":"&lt;sup&gt;9&lt;/sup&gt;"},"properties":{"noteIndex":0},"schema":"https://github.com/citation-style-language/schema/raw/master/csl-citation.json"}</w:instrText>
      </w:r>
      <w:r w:rsidR="002E3C96">
        <w:rPr>
          <w:rFonts w:cstheme="majorHAnsi"/>
        </w:rPr>
        <w:fldChar w:fldCharType="separate"/>
      </w:r>
      <w:r w:rsidR="002E3C96" w:rsidRPr="002E3C96">
        <w:rPr>
          <w:rFonts w:cstheme="majorHAnsi"/>
          <w:noProof/>
          <w:vertAlign w:val="superscript"/>
        </w:rPr>
        <w:t>9</w:t>
      </w:r>
      <w:r w:rsidR="002E3C96">
        <w:rPr>
          <w:rFonts w:cstheme="majorHAnsi"/>
        </w:rPr>
        <w:fldChar w:fldCharType="end"/>
      </w:r>
      <w:r w:rsidR="002E3C96">
        <w:rPr>
          <w:rFonts w:cstheme="majorHAnsi"/>
        </w:rPr>
        <w:t xml:space="preserve">. </w:t>
      </w:r>
      <w:r w:rsidRPr="00195091">
        <w:rPr>
          <w:rFonts w:cstheme="majorHAnsi"/>
        </w:rPr>
        <w:t>A full list of equations may be found in the supplementary information of Mercure et al.</w:t>
      </w:r>
      <w:r w:rsidR="002E3C96">
        <w:rPr>
          <w:rFonts w:cstheme="majorHAnsi"/>
        </w:rPr>
        <w:fldChar w:fldCharType="begin" w:fldLock="1"/>
      </w:r>
      <w:r w:rsidR="002E3C96">
        <w:rPr>
          <w:rFonts w:cstheme="majorHAnsi"/>
        </w:rPr>
        <w:instrText>ADDIN CSL_CITATION {"citationItems":[{"id":"ITEM-1","itemData":{"DOI":"10.1016/j.esr.2018.03.003","ISSN":"2211467X","abstract":"A high degree of consensus exists in the climate sciences over the role that human interference with the atmosphere is playing in changing the climate. Following the Paris Agreement, a similar consensus exists in the policy community over the urgency of policy solutions to the climate problem. The context for climate policy is thus moving from agenda setting, which has now been mostly established, to impact assessment, in which we identify policy pathways to implement the Paris Agreement. Most integrated assessment models currently used to address the economic and technical feasibility of avoiding climate change are based on engineering perspectives with a normative systems optimisation philosophy, suitable for agenda setting, but unsuitable to assess the socio-economic impacts of realistic baskets of climate policies. Here, we introduce a fully descriptive, simulation-based integrated assessment model designed specifically to assess policies, formed by the combination of (1) a highly disaggregated macro-econometric simulation of the global economy based on time series regressions (E3ME), (2) a family of bottom-up evolutionary simulations of technology diffusion based on cross-sectional discrete choice models (FTT), and (3) a carbon cycle and atmosphere circulation model of intermediate complexity (GENIE). We use this combined model to create a detailed global and sectoral policy map and scenario that sets the economy on a pathway that achieves the goals of the Paris Agreement with &gt;66% probability of not exceeding 2 °C of global warming. We propose a blueprint for a new role for integrated assessment models in this upcoming policy assessment context.","author":[{"dropping-particle":"","family":"Mercure","given":"Jean Francois","non-dropping-particle":"","parse-names":false,"suffix":""},{"dropping-particle":"","family":"Pollitt","given":"Hector","non-dropping-particle":"","parse-names":false,"suffix":""},{"dropping-particle":"","family":"Edwards","given":"Neil R.","non-dropping-particle":"","parse-names":false,"suffix":""},{"dropping-particle":"","family":"Holden","given":"Philip B.","non-dropping-particle":"","parse-names":false,"suffix":""},{"dropping-particle":"","family":"Chewpreecha","given":"Unnada","non-dropping-particle":"","parse-names":false,"suffix":""},{"dropping-particle":"","family":"Salas","given":"Pablo","non-dropping-particle":"","parse-names":false,"suffix":""},{"dropping-particle":"","family":"Lam","given":"Aileen","non-dropping-particle":"","parse-names":false,"suffix":""},{"dropping-particle":"","family":"Knobloch","given":"Florian","non-dropping-particle":"","parse-names":false,"suffix":""},{"dropping-particle":"","family":"Vinuales","given":"Jorge E.","non-dropping-particle":"","parse-names":false,"suffix":""}],"container-title":"Energy Strategy Reviews","id":"ITEM-1","issued":{"date-parts":[["2018","4","1"]]},"page":"195-208","publisher":"Elsevier Ltd","title":"Environmental impact assessment for climate change policy with the simulation-based integrated assessment model E3ME-FTT-GENIE","type":"article-journal","volume":"20"},"uris":["http://www.mendeley.com/documents/?uuid=9374aa8b-0038-3c46-a383-397200ff555d"]}],"mendeley":{"formattedCitation":"&lt;sup&gt;10&lt;/sup&gt;","plainTextFormattedCitation":"10","previouslyFormattedCitation":"&lt;sup&gt;10&lt;/sup&gt;"},"properties":{"noteIndex":0},"schema":"https://github.com/citation-style-language/schema/raw/master/csl-citation.json"}</w:instrText>
      </w:r>
      <w:r w:rsidR="002E3C96">
        <w:rPr>
          <w:rFonts w:cstheme="majorHAnsi"/>
        </w:rPr>
        <w:fldChar w:fldCharType="separate"/>
      </w:r>
      <w:r w:rsidR="002E3C96" w:rsidRPr="002E3C96">
        <w:rPr>
          <w:rFonts w:cstheme="majorHAnsi"/>
          <w:noProof/>
          <w:vertAlign w:val="superscript"/>
        </w:rPr>
        <w:t>10</w:t>
      </w:r>
      <w:r w:rsidR="002E3C96">
        <w:rPr>
          <w:rFonts w:cstheme="majorHAnsi"/>
        </w:rPr>
        <w:fldChar w:fldCharType="end"/>
      </w:r>
      <w:r w:rsidRPr="00195091">
        <w:rPr>
          <w:rFonts w:cstheme="majorHAnsi"/>
        </w:rPr>
        <w:t xml:space="preserve"> and a description of the model’s post-Keynesian framework and financial sector in </w:t>
      </w:r>
      <w:r w:rsidRPr="00200579">
        <w:rPr>
          <w:rFonts w:cstheme="majorHAnsi"/>
        </w:rPr>
        <w:t>Pollitt and Mercure</w:t>
      </w:r>
      <w:r w:rsidR="002E3C96" w:rsidRPr="00200579">
        <w:rPr>
          <w:rFonts w:cstheme="majorHAnsi"/>
        </w:rPr>
        <w:fldChar w:fldCharType="begin" w:fldLock="1"/>
      </w:r>
      <w:r w:rsidR="002E3C96" w:rsidRPr="00200579">
        <w:rPr>
          <w:rFonts w:cstheme="majorHAnsi"/>
        </w:rPr>
        <w:instrText>ADDIN CSL_CITATION {"citationItems":[{"id":"ITEM-1","itemData":{"DOI":"10.1080/14693062.2016.1277685","ISSN":"17527457","abstract":"This article outlines a critical gap in the assessment methodology used to estimate the macroeconomic costs and benefits of climate and energy policy, which could lead to misleading information being used for policy-making. We show that the Computable General Equilibrium (CGE) models that are typically used for assessing climate policy use assumptions about the financial system that sit at odds with the observed reality. These assumptions lead to ‘crowding out’ of capital and, because of the way the models are constructed, negative economic impacts (in terms of gross domestic product (GDP) and welfare) from climate policy in virtually all cases. In contrast, macro-econometric models, which follow non-equilibrium economic theory and adopt a more empirical approach, apply a treatment of the financial system that is more consistent with reality. Although these models also have major limitations, they show that green investment need not crowd out investment in other parts of the economy–and may therefore offer an economic stimulus. Our conclusion is that improvements in both modelling approaches should be sought with some urgency–both to provide a better assessment of potential climate and energy policy and to improve understanding of the dynamics of the global financial system more generally. POLICY RELEVANCE This article discusses the treatment of the financial system in the macroeconomic models that are used in assessments of climate and energy policy. It shows major limitations in approach that could result in misleading information being provided to policy-makers.","author":[{"dropping-particle":"","family":"Pollitt","given":"Hector","non-dropping-particle":"","parse-names":false,"suffix":""},{"dropping-particle":"","family":"Mercure","given":"Jean Francois","non-dropping-particle":"","parse-names":false,"suffix":""}],"container-title":"Climate Policy","id":"ITEM-1","issue":"2","issued":{"date-parts":[["2018","2","7"]]},"page":"184-197","publisher":"Taylor and Francis Ltd.","title":"The role of money and the financial sector in energy - economy models used for assessing climate and energy policy","type":"article-journal","volume":"18"},"uris":["http://www.mendeley.com/documents/?uuid=87b12914-13c9-3be6-ae80-1876fc70658e"]}],"mendeley":{"formattedCitation":"&lt;sup&gt;11&lt;/sup&gt;","plainTextFormattedCitation":"11","previouslyFormattedCitation":"&lt;sup&gt;11&lt;/sup&gt;"},"properties":{"noteIndex":0},"schema":"https://github.com/citation-style-language/schema/raw/master/csl-citation.json"}</w:instrText>
      </w:r>
      <w:r w:rsidR="002E3C96" w:rsidRPr="00200579">
        <w:rPr>
          <w:rFonts w:cstheme="majorHAnsi"/>
        </w:rPr>
        <w:fldChar w:fldCharType="separate"/>
      </w:r>
      <w:r w:rsidR="002E3C96" w:rsidRPr="00200579">
        <w:rPr>
          <w:rFonts w:cstheme="majorHAnsi"/>
          <w:noProof/>
          <w:vertAlign w:val="superscript"/>
        </w:rPr>
        <w:t>11</w:t>
      </w:r>
      <w:r w:rsidR="002E3C96" w:rsidRPr="00200579">
        <w:rPr>
          <w:rFonts w:cstheme="majorHAnsi"/>
        </w:rPr>
        <w:fldChar w:fldCharType="end"/>
      </w:r>
      <w:r w:rsidRPr="00200579">
        <w:rPr>
          <w:rFonts w:cstheme="majorHAnsi"/>
        </w:rPr>
        <w:t>. The FTT models are described in Mercure</w:t>
      </w:r>
      <w:r w:rsidR="002E3C96" w:rsidRPr="00200579">
        <w:rPr>
          <w:rFonts w:cstheme="majorHAnsi"/>
        </w:rPr>
        <w:fldChar w:fldCharType="begin" w:fldLock="1"/>
      </w:r>
      <w:r w:rsidR="00200579" w:rsidRPr="00200579">
        <w:rPr>
          <w:rFonts w:cstheme="majorHAnsi"/>
        </w:rPr>
        <w:instrText>ADDIN CSL_CITATION {"citationItems":[{"id":"ITEM-1","itemData":{"DOI":"10.1016/j.enpol.2012.06.025","ISSN":"03014215","abstract":"This work introduces a model of Future Technology Transformations for the power sector (FTT:Power), a representation of global power systems based on market competition, induced technological change (ITC) and natural resource use and depletion. It is the first component of a family of sectoral bottom-up models of technology, designed for integration into the global macroeconometric model E3MG. ITC occurs as a result of technological learning produced by cumulative investment and leads to highly nonlinear, irreversible and path dependent technological transitions. The model uses a dynamic coupled set of logistic differential equations. As opposed to traditional bottom-up energy models based on systems optimisation, such differential equations offer an appropriate treatment of the times and structure of change involved in sectoral technology transformations, as well as a much reduced computational load. Resource use and depletion are represented by local cost-supply curves, which give rise to different regional energy landscapes. The model is explored for a single global region using two simple scenarios, a baseline and a mitigation case where the price of carbon is gradually increased. While a constant price of carbon leads to a stagnant system, mitigation produces successive technology transitions leading towards the gradual decarbonisation of the global power sector. © 2012 Elsevier Ltd.","author":[{"dropping-particle":"","family":"Mercure","given":"Jean François","non-dropping-particle":"","parse-names":false,"suffix":""}],"container-title":"Energy Policy","id":"ITEM-1","issued":{"date-parts":[["2012","9","1"]]},"page":"799-811","publisher":"Elsevier","title":"FTT:Power A global model of the power sector with induced technological change and natural resource depletion","type":"article-journal","volume":"48"},"uris":["http://www.mendeley.com/documents/?uuid=0beeb593-e496-3c44-ad5d-5ab449cba7f6"]}],"mendeley":{"formattedCitation":"&lt;sup&gt;12&lt;/sup&gt;","plainTextFormattedCitation":"12","previouslyFormattedCitation":"&lt;sup&gt;12&lt;/sup&gt;"},"properties":{"noteIndex":0},"schema":"https://github.com/citation-style-language/schema/raw/master/csl-citation.json"}</w:instrText>
      </w:r>
      <w:r w:rsidR="002E3C96" w:rsidRPr="00200579">
        <w:rPr>
          <w:rFonts w:cstheme="majorHAnsi"/>
        </w:rPr>
        <w:fldChar w:fldCharType="separate"/>
      </w:r>
      <w:r w:rsidR="002E3C96" w:rsidRPr="00200579">
        <w:rPr>
          <w:rFonts w:cstheme="majorHAnsi"/>
          <w:noProof/>
          <w:vertAlign w:val="superscript"/>
        </w:rPr>
        <w:t>12</w:t>
      </w:r>
      <w:r w:rsidR="002E3C96" w:rsidRPr="00200579">
        <w:rPr>
          <w:rFonts w:cstheme="majorHAnsi"/>
        </w:rPr>
        <w:fldChar w:fldCharType="end"/>
      </w:r>
      <w:r w:rsidRPr="00200579">
        <w:rPr>
          <w:rFonts w:cstheme="majorHAnsi"/>
        </w:rPr>
        <w:t>, Mercure et al.</w:t>
      </w:r>
      <w:r w:rsidR="00200579" w:rsidRPr="00200579">
        <w:rPr>
          <w:rFonts w:cstheme="majorHAnsi"/>
        </w:rPr>
        <w:fldChar w:fldCharType="begin" w:fldLock="1"/>
      </w:r>
      <w:r w:rsidR="00200579" w:rsidRPr="00200579">
        <w:rPr>
          <w:rFonts w:cstheme="majorHAnsi"/>
        </w:rPr>
        <w:instrText xml:space="preserve">ADDIN CSL_CITATION {"citationItems":[{"id":"ITEM-1","itemData":{"DOI":"10.1007/s10584-018-2262-7","ISSN":"15731480","abstract":"Transport generates a large and growing component of global greenhouse gas emissions contributing to climate change. Effective transport emissions reduction policies are needed in order to reach a climate target well below 2 </w:instrText>
      </w:r>
      <w:r w:rsidR="00200579" w:rsidRPr="00200579">
        <w:rPr>
          <w:rFonts w:ascii="Cambria Math" w:hAnsi="Cambria Math" w:cs="Cambria Math"/>
        </w:rPr>
        <w:instrText>∘</w:instrText>
      </w:r>
      <w:r w:rsidR="00200579" w:rsidRPr="00200579">
        <w:rPr>
          <w:rFonts w:cstheme="majorHAnsi"/>
        </w:rPr>
        <w:instrText xml:space="preserve">C. Representations of technology evolution in current integrated assessment models (IAM) make use of systems optimisations that may not always provide sufficient insight on consumer response to realistic policy packages for extensive use in policy-making. Here, we introduce FTT: transport, an evolutionary technology diffusion simulation model for road transport technology, as an IAM sub-component, which features sufficiently realistic features of consumers and of existing technological trajectories that enables to simulate the impact of detailed climate policies in private passenger road transport. Integrated to the simulation-based macroeconometric IAM E3ME-FTT, a plausible scenario of transport decarbonisation is given, defined by a detailed transport policy package, that reaches sufficient emissions reductions to achieve the 2 </w:instrText>
      </w:r>
      <w:r w:rsidR="00200579" w:rsidRPr="00200579">
        <w:rPr>
          <w:rFonts w:ascii="Cambria Math" w:hAnsi="Cambria Math" w:cs="Cambria Math"/>
        </w:rPr>
        <w:instrText>∘</w:instrText>
      </w:r>
      <w:r w:rsidR="00200579" w:rsidRPr="00200579">
        <w:rPr>
          <w:rFonts w:cstheme="majorHAnsi"/>
        </w:rPr>
        <w:instrText>C target of the Paris Agreement.","author":[{"dropping-particle":"","family":"Mercure","given":"J. F.","non-dropping-particle":"","parse-names":false,"suffix":""},{"dropping-particle":"","family":"Lam","given":"A.","non-dropping-particle":"","parse-names":false,"suffix":""},{"dropping-particle":"","family":"Billington","given":"S.","non-dropping-particle":"","parse-names":false,"suffix":""},{"dropping-particle":"","family":"Pollitt","given":"H.","non-dropping-particle":"","parse-names":false,"suffix":""}],"container-title":"Climatic Change","id":"ITEM-1","issue":"2","issued":{"date-parts":[["2018","11","1"]]},"page":"109-129","publisher":"Springer Netherlands","title":"Integrated assessment modelling as a positive science: private passenger road transport policies to meet a climate target well below 2</w:instrText>
      </w:r>
      <w:r w:rsidR="00200579" w:rsidRPr="00200579">
        <w:rPr>
          <w:rFonts w:ascii="Cambria Math" w:hAnsi="Cambria Math" w:cs="Cambria Math"/>
        </w:rPr>
        <w:instrText>∘</w:instrText>
      </w:r>
      <w:r w:rsidR="00200579" w:rsidRPr="00200579">
        <w:rPr>
          <w:rFonts w:cstheme="majorHAnsi"/>
        </w:rPr>
        <w:instrText>C","type":"article-journal","volume":"151"},"uris":["http://www.mendeley.com/documents/?uuid=e193d5cd-7bd7-3877-9675-3044a7f028bb"]}],"mendeley":{"formattedCitation":"&lt;sup&gt;13&lt;/sup&gt;","plainTextFormattedCitation":"13","previouslyFormattedCitation":"&lt;sup&gt;13&lt;/sup&gt;"},"properties":{"noteIndex":0},"schema":"https://github.com/citation-style-language/schema/raw/master/csl-citation.json"}</w:instrText>
      </w:r>
      <w:r w:rsidR="00200579" w:rsidRPr="00200579">
        <w:rPr>
          <w:rFonts w:cstheme="majorHAnsi"/>
        </w:rPr>
        <w:fldChar w:fldCharType="separate"/>
      </w:r>
      <w:r w:rsidR="00200579" w:rsidRPr="00200579">
        <w:rPr>
          <w:rFonts w:cstheme="majorHAnsi"/>
          <w:noProof/>
          <w:vertAlign w:val="superscript"/>
        </w:rPr>
        <w:t>13</w:t>
      </w:r>
      <w:r w:rsidR="00200579" w:rsidRPr="00200579">
        <w:rPr>
          <w:rFonts w:cstheme="majorHAnsi"/>
        </w:rPr>
        <w:fldChar w:fldCharType="end"/>
      </w:r>
      <w:r w:rsidRPr="00200579">
        <w:rPr>
          <w:rFonts w:cstheme="majorHAnsi"/>
        </w:rPr>
        <w:t xml:space="preserve"> and Knobloch et al.</w:t>
      </w:r>
      <w:r w:rsidR="00200579" w:rsidRPr="00200579">
        <w:rPr>
          <w:rFonts w:cstheme="majorHAnsi"/>
        </w:rPr>
        <w:fldChar w:fldCharType="begin" w:fldLock="1"/>
      </w:r>
      <w:r w:rsidR="00200579" w:rsidRPr="00200579">
        <w:rPr>
          <w:rFonts w:cstheme="majorHAnsi"/>
        </w:rPr>
        <w:instrText>ADDIN CSL_CITATION {"citationItems":[{"id":"ITEM-1","itemData":{"DOI":"10.1007/s12053-018-9710-0","ISSN":"15706478","abstract":"Whole-economy scenarios for limiting global warming to 1.5 °C suggest that direct carbon emissions in the buildings sector should decrease to almost zero by 2050, but leave unanswered the question how this could be achieved by real-world policies. We simulate which policy measures could induce an almost complete decarbonisation of residential heating, the by far largest source of direct emissions in residential buildings. Under which assumptions is it possible, and how long would it take? We use the non-equilibrium bottom-up model FTT:Heat to simulate policies for a transition towards low-carbon heating in a context of inertia and bounded rationality, focusing on the uptake of heating systems. Our results indicate that the near-zero decarbonisation is achievable by 2050, but requires substantial policy efforts. We find that policy mixes are more effective for incentivising the uptake of fuel-efficient low-carbon technologies, compared to a residential carbon tax as the only policy. In combination with subsidies and procurement policies for renewables, near-complete decarbonisation could be achieved with a tax of 50–200 €/tCO 2. Without being complimented by additional policies, carbon taxes show a decreasing marginal impact on total emission reductions, thus remaining insufficient for deep decarbonisation. In all scenarios, the decarbonisation of heating would increase projected heating costs faced by households initially, but could lead to cost reductions in most world regions in the medium term. We show that the potential impacts of policies highly depend on behavioural decision-making by households, especially in a context of deep decarbonisation and rapid transformation.","author":[{"dropping-particle":"","family":"Knobloch","given":"Florian","non-dropping-particle":"","parse-names":false,"suffix":""},{"dropping-particle":"","family":"Pollitt","given":"Hector","non-dropping-particle":"","parse-names":false,"suffix":""},{"dropping-particle":"","family":"Chewpreecha","given":"Unnada","non-dropping-particle":"","parse-names":false,"suffix":""},{"dropping-particle":"","family":"Daioglou","given":"Vassilis","non-dropping-particle":"","parse-names":false,"suffix":""},{"dropping-particle":"","family":"Mercure","given":"Jean Francois","non-dropping-particle":"","parse-names":false,"suffix":""}],"container-title":"Energy Efficiency","id":"ITEM-1","issue":"2","issued":{"date-parts":[["2019","2","14"]]},"page":"521-550","publisher":"Springer Netherlands","title":"Simulating the deep decarbonisation of residential heating for limiting global warming to 1.5 °C","type":"article-journal","volume":"12"},"uris":["http://www.mendeley.com/documents/?uuid=68244172-edbf-3031-aa1a-533c48669a31"]}],"mendeley":{"formattedCitation":"&lt;sup&gt;14&lt;/sup&gt;","plainTextFormattedCitation":"14","previouslyFormattedCitation":"&lt;sup&gt;14&lt;/sup&gt;"},"properties":{"noteIndex":0},"schema":"https://github.com/citation-style-language/schema/raw/master/csl-citation.json"}</w:instrText>
      </w:r>
      <w:r w:rsidR="00200579" w:rsidRPr="00200579">
        <w:rPr>
          <w:rFonts w:cstheme="majorHAnsi"/>
        </w:rPr>
        <w:fldChar w:fldCharType="separate"/>
      </w:r>
      <w:r w:rsidR="00200579" w:rsidRPr="00200579">
        <w:rPr>
          <w:rFonts w:cstheme="majorHAnsi"/>
          <w:noProof/>
          <w:vertAlign w:val="superscript"/>
        </w:rPr>
        <w:t>14</w:t>
      </w:r>
      <w:r w:rsidR="00200579" w:rsidRPr="00200579">
        <w:rPr>
          <w:rFonts w:cstheme="majorHAnsi"/>
        </w:rPr>
        <w:fldChar w:fldCharType="end"/>
      </w:r>
      <w:r w:rsidR="00200579" w:rsidRPr="00200579">
        <w:rPr>
          <w:rFonts w:cstheme="majorHAnsi"/>
        </w:rPr>
        <w:t>,</w:t>
      </w:r>
      <w:r w:rsidRPr="00200579">
        <w:rPr>
          <w:rFonts w:cstheme="majorHAnsi"/>
        </w:rPr>
        <w:t xml:space="preserve"> and Cambridge Econometrics</w:t>
      </w:r>
      <w:r w:rsidR="00200579" w:rsidRPr="00200579">
        <w:rPr>
          <w:rFonts w:cstheme="majorHAnsi"/>
        </w:rPr>
        <w:fldChar w:fldCharType="begin" w:fldLock="1"/>
      </w:r>
      <w:r w:rsidR="0084184F">
        <w:rPr>
          <w:rFonts w:cstheme="majorHAnsi"/>
        </w:rPr>
        <w:instrText>ADDIN CSL_CITATION {"citationItems":[{"id":"ITEM-1","itemData":{"author":[{"dropping-particle":"","family":"Cambridge Econometrics","given":"","non-dropping-particle":"","parse-names":false,"suffix":""}],"id":"ITEM-1","issued":{"date-parts":[["2019"]]},"title":"Model Manual (V6.1 temporary update) E3ME Technical Manual v6.1","type":"report"},"uris":["http://www.mendeley.com/documents/?uuid=436ac1a4-3a31-34d5-b26b-f33fdabd8e72"]}],"mendeley":{"formattedCitation":"&lt;sup&gt;9&lt;/sup&gt;","plainTextFormattedCitation":"9","previouslyFormattedCitation":"&lt;sup&gt;9&lt;/sup&gt;"},"properties":{"noteIndex":0},"schema":"https://github.com/citation-style-language/schema/raw/master/csl-citation.json"}</w:instrText>
      </w:r>
      <w:r w:rsidR="00200579" w:rsidRPr="00200579">
        <w:rPr>
          <w:rFonts w:cstheme="majorHAnsi"/>
        </w:rPr>
        <w:fldChar w:fldCharType="separate"/>
      </w:r>
      <w:r w:rsidR="00200579" w:rsidRPr="00200579">
        <w:rPr>
          <w:rFonts w:cstheme="majorHAnsi"/>
          <w:noProof/>
          <w:vertAlign w:val="superscript"/>
        </w:rPr>
        <w:t>9</w:t>
      </w:r>
      <w:r w:rsidR="00200579" w:rsidRPr="00200579">
        <w:rPr>
          <w:rFonts w:cstheme="majorHAnsi"/>
        </w:rPr>
        <w:fldChar w:fldCharType="end"/>
      </w:r>
      <w:r w:rsidRPr="00200579">
        <w:rPr>
          <w:rFonts w:cstheme="majorHAnsi"/>
        </w:rPr>
        <w:t>.</w:t>
      </w:r>
      <w:r w:rsidRPr="00195091">
        <w:rPr>
          <w:rFonts w:cstheme="majorHAnsi"/>
        </w:rPr>
        <w:t xml:space="preserve"> </w:t>
      </w:r>
    </w:p>
    <w:p w14:paraId="0199DBB0" w14:textId="05493F10" w:rsidR="0075001B" w:rsidRPr="00195091" w:rsidRDefault="0075001B" w:rsidP="0075001B">
      <w:pPr>
        <w:widowControl w:val="0"/>
        <w:autoSpaceDE w:val="0"/>
        <w:autoSpaceDN w:val="0"/>
        <w:adjustRightInd w:val="0"/>
        <w:rPr>
          <w:rFonts w:cstheme="majorHAnsi"/>
          <w:b/>
          <w:bCs/>
        </w:rPr>
      </w:pPr>
      <w:r w:rsidRPr="00195091">
        <w:rPr>
          <w:rFonts w:cstheme="majorHAnsi"/>
          <w:b/>
          <w:bCs/>
        </w:rPr>
        <w:t>GEM-E3-FIT model</w:t>
      </w:r>
    </w:p>
    <w:p w14:paraId="068DAB8F" w14:textId="54F8A723" w:rsidR="0075001B" w:rsidRPr="00195091" w:rsidRDefault="0075001B" w:rsidP="0075001B">
      <w:pPr>
        <w:widowControl w:val="0"/>
        <w:autoSpaceDE w:val="0"/>
        <w:autoSpaceDN w:val="0"/>
        <w:adjustRightInd w:val="0"/>
        <w:rPr>
          <w:rFonts w:cstheme="majorHAnsi"/>
        </w:rPr>
      </w:pPr>
      <w:r w:rsidRPr="00195091">
        <w:rPr>
          <w:rFonts w:cstheme="majorHAnsi"/>
        </w:rPr>
        <w:t xml:space="preserve">E3Modelling </w:t>
      </w:r>
      <w:r w:rsidRPr="00200579">
        <w:rPr>
          <w:rFonts w:cstheme="majorHAnsi"/>
        </w:rPr>
        <w:t>P.C.’s</w:t>
      </w:r>
      <w:r w:rsidRPr="00195091">
        <w:rPr>
          <w:rFonts w:cstheme="majorHAnsi"/>
        </w:rPr>
        <w:t xml:space="preserve"> </w:t>
      </w:r>
      <w:r w:rsidRPr="00195091">
        <w:rPr>
          <w:rFonts w:cstheme="majorHAnsi"/>
          <w:b/>
          <w:bCs/>
        </w:rPr>
        <w:t>GEM-E3-FIT</w:t>
      </w:r>
      <w:r w:rsidRPr="00195091">
        <w:rPr>
          <w:rFonts w:cstheme="majorHAnsi"/>
        </w:rPr>
        <w:t xml:space="preserve"> model is used for assessing the socio-economic, industrial, trade and distributional consequences of energy and climate policies at national, regional and global levels, including the development of clean energy technologies.</w:t>
      </w:r>
    </w:p>
    <w:p w14:paraId="03FB3E68" w14:textId="6604F0D2" w:rsidR="0075001B" w:rsidRPr="00195091" w:rsidRDefault="0075001B" w:rsidP="0075001B">
      <w:pPr>
        <w:widowControl w:val="0"/>
        <w:tabs>
          <w:tab w:val="left" w:pos="2835"/>
        </w:tabs>
        <w:autoSpaceDE w:val="0"/>
        <w:autoSpaceDN w:val="0"/>
        <w:adjustRightInd w:val="0"/>
        <w:rPr>
          <w:rFonts w:cstheme="majorHAnsi"/>
        </w:rPr>
      </w:pPr>
      <w:r w:rsidRPr="00195091">
        <w:rPr>
          <w:rFonts w:cstheme="majorHAnsi"/>
        </w:rPr>
        <w:t xml:space="preserve">The GEM-E3-FIT model is an advanced and detailed applied Computable General Equilibrium (CGE) model, simultaneously representing 46 countries/regions, including all EU-28 countries individually and the largest economies globally (USA, Japan, Canada, Brazil, China, India, South Korea, Indonesia, Mexico, Argentina, Turkey, Saudi Arabia, Oceania, Russian federation, Energy producing countries, South Africa, Rest of OECD, Rest of the World). GEM-E3-FIT covers the interactions between the economy, the energy system and the environment. It is a comprehensive model of the economy, covering the interlinkages between productive sectors, consumption, price formation of commodities, labour and capital, bilateral trade and investment dynamics. The model is dynamic, recursive over time, driven by accumulation of capital and equipment. Technology progress is explicitly represented depending on learning-by-doing and R&amp;D expenditure by private and public sector and spillover effects. The model features alternative market regimes, discrete representation of power producing technologies, equilibrium unemployment, energy efficiency standards, carbon pricing and formulates emission permits for GHGs. GEM-E3-FIT can quantify the macro-economic, social, employment and distributional impacts of specific environmental and energy policies. The most important results, provided by GEM-E3-FIT, are: </w:t>
      </w:r>
    </w:p>
    <w:p w14:paraId="5895D642" w14:textId="77777777" w:rsidR="0075001B" w:rsidRPr="00195091" w:rsidRDefault="0075001B" w:rsidP="0075001B">
      <w:pPr>
        <w:pStyle w:val="ListParagraph"/>
        <w:numPr>
          <w:ilvl w:val="0"/>
          <w:numId w:val="4"/>
        </w:numPr>
        <w:rPr>
          <w:rFonts w:asciiTheme="majorHAnsi" w:eastAsiaTheme="minorEastAsia" w:hAnsiTheme="majorHAnsi" w:cstheme="majorHAnsi"/>
          <w:color w:val="auto"/>
          <w:sz w:val="22"/>
          <w:lang w:eastAsia="ja-JP"/>
        </w:rPr>
      </w:pPr>
      <w:r w:rsidRPr="00195091">
        <w:rPr>
          <w:rFonts w:asciiTheme="majorHAnsi" w:eastAsiaTheme="minorEastAsia" w:hAnsiTheme="majorHAnsi" w:cstheme="majorHAnsi"/>
          <w:color w:val="auto"/>
          <w:sz w:val="22"/>
          <w:lang w:eastAsia="ja-JP"/>
        </w:rPr>
        <w:t>dynamic annual projections of national accounts by country;</w:t>
      </w:r>
    </w:p>
    <w:p w14:paraId="07497E91" w14:textId="77777777" w:rsidR="0075001B" w:rsidRPr="00195091" w:rsidRDefault="0075001B" w:rsidP="0075001B">
      <w:pPr>
        <w:pStyle w:val="ListParagraph"/>
        <w:numPr>
          <w:ilvl w:val="0"/>
          <w:numId w:val="4"/>
        </w:numPr>
        <w:rPr>
          <w:rFonts w:asciiTheme="majorHAnsi" w:eastAsiaTheme="minorEastAsia" w:hAnsiTheme="majorHAnsi" w:cstheme="majorHAnsi"/>
          <w:color w:val="auto"/>
          <w:sz w:val="22"/>
          <w:lang w:eastAsia="ja-JP"/>
        </w:rPr>
      </w:pPr>
      <w:r w:rsidRPr="00195091">
        <w:rPr>
          <w:rFonts w:asciiTheme="majorHAnsi" w:eastAsiaTheme="minorEastAsia" w:hAnsiTheme="majorHAnsi" w:cstheme="majorHAnsi"/>
          <w:color w:val="auto"/>
          <w:sz w:val="22"/>
          <w:lang w:eastAsia="ja-JP"/>
        </w:rPr>
        <w:t>full Input-Output tables by country;</w:t>
      </w:r>
    </w:p>
    <w:p w14:paraId="298947DC" w14:textId="77777777" w:rsidR="0075001B" w:rsidRPr="00195091" w:rsidRDefault="0075001B" w:rsidP="0075001B">
      <w:pPr>
        <w:pStyle w:val="ListParagraph"/>
        <w:numPr>
          <w:ilvl w:val="0"/>
          <w:numId w:val="4"/>
        </w:numPr>
        <w:rPr>
          <w:rFonts w:asciiTheme="majorHAnsi" w:eastAsiaTheme="minorEastAsia" w:hAnsiTheme="majorHAnsi" w:cstheme="majorHAnsi"/>
          <w:color w:val="auto"/>
          <w:sz w:val="22"/>
          <w:lang w:eastAsia="ja-JP"/>
        </w:rPr>
      </w:pPr>
      <w:r w:rsidRPr="00195091">
        <w:rPr>
          <w:rFonts w:asciiTheme="majorHAnsi" w:eastAsiaTheme="minorEastAsia" w:hAnsiTheme="majorHAnsi" w:cstheme="majorHAnsi"/>
          <w:color w:val="auto"/>
          <w:sz w:val="22"/>
          <w:lang w:eastAsia="ja-JP"/>
        </w:rPr>
        <w:t xml:space="preserve">distribution of income and transfers in the form of a social accounting matrix by country, </w:t>
      </w:r>
    </w:p>
    <w:p w14:paraId="12968BD5" w14:textId="77777777" w:rsidR="0075001B" w:rsidRPr="00195091" w:rsidRDefault="0075001B" w:rsidP="0075001B">
      <w:pPr>
        <w:pStyle w:val="ListParagraph"/>
        <w:numPr>
          <w:ilvl w:val="0"/>
          <w:numId w:val="4"/>
        </w:numPr>
        <w:rPr>
          <w:rFonts w:asciiTheme="majorHAnsi" w:eastAsiaTheme="minorEastAsia" w:hAnsiTheme="majorHAnsi" w:cstheme="majorHAnsi"/>
          <w:color w:val="auto"/>
          <w:sz w:val="22"/>
          <w:lang w:eastAsia="ja-JP"/>
        </w:rPr>
      </w:pPr>
      <w:r w:rsidRPr="00195091">
        <w:rPr>
          <w:rFonts w:asciiTheme="majorHAnsi" w:eastAsiaTheme="minorEastAsia" w:hAnsiTheme="majorHAnsi" w:cstheme="majorHAnsi"/>
          <w:color w:val="auto"/>
          <w:sz w:val="22"/>
          <w:lang w:eastAsia="ja-JP"/>
        </w:rPr>
        <w:t>employment by economic activity and by skill and unemployment rates;</w:t>
      </w:r>
    </w:p>
    <w:p w14:paraId="347F13BE" w14:textId="77777777" w:rsidR="0075001B" w:rsidRPr="00195091" w:rsidRDefault="0075001B" w:rsidP="0075001B">
      <w:pPr>
        <w:pStyle w:val="ListParagraph"/>
        <w:numPr>
          <w:ilvl w:val="0"/>
          <w:numId w:val="4"/>
        </w:numPr>
        <w:rPr>
          <w:rFonts w:asciiTheme="majorHAnsi" w:eastAsiaTheme="minorEastAsia" w:hAnsiTheme="majorHAnsi" w:cstheme="majorHAnsi"/>
          <w:color w:val="auto"/>
          <w:sz w:val="22"/>
          <w:lang w:eastAsia="ja-JP"/>
        </w:rPr>
      </w:pPr>
      <w:r w:rsidRPr="00195091">
        <w:rPr>
          <w:rFonts w:asciiTheme="majorHAnsi" w:eastAsiaTheme="minorEastAsia" w:hAnsiTheme="majorHAnsi" w:cstheme="majorHAnsi"/>
          <w:color w:val="auto"/>
          <w:sz w:val="22"/>
          <w:lang w:eastAsia="ja-JP"/>
        </w:rPr>
        <w:t>capital and investment by country and sector;</w:t>
      </w:r>
    </w:p>
    <w:p w14:paraId="0A251DB1" w14:textId="77777777" w:rsidR="0075001B" w:rsidRPr="00195091" w:rsidRDefault="0075001B" w:rsidP="0075001B">
      <w:pPr>
        <w:pStyle w:val="ListParagraph"/>
        <w:numPr>
          <w:ilvl w:val="0"/>
          <w:numId w:val="4"/>
        </w:numPr>
        <w:rPr>
          <w:rFonts w:asciiTheme="majorHAnsi" w:eastAsiaTheme="minorEastAsia" w:hAnsiTheme="majorHAnsi" w:cstheme="majorHAnsi"/>
          <w:color w:val="auto"/>
          <w:sz w:val="22"/>
          <w:lang w:eastAsia="ja-JP"/>
        </w:rPr>
      </w:pPr>
      <w:r w:rsidRPr="00195091">
        <w:rPr>
          <w:rFonts w:asciiTheme="majorHAnsi" w:eastAsiaTheme="minorEastAsia" w:hAnsiTheme="majorHAnsi" w:cstheme="majorHAnsi"/>
          <w:color w:val="auto"/>
          <w:sz w:val="22"/>
          <w:lang w:eastAsia="ja-JP"/>
        </w:rPr>
        <w:t>CO</w:t>
      </w:r>
      <w:r w:rsidRPr="00195091">
        <w:rPr>
          <w:rFonts w:asciiTheme="majorHAnsi" w:eastAsiaTheme="minorEastAsia" w:hAnsiTheme="majorHAnsi" w:cstheme="majorHAnsi"/>
          <w:color w:val="auto"/>
          <w:sz w:val="22"/>
          <w:vertAlign w:val="subscript"/>
          <w:lang w:eastAsia="ja-JP"/>
        </w:rPr>
        <w:t>2</w:t>
      </w:r>
      <w:r w:rsidRPr="00195091">
        <w:rPr>
          <w:rFonts w:asciiTheme="majorHAnsi" w:eastAsiaTheme="minorEastAsia" w:hAnsiTheme="majorHAnsi" w:cstheme="majorHAnsi"/>
          <w:color w:val="auto"/>
          <w:sz w:val="22"/>
          <w:lang w:eastAsia="ja-JP"/>
        </w:rPr>
        <w:t xml:space="preserve"> and GHG emissions by country, sector and fuel;</w:t>
      </w:r>
    </w:p>
    <w:p w14:paraId="4CF0D595" w14:textId="77777777" w:rsidR="0075001B" w:rsidRPr="00195091" w:rsidRDefault="0075001B" w:rsidP="0075001B">
      <w:pPr>
        <w:pStyle w:val="ListParagraph"/>
        <w:numPr>
          <w:ilvl w:val="0"/>
          <w:numId w:val="4"/>
        </w:numPr>
        <w:rPr>
          <w:rFonts w:asciiTheme="majorHAnsi" w:eastAsiaTheme="minorEastAsia" w:hAnsiTheme="majorHAnsi" w:cstheme="majorHAnsi"/>
          <w:color w:val="auto"/>
          <w:sz w:val="22"/>
          <w:lang w:eastAsia="ja-JP"/>
        </w:rPr>
      </w:pPr>
      <w:r w:rsidRPr="00195091">
        <w:rPr>
          <w:rFonts w:asciiTheme="majorHAnsi" w:eastAsiaTheme="minorEastAsia" w:hAnsiTheme="majorHAnsi" w:cstheme="majorHAnsi"/>
          <w:color w:val="auto"/>
          <w:sz w:val="22"/>
          <w:lang w:eastAsia="ja-JP"/>
        </w:rPr>
        <w:lastRenderedPageBreak/>
        <w:t>consumption matrix by product and investment matrix by ownership branch;</w:t>
      </w:r>
    </w:p>
    <w:p w14:paraId="4E3E9D81" w14:textId="77777777" w:rsidR="0075001B" w:rsidRPr="00195091" w:rsidRDefault="0075001B" w:rsidP="0075001B">
      <w:pPr>
        <w:pStyle w:val="ListParagraph"/>
        <w:numPr>
          <w:ilvl w:val="0"/>
          <w:numId w:val="4"/>
        </w:numPr>
        <w:rPr>
          <w:rFonts w:asciiTheme="majorHAnsi" w:eastAsiaTheme="minorEastAsia" w:hAnsiTheme="majorHAnsi" w:cstheme="majorHAnsi"/>
          <w:color w:val="auto"/>
          <w:sz w:val="22"/>
          <w:lang w:eastAsia="ja-JP"/>
        </w:rPr>
      </w:pPr>
      <w:r w:rsidRPr="00195091">
        <w:rPr>
          <w:rFonts w:asciiTheme="majorHAnsi" w:eastAsiaTheme="minorEastAsia" w:hAnsiTheme="majorHAnsi" w:cstheme="majorHAnsi"/>
          <w:color w:val="auto"/>
          <w:sz w:val="22"/>
          <w:lang w:eastAsia="ja-JP"/>
        </w:rPr>
        <w:t>full bilateral trade matrices among all countries and sectors;</w:t>
      </w:r>
    </w:p>
    <w:p w14:paraId="532D38AD" w14:textId="77777777" w:rsidR="0075001B" w:rsidRPr="00195091" w:rsidRDefault="0075001B" w:rsidP="0075001B">
      <w:pPr>
        <w:pStyle w:val="ListParagraph"/>
        <w:numPr>
          <w:ilvl w:val="0"/>
          <w:numId w:val="4"/>
        </w:numPr>
        <w:rPr>
          <w:rFonts w:asciiTheme="majorHAnsi" w:eastAsiaTheme="minorEastAsia" w:hAnsiTheme="majorHAnsi" w:cstheme="majorHAnsi"/>
          <w:color w:val="auto"/>
          <w:sz w:val="22"/>
          <w:lang w:eastAsia="ja-JP"/>
        </w:rPr>
      </w:pPr>
      <w:r w:rsidRPr="00195091">
        <w:rPr>
          <w:rFonts w:asciiTheme="majorHAnsi" w:eastAsiaTheme="minorEastAsia" w:hAnsiTheme="majorHAnsi" w:cstheme="majorHAnsi"/>
          <w:color w:val="auto"/>
          <w:sz w:val="22"/>
          <w:lang w:eastAsia="ja-JP"/>
        </w:rPr>
        <w:t>energy demand and supply by sector and fuel, power generation mix, deployment of transport technologies energy efficiency improvements.</w:t>
      </w:r>
    </w:p>
    <w:p w14:paraId="08E42463" w14:textId="722D7A26" w:rsidR="0075001B" w:rsidRPr="00195091" w:rsidRDefault="001B2D6D" w:rsidP="0075001B">
      <w:pPr>
        <w:pStyle w:val="Heading1"/>
        <w:numPr>
          <w:ilvl w:val="0"/>
          <w:numId w:val="0"/>
        </w:numPr>
        <w:ind w:left="432" w:hanging="432"/>
        <w:rPr>
          <w:rFonts w:cstheme="majorHAnsi"/>
        </w:rPr>
      </w:pPr>
      <w:r>
        <w:rPr>
          <w:rFonts w:cstheme="majorHAnsi"/>
        </w:rPr>
        <w:t xml:space="preserve">Supplementary </w:t>
      </w:r>
      <w:r w:rsidR="007B55E3">
        <w:rPr>
          <w:rFonts w:cstheme="majorHAnsi"/>
        </w:rPr>
        <w:t>Data</w:t>
      </w:r>
      <w:r w:rsidR="0075001B" w:rsidRPr="00195091">
        <w:rPr>
          <w:rFonts w:cstheme="majorHAnsi"/>
        </w:rPr>
        <w:t xml:space="preserve"> </w:t>
      </w:r>
      <w:r w:rsidR="007B55E3">
        <w:rPr>
          <w:rFonts w:cstheme="majorHAnsi"/>
        </w:rPr>
        <w:t>2</w:t>
      </w:r>
      <w:r w:rsidR="00195091" w:rsidRPr="00195091">
        <w:rPr>
          <w:rFonts w:cstheme="majorHAnsi"/>
        </w:rPr>
        <w:t>:</w:t>
      </w:r>
      <w:r w:rsidR="0075001B" w:rsidRPr="00195091">
        <w:rPr>
          <w:rFonts w:cstheme="majorHAnsi"/>
        </w:rPr>
        <w:t xml:space="preserve"> Implementation of COVID-19 impact in the IMAGE model</w:t>
      </w:r>
    </w:p>
    <w:p w14:paraId="33548DC8" w14:textId="04D85ECB" w:rsidR="0075001B" w:rsidRPr="00195091" w:rsidRDefault="0075001B" w:rsidP="5C8B0AF3">
      <w:pPr>
        <w:pStyle w:val="paragraph"/>
        <w:spacing w:before="0" w:beforeAutospacing="0" w:after="0" w:afterAutospacing="0"/>
        <w:textAlignment w:val="baseline"/>
        <w:rPr>
          <w:rStyle w:val="eop"/>
          <w:rFonts w:asciiTheme="majorHAnsi" w:eastAsiaTheme="majorEastAsia" w:hAnsiTheme="majorHAnsi" w:cstheme="majorBidi"/>
          <w:b/>
          <w:bCs/>
          <w:sz w:val="22"/>
          <w:szCs w:val="22"/>
          <w:lang w:val="en-US"/>
        </w:rPr>
      </w:pPr>
      <w:r w:rsidRPr="5C8B0AF3">
        <w:rPr>
          <w:rStyle w:val="eop"/>
          <w:rFonts w:asciiTheme="majorHAnsi" w:eastAsiaTheme="majorEastAsia" w:hAnsiTheme="majorHAnsi" w:cstheme="majorBidi"/>
          <w:b/>
          <w:bCs/>
          <w:sz w:val="22"/>
          <w:szCs w:val="22"/>
          <w:lang w:val="en-US"/>
        </w:rPr>
        <w:t>COVID scenario</w:t>
      </w:r>
    </w:p>
    <w:p w14:paraId="4DD004C0" w14:textId="6B7B6C72" w:rsidR="0075001B" w:rsidRPr="00195091" w:rsidRDefault="0075001B" w:rsidP="0075001B">
      <w:pPr>
        <w:rPr>
          <w:rFonts w:cstheme="majorHAnsi"/>
          <w:sz w:val="18"/>
          <w:szCs w:val="18"/>
          <w:lang w:eastAsia="nl-NL"/>
        </w:rPr>
      </w:pPr>
      <w:r w:rsidRPr="00195091">
        <w:rPr>
          <w:rFonts w:cstheme="majorHAnsi"/>
          <w:lang w:eastAsia="nl-NL"/>
        </w:rPr>
        <w:t>IMAGE’s economic activity drivers are the GDP per capita, Personal Consumption per capita, and the Value Added for the following economic sectors: Industry (IVA), Services (SVA) and Agriculture (AVA) per capita. The information on economic activity drivers comes from the World Bank’s World Development Indicators for the historic period. It is transformed into per capita values based on population data from the United Nations up to 2019 are available for each country. The values are then projected to 2100 using the SSP scenario growth rates established by GDP scenarios</w:t>
      </w:r>
      <w:r w:rsidR="0084184F">
        <w:rPr>
          <w:rFonts w:cstheme="majorHAnsi"/>
          <w:lang w:eastAsia="nl-NL"/>
        </w:rPr>
        <w:fldChar w:fldCharType="begin" w:fldLock="1"/>
      </w:r>
      <w:r w:rsidR="0084184F">
        <w:rPr>
          <w:rFonts w:cstheme="majorHAnsi"/>
          <w:lang w:eastAsia="nl-NL"/>
        </w:rPr>
        <w:instrText>ADDIN CSL_CITATION {"citationItems":[{"id":"ITEM-1","itemData":{"DOI":"10.1016/j.gloenvcha.2015.06.004","ISSN":"09593780","abstract":"Long-term economic scenarios (up to 2100) are needed as a basis to explore possible different futures for major environmental challenges, including climate change. Given the high level of uncertainty involved, such scenarios would need to span a wide range of possible growth trajectories. The recently developed storylines of the Shared Socioeconomic Pathways (SSPs) provide a basis for making such projections. This paper describes a consistent methodology to derive (per capita) GDP trend pathways on a country basis. The methodology is based on a convergence process and places emphasis on the key drivers of economic growth in the long run: population, total factor productivity, physical capital, employment and human capital, and energy and fossil fuel resources (specifically oil and gas). The paper uses this methodology to derive country-level economic growth projections for 184 countries. The paper also investigates the influence of short-term growth rate estimates on the long-term income levels in various countries. It does so by comparing long-term projections based on short-term forecasts from 2011 with the projections based on forecasts from 2013. This highlights the effects of the recent economic crisis and uncertainty in short term developments on longer term growth trends. The projections are subject to large uncertainties, particularly for the later decades, and disregard a wide range of country-specific drivers of economic growth that are outside the narrow economic framework, such as external shocks, governance barriers and feedbacks from environmental damage. Hence, they should be interpreted with sufficient care and not be treated as predictions.","author":[{"dropping-particle":"","family":"Dellink","given":"Rob","non-dropping-particle":"","parse-names":false,"suffix":""},{"dropping-particle":"","family":"Chateau","given":"Jean","non-dropping-particle":"","parse-names":false,"suffix":""},{"dropping-particle":"","family":"Lanzi","given":"Elisa","non-dropping-particle":"","parse-names":false,"suffix":""},{"dropping-particle":"","family":"Magné","given":"Bertrand","non-dropping-particle":"","parse-names":false,"suffix":""}],"container-title":"Global Environmental Change","id":"ITEM-1","issued":{"date-parts":[["2017","1","1"]]},"page":"200-214","publisher":"Elsevier Ltd","title":"Long-term economic growth projections in the Shared Socioeconomic Pathways","type":"article-journal","volume":"42"},"uris":["http://www.mendeley.com/documents/?uuid=a8933bff-3fdc-3e4c-bbe5-373545921327"]}],"mendeley":{"formattedCitation":"&lt;sup&gt;15&lt;/sup&gt;","plainTextFormattedCitation":"15","previouslyFormattedCitation":"&lt;sup&gt;15&lt;/sup&gt;"},"properties":{"noteIndex":0},"schema":"https://github.com/citation-style-language/schema/raw/master/csl-citation.json"}</w:instrText>
      </w:r>
      <w:r w:rsidR="0084184F">
        <w:rPr>
          <w:rFonts w:cstheme="majorHAnsi"/>
          <w:lang w:eastAsia="nl-NL"/>
        </w:rPr>
        <w:fldChar w:fldCharType="separate"/>
      </w:r>
      <w:r w:rsidR="0084184F" w:rsidRPr="0084184F">
        <w:rPr>
          <w:rFonts w:cstheme="majorHAnsi"/>
          <w:noProof/>
          <w:vertAlign w:val="superscript"/>
          <w:lang w:eastAsia="nl-NL"/>
        </w:rPr>
        <w:t>15</w:t>
      </w:r>
      <w:r w:rsidR="0084184F">
        <w:rPr>
          <w:rFonts w:cstheme="majorHAnsi"/>
          <w:lang w:eastAsia="nl-NL"/>
        </w:rPr>
        <w:fldChar w:fldCharType="end"/>
      </w:r>
      <w:r w:rsidR="0084184F">
        <w:rPr>
          <w:rFonts w:cstheme="majorHAnsi"/>
          <w:lang w:eastAsia="nl-NL"/>
        </w:rPr>
        <w:t xml:space="preserve"> an</w:t>
      </w:r>
      <w:r w:rsidRPr="00195091">
        <w:rPr>
          <w:rFonts w:cstheme="majorHAnsi"/>
          <w:lang w:eastAsia="nl-NL"/>
        </w:rPr>
        <w:t>d population</w:t>
      </w:r>
      <w:r w:rsidR="005836B6">
        <w:rPr>
          <w:rFonts w:cstheme="majorHAnsi"/>
          <w:lang w:eastAsia="nl-NL"/>
        </w:rPr>
        <w:t xml:space="preserve"> p</w:t>
      </w:r>
      <w:r w:rsidRPr="00195091">
        <w:rPr>
          <w:rFonts w:cstheme="majorHAnsi"/>
          <w:lang w:eastAsia="nl-NL"/>
        </w:rPr>
        <w:t>rojections consistent with the SSP storylines.  </w:t>
      </w:r>
    </w:p>
    <w:p w14:paraId="50AA1C6E" w14:textId="452DB025" w:rsidR="0075001B" w:rsidRPr="00690CF9" w:rsidRDefault="0075001B" w:rsidP="00690CF9">
      <w:pPr>
        <w:rPr>
          <w:rFonts w:cstheme="majorBidi"/>
          <w:sz w:val="18"/>
          <w:szCs w:val="18"/>
          <w:lang w:eastAsia="nl-NL"/>
        </w:rPr>
      </w:pPr>
      <w:r w:rsidRPr="5C8B0AF3">
        <w:rPr>
          <w:rFonts w:cstheme="majorBidi"/>
          <w:lang w:eastAsia="nl-NL"/>
        </w:rPr>
        <w:t>In collaboration with the E3ME and GEM-E3-FIT macroeconomic models, updated GDP and added value projections were calculated, using the data from the OECD Economic Outlook from September 2020</w:t>
      </w:r>
      <w:r w:rsidRPr="5C8B0AF3">
        <w:rPr>
          <w:rFonts w:cstheme="majorBidi"/>
          <w:lang w:eastAsia="nl-NL"/>
        </w:rPr>
        <w:fldChar w:fldCharType="begin" w:fldLock="1"/>
      </w:r>
      <w:r w:rsidRPr="5C8B0AF3">
        <w:rPr>
          <w:rFonts w:cstheme="majorBidi"/>
          <w:lang w:eastAsia="nl-NL"/>
        </w:rPr>
        <w:instrText>ADDIN CSL_CITATION {"citationItems":[{"id":"ITEM-1","itemData":{"author":[{"dropping-particle":"","family":"Organization for Economic Co-operation and Development","given":"","non-dropping-particle":"","parse-names":false,"suffix":""}],"id":"ITEM-1","issued":{"date-parts":[["2020"]]},"title":"OECD Economic Outlook, Interim Report Coronavirus (COVID-19): Living with uncertainty","type":"report"},"uris":["http://www.mendeley.com/documents/?uuid=8cd75bef-3465-38df-9383-951a41592ca5"]}],"mendeley":{"formattedCitation":"&lt;sup&gt;16&lt;/sup&gt;","plainTextFormattedCitation":"16","previouslyFormattedCitation":"&lt;sup&gt;16&lt;/sup&gt;"},"properties":{"noteIndex":0},"schema":"https://github.com/citation-style-language/schema/raw/master/csl-citation.json"}</w:instrText>
      </w:r>
      <w:r w:rsidRPr="5C8B0AF3">
        <w:rPr>
          <w:rFonts w:cstheme="majorBidi"/>
          <w:lang w:eastAsia="nl-NL"/>
        </w:rPr>
        <w:fldChar w:fldCharType="separate"/>
      </w:r>
      <w:r w:rsidR="0084184F" w:rsidRPr="5C8B0AF3">
        <w:rPr>
          <w:rFonts w:cstheme="majorBidi"/>
          <w:noProof/>
          <w:vertAlign w:val="superscript"/>
          <w:lang w:eastAsia="nl-NL"/>
        </w:rPr>
        <w:t>16</w:t>
      </w:r>
      <w:r w:rsidRPr="5C8B0AF3">
        <w:rPr>
          <w:rFonts w:cstheme="majorBidi"/>
          <w:lang w:eastAsia="nl-NL"/>
        </w:rPr>
        <w:fldChar w:fldCharType="end"/>
      </w:r>
      <w:r w:rsidRPr="5C8B0AF3">
        <w:rPr>
          <w:rFonts w:cstheme="majorBidi"/>
          <w:lang w:eastAsia="nl-NL"/>
        </w:rPr>
        <w:t xml:space="preserve"> (for non-EU countries, if available), the IMF World Economic outlook from June 2020</w:t>
      </w:r>
      <w:r w:rsidRPr="5C8B0AF3">
        <w:rPr>
          <w:rFonts w:cstheme="majorBidi"/>
          <w:lang w:eastAsia="nl-NL"/>
        </w:rPr>
        <w:fldChar w:fldCharType="begin" w:fldLock="1"/>
      </w:r>
      <w:r w:rsidRPr="5C8B0AF3">
        <w:rPr>
          <w:rFonts w:cstheme="majorBidi"/>
          <w:lang w:eastAsia="nl-NL"/>
        </w:rPr>
        <w:instrText>ADDIN CSL_CITATION {"citationItems":[{"id":"ITEM-1","itemData":{"author":[{"dropping-particle":"","family":"International Monetary Fund","given":"","non-dropping-particle":"","parse-names":false,"suffix":""}],"id":"ITEM-1","issued":{"date-parts":[["2020"]]},"title":"World Economic Outlook Update, June 2020: A Crisis Like No Other, An Uncertain Recovery","type":"report"},"uris":["http://www.mendeley.com/documents/?uuid=9092f5d2-03da-3047-a309-8998e408e556"]}],"mendeley":{"formattedCitation":"&lt;sup&gt;17&lt;/sup&gt;","plainTextFormattedCitation":"17","previouslyFormattedCitation":"&lt;sup&gt;17&lt;/sup&gt;"},"properties":{"noteIndex":0},"schema":"https://github.com/citation-style-language/schema/raw/master/csl-citation.json"}</w:instrText>
      </w:r>
      <w:r w:rsidRPr="5C8B0AF3">
        <w:rPr>
          <w:rFonts w:cstheme="majorBidi"/>
          <w:lang w:eastAsia="nl-NL"/>
        </w:rPr>
        <w:fldChar w:fldCharType="separate"/>
      </w:r>
      <w:r w:rsidR="0084184F" w:rsidRPr="5C8B0AF3">
        <w:rPr>
          <w:rFonts w:cstheme="majorBidi"/>
          <w:noProof/>
          <w:vertAlign w:val="superscript"/>
          <w:lang w:eastAsia="nl-NL"/>
        </w:rPr>
        <w:t>17</w:t>
      </w:r>
      <w:r w:rsidRPr="5C8B0AF3">
        <w:rPr>
          <w:rFonts w:cstheme="majorBidi"/>
          <w:lang w:eastAsia="nl-NL"/>
        </w:rPr>
        <w:fldChar w:fldCharType="end"/>
      </w:r>
      <w:r w:rsidRPr="5C8B0AF3">
        <w:rPr>
          <w:rFonts w:cstheme="majorBidi"/>
          <w:lang w:eastAsia="nl-NL"/>
        </w:rPr>
        <w:t>, the World Bank Global Economic prospects report from June 2020</w:t>
      </w:r>
      <w:r w:rsidRPr="5C8B0AF3">
        <w:rPr>
          <w:rFonts w:cstheme="majorBidi"/>
          <w:lang w:eastAsia="nl-NL"/>
        </w:rPr>
        <w:fldChar w:fldCharType="begin" w:fldLock="1"/>
      </w:r>
      <w:r w:rsidRPr="5C8B0AF3">
        <w:rPr>
          <w:rFonts w:cstheme="majorBidi"/>
          <w:lang w:eastAsia="nl-NL"/>
        </w:rPr>
        <w:instrText>ADDIN CSL_CITATION {"citationItems":[{"id":"ITEM-1","itemData":{"ISBN":"5163","PMID":"1025","abstract":"This paper discusses short-run and long-run effects of\"green stimulus\"efforts, and compares these effects with\"non-green\"fiscal stimuli. Green stimulus is defined here as short-run fiscal stimuli that also serve a\"green\"or environmental purpose in a situation of\"crisis\"characterized by temporary under-employment. A number of recently enacted national stimulus packages contain sizeable\"green\"components. The authors categorize effects according to their a) short-run employment effects, b) long-run growth effects, c) effects on carbon emissions, and d)\"co-benefit\"effects (on the environment, natural resources, and for other externalities). The most beneficial\"green\"programs in times of crisis are those that can stimulate employment in the short run, and lead to large\"learning curve\"effects via lower production costs in the longer term. The overall assessment is that most\"green stimulus\"programs that have large short-run employment and environmental effects are likely to have less significant positive effects for long-run growth, and vice versa, implying a trade-off in many cases between short-run and long-run impacts. There are also trade-offs for employment generation in that programs that yield larger (smaller) employment effects tend to lead to more employment gains for largely lower-skilled (higher-skilled) workers, so that the long-term growth effects are relatively small (large). Ultimately, the results reinforce the point that different instruments are needed for addressing different problems.","author":[{"dropping-particle":"","family":"Strand","given":"J.","non-dropping-particle":"","parse-names":false,"suffix":""},{"dropping-particle":"","family":"Toman","given":"M.","non-dropping-particle":"","parse-names":false,"suffix":""}],"container-title":"The World Bank – Policy Research Working Paper No. 5163","id":"ITEM-1","issue":"January","issued":{"date-parts":[["2010"]]},"page":"1-30","title":"''Green Stimulus,\" Economic Recovery, and Long-Term Sustainable Development\"","type":"article-journal"},"uris":["http://www.mendeley.com/documents/?uuid=7838159c-2b2a-4dc6-af39-b65150552516"]}],"mendeley":{"formattedCitation":"&lt;sup&gt;18&lt;/sup&gt;","plainTextFormattedCitation":"18","previouslyFormattedCitation":"&lt;sup&gt;18&lt;/sup&gt;"},"properties":{"noteIndex":0},"schema":"https://github.com/citation-style-language/schema/raw/master/csl-citation.json"}</w:instrText>
      </w:r>
      <w:r w:rsidRPr="5C8B0AF3">
        <w:rPr>
          <w:rFonts w:cstheme="majorBidi"/>
          <w:lang w:eastAsia="nl-NL"/>
        </w:rPr>
        <w:fldChar w:fldCharType="separate"/>
      </w:r>
      <w:r w:rsidR="0084184F" w:rsidRPr="5C8B0AF3">
        <w:rPr>
          <w:rFonts w:cstheme="majorBidi"/>
          <w:noProof/>
          <w:vertAlign w:val="superscript"/>
          <w:lang w:eastAsia="nl-NL"/>
        </w:rPr>
        <w:t>18</w:t>
      </w:r>
      <w:r w:rsidRPr="5C8B0AF3">
        <w:rPr>
          <w:rFonts w:cstheme="majorBidi"/>
          <w:lang w:eastAsia="nl-NL"/>
        </w:rPr>
        <w:fldChar w:fldCharType="end"/>
      </w:r>
      <w:r w:rsidRPr="5C8B0AF3">
        <w:rPr>
          <w:rFonts w:cstheme="majorBidi"/>
          <w:lang w:eastAsia="nl-NL"/>
        </w:rPr>
        <w:t xml:space="preserve"> and the Autumn Economic Forecast from November 2020</w:t>
      </w:r>
      <w:r w:rsidRPr="5C8B0AF3">
        <w:rPr>
          <w:rFonts w:cstheme="majorBidi"/>
          <w:lang w:eastAsia="nl-NL"/>
        </w:rPr>
        <w:fldChar w:fldCharType="begin" w:fldLock="1"/>
      </w:r>
      <w:r w:rsidRPr="5C8B0AF3">
        <w:rPr>
          <w:rFonts w:cstheme="majorBidi"/>
          <w:lang w:eastAsia="nl-NL"/>
        </w:rPr>
        <w:instrText>ADDIN CSL_CITATION {"citationItems":[{"id":"ITEM-1","itemData":{"author":[{"dropping-particle":"","family":"European Commission","given":"","non-dropping-particle":"","parse-names":false,"suffix":""}],"id":"ITEM-1","issued":{"date-parts":[["2020"]]},"title":"Summer Economic forecast 2020","type":"report"},"uris":["http://www.mendeley.com/documents/?uuid=a31deddf-d9b9-3387-b245-4f1075abfd48"]}],"mendeley":{"formattedCitation":"&lt;sup&gt;19&lt;/sup&gt;","plainTextFormattedCitation":"19","previouslyFormattedCitation":"&lt;sup&gt;19&lt;/sup&gt;"},"properties":{"noteIndex":0},"schema":"https://github.com/citation-style-language/schema/raw/master/csl-citation.json"}</w:instrText>
      </w:r>
      <w:r w:rsidRPr="5C8B0AF3">
        <w:rPr>
          <w:rFonts w:cstheme="majorBidi"/>
          <w:lang w:eastAsia="nl-NL"/>
        </w:rPr>
        <w:fldChar w:fldCharType="separate"/>
      </w:r>
      <w:r w:rsidR="0084184F" w:rsidRPr="5C8B0AF3">
        <w:rPr>
          <w:rFonts w:cstheme="majorBidi"/>
          <w:noProof/>
          <w:vertAlign w:val="superscript"/>
          <w:lang w:eastAsia="nl-NL"/>
        </w:rPr>
        <w:t>19</w:t>
      </w:r>
      <w:r w:rsidRPr="5C8B0AF3">
        <w:rPr>
          <w:rFonts w:cstheme="majorBidi"/>
          <w:lang w:eastAsia="nl-NL"/>
        </w:rPr>
        <w:fldChar w:fldCharType="end"/>
      </w:r>
      <w:r w:rsidRPr="5C8B0AF3">
        <w:rPr>
          <w:rFonts w:cstheme="majorBidi"/>
          <w:lang w:eastAsia="nl-NL"/>
        </w:rPr>
        <w:t xml:space="preserve"> (for EU countries), for the years 2020 to 2025. The </w:t>
      </w:r>
      <w:r w:rsidR="0FD34573" w:rsidRPr="5C8B0AF3">
        <w:rPr>
          <w:rFonts w:cstheme="majorBidi"/>
          <w:lang w:eastAsia="nl-NL"/>
        </w:rPr>
        <w:t>Reference scenario</w:t>
      </w:r>
      <w:r w:rsidRPr="5C8B0AF3">
        <w:rPr>
          <w:rFonts w:cstheme="majorBidi"/>
          <w:lang w:eastAsia="nl-NL"/>
        </w:rPr>
        <w:t xml:space="preserve"> growth rates resumed from 2026 onwards.  </w:t>
      </w:r>
    </w:p>
    <w:p w14:paraId="29117AD5" w14:textId="77777777" w:rsidR="0075001B" w:rsidRPr="00195091" w:rsidRDefault="0075001B" w:rsidP="0075001B">
      <w:pPr>
        <w:spacing w:after="0" w:line="240" w:lineRule="auto"/>
        <w:textAlignment w:val="baseline"/>
        <w:rPr>
          <w:rFonts w:eastAsia="Times New Roman" w:cstheme="majorHAnsi"/>
          <w:b/>
          <w:sz w:val="24"/>
          <w:szCs w:val="24"/>
          <w:lang w:eastAsia="nl-NL"/>
        </w:rPr>
      </w:pPr>
      <w:r w:rsidRPr="00195091">
        <w:rPr>
          <w:rFonts w:eastAsia="Times New Roman" w:cstheme="majorHAnsi"/>
          <w:b/>
          <w:sz w:val="24"/>
          <w:szCs w:val="24"/>
          <w:lang w:eastAsia="nl-NL"/>
        </w:rPr>
        <w:t xml:space="preserve">Sectoral activity levels </w:t>
      </w:r>
    </w:p>
    <w:p w14:paraId="4AC65800" w14:textId="07F47287" w:rsidR="0075001B" w:rsidRPr="00690CF9" w:rsidRDefault="0075001B" w:rsidP="0075001B">
      <w:pPr>
        <w:rPr>
          <w:rFonts w:eastAsia="Times New Roman" w:cstheme="majorHAnsi"/>
          <w:lang w:eastAsia="nl-NL"/>
        </w:rPr>
      </w:pPr>
      <w:r w:rsidRPr="00195091">
        <w:rPr>
          <w:rStyle w:val="normaltextrun"/>
          <w:rFonts w:cstheme="majorHAnsi"/>
          <w:color w:val="000000"/>
          <w:shd w:val="clear" w:color="auto" w:fill="FFFFFF"/>
        </w:rPr>
        <w:t>While IMAGE is partly steered by macro-indicators such as income and GDP, long-term policies, and structural changes, the calculated impact of the macro-economic indicators changes is not enough to capture the pandemic's full effect on sectoral activity levels and the related CO</w:t>
      </w:r>
      <w:r w:rsidRPr="00195091">
        <w:rPr>
          <w:rStyle w:val="normaltextrun"/>
          <w:rFonts w:cstheme="majorHAnsi"/>
          <w:color w:val="000000"/>
          <w:sz w:val="13"/>
          <w:szCs w:val="13"/>
          <w:shd w:val="clear" w:color="auto" w:fill="FFFFFF"/>
          <w:vertAlign w:val="subscript"/>
        </w:rPr>
        <w:t>2</w:t>
      </w:r>
      <w:r w:rsidRPr="00195091">
        <w:rPr>
          <w:rStyle w:val="normaltextrun"/>
          <w:rFonts w:cstheme="majorHAnsi"/>
          <w:color w:val="000000"/>
          <w:shd w:val="clear" w:color="auto" w:fill="FFFFFF"/>
        </w:rPr>
        <w:t> emissions. The sharp drop in aviation activity, road transport and industry was not so much a result of GDP loss but of strict lockdown measures or </w:t>
      </w:r>
      <w:r w:rsidR="003004B4" w:rsidRPr="00195091">
        <w:rPr>
          <w:rStyle w:val="normaltextrun"/>
          <w:rFonts w:cstheme="majorHAnsi"/>
          <w:color w:val="000000"/>
          <w:shd w:val="clear" w:color="auto" w:fill="FFFFFF"/>
        </w:rPr>
        <w:t>behavioral</w:t>
      </w:r>
      <w:r w:rsidRPr="00195091">
        <w:rPr>
          <w:rStyle w:val="normaltextrun"/>
          <w:rFonts w:cstheme="majorHAnsi"/>
          <w:color w:val="000000"/>
          <w:shd w:val="clear" w:color="auto" w:fill="FFFFFF"/>
        </w:rPr>
        <w:t> changes – flight and surface transport restrictions, decline in demand and production and teleworking increase. To accurately capture the activity levels in different sectors, the reduction in activities was calculated based on respective data sources. Consequently, the IMAGE model calculations were adjusted to simulate the additional drop in activity levels (on top of the activity level drop due to GDP loss) in 2020 and the projections for the short-term future activity levels. Detailed information on the improvement introduced for each sector can be found below. The changes in energy and electricity supply are assumed to be adequately proxied via the decline in demand through the industry, transport, residential and service buildings sectors. </w:t>
      </w:r>
      <w:r w:rsidRPr="00195091">
        <w:rPr>
          <w:rStyle w:val="eop"/>
          <w:rFonts w:cstheme="majorHAnsi"/>
          <w:color w:val="000000"/>
          <w:shd w:val="clear" w:color="auto" w:fill="FFFFFF"/>
        </w:rPr>
        <w:t> </w:t>
      </w:r>
    </w:p>
    <w:p w14:paraId="362AC9BF" w14:textId="77777777" w:rsidR="0075001B" w:rsidRPr="00195091" w:rsidRDefault="0075001B" w:rsidP="0075001B">
      <w:pPr>
        <w:spacing w:after="0" w:line="240" w:lineRule="auto"/>
        <w:textAlignment w:val="baseline"/>
        <w:rPr>
          <w:rFonts w:eastAsia="Times New Roman" w:cstheme="majorHAnsi"/>
          <w:b/>
          <w:sz w:val="18"/>
          <w:szCs w:val="18"/>
          <w:lang w:eastAsia="nl-NL"/>
        </w:rPr>
      </w:pPr>
      <w:r w:rsidRPr="00195091">
        <w:rPr>
          <w:rFonts w:eastAsia="Times New Roman" w:cstheme="majorHAnsi"/>
          <w:b/>
          <w:bCs/>
          <w:u w:val="single"/>
          <w:lang w:eastAsia="nl-NL"/>
        </w:rPr>
        <w:t>Aviation</w:t>
      </w:r>
      <w:r w:rsidRPr="00195091">
        <w:rPr>
          <w:rFonts w:eastAsia="Times New Roman" w:cstheme="majorHAnsi"/>
          <w:b/>
          <w:bCs/>
          <w:lang w:eastAsia="nl-NL"/>
        </w:rPr>
        <w:t> </w:t>
      </w:r>
    </w:p>
    <w:p w14:paraId="228A84BF" w14:textId="24F4F4C9" w:rsidR="0075001B" w:rsidRPr="00195091" w:rsidRDefault="0075001B" w:rsidP="0075001B">
      <w:pPr>
        <w:rPr>
          <w:rFonts w:cstheme="majorHAnsi"/>
          <w:lang w:eastAsia="nl-NL"/>
        </w:rPr>
      </w:pPr>
      <w:r w:rsidRPr="00195091">
        <w:rPr>
          <w:rFonts w:cstheme="majorHAnsi"/>
          <w:lang w:eastAsia="nl-NL"/>
        </w:rPr>
        <w:t>The IMAGE model uses, among other variables, passenger </w:t>
      </w:r>
      <w:r w:rsidR="003004B4" w:rsidRPr="00195091">
        <w:rPr>
          <w:rFonts w:cstheme="majorHAnsi"/>
          <w:lang w:eastAsia="nl-NL"/>
        </w:rPr>
        <w:t>kilometers</w:t>
      </w:r>
      <w:r w:rsidRPr="00195091">
        <w:rPr>
          <w:rFonts w:cstheme="majorHAnsi"/>
          <w:lang w:eastAsia="nl-NL"/>
        </w:rPr>
        <w:t> (PKM) as a way of calculating traffic demand. One of the main drivers is the GDP per capita changes. As indicated above, in the case of the COVID-19 pandemic, the drop in income is not an accurate representation of the actual drop in </w:t>
      </w:r>
      <w:r w:rsidRPr="00195091">
        <w:rPr>
          <w:rFonts w:cstheme="majorHAnsi"/>
          <w:b/>
          <w:lang w:eastAsia="nl-NL"/>
        </w:rPr>
        <w:t>aviation activity</w:t>
      </w:r>
      <w:r w:rsidRPr="00195091">
        <w:rPr>
          <w:rFonts w:cstheme="majorHAnsi"/>
          <w:lang w:eastAsia="nl-NL"/>
        </w:rPr>
        <w:t>, and so an additional adjustment  was required as a correction factor due to the pandemic's effect on airline traffic</w:t>
      </w:r>
      <w:r w:rsidR="00B549F4">
        <w:rPr>
          <w:rFonts w:cstheme="majorHAnsi"/>
          <w:lang w:eastAsia="nl-NL"/>
        </w:rPr>
        <w:fldChar w:fldCharType="begin" w:fldLock="1"/>
      </w:r>
      <w:r w:rsidR="00B549F4">
        <w:rPr>
          <w:rFonts w:cstheme="majorHAnsi"/>
          <w:lang w:eastAsia="nl-NL"/>
        </w:rPr>
        <w:instrText>ADDIN CSL_CITATION {"citationItems":[{"id":"ITEM-1","itemData":{"abstract":"Source and Note: IATA. Includes domestic and international traffic, and all commercial airlines. Historical data are subject to revision.","author":[{"dropping-particle":"","family":"International Air Transport Association","given":"","non-dropping-particle":"","parse-names":false,"suffix":""}],"id":"ITEM-1","issued":{"date-parts":[["2020"]]},"title":"Industry Statistics Fact Sheet","type":"report"},"uris":["http://www.mendeley.com/documents/?uuid=735790ea-3f7b-3ed5-8bcf-414897b7708f"]},{"id":"ITEM-2","itemData":{"URL":"https://www.icao.int/sustainability/Pages/COVID-19-Air-Traffic-Dashboard.aspx","accessed":{"date-parts":[["2021","5","17"]]},"author":[{"dropping-particle":"","family":"International Civil Aviation Organization","given":"","non-dropping-particle":"","parse-names":false,"suffix":""}],"id":"ITEM-2","issued":{"date-parts":[["2020"]]},"title":"COVID-19 Air Traffic Dashboard","type":"webpage"},"uris":["http://www.mendeley.com/documents/?uuid=91969e66-027b-3cfb-a788-745d15bd8372"]},{"id":"ITEM-3","itemData":{"URL":"https://data.icao.int/coVID-19/operational.htm","accessed":{"date-parts":[["2020","12","17"]]},"author":[{"dropping-particle":"","family":"International Civil Aviation Organization","given":"","non-dropping-particle":"","parse-names":false,"suffix":""}],"id":"ITEM-3","issued":{"date-parts":[["2020"]]},"title":"Operational Impact on Air Transport","type":"webpage"},"uris":["http://www.mendeley.com/documents/?uuid=e050e8b1-0819-3a2c-a97a-99c7dac7e60c"]}],"mendeley":{"formattedCitation":"&lt;sup&gt;20–22&lt;/sup&gt;","plainTextFormattedCitation":"20–22","previouslyFormattedCitation":"&lt;sup&gt;20–22&lt;/sup&gt;"},"properties":{"noteIndex":0},"schema":"https://github.com/citation-style-language/schema/raw/master/csl-citation.json"}</w:instrText>
      </w:r>
      <w:r w:rsidR="00B549F4">
        <w:rPr>
          <w:rFonts w:cstheme="majorHAnsi"/>
          <w:lang w:eastAsia="nl-NL"/>
        </w:rPr>
        <w:fldChar w:fldCharType="separate"/>
      </w:r>
      <w:r w:rsidR="00B549F4" w:rsidRPr="00B549F4">
        <w:rPr>
          <w:rFonts w:cstheme="majorHAnsi"/>
          <w:noProof/>
          <w:vertAlign w:val="superscript"/>
          <w:lang w:eastAsia="nl-NL"/>
        </w:rPr>
        <w:t>20–22</w:t>
      </w:r>
      <w:r w:rsidR="00B549F4">
        <w:rPr>
          <w:rFonts w:cstheme="majorHAnsi"/>
          <w:lang w:eastAsia="nl-NL"/>
        </w:rPr>
        <w:fldChar w:fldCharType="end"/>
      </w:r>
      <w:r w:rsidRPr="00195091">
        <w:rPr>
          <w:rFonts w:cstheme="majorHAnsi"/>
          <w:lang w:eastAsia="nl-NL"/>
        </w:rPr>
        <w:t>. </w:t>
      </w:r>
    </w:p>
    <w:p w14:paraId="37135D7E" w14:textId="3F48C12D" w:rsidR="0075001B" w:rsidRPr="00195091" w:rsidRDefault="0075001B" w:rsidP="525F22B9">
      <w:pPr>
        <w:rPr>
          <w:rFonts w:cstheme="majorBidi"/>
          <w:lang w:eastAsia="nl-NL"/>
        </w:rPr>
      </w:pPr>
      <w:r w:rsidRPr="525F22B9">
        <w:rPr>
          <w:rFonts w:cstheme="majorBidi"/>
          <w:lang w:eastAsia="nl-NL"/>
        </w:rPr>
        <w:t>These airline traffic data is on a continental level (except the Middle East that was considered a separate region) and converted to the 26 individual IMAGE regions (see below). Specifically, for China, data were taken from the National Bureau of Statistics of China</w:t>
      </w:r>
      <w:r w:rsidRPr="525F22B9">
        <w:rPr>
          <w:rFonts w:cstheme="majorBidi"/>
          <w:lang w:eastAsia="nl-NL"/>
        </w:rPr>
        <w:fldChar w:fldCharType="begin" w:fldLock="1"/>
      </w:r>
      <w:r w:rsidRPr="525F22B9">
        <w:rPr>
          <w:rFonts w:cstheme="majorBidi"/>
          <w:lang w:eastAsia="nl-NL"/>
        </w:rPr>
        <w:instrText>ADDIN CSL_CITATION {"citationItems":[{"id":"ITEM-1","itemData":{"URL":"https://data.stats.gov.cn/english/","accessed":{"date-parts":[["2020","12","15"]]},"author":[{"dropping-particle":"","family":"National Bureau of Statistics China (NBS)","given":"","non-dropping-particle":"","parse-names":false,"suffix":""}],"id":"ITEM-1","issued":{"date-parts":[["0"]]},"title":"National Bureau of Statistics China","type":"webpage"},"uris":["http://www.mendeley.com/documents/?uuid=19d09305-6dff-4eff-8de5-7af794245c00"]}],"mendeley":{"formattedCitation":"&lt;sup&gt;23&lt;/sup&gt;","plainTextFormattedCitation":"23","previouslyFormattedCitation":"&lt;sup&gt;23&lt;/sup&gt;"},"properties":{"noteIndex":0},"schema":"https://github.com/citation-style-language/schema/raw/master/csl-citation.json"}</w:instrText>
      </w:r>
      <w:r w:rsidRPr="525F22B9">
        <w:rPr>
          <w:rFonts w:cstheme="majorBidi"/>
          <w:lang w:eastAsia="nl-NL"/>
        </w:rPr>
        <w:fldChar w:fldCharType="separate"/>
      </w:r>
      <w:r w:rsidR="00B549F4" w:rsidRPr="525F22B9">
        <w:rPr>
          <w:rFonts w:cstheme="majorBidi"/>
          <w:noProof/>
          <w:vertAlign w:val="superscript"/>
          <w:lang w:eastAsia="nl-NL"/>
        </w:rPr>
        <w:t>23</w:t>
      </w:r>
      <w:r w:rsidRPr="525F22B9">
        <w:rPr>
          <w:rFonts w:cstheme="majorBidi"/>
          <w:lang w:eastAsia="nl-NL"/>
        </w:rPr>
        <w:fldChar w:fldCharType="end"/>
      </w:r>
      <w:r w:rsidR="00B549F4" w:rsidRPr="525F22B9">
        <w:rPr>
          <w:rFonts w:cstheme="majorBidi"/>
          <w:lang w:eastAsia="nl-NL"/>
        </w:rPr>
        <w:t xml:space="preserve"> in </w:t>
      </w:r>
      <w:r w:rsidRPr="525F22B9">
        <w:rPr>
          <w:rFonts w:cstheme="majorBidi"/>
          <w:lang w:eastAsia="nl-NL"/>
        </w:rPr>
        <w:t>RPK. RPK is an airline industry metric that shows the number of </w:t>
      </w:r>
      <w:r w:rsidR="003004B4" w:rsidRPr="525F22B9">
        <w:rPr>
          <w:rFonts w:cstheme="majorBidi"/>
          <w:lang w:eastAsia="nl-NL"/>
        </w:rPr>
        <w:t>kilometers</w:t>
      </w:r>
      <w:r w:rsidRPr="525F22B9">
        <w:rPr>
          <w:rFonts w:cstheme="majorBidi"/>
          <w:lang w:eastAsia="nl-NL"/>
        </w:rPr>
        <w:t> travelled by paying passengers and is calculated as the number of revenue passengers multiplied by the total distance travelled. It is one of the main variables the IMAGE model uses to calculate aviation traffic demand. The projections for 2022 are calculated based on the assumption that aviation traffic returns to normal rates</w:t>
      </w:r>
      <w:r w:rsidRPr="525F22B9">
        <w:rPr>
          <w:rFonts w:cstheme="majorBidi"/>
          <w:lang w:eastAsia="nl-NL"/>
        </w:rPr>
        <w:fldChar w:fldCharType="begin" w:fldLock="1"/>
      </w:r>
      <w:r w:rsidRPr="525F22B9">
        <w:rPr>
          <w:rFonts w:cstheme="majorBidi"/>
          <w:lang w:eastAsia="nl-NL"/>
        </w:rPr>
        <w:instrText>ADDIN CSL_CITATION {"citationItems":[{"id":"ITEM-1","itemData":{"abstract":"Source and Note: IATA. Includes domestic and international traffic, and all commercial airlines. Historical data are subject to revision.","author":[{"dropping-particle":"","family":"International Air Transport Association","given":"","non-dropping-particle":"","parse-names":false,"suffix":""}],"id":"ITEM-1","issued":{"date-parts":[["2020"]]},"title":"Industry Statistics Fact Sheet","type":"report"},"uris":["http://www.mendeley.com/documents/?uuid=735790ea-3f7b-3ed5-8bcf-414897b7708f"]},{"id":"ITEM-2","itemData":{"URL":"https://www.mckinsey.com/industries/travel-logistics-and-infrastructure/our-insights/covid-19-tourism-spend-recovery-in-numbers#","accessed":{"date-parts":[["2021","5","17"]]},"author":[{"dropping-particle":"","family":"McKinsey &amp; Co","given":"","non-dropping-particle":"","parse-names":false,"suffix":""}],"id":"ITEM-2","issued":{"date-parts":[["2020"]]},"title":"COVID-19 tourism spend recovery in numbers","type":"webpage"},"uris":["http://www.mendeley.com/documents/?uuid=6fa192e1-c372-33ef-9b8e-8a4f7a9885a7"]}],"mendeley":{"formattedCitation":"&lt;sup&gt;20,24&lt;/sup&gt;","plainTextFormattedCitation":"20,24","previouslyFormattedCitation":"&lt;sup&gt;20,24&lt;/sup&gt;"},"properties":{"noteIndex":0},"schema":"https://github.com/citation-style-language/schema/raw/master/csl-citation.json"}</w:instrText>
      </w:r>
      <w:r w:rsidRPr="525F22B9">
        <w:rPr>
          <w:rFonts w:cstheme="majorBidi"/>
          <w:lang w:eastAsia="nl-NL"/>
        </w:rPr>
        <w:fldChar w:fldCharType="separate"/>
      </w:r>
      <w:r w:rsidR="00B549F4" w:rsidRPr="525F22B9">
        <w:rPr>
          <w:rFonts w:cstheme="majorBidi"/>
          <w:noProof/>
          <w:vertAlign w:val="superscript"/>
          <w:lang w:eastAsia="nl-NL"/>
        </w:rPr>
        <w:t>20,24</w:t>
      </w:r>
      <w:r w:rsidRPr="525F22B9">
        <w:rPr>
          <w:rFonts w:cstheme="majorBidi"/>
          <w:lang w:eastAsia="nl-NL"/>
        </w:rPr>
        <w:fldChar w:fldCharType="end"/>
      </w:r>
      <w:r w:rsidRPr="525F22B9">
        <w:rPr>
          <w:rFonts w:cstheme="majorBidi"/>
          <w:lang w:eastAsia="nl-NL"/>
        </w:rPr>
        <w:t>. The Table below presents the RPK percentage change on a Year-on-Year basis. </w:t>
      </w:r>
    </w:p>
    <w:tbl>
      <w:tblPr>
        <w:tblW w:w="43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0"/>
        <w:gridCol w:w="930"/>
        <w:gridCol w:w="930"/>
        <w:gridCol w:w="960"/>
      </w:tblGrid>
      <w:tr w:rsidR="00EA454D" w:rsidRPr="00195091" w14:paraId="2117E33B" w14:textId="77777777" w:rsidTr="00EA454D">
        <w:trPr>
          <w:trHeight w:val="300"/>
        </w:trPr>
        <w:tc>
          <w:tcPr>
            <w:tcW w:w="4380" w:type="dxa"/>
            <w:gridSpan w:val="4"/>
            <w:tcBorders>
              <w:top w:val="single" w:sz="6" w:space="0" w:color="4472C4"/>
              <w:left w:val="single" w:sz="6" w:space="0" w:color="4472C4"/>
              <w:bottom w:val="single" w:sz="6" w:space="0" w:color="4472C4"/>
              <w:right w:val="nil"/>
            </w:tcBorders>
            <w:shd w:val="clear" w:color="auto" w:fill="4472C4"/>
            <w:hideMark/>
          </w:tcPr>
          <w:p w14:paraId="7CF676E6" w14:textId="77777777" w:rsidR="00EA454D" w:rsidRPr="00195091" w:rsidRDefault="00EA454D" w:rsidP="00056919">
            <w:pPr>
              <w:spacing w:after="0" w:line="240" w:lineRule="auto"/>
              <w:textAlignment w:val="baseline"/>
              <w:rPr>
                <w:rFonts w:eastAsia="Times New Roman" w:cstheme="majorHAnsi"/>
                <w:b/>
                <w:bCs/>
                <w:color w:val="FFFFFF"/>
                <w:sz w:val="24"/>
                <w:szCs w:val="24"/>
                <w:lang w:eastAsia="nl-NL"/>
              </w:rPr>
            </w:pPr>
            <w:r w:rsidRPr="00195091">
              <w:rPr>
                <w:rFonts w:eastAsia="Times New Roman" w:cstheme="majorHAnsi"/>
                <w:b/>
                <w:bCs/>
                <w:color w:val="FFFFFF"/>
                <w:lang w:eastAsia="nl-NL"/>
              </w:rPr>
              <w:t>Aviation traffic activity levels [RPK YoY %]  </w:t>
            </w:r>
          </w:p>
        </w:tc>
      </w:tr>
      <w:tr w:rsidR="00EA454D" w:rsidRPr="00195091" w14:paraId="2880FBE8" w14:textId="77777777" w:rsidTr="00EA454D">
        <w:trPr>
          <w:trHeight w:val="300"/>
        </w:trPr>
        <w:tc>
          <w:tcPr>
            <w:tcW w:w="1560" w:type="dxa"/>
            <w:tcBorders>
              <w:top w:val="nil"/>
              <w:left w:val="single" w:sz="6" w:space="0" w:color="8EAADB"/>
              <w:bottom w:val="single" w:sz="6" w:space="0" w:color="8EAADB"/>
              <w:right w:val="single" w:sz="6" w:space="0" w:color="8EAADB"/>
            </w:tcBorders>
            <w:shd w:val="clear" w:color="auto" w:fill="D9E2F3"/>
            <w:hideMark/>
          </w:tcPr>
          <w:p w14:paraId="2C75056F" w14:textId="77777777" w:rsidR="00EA454D" w:rsidRPr="00195091" w:rsidRDefault="00EA454D" w:rsidP="00056919">
            <w:pPr>
              <w:spacing w:after="0" w:line="240" w:lineRule="auto"/>
              <w:textAlignment w:val="baseline"/>
              <w:rPr>
                <w:rFonts w:eastAsia="Times New Roman" w:cstheme="majorHAnsi"/>
                <w:b/>
                <w:bCs/>
                <w:sz w:val="24"/>
                <w:szCs w:val="24"/>
                <w:lang w:val="nl-NL" w:eastAsia="nl-NL"/>
              </w:rPr>
            </w:pPr>
            <w:r w:rsidRPr="00195091">
              <w:rPr>
                <w:rFonts w:eastAsia="Times New Roman" w:cstheme="majorHAnsi"/>
                <w:b/>
                <w:bCs/>
                <w:color w:val="000000"/>
                <w:lang w:eastAsia="nl-NL"/>
              </w:rPr>
              <w:t> </w:t>
            </w:r>
            <w:r w:rsidRPr="00195091">
              <w:rPr>
                <w:rFonts w:eastAsia="Times New Roman" w:cstheme="majorHAnsi"/>
                <w:b/>
                <w:bCs/>
                <w:color w:val="000000"/>
                <w:lang w:val="nl-NL" w:eastAsia="nl-NL"/>
              </w:rPr>
              <w:t> </w:t>
            </w:r>
          </w:p>
        </w:tc>
        <w:tc>
          <w:tcPr>
            <w:tcW w:w="930" w:type="dxa"/>
            <w:tcBorders>
              <w:top w:val="nil"/>
              <w:left w:val="nil"/>
              <w:bottom w:val="single" w:sz="6" w:space="0" w:color="8EAADB"/>
              <w:right w:val="single" w:sz="6" w:space="0" w:color="8EAADB"/>
            </w:tcBorders>
            <w:shd w:val="clear" w:color="auto" w:fill="D9E2F3"/>
            <w:hideMark/>
          </w:tcPr>
          <w:p w14:paraId="205E333E" w14:textId="77777777" w:rsidR="00EA454D" w:rsidRPr="00195091" w:rsidRDefault="00EA454D"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b/>
                <w:bCs/>
                <w:color w:val="000000"/>
                <w:lang w:val="nl-NL" w:eastAsia="nl-NL"/>
              </w:rPr>
              <w:t>2020</w:t>
            </w:r>
            <w:r w:rsidRPr="00195091">
              <w:rPr>
                <w:rFonts w:eastAsia="Times New Roman" w:cstheme="majorHAnsi"/>
                <w:color w:val="000000"/>
                <w:lang w:val="nl-NL" w:eastAsia="nl-NL"/>
              </w:rPr>
              <w:t> </w:t>
            </w:r>
          </w:p>
        </w:tc>
        <w:tc>
          <w:tcPr>
            <w:tcW w:w="930" w:type="dxa"/>
            <w:tcBorders>
              <w:top w:val="nil"/>
              <w:left w:val="nil"/>
              <w:bottom w:val="single" w:sz="6" w:space="0" w:color="8EAADB"/>
              <w:right w:val="single" w:sz="6" w:space="0" w:color="8EAADB"/>
            </w:tcBorders>
            <w:shd w:val="clear" w:color="auto" w:fill="D9E2F3"/>
            <w:hideMark/>
          </w:tcPr>
          <w:p w14:paraId="58E082AD" w14:textId="77777777" w:rsidR="00EA454D" w:rsidRPr="00195091" w:rsidRDefault="00EA454D"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b/>
                <w:bCs/>
                <w:color w:val="000000"/>
                <w:lang w:val="nl-NL" w:eastAsia="nl-NL"/>
              </w:rPr>
              <w:t>2021</w:t>
            </w:r>
            <w:r w:rsidRPr="00195091">
              <w:rPr>
                <w:rFonts w:eastAsia="Times New Roman" w:cstheme="majorHAnsi"/>
                <w:color w:val="000000"/>
                <w:lang w:val="nl-NL" w:eastAsia="nl-NL"/>
              </w:rPr>
              <w:t> </w:t>
            </w:r>
          </w:p>
        </w:tc>
        <w:tc>
          <w:tcPr>
            <w:tcW w:w="960" w:type="dxa"/>
            <w:tcBorders>
              <w:top w:val="nil"/>
              <w:left w:val="nil"/>
              <w:bottom w:val="single" w:sz="6" w:space="0" w:color="8EAADB"/>
              <w:right w:val="single" w:sz="6" w:space="0" w:color="8EAADB"/>
            </w:tcBorders>
            <w:shd w:val="clear" w:color="auto" w:fill="D9E2F3"/>
            <w:hideMark/>
          </w:tcPr>
          <w:p w14:paraId="380206AF" w14:textId="77777777" w:rsidR="00EA454D" w:rsidRPr="00195091" w:rsidRDefault="00EA454D"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b/>
                <w:bCs/>
                <w:color w:val="000000"/>
                <w:lang w:val="nl-NL" w:eastAsia="nl-NL"/>
              </w:rPr>
              <w:t>2022</w:t>
            </w:r>
            <w:r w:rsidRPr="00195091">
              <w:rPr>
                <w:rFonts w:eastAsia="Times New Roman" w:cstheme="majorHAnsi"/>
                <w:color w:val="000000"/>
                <w:lang w:val="nl-NL" w:eastAsia="nl-NL"/>
              </w:rPr>
              <w:t> </w:t>
            </w:r>
          </w:p>
        </w:tc>
      </w:tr>
      <w:tr w:rsidR="00EA454D" w:rsidRPr="00195091" w14:paraId="1B892526" w14:textId="77777777" w:rsidTr="00EA454D">
        <w:trPr>
          <w:trHeight w:val="300"/>
        </w:trPr>
        <w:tc>
          <w:tcPr>
            <w:tcW w:w="1560" w:type="dxa"/>
            <w:tcBorders>
              <w:top w:val="nil"/>
              <w:left w:val="single" w:sz="6" w:space="0" w:color="8EAADB"/>
              <w:bottom w:val="single" w:sz="6" w:space="0" w:color="8EAADB"/>
              <w:right w:val="single" w:sz="6" w:space="0" w:color="8EAADB"/>
            </w:tcBorders>
            <w:shd w:val="clear" w:color="auto" w:fill="auto"/>
            <w:hideMark/>
          </w:tcPr>
          <w:p w14:paraId="774CC074" w14:textId="77777777" w:rsidR="00EA454D" w:rsidRPr="00195091" w:rsidRDefault="00EA454D" w:rsidP="00056919">
            <w:pPr>
              <w:spacing w:after="0" w:line="240" w:lineRule="auto"/>
              <w:textAlignment w:val="baseline"/>
              <w:rPr>
                <w:rFonts w:eastAsia="Times New Roman" w:cstheme="majorHAnsi"/>
                <w:b/>
                <w:bCs/>
                <w:sz w:val="24"/>
                <w:szCs w:val="24"/>
                <w:lang w:val="nl-NL" w:eastAsia="nl-NL"/>
              </w:rPr>
            </w:pPr>
            <w:r w:rsidRPr="00195091">
              <w:rPr>
                <w:rFonts w:eastAsia="Times New Roman" w:cstheme="majorHAnsi"/>
                <w:b/>
                <w:bCs/>
                <w:color w:val="000000"/>
                <w:lang w:val="nl-NL" w:eastAsia="nl-NL"/>
              </w:rPr>
              <w:t>Canada </w:t>
            </w:r>
          </w:p>
        </w:tc>
        <w:tc>
          <w:tcPr>
            <w:tcW w:w="930" w:type="dxa"/>
            <w:tcBorders>
              <w:top w:val="nil"/>
              <w:left w:val="nil"/>
              <w:bottom w:val="single" w:sz="6" w:space="0" w:color="8EAADB"/>
              <w:right w:val="single" w:sz="6" w:space="0" w:color="8EAADB"/>
            </w:tcBorders>
            <w:shd w:val="clear" w:color="auto" w:fill="auto"/>
            <w:hideMark/>
          </w:tcPr>
          <w:p w14:paraId="568025CA" w14:textId="77777777" w:rsidR="00EA454D" w:rsidRPr="00195091" w:rsidRDefault="00EA454D"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val="nl-NL" w:eastAsia="nl-NL"/>
              </w:rPr>
              <w:t>-66 </w:t>
            </w:r>
          </w:p>
        </w:tc>
        <w:tc>
          <w:tcPr>
            <w:tcW w:w="930" w:type="dxa"/>
            <w:tcBorders>
              <w:top w:val="nil"/>
              <w:left w:val="nil"/>
              <w:bottom w:val="single" w:sz="6" w:space="0" w:color="8EAADB"/>
              <w:right w:val="single" w:sz="6" w:space="0" w:color="8EAADB"/>
            </w:tcBorders>
            <w:shd w:val="clear" w:color="auto" w:fill="auto"/>
            <w:hideMark/>
          </w:tcPr>
          <w:p w14:paraId="0D3695C5" w14:textId="77777777" w:rsidR="00EA454D" w:rsidRPr="00195091" w:rsidRDefault="00EA454D"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val="nl-NL" w:eastAsia="nl-NL"/>
              </w:rPr>
              <w:t>60 </w:t>
            </w:r>
          </w:p>
        </w:tc>
        <w:tc>
          <w:tcPr>
            <w:tcW w:w="960" w:type="dxa"/>
            <w:tcBorders>
              <w:top w:val="nil"/>
              <w:left w:val="nil"/>
              <w:bottom w:val="single" w:sz="6" w:space="0" w:color="8EAADB"/>
              <w:right w:val="single" w:sz="6" w:space="0" w:color="8EAADB"/>
            </w:tcBorders>
            <w:shd w:val="clear" w:color="auto" w:fill="auto"/>
            <w:hideMark/>
          </w:tcPr>
          <w:p w14:paraId="021C62D0" w14:textId="77777777" w:rsidR="00EA454D" w:rsidRPr="00195091" w:rsidRDefault="00EA454D"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val="nl-NL" w:eastAsia="nl-NL"/>
              </w:rPr>
              <w:t>3 </w:t>
            </w:r>
          </w:p>
        </w:tc>
      </w:tr>
      <w:tr w:rsidR="00EA454D" w:rsidRPr="00195091" w14:paraId="743A42FF" w14:textId="77777777" w:rsidTr="00EA454D">
        <w:trPr>
          <w:trHeight w:val="300"/>
        </w:trPr>
        <w:tc>
          <w:tcPr>
            <w:tcW w:w="1560" w:type="dxa"/>
            <w:tcBorders>
              <w:top w:val="nil"/>
              <w:left w:val="single" w:sz="6" w:space="0" w:color="8EAADB"/>
              <w:bottom w:val="single" w:sz="6" w:space="0" w:color="8EAADB"/>
              <w:right w:val="single" w:sz="6" w:space="0" w:color="8EAADB"/>
            </w:tcBorders>
            <w:shd w:val="clear" w:color="auto" w:fill="D9E2F3"/>
            <w:hideMark/>
          </w:tcPr>
          <w:p w14:paraId="7762F5AC" w14:textId="77777777" w:rsidR="00EA454D" w:rsidRPr="00195091" w:rsidRDefault="00EA454D" w:rsidP="00056919">
            <w:pPr>
              <w:spacing w:after="0" w:line="240" w:lineRule="auto"/>
              <w:textAlignment w:val="baseline"/>
              <w:rPr>
                <w:rFonts w:eastAsia="Times New Roman" w:cstheme="majorHAnsi"/>
                <w:b/>
                <w:bCs/>
                <w:sz w:val="24"/>
                <w:szCs w:val="24"/>
                <w:lang w:val="nl-NL" w:eastAsia="nl-NL"/>
              </w:rPr>
            </w:pPr>
            <w:r w:rsidRPr="00195091">
              <w:rPr>
                <w:rFonts w:eastAsia="Times New Roman" w:cstheme="majorHAnsi"/>
                <w:b/>
                <w:bCs/>
                <w:color w:val="000000"/>
                <w:lang w:val="nl-NL" w:eastAsia="nl-NL"/>
              </w:rPr>
              <w:t>USA </w:t>
            </w:r>
          </w:p>
        </w:tc>
        <w:tc>
          <w:tcPr>
            <w:tcW w:w="930" w:type="dxa"/>
            <w:tcBorders>
              <w:top w:val="nil"/>
              <w:left w:val="nil"/>
              <w:bottom w:val="single" w:sz="6" w:space="0" w:color="8EAADB"/>
              <w:right w:val="single" w:sz="6" w:space="0" w:color="8EAADB"/>
            </w:tcBorders>
            <w:shd w:val="clear" w:color="auto" w:fill="D9E2F3"/>
            <w:hideMark/>
          </w:tcPr>
          <w:p w14:paraId="2A77C3A4" w14:textId="77777777" w:rsidR="00EA454D" w:rsidRPr="00195091" w:rsidRDefault="00EA454D"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val="nl-NL" w:eastAsia="nl-NL"/>
              </w:rPr>
              <w:t>-66 </w:t>
            </w:r>
          </w:p>
        </w:tc>
        <w:tc>
          <w:tcPr>
            <w:tcW w:w="930" w:type="dxa"/>
            <w:tcBorders>
              <w:top w:val="nil"/>
              <w:left w:val="nil"/>
              <w:bottom w:val="single" w:sz="6" w:space="0" w:color="8EAADB"/>
              <w:right w:val="single" w:sz="6" w:space="0" w:color="8EAADB"/>
            </w:tcBorders>
            <w:shd w:val="clear" w:color="auto" w:fill="D9E2F3"/>
            <w:hideMark/>
          </w:tcPr>
          <w:p w14:paraId="4F9943AB" w14:textId="77777777" w:rsidR="00EA454D" w:rsidRPr="00195091" w:rsidRDefault="00EA454D"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val="nl-NL" w:eastAsia="nl-NL"/>
              </w:rPr>
              <w:t>60 </w:t>
            </w:r>
          </w:p>
        </w:tc>
        <w:tc>
          <w:tcPr>
            <w:tcW w:w="960" w:type="dxa"/>
            <w:tcBorders>
              <w:top w:val="nil"/>
              <w:left w:val="nil"/>
              <w:bottom w:val="single" w:sz="6" w:space="0" w:color="8EAADB"/>
              <w:right w:val="single" w:sz="6" w:space="0" w:color="8EAADB"/>
            </w:tcBorders>
            <w:shd w:val="clear" w:color="auto" w:fill="D9E2F3"/>
            <w:hideMark/>
          </w:tcPr>
          <w:p w14:paraId="45C5CFD6" w14:textId="77777777" w:rsidR="00EA454D" w:rsidRPr="00195091" w:rsidRDefault="00EA454D"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val="nl-NL" w:eastAsia="nl-NL"/>
              </w:rPr>
              <w:t>3 </w:t>
            </w:r>
          </w:p>
        </w:tc>
      </w:tr>
      <w:tr w:rsidR="00EA454D" w:rsidRPr="00195091" w14:paraId="75D12B19" w14:textId="77777777" w:rsidTr="00EA454D">
        <w:trPr>
          <w:trHeight w:val="300"/>
        </w:trPr>
        <w:tc>
          <w:tcPr>
            <w:tcW w:w="1560" w:type="dxa"/>
            <w:tcBorders>
              <w:top w:val="nil"/>
              <w:left w:val="single" w:sz="6" w:space="0" w:color="8EAADB"/>
              <w:bottom w:val="single" w:sz="6" w:space="0" w:color="8EAADB"/>
              <w:right w:val="single" w:sz="6" w:space="0" w:color="8EAADB"/>
            </w:tcBorders>
            <w:shd w:val="clear" w:color="auto" w:fill="auto"/>
            <w:hideMark/>
          </w:tcPr>
          <w:p w14:paraId="7A292526" w14:textId="77777777" w:rsidR="00EA454D" w:rsidRPr="00195091" w:rsidRDefault="00EA454D" w:rsidP="00056919">
            <w:pPr>
              <w:spacing w:after="0" w:line="240" w:lineRule="auto"/>
              <w:textAlignment w:val="baseline"/>
              <w:rPr>
                <w:rFonts w:eastAsia="Times New Roman" w:cstheme="majorHAnsi"/>
                <w:b/>
                <w:bCs/>
                <w:sz w:val="24"/>
                <w:szCs w:val="24"/>
                <w:lang w:val="nl-NL" w:eastAsia="nl-NL"/>
              </w:rPr>
            </w:pPr>
            <w:r w:rsidRPr="00195091">
              <w:rPr>
                <w:rFonts w:eastAsia="Times New Roman" w:cstheme="majorHAnsi"/>
                <w:b/>
                <w:bCs/>
                <w:color w:val="000000"/>
                <w:lang w:val="nl-NL" w:eastAsia="nl-NL"/>
              </w:rPr>
              <w:t>Mexico </w:t>
            </w:r>
          </w:p>
        </w:tc>
        <w:tc>
          <w:tcPr>
            <w:tcW w:w="930" w:type="dxa"/>
            <w:tcBorders>
              <w:top w:val="nil"/>
              <w:left w:val="nil"/>
              <w:bottom w:val="single" w:sz="6" w:space="0" w:color="8EAADB"/>
              <w:right w:val="single" w:sz="6" w:space="0" w:color="8EAADB"/>
            </w:tcBorders>
            <w:shd w:val="clear" w:color="auto" w:fill="auto"/>
            <w:hideMark/>
          </w:tcPr>
          <w:p w14:paraId="17830E08" w14:textId="77777777" w:rsidR="00EA454D" w:rsidRPr="00195091" w:rsidRDefault="00EA454D"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val="nl-NL" w:eastAsia="nl-NL"/>
              </w:rPr>
              <w:t>-64 </w:t>
            </w:r>
          </w:p>
        </w:tc>
        <w:tc>
          <w:tcPr>
            <w:tcW w:w="930" w:type="dxa"/>
            <w:tcBorders>
              <w:top w:val="nil"/>
              <w:left w:val="nil"/>
              <w:bottom w:val="single" w:sz="6" w:space="0" w:color="8EAADB"/>
              <w:right w:val="single" w:sz="6" w:space="0" w:color="8EAADB"/>
            </w:tcBorders>
            <w:shd w:val="clear" w:color="auto" w:fill="auto"/>
            <w:hideMark/>
          </w:tcPr>
          <w:p w14:paraId="19BDF9B0" w14:textId="77777777" w:rsidR="00EA454D" w:rsidRPr="00195091" w:rsidRDefault="00EA454D"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val="nl-NL" w:eastAsia="nl-NL"/>
              </w:rPr>
              <w:t>39 </w:t>
            </w:r>
          </w:p>
        </w:tc>
        <w:tc>
          <w:tcPr>
            <w:tcW w:w="960" w:type="dxa"/>
            <w:tcBorders>
              <w:top w:val="nil"/>
              <w:left w:val="nil"/>
              <w:bottom w:val="single" w:sz="6" w:space="0" w:color="8EAADB"/>
              <w:right w:val="single" w:sz="6" w:space="0" w:color="8EAADB"/>
            </w:tcBorders>
            <w:shd w:val="clear" w:color="auto" w:fill="auto"/>
            <w:hideMark/>
          </w:tcPr>
          <w:p w14:paraId="282091EE" w14:textId="77777777" w:rsidR="00EA454D" w:rsidRPr="00195091" w:rsidRDefault="00EA454D"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val="nl-NL" w:eastAsia="nl-NL"/>
              </w:rPr>
              <w:t>12 </w:t>
            </w:r>
          </w:p>
        </w:tc>
      </w:tr>
      <w:tr w:rsidR="00EA454D" w:rsidRPr="00195091" w14:paraId="30C6B36F" w14:textId="77777777" w:rsidTr="00EA454D">
        <w:trPr>
          <w:trHeight w:val="300"/>
        </w:trPr>
        <w:tc>
          <w:tcPr>
            <w:tcW w:w="1560" w:type="dxa"/>
            <w:tcBorders>
              <w:top w:val="nil"/>
              <w:left w:val="single" w:sz="6" w:space="0" w:color="8EAADB"/>
              <w:bottom w:val="single" w:sz="6" w:space="0" w:color="8EAADB"/>
              <w:right w:val="single" w:sz="6" w:space="0" w:color="8EAADB"/>
            </w:tcBorders>
            <w:shd w:val="clear" w:color="auto" w:fill="D9E2F3"/>
            <w:hideMark/>
          </w:tcPr>
          <w:p w14:paraId="746F4841" w14:textId="77777777" w:rsidR="00EA454D" w:rsidRPr="00195091" w:rsidRDefault="00EA454D" w:rsidP="00056919">
            <w:pPr>
              <w:spacing w:after="0" w:line="240" w:lineRule="auto"/>
              <w:textAlignment w:val="baseline"/>
              <w:rPr>
                <w:rFonts w:eastAsia="Times New Roman" w:cstheme="majorHAnsi"/>
                <w:b/>
                <w:bCs/>
                <w:sz w:val="24"/>
                <w:szCs w:val="24"/>
                <w:lang w:val="nl-NL" w:eastAsia="nl-NL"/>
              </w:rPr>
            </w:pPr>
            <w:r w:rsidRPr="00195091">
              <w:rPr>
                <w:rFonts w:eastAsia="Times New Roman" w:cstheme="majorHAnsi"/>
                <w:b/>
                <w:bCs/>
                <w:color w:val="000000"/>
                <w:lang w:val="nl-NL" w:eastAsia="nl-NL"/>
              </w:rPr>
              <w:t>Rest C. America </w:t>
            </w:r>
          </w:p>
        </w:tc>
        <w:tc>
          <w:tcPr>
            <w:tcW w:w="930" w:type="dxa"/>
            <w:tcBorders>
              <w:top w:val="nil"/>
              <w:left w:val="nil"/>
              <w:bottom w:val="single" w:sz="6" w:space="0" w:color="8EAADB"/>
              <w:right w:val="single" w:sz="6" w:space="0" w:color="8EAADB"/>
            </w:tcBorders>
            <w:shd w:val="clear" w:color="auto" w:fill="D9E2F3"/>
            <w:hideMark/>
          </w:tcPr>
          <w:p w14:paraId="6C33CE49" w14:textId="77777777" w:rsidR="00EA454D" w:rsidRPr="00195091" w:rsidRDefault="00EA454D"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val="nl-NL" w:eastAsia="nl-NL"/>
              </w:rPr>
              <w:t>-64 </w:t>
            </w:r>
          </w:p>
        </w:tc>
        <w:tc>
          <w:tcPr>
            <w:tcW w:w="930" w:type="dxa"/>
            <w:tcBorders>
              <w:top w:val="nil"/>
              <w:left w:val="nil"/>
              <w:bottom w:val="single" w:sz="6" w:space="0" w:color="8EAADB"/>
              <w:right w:val="single" w:sz="6" w:space="0" w:color="8EAADB"/>
            </w:tcBorders>
            <w:shd w:val="clear" w:color="auto" w:fill="D9E2F3"/>
            <w:hideMark/>
          </w:tcPr>
          <w:p w14:paraId="1A7DBD49" w14:textId="77777777" w:rsidR="00EA454D" w:rsidRPr="00195091" w:rsidRDefault="00EA454D"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val="nl-NL" w:eastAsia="nl-NL"/>
              </w:rPr>
              <w:t>39 </w:t>
            </w:r>
          </w:p>
        </w:tc>
        <w:tc>
          <w:tcPr>
            <w:tcW w:w="960" w:type="dxa"/>
            <w:tcBorders>
              <w:top w:val="nil"/>
              <w:left w:val="nil"/>
              <w:bottom w:val="single" w:sz="6" w:space="0" w:color="8EAADB"/>
              <w:right w:val="single" w:sz="6" w:space="0" w:color="8EAADB"/>
            </w:tcBorders>
            <w:shd w:val="clear" w:color="auto" w:fill="D9E2F3"/>
            <w:hideMark/>
          </w:tcPr>
          <w:p w14:paraId="64D3493F" w14:textId="77777777" w:rsidR="00EA454D" w:rsidRPr="00195091" w:rsidRDefault="00EA454D"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val="nl-NL" w:eastAsia="nl-NL"/>
              </w:rPr>
              <w:t>12 </w:t>
            </w:r>
          </w:p>
        </w:tc>
      </w:tr>
      <w:tr w:rsidR="00EA454D" w:rsidRPr="00195091" w14:paraId="32228064" w14:textId="77777777" w:rsidTr="00EA454D">
        <w:trPr>
          <w:trHeight w:val="300"/>
        </w:trPr>
        <w:tc>
          <w:tcPr>
            <w:tcW w:w="1560" w:type="dxa"/>
            <w:tcBorders>
              <w:top w:val="nil"/>
              <w:left w:val="single" w:sz="6" w:space="0" w:color="8EAADB"/>
              <w:bottom w:val="single" w:sz="6" w:space="0" w:color="8EAADB"/>
              <w:right w:val="single" w:sz="6" w:space="0" w:color="8EAADB"/>
            </w:tcBorders>
            <w:shd w:val="clear" w:color="auto" w:fill="auto"/>
            <w:hideMark/>
          </w:tcPr>
          <w:p w14:paraId="51DE6FC2" w14:textId="77777777" w:rsidR="00EA454D" w:rsidRPr="00195091" w:rsidRDefault="00EA454D" w:rsidP="00056919">
            <w:pPr>
              <w:spacing w:after="0" w:line="240" w:lineRule="auto"/>
              <w:textAlignment w:val="baseline"/>
              <w:rPr>
                <w:rFonts w:eastAsia="Times New Roman" w:cstheme="majorHAnsi"/>
                <w:b/>
                <w:bCs/>
                <w:sz w:val="24"/>
                <w:szCs w:val="24"/>
                <w:lang w:val="nl-NL" w:eastAsia="nl-NL"/>
              </w:rPr>
            </w:pPr>
            <w:r w:rsidRPr="00195091">
              <w:rPr>
                <w:rFonts w:eastAsia="Times New Roman" w:cstheme="majorHAnsi"/>
                <w:b/>
                <w:bCs/>
                <w:color w:val="000000"/>
                <w:lang w:val="nl-NL" w:eastAsia="nl-NL"/>
              </w:rPr>
              <w:t>Brazil </w:t>
            </w:r>
          </w:p>
        </w:tc>
        <w:tc>
          <w:tcPr>
            <w:tcW w:w="930" w:type="dxa"/>
            <w:tcBorders>
              <w:top w:val="nil"/>
              <w:left w:val="nil"/>
              <w:bottom w:val="single" w:sz="6" w:space="0" w:color="8EAADB"/>
              <w:right w:val="single" w:sz="6" w:space="0" w:color="8EAADB"/>
            </w:tcBorders>
            <w:shd w:val="clear" w:color="auto" w:fill="auto"/>
            <w:hideMark/>
          </w:tcPr>
          <w:p w14:paraId="5D72356C" w14:textId="77777777" w:rsidR="00EA454D" w:rsidRPr="00195091" w:rsidRDefault="00EA454D"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val="nl-NL" w:eastAsia="nl-NL"/>
              </w:rPr>
              <w:t>-64 </w:t>
            </w:r>
          </w:p>
        </w:tc>
        <w:tc>
          <w:tcPr>
            <w:tcW w:w="930" w:type="dxa"/>
            <w:tcBorders>
              <w:top w:val="nil"/>
              <w:left w:val="nil"/>
              <w:bottom w:val="single" w:sz="6" w:space="0" w:color="8EAADB"/>
              <w:right w:val="single" w:sz="6" w:space="0" w:color="8EAADB"/>
            </w:tcBorders>
            <w:shd w:val="clear" w:color="auto" w:fill="auto"/>
            <w:hideMark/>
          </w:tcPr>
          <w:p w14:paraId="0178692C" w14:textId="77777777" w:rsidR="00EA454D" w:rsidRPr="00195091" w:rsidRDefault="00EA454D"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val="nl-NL" w:eastAsia="nl-NL"/>
              </w:rPr>
              <w:t>39 </w:t>
            </w:r>
          </w:p>
        </w:tc>
        <w:tc>
          <w:tcPr>
            <w:tcW w:w="960" w:type="dxa"/>
            <w:tcBorders>
              <w:top w:val="nil"/>
              <w:left w:val="nil"/>
              <w:bottom w:val="single" w:sz="6" w:space="0" w:color="8EAADB"/>
              <w:right w:val="single" w:sz="6" w:space="0" w:color="8EAADB"/>
            </w:tcBorders>
            <w:shd w:val="clear" w:color="auto" w:fill="auto"/>
            <w:hideMark/>
          </w:tcPr>
          <w:p w14:paraId="036776E8" w14:textId="77777777" w:rsidR="00EA454D" w:rsidRPr="00195091" w:rsidRDefault="00EA454D"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val="nl-NL" w:eastAsia="nl-NL"/>
              </w:rPr>
              <w:t>12 </w:t>
            </w:r>
          </w:p>
        </w:tc>
      </w:tr>
      <w:tr w:rsidR="00EA454D" w:rsidRPr="00195091" w14:paraId="7637AFD6" w14:textId="77777777" w:rsidTr="00EA454D">
        <w:trPr>
          <w:trHeight w:val="300"/>
        </w:trPr>
        <w:tc>
          <w:tcPr>
            <w:tcW w:w="1560" w:type="dxa"/>
            <w:tcBorders>
              <w:top w:val="nil"/>
              <w:left w:val="single" w:sz="6" w:space="0" w:color="8EAADB"/>
              <w:bottom w:val="single" w:sz="6" w:space="0" w:color="8EAADB"/>
              <w:right w:val="single" w:sz="6" w:space="0" w:color="8EAADB"/>
            </w:tcBorders>
            <w:shd w:val="clear" w:color="auto" w:fill="D9E2F3"/>
            <w:hideMark/>
          </w:tcPr>
          <w:p w14:paraId="70A45275" w14:textId="77777777" w:rsidR="00EA454D" w:rsidRPr="00195091" w:rsidRDefault="00EA454D" w:rsidP="00056919">
            <w:pPr>
              <w:spacing w:after="0" w:line="240" w:lineRule="auto"/>
              <w:textAlignment w:val="baseline"/>
              <w:rPr>
                <w:rFonts w:eastAsia="Times New Roman" w:cstheme="majorHAnsi"/>
                <w:b/>
                <w:bCs/>
                <w:sz w:val="24"/>
                <w:szCs w:val="24"/>
                <w:lang w:val="nl-NL" w:eastAsia="nl-NL"/>
              </w:rPr>
            </w:pPr>
            <w:r w:rsidRPr="00195091">
              <w:rPr>
                <w:rFonts w:eastAsia="Times New Roman" w:cstheme="majorHAnsi"/>
                <w:b/>
                <w:bCs/>
                <w:color w:val="000000"/>
                <w:lang w:val="nl-NL" w:eastAsia="nl-NL"/>
              </w:rPr>
              <w:t>Rest S. America </w:t>
            </w:r>
          </w:p>
        </w:tc>
        <w:tc>
          <w:tcPr>
            <w:tcW w:w="930" w:type="dxa"/>
            <w:tcBorders>
              <w:top w:val="nil"/>
              <w:left w:val="nil"/>
              <w:bottom w:val="single" w:sz="6" w:space="0" w:color="8EAADB"/>
              <w:right w:val="single" w:sz="6" w:space="0" w:color="8EAADB"/>
            </w:tcBorders>
            <w:shd w:val="clear" w:color="auto" w:fill="D9E2F3"/>
            <w:hideMark/>
          </w:tcPr>
          <w:p w14:paraId="6AFC37B1" w14:textId="77777777" w:rsidR="00EA454D" w:rsidRPr="00195091" w:rsidRDefault="00EA454D"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val="nl-NL" w:eastAsia="nl-NL"/>
              </w:rPr>
              <w:t>-64 </w:t>
            </w:r>
          </w:p>
        </w:tc>
        <w:tc>
          <w:tcPr>
            <w:tcW w:w="930" w:type="dxa"/>
            <w:tcBorders>
              <w:top w:val="nil"/>
              <w:left w:val="nil"/>
              <w:bottom w:val="single" w:sz="6" w:space="0" w:color="8EAADB"/>
              <w:right w:val="single" w:sz="6" w:space="0" w:color="8EAADB"/>
            </w:tcBorders>
            <w:shd w:val="clear" w:color="auto" w:fill="D9E2F3"/>
            <w:hideMark/>
          </w:tcPr>
          <w:p w14:paraId="68F17A28" w14:textId="77777777" w:rsidR="00EA454D" w:rsidRPr="00195091" w:rsidRDefault="00EA454D"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val="nl-NL" w:eastAsia="nl-NL"/>
              </w:rPr>
              <w:t>39 </w:t>
            </w:r>
          </w:p>
        </w:tc>
        <w:tc>
          <w:tcPr>
            <w:tcW w:w="960" w:type="dxa"/>
            <w:tcBorders>
              <w:top w:val="nil"/>
              <w:left w:val="nil"/>
              <w:bottom w:val="single" w:sz="6" w:space="0" w:color="8EAADB"/>
              <w:right w:val="single" w:sz="6" w:space="0" w:color="8EAADB"/>
            </w:tcBorders>
            <w:shd w:val="clear" w:color="auto" w:fill="D9E2F3"/>
            <w:hideMark/>
          </w:tcPr>
          <w:p w14:paraId="12E85049" w14:textId="77777777" w:rsidR="00EA454D" w:rsidRPr="00195091" w:rsidRDefault="00EA454D"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val="nl-NL" w:eastAsia="nl-NL"/>
              </w:rPr>
              <w:t>12 </w:t>
            </w:r>
          </w:p>
        </w:tc>
      </w:tr>
      <w:tr w:rsidR="00EA454D" w:rsidRPr="00195091" w14:paraId="035940E6" w14:textId="77777777" w:rsidTr="00EA454D">
        <w:trPr>
          <w:trHeight w:val="300"/>
        </w:trPr>
        <w:tc>
          <w:tcPr>
            <w:tcW w:w="1560" w:type="dxa"/>
            <w:tcBorders>
              <w:top w:val="nil"/>
              <w:left w:val="single" w:sz="6" w:space="0" w:color="8EAADB"/>
              <w:bottom w:val="single" w:sz="6" w:space="0" w:color="8EAADB"/>
              <w:right w:val="single" w:sz="6" w:space="0" w:color="8EAADB"/>
            </w:tcBorders>
            <w:shd w:val="clear" w:color="auto" w:fill="auto"/>
            <w:hideMark/>
          </w:tcPr>
          <w:p w14:paraId="51619BA7" w14:textId="77777777" w:rsidR="00EA454D" w:rsidRPr="00195091" w:rsidRDefault="00EA454D" w:rsidP="00056919">
            <w:pPr>
              <w:spacing w:after="0" w:line="240" w:lineRule="auto"/>
              <w:textAlignment w:val="baseline"/>
              <w:rPr>
                <w:rFonts w:eastAsia="Times New Roman" w:cstheme="majorHAnsi"/>
                <w:b/>
                <w:bCs/>
                <w:sz w:val="24"/>
                <w:szCs w:val="24"/>
                <w:lang w:val="nl-NL" w:eastAsia="nl-NL"/>
              </w:rPr>
            </w:pPr>
            <w:r w:rsidRPr="00195091">
              <w:rPr>
                <w:rFonts w:eastAsia="Times New Roman" w:cstheme="majorHAnsi"/>
                <w:b/>
                <w:bCs/>
                <w:color w:val="000000"/>
                <w:lang w:val="nl-NL" w:eastAsia="nl-NL"/>
              </w:rPr>
              <w:t>N. Africa </w:t>
            </w:r>
          </w:p>
        </w:tc>
        <w:tc>
          <w:tcPr>
            <w:tcW w:w="930" w:type="dxa"/>
            <w:tcBorders>
              <w:top w:val="nil"/>
              <w:left w:val="nil"/>
              <w:bottom w:val="single" w:sz="6" w:space="0" w:color="8EAADB"/>
              <w:right w:val="single" w:sz="6" w:space="0" w:color="8EAADB"/>
            </w:tcBorders>
            <w:shd w:val="clear" w:color="auto" w:fill="auto"/>
            <w:hideMark/>
          </w:tcPr>
          <w:p w14:paraId="289D39B3" w14:textId="77777777" w:rsidR="00EA454D" w:rsidRPr="00195091" w:rsidRDefault="00EA454D"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val="nl-NL" w:eastAsia="nl-NL"/>
              </w:rPr>
              <w:t>-72 </w:t>
            </w:r>
          </w:p>
        </w:tc>
        <w:tc>
          <w:tcPr>
            <w:tcW w:w="930" w:type="dxa"/>
            <w:tcBorders>
              <w:top w:val="nil"/>
              <w:left w:val="nil"/>
              <w:bottom w:val="single" w:sz="6" w:space="0" w:color="8EAADB"/>
              <w:right w:val="single" w:sz="6" w:space="0" w:color="8EAADB"/>
            </w:tcBorders>
            <w:shd w:val="clear" w:color="auto" w:fill="auto"/>
            <w:hideMark/>
          </w:tcPr>
          <w:p w14:paraId="32BB4E50" w14:textId="77777777" w:rsidR="00EA454D" w:rsidRPr="00195091" w:rsidRDefault="00EA454D"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val="nl-NL" w:eastAsia="nl-NL"/>
              </w:rPr>
              <w:t>35 </w:t>
            </w:r>
          </w:p>
        </w:tc>
        <w:tc>
          <w:tcPr>
            <w:tcW w:w="960" w:type="dxa"/>
            <w:tcBorders>
              <w:top w:val="nil"/>
              <w:left w:val="nil"/>
              <w:bottom w:val="single" w:sz="6" w:space="0" w:color="8EAADB"/>
              <w:right w:val="single" w:sz="6" w:space="0" w:color="8EAADB"/>
            </w:tcBorders>
            <w:shd w:val="clear" w:color="auto" w:fill="auto"/>
            <w:hideMark/>
          </w:tcPr>
          <w:p w14:paraId="56B81513" w14:textId="77777777" w:rsidR="00EA454D" w:rsidRPr="00195091" w:rsidRDefault="00EA454D"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val="nl-NL" w:eastAsia="nl-NL"/>
              </w:rPr>
              <w:t>18 </w:t>
            </w:r>
          </w:p>
        </w:tc>
      </w:tr>
      <w:tr w:rsidR="00EA454D" w:rsidRPr="00195091" w14:paraId="72850EFD" w14:textId="77777777" w:rsidTr="00EA454D">
        <w:trPr>
          <w:trHeight w:val="300"/>
        </w:trPr>
        <w:tc>
          <w:tcPr>
            <w:tcW w:w="1560" w:type="dxa"/>
            <w:tcBorders>
              <w:top w:val="nil"/>
              <w:left w:val="single" w:sz="6" w:space="0" w:color="8EAADB"/>
              <w:bottom w:val="single" w:sz="6" w:space="0" w:color="8EAADB"/>
              <w:right w:val="single" w:sz="6" w:space="0" w:color="8EAADB"/>
            </w:tcBorders>
            <w:shd w:val="clear" w:color="auto" w:fill="D9E2F3"/>
            <w:hideMark/>
          </w:tcPr>
          <w:p w14:paraId="121B5860" w14:textId="77777777" w:rsidR="00EA454D" w:rsidRPr="00195091" w:rsidRDefault="00EA454D" w:rsidP="00056919">
            <w:pPr>
              <w:spacing w:after="0" w:line="240" w:lineRule="auto"/>
              <w:textAlignment w:val="baseline"/>
              <w:rPr>
                <w:rFonts w:eastAsia="Times New Roman" w:cstheme="majorHAnsi"/>
                <w:b/>
                <w:bCs/>
                <w:sz w:val="24"/>
                <w:szCs w:val="24"/>
                <w:lang w:val="nl-NL" w:eastAsia="nl-NL"/>
              </w:rPr>
            </w:pPr>
            <w:r w:rsidRPr="00195091">
              <w:rPr>
                <w:rFonts w:eastAsia="Times New Roman" w:cstheme="majorHAnsi"/>
                <w:b/>
                <w:bCs/>
                <w:color w:val="000000"/>
                <w:lang w:val="nl-NL" w:eastAsia="nl-NL"/>
              </w:rPr>
              <w:t>W. Africa </w:t>
            </w:r>
          </w:p>
        </w:tc>
        <w:tc>
          <w:tcPr>
            <w:tcW w:w="930" w:type="dxa"/>
            <w:tcBorders>
              <w:top w:val="nil"/>
              <w:left w:val="nil"/>
              <w:bottom w:val="single" w:sz="6" w:space="0" w:color="8EAADB"/>
              <w:right w:val="single" w:sz="6" w:space="0" w:color="8EAADB"/>
            </w:tcBorders>
            <w:shd w:val="clear" w:color="auto" w:fill="D9E2F3"/>
            <w:hideMark/>
          </w:tcPr>
          <w:p w14:paraId="3E1A23C8" w14:textId="77777777" w:rsidR="00EA454D" w:rsidRPr="00195091" w:rsidRDefault="00EA454D"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val="nl-NL" w:eastAsia="nl-NL"/>
              </w:rPr>
              <w:t>-72 </w:t>
            </w:r>
          </w:p>
        </w:tc>
        <w:tc>
          <w:tcPr>
            <w:tcW w:w="930" w:type="dxa"/>
            <w:tcBorders>
              <w:top w:val="nil"/>
              <w:left w:val="nil"/>
              <w:bottom w:val="single" w:sz="6" w:space="0" w:color="8EAADB"/>
              <w:right w:val="single" w:sz="6" w:space="0" w:color="8EAADB"/>
            </w:tcBorders>
            <w:shd w:val="clear" w:color="auto" w:fill="D9E2F3"/>
            <w:hideMark/>
          </w:tcPr>
          <w:p w14:paraId="0BDB7F62" w14:textId="77777777" w:rsidR="00EA454D" w:rsidRPr="00195091" w:rsidRDefault="00EA454D"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val="nl-NL" w:eastAsia="nl-NL"/>
              </w:rPr>
              <w:t>35 </w:t>
            </w:r>
          </w:p>
        </w:tc>
        <w:tc>
          <w:tcPr>
            <w:tcW w:w="960" w:type="dxa"/>
            <w:tcBorders>
              <w:top w:val="nil"/>
              <w:left w:val="nil"/>
              <w:bottom w:val="single" w:sz="6" w:space="0" w:color="8EAADB"/>
              <w:right w:val="single" w:sz="6" w:space="0" w:color="8EAADB"/>
            </w:tcBorders>
            <w:shd w:val="clear" w:color="auto" w:fill="D9E2F3"/>
            <w:hideMark/>
          </w:tcPr>
          <w:p w14:paraId="7EB29044" w14:textId="77777777" w:rsidR="00EA454D" w:rsidRPr="00195091" w:rsidRDefault="00EA454D"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val="nl-NL" w:eastAsia="nl-NL"/>
              </w:rPr>
              <w:t>18 </w:t>
            </w:r>
          </w:p>
        </w:tc>
      </w:tr>
      <w:tr w:rsidR="00EA454D" w:rsidRPr="00195091" w14:paraId="5BBB26D0" w14:textId="77777777" w:rsidTr="00EA454D">
        <w:trPr>
          <w:trHeight w:val="300"/>
        </w:trPr>
        <w:tc>
          <w:tcPr>
            <w:tcW w:w="1560" w:type="dxa"/>
            <w:tcBorders>
              <w:top w:val="nil"/>
              <w:left w:val="single" w:sz="6" w:space="0" w:color="8EAADB"/>
              <w:bottom w:val="single" w:sz="6" w:space="0" w:color="8EAADB"/>
              <w:right w:val="single" w:sz="6" w:space="0" w:color="8EAADB"/>
            </w:tcBorders>
            <w:shd w:val="clear" w:color="auto" w:fill="auto"/>
            <w:hideMark/>
          </w:tcPr>
          <w:p w14:paraId="759CF146" w14:textId="77777777" w:rsidR="00EA454D" w:rsidRPr="00195091" w:rsidRDefault="00EA454D" w:rsidP="00056919">
            <w:pPr>
              <w:spacing w:after="0" w:line="240" w:lineRule="auto"/>
              <w:textAlignment w:val="baseline"/>
              <w:rPr>
                <w:rFonts w:eastAsia="Times New Roman" w:cstheme="majorHAnsi"/>
                <w:b/>
                <w:bCs/>
                <w:sz w:val="24"/>
                <w:szCs w:val="24"/>
                <w:lang w:val="nl-NL" w:eastAsia="nl-NL"/>
              </w:rPr>
            </w:pPr>
            <w:r w:rsidRPr="00195091">
              <w:rPr>
                <w:rFonts w:eastAsia="Times New Roman" w:cstheme="majorHAnsi"/>
                <w:b/>
                <w:bCs/>
                <w:color w:val="000000"/>
                <w:lang w:val="nl-NL" w:eastAsia="nl-NL"/>
              </w:rPr>
              <w:t>E. Africa </w:t>
            </w:r>
          </w:p>
        </w:tc>
        <w:tc>
          <w:tcPr>
            <w:tcW w:w="930" w:type="dxa"/>
            <w:tcBorders>
              <w:top w:val="nil"/>
              <w:left w:val="nil"/>
              <w:bottom w:val="single" w:sz="6" w:space="0" w:color="8EAADB"/>
              <w:right w:val="single" w:sz="6" w:space="0" w:color="8EAADB"/>
            </w:tcBorders>
            <w:shd w:val="clear" w:color="auto" w:fill="auto"/>
            <w:hideMark/>
          </w:tcPr>
          <w:p w14:paraId="20E103E4" w14:textId="77777777" w:rsidR="00EA454D" w:rsidRPr="00195091" w:rsidRDefault="00EA454D"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val="nl-NL" w:eastAsia="nl-NL"/>
              </w:rPr>
              <w:t>-72 </w:t>
            </w:r>
          </w:p>
        </w:tc>
        <w:tc>
          <w:tcPr>
            <w:tcW w:w="930" w:type="dxa"/>
            <w:tcBorders>
              <w:top w:val="nil"/>
              <w:left w:val="nil"/>
              <w:bottom w:val="single" w:sz="6" w:space="0" w:color="8EAADB"/>
              <w:right w:val="single" w:sz="6" w:space="0" w:color="8EAADB"/>
            </w:tcBorders>
            <w:shd w:val="clear" w:color="auto" w:fill="auto"/>
            <w:hideMark/>
          </w:tcPr>
          <w:p w14:paraId="735F063C" w14:textId="77777777" w:rsidR="00EA454D" w:rsidRPr="00195091" w:rsidRDefault="00EA454D"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val="nl-NL" w:eastAsia="nl-NL"/>
              </w:rPr>
              <w:t>35 </w:t>
            </w:r>
          </w:p>
        </w:tc>
        <w:tc>
          <w:tcPr>
            <w:tcW w:w="960" w:type="dxa"/>
            <w:tcBorders>
              <w:top w:val="nil"/>
              <w:left w:val="nil"/>
              <w:bottom w:val="single" w:sz="6" w:space="0" w:color="8EAADB"/>
              <w:right w:val="single" w:sz="6" w:space="0" w:color="8EAADB"/>
            </w:tcBorders>
            <w:shd w:val="clear" w:color="auto" w:fill="auto"/>
            <w:hideMark/>
          </w:tcPr>
          <w:p w14:paraId="1F7F25C8" w14:textId="77777777" w:rsidR="00EA454D" w:rsidRPr="00195091" w:rsidRDefault="00EA454D"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val="nl-NL" w:eastAsia="nl-NL"/>
              </w:rPr>
              <w:t>18 </w:t>
            </w:r>
          </w:p>
        </w:tc>
      </w:tr>
      <w:tr w:rsidR="00EA454D" w:rsidRPr="00195091" w14:paraId="1129C56F" w14:textId="77777777" w:rsidTr="00EA454D">
        <w:trPr>
          <w:trHeight w:val="300"/>
        </w:trPr>
        <w:tc>
          <w:tcPr>
            <w:tcW w:w="1560" w:type="dxa"/>
            <w:tcBorders>
              <w:top w:val="nil"/>
              <w:left w:val="single" w:sz="6" w:space="0" w:color="8EAADB"/>
              <w:bottom w:val="single" w:sz="6" w:space="0" w:color="8EAADB"/>
              <w:right w:val="single" w:sz="6" w:space="0" w:color="8EAADB"/>
            </w:tcBorders>
            <w:shd w:val="clear" w:color="auto" w:fill="D9E2F3"/>
            <w:hideMark/>
          </w:tcPr>
          <w:p w14:paraId="35CCD38E" w14:textId="77777777" w:rsidR="00EA454D" w:rsidRPr="00195091" w:rsidRDefault="00EA454D" w:rsidP="00056919">
            <w:pPr>
              <w:spacing w:after="0" w:line="240" w:lineRule="auto"/>
              <w:textAlignment w:val="baseline"/>
              <w:rPr>
                <w:rFonts w:eastAsia="Times New Roman" w:cstheme="majorHAnsi"/>
                <w:b/>
                <w:bCs/>
                <w:sz w:val="24"/>
                <w:szCs w:val="24"/>
                <w:lang w:val="nl-NL" w:eastAsia="nl-NL"/>
              </w:rPr>
            </w:pPr>
            <w:r w:rsidRPr="00195091">
              <w:rPr>
                <w:rFonts w:eastAsia="Times New Roman" w:cstheme="majorHAnsi"/>
                <w:b/>
                <w:bCs/>
                <w:color w:val="000000"/>
                <w:lang w:val="nl-NL" w:eastAsia="nl-NL"/>
              </w:rPr>
              <w:t>South Africa </w:t>
            </w:r>
          </w:p>
        </w:tc>
        <w:tc>
          <w:tcPr>
            <w:tcW w:w="930" w:type="dxa"/>
            <w:tcBorders>
              <w:top w:val="nil"/>
              <w:left w:val="nil"/>
              <w:bottom w:val="single" w:sz="6" w:space="0" w:color="8EAADB"/>
              <w:right w:val="single" w:sz="6" w:space="0" w:color="8EAADB"/>
            </w:tcBorders>
            <w:shd w:val="clear" w:color="auto" w:fill="D9E2F3"/>
            <w:hideMark/>
          </w:tcPr>
          <w:p w14:paraId="0DDCB639" w14:textId="77777777" w:rsidR="00EA454D" w:rsidRPr="00195091" w:rsidRDefault="00EA454D"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val="nl-NL" w:eastAsia="nl-NL"/>
              </w:rPr>
              <w:t>-72 </w:t>
            </w:r>
          </w:p>
        </w:tc>
        <w:tc>
          <w:tcPr>
            <w:tcW w:w="930" w:type="dxa"/>
            <w:tcBorders>
              <w:top w:val="nil"/>
              <w:left w:val="nil"/>
              <w:bottom w:val="single" w:sz="6" w:space="0" w:color="8EAADB"/>
              <w:right w:val="single" w:sz="6" w:space="0" w:color="8EAADB"/>
            </w:tcBorders>
            <w:shd w:val="clear" w:color="auto" w:fill="D9E2F3"/>
            <w:hideMark/>
          </w:tcPr>
          <w:p w14:paraId="67474EB2" w14:textId="77777777" w:rsidR="00EA454D" w:rsidRPr="00195091" w:rsidRDefault="00EA454D"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val="nl-NL" w:eastAsia="nl-NL"/>
              </w:rPr>
              <w:t>35 </w:t>
            </w:r>
          </w:p>
        </w:tc>
        <w:tc>
          <w:tcPr>
            <w:tcW w:w="960" w:type="dxa"/>
            <w:tcBorders>
              <w:top w:val="nil"/>
              <w:left w:val="nil"/>
              <w:bottom w:val="single" w:sz="6" w:space="0" w:color="8EAADB"/>
              <w:right w:val="single" w:sz="6" w:space="0" w:color="8EAADB"/>
            </w:tcBorders>
            <w:shd w:val="clear" w:color="auto" w:fill="D9E2F3"/>
            <w:hideMark/>
          </w:tcPr>
          <w:p w14:paraId="35A2E007" w14:textId="77777777" w:rsidR="00EA454D" w:rsidRPr="00195091" w:rsidRDefault="00EA454D"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val="nl-NL" w:eastAsia="nl-NL"/>
              </w:rPr>
              <w:t>18 </w:t>
            </w:r>
          </w:p>
        </w:tc>
      </w:tr>
      <w:tr w:rsidR="00EA454D" w:rsidRPr="00195091" w14:paraId="61DFBA8A" w14:textId="77777777" w:rsidTr="00EA454D">
        <w:trPr>
          <w:trHeight w:val="300"/>
        </w:trPr>
        <w:tc>
          <w:tcPr>
            <w:tcW w:w="1560" w:type="dxa"/>
            <w:tcBorders>
              <w:top w:val="nil"/>
              <w:left w:val="single" w:sz="6" w:space="0" w:color="8EAADB"/>
              <w:bottom w:val="single" w:sz="6" w:space="0" w:color="8EAADB"/>
              <w:right w:val="single" w:sz="6" w:space="0" w:color="8EAADB"/>
            </w:tcBorders>
            <w:shd w:val="clear" w:color="auto" w:fill="auto"/>
            <w:hideMark/>
          </w:tcPr>
          <w:p w14:paraId="0A87FCE8" w14:textId="77777777" w:rsidR="00EA454D" w:rsidRPr="00195091" w:rsidRDefault="00EA454D" w:rsidP="00056919">
            <w:pPr>
              <w:spacing w:after="0" w:line="240" w:lineRule="auto"/>
              <w:textAlignment w:val="baseline"/>
              <w:rPr>
                <w:rFonts w:eastAsia="Times New Roman" w:cstheme="majorHAnsi"/>
                <w:b/>
                <w:bCs/>
                <w:sz w:val="24"/>
                <w:szCs w:val="24"/>
                <w:lang w:val="nl-NL" w:eastAsia="nl-NL"/>
              </w:rPr>
            </w:pPr>
            <w:r w:rsidRPr="00195091">
              <w:rPr>
                <w:rFonts w:eastAsia="Times New Roman" w:cstheme="majorHAnsi"/>
                <w:b/>
                <w:bCs/>
                <w:color w:val="000000"/>
                <w:lang w:val="nl-NL" w:eastAsia="nl-NL"/>
              </w:rPr>
              <w:t>W. Europe </w:t>
            </w:r>
          </w:p>
        </w:tc>
        <w:tc>
          <w:tcPr>
            <w:tcW w:w="930" w:type="dxa"/>
            <w:tcBorders>
              <w:top w:val="nil"/>
              <w:left w:val="nil"/>
              <w:bottom w:val="single" w:sz="6" w:space="0" w:color="8EAADB"/>
              <w:right w:val="single" w:sz="6" w:space="0" w:color="8EAADB"/>
            </w:tcBorders>
            <w:shd w:val="clear" w:color="auto" w:fill="auto"/>
            <w:hideMark/>
          </w:tcPr>
          <w:p w14:paraId="1DFE11FF" w14:textId="77777777" w:rsidR="00EA454D" w:rsidRPr="00195091" w:rsidRDefault="00EA454D"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val="nl-NL" w:eastAsia="nl-NL"/>
              </w:rPr>
              <w:t>-70 </w:t>
            </w:r>
          </w:p>
        </w:tc>
        <w:tc>
          <w:tcPr>
            <w:tcW w:w="930" w:type="dxa"/>
            <w:tcBorders>
              <w:top w:val="nil"/>
              <w:left w:val="nil"/>
              <w:bottom w:val="single" w:sz="6" w:space="0" w:color="8EAADB"/>
              <w:right w:val="single" w:sz="6" w:space="0" w:color="8EAADB"/>
            </w:tcBorders>
            <w:shd w:val="clear" w:color="auto" w:fill="auto"/>
            <w:hideMark/>
          </w:tcPr>
          <w:p w14:paraId="37052294" w14:textId="77777777" w:rsidR="00EA454D" w:rsidRPr="00195091" w:rsidRDefault="00EA454D"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val="nl-NL" w:eastAsia="nl-NL"/>
              </w:rPr>
              <w:t>47 </w:t>
            </w:r>
          </w:p>
        </w:tc>
        <w:tc>
          <w:tcPr>
            <w:tcW w:w="960" w:type="dxa"/>
            <w:tcBorders>
              <w:top w:val="nil"/>
              <w:left w:val="nil"/>
              <w:bottom w:val="single" w:sz="6" w:space="0" w:color="8EAADB"/>
              <w:right w:val="single" w:sz="6" w:space="0" w:color="8EAADB"/>
            </w:tcBorders>
            <w:shd w:val="clear" w:color="auto" w:fill="auto"/>
            <w:hideMark/>
          </w:tcPr>
          <w:p w14:paraId="5B0C516B" w14:textId="77777777" w:rsidR="00EA454D" w:rsidRPr="00195091" w:rsidRDefault="00EA454D"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val="nl-NL" w:eastAsia="nl-NL"/>
              </w:rPr>
              <w:t>11 </w:t>
            </w:r>
          </w:p>
        </w:tc>
      </w:tr>
      <w:tr w:rsidR="00EA454D" w:rsidRPr="00195091" w14:paraId="05E4B361" w14:textId="77777777" w:rsidTr="00EA454D">
        <w:trPr>
          <w:trHeight w:val="300"/>
        </w:trPr>
        <w:tc>
          <w:tcPr>
            <w:tcW w:w="1560" w:type="dxa"/>
            <w:tcBorders>
              <w:top w:val="nil"/>
              <w:left w:val="single" w:sz="6" w:space="0" w:color="8EAADB"/>
              <w:bottom w:val="single" w:sz="6" w:space="0" w:color="8EAADB"/>
              <w:right w:val="single" w:sz="6" w:space="0" w:color="8EAADB"/>
            </w:tcBorders>
            <w:shd w:val="clear" w:color="auto" w:fill="D9E2F3"/>
            <w:hideMark/>
          </w:tcPr>
          <w:p w14:paraId="5F042A01" w14:textId="77777777" w:rsidR="00EA454D" w:rsidRPr="00195091" w:rsidRDefault="00EA454D" w:rsidP="00056919">
            <w:pPr>
              <w:spacing w:after="0" w:line="240" w:lineRule="auto"/>
              <w:textAlignment w:val="baseline"/>
              <w:rPr>
                <w:rFonts w:eastAsia="Times New Roman" w:cstheme="majorHAnsi"/>
                <w:b/>
                <w:bCs/>
                <w:sz w:val="24"/>
                <w:szCs w:val="24"/>
                <w:lang w:val="nl-NL" w:eastAsia="nl-NL"/>
              </w:rPr>
            </w:pPr>
            <w:r w:rsidRPr="00195091">
              <w:rPr>
                <w:rFonts w:eastAsia="Times New Roman" w:cstheme="majorHAnsi"/>
                <w:b/>
                <w:bCs/>
                <w:color w:val="000000"/>
                <w:lang w:val="nl-NL" w:eastAsia="nl-NL"/>
              </w:rPr>
              <w:t>C. Europe </w:t>
            </w:r>
          </w:p>
        </w:tc>
        <w:tc>
          <w:tcPr>
            <w:tcW w:w="930" w:type="dxa"/>
            <w:tcBorders>
              <w:top w:val="nil"/>
              <w:left w:val="nil"/>
              <w:bottom w:val="single" w:sz="6" w:space="0" w:color="8EAADB"/>
              <w:right w:val="single" w:sz="6" w:space="0" w:color="8EAADB"/>
            </w:tcBorders>
            <w:shd w:val="clear" w:color="auto" w:fill="D9E2F3"/>
            <w:hideMark/>
          </w:tcPr>
          <w:p w14:paraId="3DCC5B74" w14:textId="77777777" w:rsidR="00EA454D" w:rsidRPr="00195091" w:rsidRDefault="00EA454D"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val="nl-NL" w:eastAsia="nl-NL"/>
              </w:rPr>
              <w:t>-70 </w:t>
            </w:r>
          </w:p>
        </w:tc>
        <w:tc>
          <w:tcPr>
            <w:tcW w:w="930" w:type="dxa"/>
            <w:tcBorders>
              <w:top w:val="nil"/>
              <w:left w:val="nil"/>
              <w:bottom w:val="single" w:sz="6" w:space="0" w:color="8EAADB"/>
              <w:right w:val="single" w:sz="6" w:space="0" w:color="8EAADB"/>
            </w:tcBorders>
            <w:shd w:val="clear" w:color="auto" w:fill="D9E2F3"/>
            <w:hideMark/>
          </w:tcPr>
          <w:p w14:paraId="63DD4AFA" w14:textId="77777777" w:rsidR="00EA454D" w:rsidRPr="00195091" w:rsidRDefault="00EA454D"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val="nl-NL" w:eastAsia="nl-NL"/>
              </w:rPr>
              <w:t>47 </w:t>
            </w:r>
          </w:p>
        </w:tc>
        <w:tc>
          <w:tcPr>
            <w:tcW w:w="960" w:type="dxa"/>
            <w:tcBorders>
              <w:top w:val="nil"/>
              <w:left w:val="nil"/>
              <w:bottom w:val="single" w:sz="6" w:space="0" w:color="8EAADB"/>
              <w:right w:val="single" w:sz="6" w:space="0" w:color="8EAADB"/>
            </w:tcBorders>
            <w:shd w:val="clear" w:color="auto" w:fill="D9E2F3"/>
            <w:hideMark/>
          </w:tcPr>
          <w:p w14:paraId="3B9250DB" w14:textId="77777777" w:rsidR="00EA454D" w:rsidRPr="00195091" w:rsidRDefault="00EA454D"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val="nl-NL" w:eastAsia="nl-NL"/>
              </w:rPr>
              <w:t>11 </w:t>
            </w:r>
          </w:p>
        </w:tc>
      </w:tr>
      <w:tr w:rsidR="00EA454D" w:rsidRPr="00195091" w14:paraId="1C06B331" w14:textId="77777777" w:rsidTr="00EA454D">
        <w:trPr>
          <w:trHeight w:val="300"/>
        </w:trPr>
        <w:tc>
          <w:tcPr>
            <w:tcW w:w="1560" w:type="dxa"/>
            <w:tcBorders>
              <w:top w:val="nil"/>
              <w:left w:val="single" w:sz="6" w:space="0" w:color="8EAADB"/>
              <w:bottom w:val="single" w:sz="6" w:space="0" w:color="8EAADB"/>
              <w:right w:val="single" w:sz="6" w:space="0" w:color="8EAADB"/>
            </w:tcBorders>
            <w:shd w:val="clear" w:color="auto" w:fill="auto"/>
            <w:hideMark/>
          </w:tcPr>
          <w:p w14:paraId="31C24AC2" w14:textId="77777777" w:rsidR="00EA454D" w:rsidRPr="00195091" w:rsidRDefault="00EA454D" w:rsidP="00056919">
            <w:pPr>
              <w:spacing w:after="0" w:line="240" w:lineRule="auto"/>
              <w:textAlignment w:val="baseline"/>
              <w:rPr>
                <w:rFonts w:eastAsia="Times New Roman" w:cstheme="majorHAnsi"/>
                <w:b/>
                <w:bCs/>
                <w:sz w:val="24"/>
                <w:szCs w:val="24"/>
                <w:lang w:val="nl-NL" w:eastAsia="nl-NL"/>
              </w:rPr>
            </w:pPr>
            <w:r w:rsidRPr="00195091">
              <w:rPr>
                <w:rFonts w:eastAsia="Times New Roman" w:cstheme="majorHAnsi"/>
                <w:b/>
                <w:bCs/>
                <w:color w:val="000000"/>
                <w:lang w:val="nl-NL" w:eastAsia="nl-NL"/>
              </w:rPr>
              <w:t>Turkey </w:t>
            </w:r>
          </w:p>
        </w:tc>
        <w:tc>
          <w:tcPr>
            <w:tcW w:w="930" w:type="dxa"/>
            <w:tcBorders>
              <w:top w:val="nil"/>
              <w:left w:val="nil"/>
              <w:bottom w:val="single" w:sz="6" w:space="0" w:color="8EAADB"/>
              <w:right w:val="single" w:sz="6" w:space="0" w:color="8EAADB"/>
            </w:tcBorders>
            <w:shd w:val="clear" w:color="auto" w:fill="auto"/>
            <w:hideMark/>
          </w:tcPr>
          <w:p w14:paraId="05BAC900" w14:textId="77777777" w:rsidR="00EA454D" w:rsidRPr="00195091" w:rsidRDefault="00EA454D"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val="nl-NL" w:eastAsia="nl-NL"/>
              </w:rPr>
              <w:t>-70 </w:t>
            </w:r>
          </w:p>
        </w:tc>
        <w:tc>
          <w:tcPr>
            <w:tcW w:w="930" w:type="dxa"/>
            <w:tcBorders>
              <w:top w:val="nil"/>
              <w:left w:val="nil"/>
              <w:bottom w:val="single" w:sz="6" w:space="0" w:color="8EAADB"/>
              <w:right w:val="single" w:sz="6" w:space="0" w:color="8EAADB"/>
            </w:tcBorders>
            <w:shd w:val="clear" w:color="auto" w:fill="auto"/>
            <w:hideMark/>
          </w:tcPr>
          <w:p w14:paraId="69BDB447" w14:textId="77777777" w:rsidR="00EA454D" w:rsidRPr="00195091" w:rsidRDefault="00EA454D"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val="nl-NL" w:eastAsia="nl-NL"/>
              </w:rPr>
              <w:t>47 </w:t>
            </w:r>
          </w:p>
        </w:tc>
        <w:tc>
          <w:tcPr>
            <w:tcW w:w="960" w:type="dxa"/>
            <w:tcBorders>
              <w:top w:val="nil"/>
              <w:left w:val="nil"/>
              <w:bottom w:val="single" w:sz="6" w:space="0" w:color="8EAADB"/>
              <w:right w:val="single" w:sz="6" w:space="0" w:color="8EAADB"/>
            </w:tcBorders>
            <w:shd w:val="clear" w:color="auto" w:fill="auto"/>
            <w:hideMark/>
          </w:tcPr>
          <w:p w14:paraId="2DB9F93C" w14:textId="77777777" w:rsidR="00EA454D" w:rsidRPr="00195091" w:rsidRDefault="00EA454D"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val="nl-NL" w:eastAsia="nl-NL"/>
              </w:rPr>
              <w:t>11 </w:t>
            </w:r>
          </w:p>
        </w:tc>
      </w:tr>
      <w:tr w:rsidR="00EA454D" w:rsidRPr="00195091" w14:paraId="3D87A9DC" w14:textId="77777777" w:rsidTr="00EA454D">
        <w:trPr>
          <w:trHeight w:val="300"/>
        </w:trPr>
        <w:tc>
          <w:tcPr>
            <w:tcW w:w="1560" w:type="dxa"/>
            <w:tcBorders>
              <w:top w:val="nil"/>
              <w:left w:val="single" w:sz="6" w:space="0" w:color="8EAADB"/>
              <w:bottom w:val="single" w:sz="6" w:space="0" w:color="8EAADB"/>
              <w:right w:val="single" w:sz="6" w:space="0" w:color="8EAADB"/>
            </w:tcBorders>
            <w:shd w:val="clear" w:color="auto" w:fill="D9E2F3"/>
            <w:hideMark/>
          </w:tcPr>
          <w:p w14:paraId="48152383" w14:textId="77777777" w:rsidR="00EA454D" w:rsidRPr="00195091" w:rsidRDefault="00EA454D" w:rsidP="00056919">
            <w:pPr>
              <w:spacing w:after="0" w:line="240" w:lineRule="auto"/>
              <w:textAlignment w:val="baseline"/>
              <w:rPr>
                <w:rFonts w:eastAsia="Times New Roman" w:cstheme="majorHAnsi"/>
                <w:b/>
                <w:bCs/>
                <w:sz w:val="24"/>
                <w:szCs w:val="24"/>
                <w:lang w:val="nl-NL" w:eastAsia="nl-NL"/>
              </w:rPr>
            </w:pPr>
            <w:r w:rsidRPr="00195091">
              <w:rPr>
                <w:rFonts w:eastAsia="Times New Roman" w:cstheme="majorHAnsi"/>
                <w:b/>
                <w:bCs/>
                <w:color w:val="000000"/>
                <w:lang w:val="nl-NL" w:eastAsia="nl-NL"/>
              </w:rPr>
              <w:t>Ukraine </w:t>
            </w:r>
          </w:p>
        </w:tc>
        <w:tc>
          <w:tcPr>
            <w:tcW w:w="930" w:type="dxa"/>
            <w:tcBorders>
              <w:top w:val="nil"/>
              <w:left w:val="nil"/>
              <w:bottom w:val="single" w:sz="6" w:space="0" w:color="8EAADB"/>
              <w:right w:val="single" w:sz="6" w:space="0" w:color="8EAADB"/>
            </w:tcBorders>
            <w:shd w:val="clear" w:color="auto" w:fill="D9E2F3"/>
            <w:hideMark/>
          </w:tcPr>
          <w:p w14:paraId="6E0021B8" w14:textId="77777777" w:rsidR="00EA454D" w:rsidRPr="00195091" w:rsidRDefault="00EA454D"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val="nl-NL" w:eastAsia="nl-NL"/>
              </w:rPr>
              <w:t>-70 </w:t>
            </w:r>
          </w:p>
        </w:tc>
        <w:tc>
          <w:tcPr>
            <w:tcW w:w="930" w:type="dxa"/>
            <w:tcBorders>
              <w:top w:val="nil"/>
              <w:left w:val="nil"/>
              <w:bottom w:val="single" w:sz="6" w:space="0" w:color="8EAADB"/>
              <w:right w:val="single" w:sz="6" w:space="0" w:color="8EAADB"/>
            </w:tcBorders>
            <w:shd w:val="clear" w:color="auto" w:fill="D9E2F3"/>
            <w:hideMark/>
          </w:tcPr>
          <w:p w14:paraId="161A747A" w14:textId="77777777" w:rsidR="00EA454D" w:rsidRPr="00195091" w:rsidRDefault="00EA454D"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val="nl-NL" w:eastAsia="nl-NL"/>
              </w:rPr>
              <w:t>47 </w:t>
            </w:r>
          </w:p>
        </w:tc>
        <w:tc>
          <w:tcPr>
            <w:tcW w:w="960" w:type="dxa"/>
            <w:tcBorders>
              <w:top w:val="nil"/>
              <w:left w:val="nil"/>
              <w:bottom w:val="single" w:sz="6" w:space="0" w:color="8EAADB"/>
              <w:right w:val="single" w:sz="6" w:space="0" w:color="8EAADB"/>
            </w:tcBorders>
            <w:shd w:val="clear" w:color="auto" w:fill="D9E2F3"/>
            <w:hideMark/>
          </w:tcPr>
          <w:p w14:paraId="0FF31DB4" w14:textId="77777777" w:rsidR="00EA454D" w:rsidRPr="00195091" w:rsidRDefault="00EA454D"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val="nl-NL" w:eastAsia="nl-NL"/>
              </w:rPr>
              <w:t>11 </w:t>
            </w:r>
          </w:p>
        </w:tc>
      </w:tr>
      <w:tr w:rsidR="00EA454D" w:rsidRPr="00195091" w14:paraId="50923463" w14:textId="77777777" w:rsidTr="00EA454D">
        <w:trPr>
          <w:trHeight w:val="300"/>
        </w:trPr>
        <w:tc>
          <w:tcPr>
            <w:tcW w:w="1560" w:type="dxa"/>
            <w:tcBorders>
              <w:top w:val="nil"/>
              <w:left w:val="single" w:sz="6" w:space="0" w:color="8EAADB"/>
              <w:bottom w:val="single" w:sz="6" w:space="0" w:color="8EAADB"/>
              <w:right w:val="single" w:sz="6" w:space="0" w:color="8EAADB"/>
            </w:tcBorders>
            <w:shd w:val="clear" w:color="auto" w:fill="auto"/>
            <w:hideMark/>
          </w:tcPr>
          <w:p w14:paraId="188C2D53" w14:textId="77777777" w:rsidR="00EA454D" w:rsidRPr="00195091" w:rsidRDefault="00EA454D" w:rsidP="00056919">
            <w:pPr>
              <w:spacing w:after="0" w:line="240" w:lineRule="auto"/>
              <w:textAlignment w:val="baseline"/>
              <w:rPr>
                <w:rFonts w:eastAsia="Times New Roman" w:cstheme="majorHAnsi"/>
                <w:b/>
                <w:bCs/>
                <w:sz w:val="24"/>
                <w:szCs w:val="24"/>
                <w:lang w:val="nl-NL" w:eastAsia="nl-NL"/>
              </w:rPr>
            </w:pPr>
            <w:r w:rsidRPr="00195091">
              <w:rPr>
                <w:rFonts w:eastAsia="Times New Roman" w:cstheme="majorHAnsi"/>
                <w:b/>
                <w:bCs/>
                <w:color w:val="000000"/>
                <w:lang w:val="nl-NL" w:eastAsia="nl-NL"/>
              </w:rPr>
              <w:t>Stan </w:t>
            </w:r>
          </w:p>
        </w:tc>
        <w:tc>
          <w:tcPr>
            <w:tcW w:w="930" w:type="dxa"/>
            <w:tcBorders>
              <w:top w:val="nil"/>
              <w:left w:val="nil"/>
              <w:bottom w:val="single" w:sz="6" w:space="0" w:color="8EAADB"/>
              <w:right w:val="single" w:sz="6" w:space="0" w:color="8EAADB"/>
            </w:tcBorders>
            <w:shd w:val="clear" w:color="auto" w:fill="auto"/>
            <w:hideMark/>
          </w:tcPr>
          <w:p w14:paraId="54B378CE" w14:textId="77777777" w:rsidR="00EA454D" w:rsidRPr="00195091" w:rsidRDefault="00EA454D"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val="nl-NL" w:eastAsia="nl-NL"/>
              </w:rPr>
              <w:t>-62 </w:t>
            </w:r>
          </w:p>
        </w:tc>
        <w:tc>
          <w:tcPr>
            <w:tcW w:w="930" w:type="dxa"/>
            <w:tcBorders>
              <w:top w:val="nil"/>
              <w:left w:val="nil"/>
              <w:bottom w:val="single" w:sz="6" w:space="0" w:color="8EAADB"/>
              <w:right w:val="single" w:sz="6" w:space="0" w:color="8EAADB"/>
            </w:tcBorders>
            <w:shd w:val="clear" w:color="auto" w:fill="auto"/>
            <w:hideMark/>
          </w:tcPr>
          <w:p w14:paraId="042E64C2" w14:textId="77777777" w:rsidR="00EA454D" w:rsidRPr="00195091" w:rsidRDefault="00EA454D"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val="nl-NL" w:eastAsia="nl-NL"/>
              </w:rPr>
              <w:t>50 </w:t>
            </w:r>
          </w:p>
        </w:tc>
        <w:tc>
          <w:tcPr>
            <w:tcW w:w="960" w:type="dxa"/>
            <w:tcBorders>
              <w:top w:val="nil"/>
              <w:left w:val="nil"/>
              <w:bottom w:val="single" w:sz="6" w:space="0" w:color="8EAADB"/>
              <w:right w:val="single" w:sz="6" w:space="0" w:color="8EAADB"/>
            </w:tcBorders>
            <w:shd w:val="clear" w:color="auto" w:fill="auto"/>
            <w:hideMark/>
          </w:tcPr>
          <w:p w14:paraId="02DC2BDD" w14:textId="77777777" w:rsidR="00EA454D" w:rsidRPr="00195091" w:rsidRDefault="00EA454D"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val="nl-NL" w:eastAsia="nl-NL"/>
              </w:rPr>
              <w:t>6 </w:t>
            </w:r>
          </w:p>
        </w:tc>
      </w:tr>
      <w:tr w:rsidR="00EA454D" w:rsidRPr="00195091" w14:paraId="4F6884D9" w14:textId="77777777" w:rsidTr="00EA454D">
        <w:trPr>
          <w:trHeight w:val="300"/>
        </w:trPr>
        <w:tc>
          <w:tcPr>
            <w:tcW w:w="1560" w:type="dxa"/>
            <w:tcBorders>
              <w:top w:val="nil"/>
              <w:left w:val="single" w:sz="6" w:space="0" w:color="8EAADB"/>
              <w:bottom w:val="single" w:sz="6" w:space="0" w:color="8EAADB"/>
              <w:right w:val="single" w:sz="6" w:space="0" w:color="8EAADB"/>
            </w:tcBorders>
            <w:shd w:val="clear" w:color="auto" w:fill="D9E2F3"/>
            <w:hideMark/>
          </w:tcPr>
          <w:p w14:paraId="13F09EF9" w14:textId="77777777" w:rsidR="00EA454D" w:rsidRPr="00195091" w:rsidRDefault="00EA454D" w:rsidP="00056919">
            <w:pPr>
              <w:spacing w:after="0" w:line="240" w:lineRule="auto"/>
              <w:textAlignment w:val="baseline"/>
              <w:rPr>
                <w:rFonts w:eastAsia="Times New Roman" w:cstheme="majorHAnsi"/>
                <w:b/>
                <w:bCs/>
                <w:sz w:val="24"/>
                <w:szCs w:val="24"/>
                <w:lang w:val="nl-NL" w:eastAsia="nl-NL"/>
              </w:rPr>
            </w:pPr>
            <w:r w:rsidRPr="00195091">
              <w:rPr>
                <w:rFonts w:eastAsia="Times New Roman" w:cstheme="majorHAnsi"/>
                <w:b/>
                <w:bCs/>
                <w:color w:val="000000"/>
                <w:lang w:val="nl-NL" w:eastAsia="nl-NL"/>
              </w:rPr>
              <w:t>Russia </w:t>
            </w:r>
          </w:p>
        </w:tc>
        <w:tc>
          <w:tcPr>
            <w:tcW w:w="930" w:type="dxa"/>
            <w:tcBorders>
              <w:top w:val="nil"/>
              <w:left w:val="nil"/>
              <w:bottom w:val="single" w:sz="6" w:space="0" w:color="8EAADB"/>
              <w:right w:val="single" w:sz="6" w:space="0" w:color="8EAADB"/>
            </w:tcBorders>
            <w:shd w:val="clear" w:color="auto" w:fill="D9E2F3"/>
            <w:hideMark/>
          </w:tcPr>
          <w:p w14:paraId="110F643E" w14:textId="77777777" w:rsidR="00EA454D" w:rsidRPr="00195091" w:rsidRDefault="00EA454D"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val="nl-NL" w:eastAsia="nl-NL"/>
              </w:rPr>
              <w:t>-70 </w:t>
            </w:r>
          </w:p>
        </w:tc>
        <w:tc>
          <w:tcPr>
            <w:tcW w:w="930" w:type="dxa"/>
            <w:tcBorders>
              <w:top w:val="nil"/>
              <w:left w:val="nil"/>
              <w:bottom w:val="single" w:sz="6" w:space="0" w:color="8EAADB"/>
              <w:right w:val="single" w:sz="6" w:space="0" w:color="8EAADB"/>
            </w:tcBorders>
            <w:shd w:val="clear" w:color="auto" w:fill="D9E2F3"/>
            <w:hideMark/>
          </w:tcPr>
          <w:p w14:paraId="16855154" w14:textId="77777777" w:rsidR="00EA454D" w:rsidRPr="00195091" w:rsidRDefault="00EA454D"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val="nl-NL" w:eastAsia="nl-NL"/>
              </w:rPr>
              <w:t>47 </w:t>
            </w:r>
          </w:p>
        </w:tc>
        <w:tc>
          <w:tcPr>
            <w:tcW w:w="960" w:type="dxa"/>
            <w:tcBorders>
              <w:top w:val="nil"/>
              <w:left w:val="nil"/>
              <w:bottom w:val="single" w:sz="6" w:space="0" w:color="8EAADB"/>
              <w:right w:val="single" w:sz="6" w:space="0" w:color="8EAADB"/>
            </w:tcBorders>
            <w:shd w:val="clear" w:color="auto" w:fill="D9E2F3"/>
            <w:hideMark/>
          </w:tcPr>
          <w:p w14:paraId="138DBCD7" w14:textId="77777777" w:rsidR="00EA454D" w:rsidRPr="00195091" w:rsidRDefault="00EA454D"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val="nl-NL" w:eastAsia="nl-NL"/>
              </w:rPr>
              <w:t>11 </w:t>
            </w:r>
          </w:p>
        </w:tc>
      </w:tr>
      <w:tr w:rsidR="00EA454D" w:rsidRPr="00195091" w14:paraId="5A5BCF7E" w14:textId="77777777" w:rsidTr="00EA454D">
        <w:trPr>
          <w:trHeight w:val="300"/>
        </w:trPr>
        <w:tc>
          <w:tcPr>
            <w:tcW w:w="1560" w:type="dxa"/>
            <w:tcBorders>
              <w:top w:val="nil"/>
              <w:left w:val="single" w:sz="6" w:space="0" w:color="8EAADB"/>
              <w:bottom w:val="single" w:sz="6" w:space="0" w:color="8EAADB"/>
              <w:right w:val="single" w:sz="6" w:space="0" w:color="8EAADB"/>
            </w:tcBorders>
            <w:shd w:val="clear" w:color="auto" w:fill="auto"/>
            <w:hideMark/>
          </w:tcPr>
          <w:p w14:paraId="77BD48DA" w14:textId="77777777" w:rsidR="00EA454D" w:rsidRPr="00195091" w:rsidRDefault="00EA454D" w:rsidP="00056919">
            <w:pPr>
              <w:spacing w:after="0" w:line="240" w:lineRule="auto"/>
              <w:textAlignment w:val="baseline"/>
              <w:rPr>
                <w:rFonts w:eastAsia="Times New Roman" w:cstheme="majorHAnsi"/>
                <w:b/>
                <w:bCs/>
                <w:sz w:val="24"/>
                <w:szCs w:val="24"/>
                <w:lang w:val="nl-NL" w:eastAsia="nl-NL"/>
              </w:rPr>
            </w:pPr>
            <w:r w:rsidRPr="00195091">
              <w:rPr>
                <w:rFonts w:eastAsia="Times New Roman" w:cstheme="majorHAnsi"/>
                <w:b/>
                <w:bCs/>
                <w:color w:val="000000"/>
                <w:lang w:val="nl-NL" w:eastAsia="nl-NL"/>
              </w:rPr>
              <w:t>M. East </w:t>
            </w:r>
          </w:p>
        </w:tc>
        <w:tc>
          <w:tcPr>
            <w:tcW w:w="930" w:type="dxa"/>
            <w:tcBorders>
              <w:top w:val="nil"/>
              <w:left w:val="nil"/>
              <w:bottom w:val="single" w:sz="6" w:space="0" w:color="8EAADB"/>
              <w:right w:val="single" w:sz="6" w:space="0" w:color="8EAADB"/>
            </w:tcBorders>
            <w:shd w:val="clear" w:color="auto" w:fill="auto"/>
            <w:hideMark/>
          </w:tcPr>
          <w:p w14:paraId="33A0D319" w14:textId="77777777" w:rsidR="00EA454D" w:rsidRPr="00195091" w:rsidRDefault="00EA454D"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val="nl-NL" w:eastAsia="nl-NL"/>
              </w:rPr>
              <w:t>-73 </w:t>
            </w:r>
          </w:p>
        </w:tc>
        <w:tc>
          <w:tcPr>
            <w:tcW w:w="930" w:type="dxa"/>
            <w:tcBorders>
              <w:top w:val="nil"/>
              <w:left w:val="nil"/>
              <w:bottom w:val="single" w:sz="6" w:space="0" w:color="8EAADB"/>
              <w:right w:val="single" w:sz="6" w:space="0" w:color="8EAADB"/>
            </w:tcBorders>
            <w:shd w:val="clear" w:color="auto" w:fill="auto"/>
            <w:hideMark/>
          </w:tcPr>
          <w:p w14:paraId="3BCF4252" w14:textId="77777777" w:rsidR="00EA454D" w:rsidRPr="00195091" w:rsidRDefault="00EA454D"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val="nl-NL" w:eastAsia="nl-NL"/>
              </w:rPr>
              <w:t>43 </w:t>
            </w:r>
          </w:p>
        </w:tc>
        <w:tc>
          <w:tcPr>
            <w:tcW w:w="960" w:type="dxa"/>
            <w:tcBorders>
              <w:top w:val="nil"/>
              <w:left w:val="nil"/>
              <w:bottom w:val="single" w:sz="6" w:space="0" w:color="8EAADB"/>
              <w:right w:val="single" w:sz="6" w:space="0" w:color="8EAADB"/>
            </w:tcBorders>
            <w:shd w:val="clear" w:color="auto" w:fill="auto"/>
            <w:hideMark/>
          </w:tcPr>
          <w:p w14:paraId="19300E45" w14:textId="77777777" w:rsidR="00EA454D" w:rsidRPr="00195091" w:rsidRDefault="00EA454D"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val="nl-NL" w:eastAsia="nl-NL"/>
              </w:rPr>
              <w:t>15 </w:t>
            </w:r>
          </w:p>
        </w:tc>
      </w:tr>
      <w:tr w:rsidR="00EA454D" w:rsidRPr="00195091" w14:paraId="14B93BEA" w14:textId="77777777" w:rsidTr="00EA454D">
        <w:trPr>
          <w:trHeight w:val="300"/>
        </w:trPr>
        <w:tc>
          <w:tcPr>
            <w:tcW w:w="1560" w:type="dxa"/>
            <w:tcBorders>
              <w:top w:val="nil"/>
              <w:left w:val="single" w:sz="6" w:space="0" w:color="8EAADB"/>
              <w:bottom w:val="single" w:sz="6" w:space="0" w:color="8EAADB"/>
              <w:right w:val="single" w:sz="6" w:space="0" w:color="8EAADB"/>
            </w:tcBorders>
            <w:shd w:val="clear" w:color="auto" w:fill="D9E2F3"/>
            <w:hideMark/>
          </w:tcPr>
          <w:p w14:paraId="0F340B3D" w14:textId="77777777" w:rsidR="00EA454D" w:rsidRPr="00195091" w:rsidRDefault="00EA454D" w:rsidP="00056919">
            <w:pPr>
              <w:spacing w:after="0" w:line="240" w:lineRule="auto"/>
              <w:textAlignment w:val="baseline"/>
              <w:rPr>
                <w:rFonts w:eastAsia="Times New Roman" w:cstheme="majorHAnsi"/>
                <w:b/>
                <w:bCs/>
                <w:sz w:val="24"/>
                <w:szCs w:val="24"/>
                <w:lang w:val="nl-NL" w:eastAsia="nl-NL"/>
              </w:rPr>
            </w:pPr>
            <w:r w:rsidRPr="00195091">
              <w:rPr>
                <w:rFonts w:eastAsia="Times New Roman" w:cstheme="majorHAnsi"/>
                <w:b/>
                <w:bCs/>
                <w:color w:val="000000"/>
                <w:lang w:val="nl-NL" w:eastAsia="nl-NL"/>
              </w:rPr>
              <w:t>India </w:t>
            </w:r>
          </w:p>
        </w:tc>
        <w:tc>
          <w:tcPr>
            <w:tcW w:w="930" w:type="dxa"/>
            <w:tcBorders>
              <w:top w:val="nil"/>
              <w:left w:val="nil"/>
              <w:bottom w:val="single" w:sz="6" w:space="0" w:color="8EAADB"/>
              <w:right w:val="single" w:sz="6" w:space="0" w:color="8EAADB"/>
            </w:tcBorders>
            <w:shd w:val="clear" w:color="auto" w:fill="D9E2F3"/>
            <w:hideMark/>
          </w:tcPr>
          <w:p w14:paraId="5A9FDD4E" w14:textId="77777777" w:rsidR="00EA454D" w:rsidRPr="00195091" w:rsidRDefault="00EA454D"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val="nl-NL" w:eastAsia="nl-NL"/>
              </w:rPr>
              <w:t>-62 </w:t>
            </w:r>
          </w:p>
        </w:tc>
        <w:tc>
          <w:tcPr>
            <w:tcW w:w="930" w:type="dxa"/>
            <w:tcBorders>
              <w:top w:val="nil"/>
              <w:left w:val="nil"/>
              <w:bottom w:val="single" w:sz="6" w:space="0" w:color="8EAADB"/>
              <w:right w:val="single" w:sz="6" w:space="0" w:color="8EAADB"/>
            </w:tcBorders>
            <w:shd w:val="clear" w:color="auto" w:fill="D9E2F3"/>
            <w:hideMark/>
          </w:tcPr>
          <w:p w14:paraId="41F9D160" w14:textId="77777777" w:rsidR="00EA454D" w:rsidRPr="00195091" w:rsidRDefault="00EA454D"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val="nl-NL" w:eastAsia="nl-NL"/>
              </w:rPr>
              <w:t>50 </w:t>
            </w:r>
          </w:p>
        </w:tc>
        <w:tc>
          <w:tcPr>
            <w:tcW w:w="960" w:type="dxa"/>
            <w:tcBorders>
              <w:top w:val="nil"/>
              <w:left w:val="nil"/>
              <w:bottom w:val="single" w:sz="6" w:space="0" w:color="8EAADB"/>
              <w:right w:val="single" w:sz="6" w:space="0" w:color="8EAADB"/>
            </w:tcBorders>
            <w:shd w:val="clear" w:color="auto" w:fill="D9E2F3"/>
            <w:hideMark/>
          </w:tcPr>
          <w:p w14:paraId="27E23A20" w14:textId="77777777" w:rsidR="00EA454D" w:rsidRPr="00195091" w:rsidRDefault="00EA454D"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val="nl-NL" w:eastAsia="nl-NL"/>
              </w:rPr>
              <w:t>6 </w:t>
            </w:r>
          </w:p>
        </w:tc>
      </w:tr>
      <w:tr w:rsidR="00EA454D" w:rsidRPr="00195091" w14:paraId="0421B81F" w14:textId="77777777" w:rsidTr="00EA454D">
        <w:trPr>
          <w:trHeight w:val="300"/>
        </w:trPr>
        <w:tc>
          <w:tcPr>
            <w:tcW w:w="1560" w:type="dxa"/>
            <w:tcBorders>
              <w:top w:val="nil"/>
              <w:left w:val="single" w:sz="6" w:space="0" w:color="8EAADB"/>
              <w:bottom w:val="single" w:sz="6" w:space="0" w:color="8EAADB"/>
              <w:right w:val="single" w:sz="6" w:space="0" w:color="8EAADB"/>
            </w:tcBorders>
            <w:shd w:val="clear" w:color="auto" w:fill="auto"/>
            <w:hideMark/>
          </w:tcPr>
          <w:p w14:paraId="213C33EF" w14:textId="77777777" w:rsidR="00EA454D" w:rsidRPr="00195091" w:rsidRDefault="00EA454D" w:rsidP="00056919">
            <w:pPr>
              <w:spacing w:after="0" w:line="240" w:lineRule="auto"/>
              <w:textAlignment w:val="baseline"/>
              <w:rPr>
                <w:rFonts w:eastAsia="Times New Roman" w:cstheme="majorHAnsi"/>
                <w:b/>
                <w:bCs/>
                <w:sz w:val="24"/>
                <w:szCs w:val="24"/>
                <w:lang w:val="nl-NL" w:eastAsia="nl-NL"/>
              </w:rPr>
            </w:pPr>
            <w:r w:rsidRPr="00195091">
              <w:rPr>
                <w:rFonts w:eastAsia="Times New Roman" w:cstheme="majorHAnsi"/>
                <w:b/>
                <w:bCs/>
                <w:color w:val="000000"/>
                <w:lang w:val="nl-NL" w:eastAsia="nl-NL"/>
              </w:rPr>
              <w:t>Korea </w:t>
            </w:r>
          </w:p>
        </w:tc>
        <w:tc>
          <w:tcPr>
            <w:tcW w:w="930" w:type="dxa"/>
            <w:tcBorders>
              <w:top w:val="nil"/>
              <w:left w:val="nil"/>
              <w:bottom w:val="single" w:sz="6" w:space="0" w:color="8EAADB"/>
              <w:right w:val="single" w:sz="6" w:space="0" w:color="8EAADB"/>
            </w:tcBorders>
            <w:shd w:val="clear" w:color="auto" w:fill="auto"/>
            <w:hideMark/>
          </w:tcPr>
          <w:p w14:paraId="1DA12CF2" w14:textId="77777777" w:rsidR="00EA454D" w:rsidRPr="00195091" w:rsidRDefault="00EA454D"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val="nl-NL" w:eastAsia="nl-NL"/>
              </w:rPr>
              <w:t>-62 </w:t>
            </w:r>
          </w:p>
        </w:tc>
        <w:tc>
          <w:tcPr>
            <w:tcW w:w="930" w:type="dxa"/>
            <w:tcBorders>
              <w:top w:val="nil"/>
              <w:left w:val="nil"/>
              <w:bottom w:val="single" w:sz="6" w:space="0" w:color="8EAADB"/>
              <w:right w:val="single" w:sz="6" w:space="0" w:color="8EAADB"/>
            </w:tcBorders>
            <w:shd w:val="clear" w:color="auto" w:fill="auto"/>
            <w:hideMark/>
          </w:tcPr>
          <w:p w14:paraId="4B460094" w14:textId="77777777" w:rsidR="00EA454D" w:rsidRPr="00195091" w:rsidRDefault="00EA454D"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val="nl-NL" w:eastAsia="nl-NL"/>
              </w:rPr>
              <w:t>50 </w:t>
            </w:r>
          </w:p>
        </w:tc>
        <w:tc>
          <w:tcPr>
            <w:tcW w:w="960" w:type="dxa"/>
            <w:tcBorders>
              <w:top w:val="nil"/>
              <w:left w:val="nil"/>
              <w:bottom w:val="single" w:sz="6" w:space="0" w:color="8EAADB"/>
              <w:right w:val="single" w:sz="6" w:space="0" w:color="8EAADB"/>
            </w:tcBorders>
            <w:shd w:val="clear" w:color="auto" w:fill="auto"/>
            <w:hideMark/>
          </w:tcPr>
          <w:p w14:paraId="5790FE3D" w14:textId="77777777" w:rsidR="00EA454D" w:rsidRPr="00195091" w:rsidRDefault="00EA454D"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val="nl-NL" w:eastAsia="nl-NL"/>
              </w:rPr>
              <w:t>6 </w:t>
            </w:r>
          </w:p>
        </w:tc>
      </w:tr>
      <w:tr w:rsidR="00EA454D" w:rsidRPr="00195091" w14:paraId="2E59560C" w14:textId="77777777" w:rsidTr="00EA454D">
        <w:trPr>
          <w:trHeight w:val="300"/>
        </w:trPr>
        <w:tc>
          <w:tcPr>
            <w:tcW w:w="1560" w:type="dxa"/>
            <w:tcBorders>
              <w:top w:val="nil"/>
              <w:left w:val="single" w:sz="6" w:space="0" w:color="8EAADB"/>
              <w:bottom w:val="single" w:sz="6" w:space="0" w:color="8EAADB"/>
              <w:right w:val="single" w:sz="6" w:space="0" w:color="8EAADB"/>
            </w:tcBorders>
            <w:shd w:val="clear" w:color="auto" w:fill="D9E2F3"/>
            <w:hideMark/>
          </w:tcPr>
          <w:p w14:paraId="1CA12833" w14:textId="77777777" w:rsidR="00EA454D" w:rsidRPr="00195091" w:rsidRDefault="00EA454D" w:rsidP="00056919">
            <w:pPr>
              <w:spacing w:after="0" w:line="240" w:lineRule="auto"/>
              <w:textAlignment w:val="baseline"/>
              <w:rPr>
                <w:rFonts w:eastAsia="Times New Roman" w:cstheme="majorHAnsi"/>
                <w:b/>
                <w:bCs/>
                <w:sz w:val="24"/>
                <w:szCs w:val="24"/>
                <w:lang w:val="nl-NL" w:eastAsia="nl-NL"/>
              </w:rPr>
            </w:pPr>
            <w:r w:rsidRPr="00195091">
              <w:rPr>
                <w:rFonts w:eastAsia="Times New Roman" w:cstheme="majorHAnsi"/>
                <w:b/>
                <w:bCs/>
                <w:color w:val="000000"/>
                <w:lang w:val="nl-NL" w:eastAsia="nl-NL"/>
              </w:rPr>
              <w:t>China </w:t>
            </w:r>
          </w:p>
        </w:tc>
        <w:tc>
          <w:tcPr>
            <w:tcW w:w="930" w:type="dxa"/>
            <w:tcBorders>
              <w:top w:val="nil"/>
              <w:left w:val="nil"/>
              <w:bottom w:val="single" w:sz="6" w:space="0" w:color="8EAADB"/>
              <w:right w:val="single" w:sz="6" w:space="0" w:color="8EAADB"/>
            </w:tcBorders>
            <w:shd w:val="clear" w:color="auto" w:fill="D9E2F3"/>
            <w:hideMark/>
          </w:tcPr>
          <w:p w14:paraId="6D8FE313" w14:textId="77777777" w:rsidR="00EA454D" w:rsidRPr="00195091" w:rsidRDefault="00EA454D"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val="nl-NL" w:eastAsia="nl-NL"/>
              </w:rPr>
              <w:t>-49 </w:t>
            </w:r>
          </w:p>
        </w:tc>
        <w:tc>
          <w:tcPr>
            <w:tcW w:w="930" w:type="dxa"/>
            <w:tcBorders>
              <w:top w:val="nil"/>
              <w:left w:val="nil"/>
              <w:bottom w:val="single" w:sz="6" w:space="0" w:color="8EAADB"/>
              <w:right w:val="single" w:sz="6" w:space="0" w:color="8EAADB"/>
            </w:tcBorders>
            <w:shd w:val="clear" w:color="auto" w:fill="D9E2F3"/>
            <w:hideMark/>
          </w:tcPr>
          <w:p w14:paraId="440732BC" w14:textId="77777777" w:rsidR="00EA454D" w:rsidRPr="00195091" w:rsidRDefault="00EA454D"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val="nl-NL" w:eastAsia="nl-NL"/>
              </w:rPr>
              <w:t>31 </w:t>
            </w:r>
          </w:p>
        </w:tc>
        <w:tc>
          <w:tcPr>
            <w:tcW w:w="960" w:type="dxa"/>
            <w:tcBorders>
              <w:top w:val="nil"/>
              <w:left w:val="nil"/>
              <w:bottom w:val="single" w:sz="6" w:space="0" w:color="8EAADB"/>
              <w:right w:val="single" w:sz="6" w:space="0" w:color="8EAADB"/>
            </w:tcBorders>
            <w:shd w:val="clear" w:color="auto" w:fill="D9E2F3"/>
            <w:hideMark/>
          </w:tcPr>
          <w:p w14:paraId="63322040" w14:textId="77777777" w:rsidR="00EA454D" w:rsidRPr="00195091" w:rsidRDefault="00EA454D"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val="nl-NL" w:eastAsia="nl-NL"/>
              </w:rPr>
              <w:t>15 </w:t>
            </w:r>
          </w:p>
        </w:tc>
      </w:tr>
      <w:tr w:rsidR="00EA454D" w:rsidRPr="00195091" w14:paraId="0BC17724" w14:textId="77777777" w:rsidTr="00EA454D">
        <w:trPr>
          <w:trHeight w:val="300"/>
        </w:trPr>
        <w:tc>
          <w:tcPr>
            <w:tcW w:w="1560" w:type="dxa"/>
            <w:tcBorders>
              <w:top w:val="nil"/>
              <w:left w:val="single" w:sz="6" w:space="0" w:color="8EAADB"/>
              <w:bottom w:val="single" w:sz="6" w:space="0" w:color="8EAADB"/>
              <w:right w:val="single" w:sz="6" w:space="0" w:color="8EAADB"/>
            </w:tcBorders>
            <w:shd w:val="clear" w:color="auto" w:fill="auto"/>
            <w:hideMark/>
          </w:tcPr>
          <w:p w14:paraId="3446D13E" w14:textId="77777777" w:rsidR="00EA454D" w:rsidRPr="00195091" w:rsidRDefault="00EA454D" w:rsidP="00056919">
            <w:pPr>
              <w:spacing w:after="0" w:line="240" w:lineRule="auto"/>
              <w:textAlignment w:val="baseline"/>
              <w:rPr>
                <w:rFonts w:eastAsia="Times New Roman" w:cstheme="majorHAnsi"/>
                <w:b/>
                <w:bCs/>
                <w:sz w:val="24"/>
                <w:szCs w:val="24"/>
                <w:lang w:val="nl-NL" w:eastAsia="nl-NL"/>
              </w:rPr>
            </w:pPr>
            <w:r w:rsidRPr="00195091">
              <w:rPr>
                <w:rFonts w:eastAsia="Times New Roman" w:cstheme="majorHAnsi"/>
                <w:b/>
                <w:bCs/>
                <w:color w:val="000000"/>
                <w:lang w:val="nl-NL" w:eastAsia="nl-NL"/>
              </w:rPr>
              <w:t>SE. Asia </w:t>
            </w:r>
          </w:p>
        </w:tc>
        <w:tc>
          <w:tcPr>
            <w:tcW w:w="930" w:type="dxa"/>
            <w:tcBorders>
              <w:top w:val="nil"/>
              <w:left w:val="nil"/>
              <w:bottom w:val="single" w:sz="6" w:space="0" w:color="8EAADB"/>
              <w:right w:val="single" w:sz="6" w:space="0" w:color="8EAADB"/>
            </w:tcBorders>
            <w:shd w:val="clear" w:color="auto" w:fill="auto"/>
            <w:hideMark/>
          </w:tcPr>
          <w:p w14:paraId="1BD60AEC" w14:textId="77777777" w:rsidR="00EA454D" w:rsidRPr="00195091" w:rsidRDefault="00EA454D"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val="nl-NL" w:eastAsia="nl-NL"/>
              </w:rPr>
              <w:t>-62 </w:t>
            </w:r>
          </w:p>
        </w:tc>
        <w:tc>
          <w:tcPr>
            <w:tcW w:w="930" w:type="dxa"/>
            <w:tcBorders>
              <w:top w:val="nil"/>
              <w:left w:val="nil"/>
              <w:bottom w:val="single" w:sz="6" w:space="0" w:color="8EAADB"/>
              <w:right w:val="single" w:sz="6" w:space="0" w:color="8EAADB"/>
            </w:tcBorders>
            <w:shd w:val="clear" w:color="auto" w:fill="auto"/>
            <w:hideMark/>
          </w:tcPr>
          <w:p w14:paraId="7D6DB993" w14:textId="77777777" w:rsidR="00EA454D" w:rsidRPr="00195091" w:rsidRDefault="00EA454D"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val="nl-NL" w:eastAsia="nl-NL"/>
              </w:rPr>
              <w:t>50 </w:t>
            </w:r>
          </w:p>
        </w:tc>
        <w:tc>
          <w:tcPr>
            <w:tcW w:w="960" w:type="dxa"/>
            <w:tcBorders>
              <w:top w:val="nil"/>
              <w:left w:val="nil"/>
              <w:bottom w:val="single" w:sz="6" w:space="0" w:color="8EAADB"/>
              <w:right w:val="single" w:sz="6" w:space="0" w:color="8EAADB"/>
            </w:tcBorders>
            <w:shd w:val="clear" w:color="auto" w:fill="auto"/>
            <w:hideMark/>
          </w:tcPr>
          <w:p w14:paraId="7575454B" w14:textId="77777777" w:rsidR="00EA454D" w:rsidRPr="00195091" w:rsidRDefault="00EA454D"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val="nl-NL" w:eastAsia="nl-NL"/>
              </w:rPr>
              <w:t>6 </w:t>
            </w:r>
          </w:p>
        </w:tc>
      </w:tr>
      <w:tr w:rsidR="00EA454D" w:rsidRPr="00195091" w14:paraId="0D3BABE0" w14:textId="77777777" w:rsidTr="00EA454D">
        <w:trPr>
          <w:trHeight w:val="300"/>
        </w:trPr>
        <w:tc>
          <w:tcPr>
            <w:tcW w:w="1560" w:type="dxa"/>
            <w:tcBorders>
              <w:top w:val="nil"/>
              <w:left w:val="single" w:sz="6" w:space="0" w:color="8EAADB"/>
              <w:bottom w:val="single" w:sz="6" w:space="0" w:color="8EAADB"/>
              <w:right w:val="single" w:sz="6" w:space="0" w:color="8EAADB"/>
            </w:tcBorders>
            <w:shd w:val="clear" w:color="auto" w:fill="D9E2F3"/>
            <w:hideMark/>
          </w:tcPr>
          <w:p w14:paraId="18045D39" w14:textId="77777777" w:rsidR="00EA454D" w:rsidRPr="00195091" w:rsidRDefault="00EA454D" w:rsidP="00056919">
            <w:pPr>
              <w:spacing w:after="0" w:line="240" w:lineRule="auto"/>
              <w:textAlignment w:val="baseline"/>
              <w:rPr>
                <w:rFonts w:eastAsia="Times New Roman" w:cstheme="majorHAnsi"/>
                <w:b/>
                <w:bCs/>
                <w:sz w:val="24"/>
                <w:szCs w:val="24"/>
                <w:lang w:val="nl-NL" w:eastAsia="nl-NL"/>
              </w:rPr>
            </w:pPr>
            <w:r w:rsidRPr="00195091">
              <w:rPr>
                <w:rFonts w:eastAsia="Times New Roman" w:cstheme="majorHAnsi"/>
                <w:b/>
                <w:bCs/>
                <w:color w:val="000000"/>
                <w:lang w:val="nl-NL" w:eastAsia="nl-NL"/>
              </w:rPr>
              <w:t>Indonesia </w:t>
            </w:r>
          </w:p>
        </w:tc>
        <w:tc>
          <w:tcPr>
            <w:tcW w:w="930" w:type="dxa"/>
            <w:tcBorders>
              <w:top w:val="nil"/>
              <w:left w:val="nil"/>
              <w:bottom w:val="single" w:sz="6" w:space="0" w:color="8EAADB"/>
              <w:right w:val="single" w:sz="6" w:space="0" w:color="8EAADB"/>
            </w:tcBorders>
            <w:shd w:val="clear" w:color="auto" w:fill="D9E2F3"/>
            <w:hideMark/>
          </w:tcPr>
          <w:p w14:paraId="7A790F92" w14:textId="77777777" w:rsidR="00EA454D" w:rsidRPr="00195091" w:rsidRDefault="00EA454D"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val="nl-NL" w:eastAsia="nl-NL"/>
              </w:rPr>
              <w:t>-62 </w:t>
            </w:r>
          </w:p>
        </w:tc>
        <w:tc>
          <w:tcPr>
            <w:tcW w:w="930" w:type="dxa"/>
            <w:tcBorders>
              <w:top w:val="nil"/>
              <w:left w:val="nil"/>
              <w:bottom w:val="single" w:sz="6" w:space="0" w:color="8EAADB"/>
              <w:right w:val="single" w:sz="6" w:space="0" w:color="8EAADB"/>
            </w:tcBorders>
            <w:shd w:val="clear" w:color="auto" w:fill="D9E2F3"/>
            <w:hideMark/>
          </w:tcPr>
          <w:p w14:paraId="11575944" w14:textId="77777777" w:rsidR="00EA454D" w:rsidRPr="00195091" w:rsidRDefault="00EA454D"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val="nl-NL" w:eastAsia="nl-NL"/>
              </w:rPr>
              <w:t>50 </w:t>
            </w:r>
          </w:p>
        </w:tc>
        <w:tc>
          <w:tcPr>
            <w:tcW w:w="960" w:type="dxa"/>
            <w:tcBorders>
              <w:top w:val="nil"/>
              <w:left w:val="nil"/>
              <w:bottom w:val="single" w:sz="6" w:space="0" w:color="8EAADB"/>
              <w:right w:val="single" w:sz="6" w:space="0" w:color="8EAADB"/>
            </w:tcBorders>
            <w:shd w:val="clear" w:color="auto" w:fill="D9E2F3"/>
            <w:hideMark/>
          </w:tcPr>
          <w:p w14:paraId="5F0837AE" w14:textId="77777777" w:rsidR="00EA454D" w:rsidRPr="00195091" w:rsidRDefault="00EA454D"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val="nl-NL" w:eastAsia="nl-NL"/>
              </w:rPr>
              <w:t>6 </w:t>
            </w:r>
          </w:p>
        </w:tc>
      </w:tr>
      <w:tr w:rsidR="00EA454D" w:rsidRPr="00195091" w14:paraId="7DBA5C4A" w14:textId="77777777" w:rsidTr="00EA454D">
        <w:trPr>
          <w:trHeight w:val="300"/>
        </w:trPr>
        <w:tc>
          <w:tcPr>
            <w:tcW w:w="1560" w:type="dxa"/>
            <w:tcBorders>
              <w:top w:val="nil"/>
              <w:left w:val="single" w:sz="6" w:space="0" w:color="8EAADB"/>
              <w:bottom w:val="single" w:sz="6" w:space="0" w:color="8EAADB"/>
              <w:right w:val="single" w:sz="6" w:space="0" w:color="8EAADB"/>
            </w:tcBorders>
            <w:shd w:val="clear" w:color="auto" w:fill="auto"/>
            <w:hideMark/>
          </w:tcPr>
          <w:p w14:paraId="453D7276" w14:textId="77777777" w:rsidR="00EA454D" w:rsidRPr="00195091" w:rsidRDefault="00EA454D" w:rsidP="00056919">
            <w:pPr>
              <w:spacing w:after="0" w:line="240" w:lineRule="auto"/>
              <w:textAlignment w:val="baseline"/>
              <w:rPr>
                <w:rFonts w:eastAsia="Times New Roman" w:cstheme="majorHAnsi"/>
                <w:b/>
                <w:bCs/>
                <w:sz w:val="24"/>
                <w:szCs w:val="24"/>
                <w:lang w:val="nl-NL" w:eastAsia="nl-NL"/>
              </w:rPr>
            </w:pPr>
            <w:r w:rsidRPr="00195091">
              <w:rPr>
                <w:rFonts w:eastAsia="Times New Roman" w:cstheme="majorHAnsi"/>
                <w:b/>
                <w:bCs/>
                <w:color w:val="000000"/>
                <w:lang w:val="nl-NL" w:eastAsia="nl-NL"/>
              </w:rPr>
              <w:t>Japan </w:t>
            </w:r>
          </w:p>
        </w:tc>
        <w:tc>
          <w:tcPr>
            <w:tcW w:w="930" w:type="dxa"/>
            <w:tcBorders>
              <w:top w:val="nil"/>
              <w:left w:val="nil"/>
              <w:bottom w:val="single" w:sz="6" w:space="0" w:color="8EAADB"/>
              <w:right w:val="single" w:sz="6" w:space="0" w:color="8EAADB"/>
            </w:tcBorders>
            <w:shd w:val="clear" w:color="auto" w:fill="auto"/>
            <w:hideMark/>
          </w:tcPr>
          <w:p w14:paraId="615CFAA6" w14:textId="77777777" w:rsidR="00EA454D" w:rsidRPr="00195091" w:rsidRDefault="00EA454D"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val="nl-NL" w:eastAsia="nl-NL"/>
              </w:rPr>
              <w:t>-62 </w:t>
            </w:r>
          </w:p>
        </w:tc>
        <w:tc>
          <w:tcPr>
            <w:tcW w:w="930" w:type="dxa"/>
            <w:tcBorders>
              <w:top w:val="nil"/>
              <w:left w:val="nil"/>
              <w:bottom w:val="single" w:sz="6" w:space="0" w:color="8EAADB"/>
              <w:right w:val="single" w:sz="6" w:space="0" w:color="8EAADB"/>
            </w:tcBorders>
            <w:shd w:val="clear" w:color="auto" w:fill="auto"/>
            <w:hideMark/>
          </w:tcPr>
          <w:p w14:paraId="47088DB8" w14:textId="77777777" w:rsidR="00EA454D" w:rsidRPr="00195091" w:rsidRDefault="00EA454D"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val="nl-NL" w:eastAsia="nl-NL"/>
              </w:rPr>
              <w:t>50 </w:t>
            </w:r>
          </w:p>
        </w:tc>
        <w:tc>
          <w:tcPr>
            <w:tcW w:w="960" w:type="dxa"/>
            <w:tcBorders>
              <w:top w:val="nil"/>
              <w:left w:val="nil"/>
              <w:bottom w:val="single" w:sz="6" w:space="0" w:color="8EAADB"/>
              <w:right w:val="single" w:sz="6" w:space="0" w:color="8EAADB"/>
            </w:tcBorders>
            <w:shd w:val="clear" w:color="auto" w:fill="auto"/>
            <w:hideMark/>
          </w:tcPr>
          <w:p w14:paraId="2E319666" w14:textId="77777777" w:rsidR="00EA454D" w:rsidRPr="00195091" w:rsidRDefault="00EA454D"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val="nl-NL" w:eastAsia="nl-NL"/>
              </w:rPr>
              <w:t>6 </w:t>
            </w:r>
          </w:p>
        </w:tc>
      </w:tr>
      <w:tr w:rsidR="00EA454D" w:rsidRPr="00195091" w14:paraId="039E7971" w14:textId="77777777" w:rsidTr="00EA454D">
        <w:trPr>
          <w:trHeight w:val="300"/>
        </w:trPr>
        <w:tc>
          <w:tcPr>
            <w:tcW w:w="1560" w:type="dxa"/>
            <w:tcBorders>
              <w:top w:val="nil"/>
              <w:left w:val="single" w:sz="6" w:space="0" w:color="8EAADB"/>
              <w:bottom w:val="single" w:sz="6" w:space="0" w:color="8EAADB"/>
              <w:right w:val="single" w:sz="6" w:space="0" w:color="8EAADB"/>
            </w:tcBorders>
            <w:shd w:val="clear" w:color="auto" w:fill="D9E2F3"/>
            <w:hideMark/>
          </w:tcPr>
          <w:p w14:paraId="71738B1A" w14:textId="77777777" w:rsidR="00EA454D" w:rsidRPr="00195091" w:rsidRDefault="00EA454D" w:rsidP="00056919">
            <w:pPr>
              <w:spacing w:after="0" w:line="240" w:lineRule="auto"/>
              <w:textAlignment w:val="baseline"/>
              <w:rPr>
                <w:rFonts w:eastAsia="Times New Roman" w:cstheme="majorHAnsi"/>
                <w:b/>
                <w:bCs/>
                <w:sz w:val="24"/>
                <w:szCs w:val="24"/>
                <w:lang w:val="nl-NL" w:eastAsia="nl-NL"/>
              </w:rPr>
            </w:pPr>
            <w:r w:rsidRPr="00195091">
              <w:rPr>
                <w:rFonts w:eastAsia="Times New Roman" w:cstheme="majorHAnsi"/>
                <w:b/>
                <w:bCs/>
                <w:color w:val="000000"/>
                <w:lang w:val="nl-NL" w:eastAsia="nl-NL"/>
              </w:rPr>
              <w:t>Oceania </w:t>
            </w:r>
          </w:p>
        </w:tc>
        <w:tc>
          <w:tcPr>
            <w:tcW w:w="930" w:type="dxa"/>
            <w:tcBorders>
              <w:top w:val="nil"/>
              <w:left w:val="nil"/>
              <w:bottom w:val="single" w:sz="6" w:space="0" w:color="8EAADB"/>
              <w:right w:val="single" w:sz="6" w:space="0" w:color="8EAADB"/>
            </w:tcBorders>
            <w:shd w:val="clear" w:color="auto" w:fill="D9E2F3"/>
            <w:hideMark/>
          </w:tcPr>
          <w:p w14:paraId="78AC46F9" w14:textId="77777777" w:rsidR="00EA454D" w:rsidRPr="00195091" w:rsidRDefault="00EA454D"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val="nl-NL" w:eastAsia="nl-NL"/>
              </w:rPr>
              <w:t>-62 </w:t>
            </w:r>
          </w:p>
        </w:tc>
        <w:tc>
          <w:tcPr>
            <w:tcW w:w="930" w:type="dxa"/>
            <w:tcBorders>
              <w:top w:val="nil"/>
              <w:left w:val="nil"/>
              <w:bottom w:val="single" w:sz="6" w:space="0" w:color="8EAADB"/>
              <w:right w:val="single" w:sz="6" w:space="0" w:color="8EAADB"/>
            </w:tcBorders>
            <w:shd w:val="clear" w:color="auto" w:fill="D9E2F3"/>
            <w:hideMark/>
          </w:tcPr>
          <w:p w14:paraId="042BB945" w14:textId="77777777" w:rsidR="00EA454D" w:rsidRPr="00195091" w:rsidRDefault="00EA454D"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val="nl-NL" w:eastAsia="nl-NL"/>
              </w:rPr>
              <w:t>50 </w:t>
            </w:r>
          </w:p>
        </w:tc>
        <w:tc>
          <w:tcPr>
            <w:tcW w:w="960" w:type="dxa"/>
            <w:tcBorders>
              <w:top w:val="nil"/>
              <w:left w:val="nil"/>
              <w:bottom w:val="single" w:sz="6" w:space="0" w:color="8EAADB"/>
              <w:right w:val="single" w:sz="6" w:space="0" w:color="8EAADB"/>
            </w:tcBorders>
            <w:shd w:val="clear" w:color="auto" w:fill="D9E2F3"/>
            <w:hideMark/>
          </w:tcPr>
          <w:p w14:paraId="1C6F3475" w14:textId="77777777" w:rsidR="00EA454D" w:rsidRPr="00195091" w:rsidRDefault="00EA454D"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val="nl-NL" w:eastAsia="nl-NL"/>
              </w:rPr>
              <w:t>6 </w:t>
            </w:r>
          </w:p>
        </w:tc>
      </w:tr>
      <w:tr w:rsidR="00EA454D" w:rsidRPr="00195091" w14:paraId="44F1BCBD" w14:textId="77777777" w:rsidTr="00EA454D">
        <w:trPr>
          <w:trHeight w:val="300"/>
        </w:trPr>
        <w:tc>
          <w:tcPr>
            <w:tcW w:w="1560" w:type="dxa"/>
            <w:tcBorders>
              <w:top w:val="nil"/>
              <w:left w:val="single" w:sz="6" w:space="0" w:color="8EAADB"/>
              <w:bottom w:val="single" w:sz="6" w:space="0" w:color="8EAADB"/>
              <w:right w:val="single" w:sz="6" w:space="0" w:color="8EAADB"/>
            </w:tcBorders>
            <w:shd w:val="clear" w:color="auto" w:fill="auto"/>
            <w:hideMark/>
          </w:tcPr>
          <w:p w14:paraId="71A5986C" w14:textId="77777777" w:rsidR="00EA454D" w:rsidRPr="00195091" w:rsidRDefault="00EA454D" w:rsidP="00056919">
            <w:pPr>
              <w:spacing w:after="0" w:line="240" w:lineRule="auto"/>
              <w:textAlignment w:val="baseline"/>
              <w:rPr>
                <w:rFonts w:eastAsia="Times New Roman" w:cstheme="majorHAnsi"/>
                <w:b/>
                <w:bCs/>
                <w:sz w:val="24"/>
                <w:szCs w:val="24"/>
                <w:lang w:val="nl-NL" w:eastAsia="nl-NL"/>
              </w:rPr>
            </w:pPr>
            <w:r w:rsidRPr="00195091">
              <w:rPr>
                <w:rFonts w:eastAsia="Times New Roman" w:cstheme="majorHAnsi"/>
                <w:b/>
                <w:bCs/>
                <w:color w:val="000000"/>
                <w:lang w:val="nl-NL" w:eastAsia="nl-NL"/>
              </w:rPr>
              <w:t>Rest S. Asia </w:t>
            </w:r>
          </w:p>
        </w:tc>
        <w:tc>
          <w:tcPr>
            <w:tcW w:w="930" w:type="dxa"/>
            <w:tcBorders>
              <w:top w:val="nil"/>
              <w:left w:val="nil"/>
              <w:bottom w:val="single" w:sz="6" w:space="0" w:color="8EAADB"/>
              <w:right w:val="single" w:sz="6" w:space="0" w:color="8EAADB"/>
            </w:tcBorders>
            <w:shd w:val="clear" w:color="auto" w:fill="auto"/>
            <w:hideMark/>
          </w:tcPr>
          <w:p w14:paraId="78D56629" w14:textId="77777777" w:rsidR="00EA454D" w:rsidRPr="00195091" w:rsidRDefault="00EA454D"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val="nl-NL" w:eastAsia="nl-NL"/>
              </w:rPr>
              <w:t>-62 </w:t>
            </w:r>
          </w:p>
        </w:tc>
        <w:tc>
          <w:tcPr>
            <w:tcW w:w="930" w:type="dxa"/>
            <w:tcBorders>
              <w:top w:val="nil"/>
              <w:left w:val="nil"/>
              <w:bottom w:val="single" w:sz="6" w:space="0" w:color="8EAADB"/>
              <w:right w:val="single" w:sz="6" w:space="0" w:color="8EAADB"/>
            </w:tcBorders>
            <w:shd w:val="clear" w:color="auto" w:fill="auto"/>
            <w:hideMark/>
          </w:tcPr>
          <w:p w14:paraId="2DBD27B6" w14:textId="77777777" w:rsidR="00EA454D" w:rsidRPr="00195091" w:rsidRDefault="00EA454D"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val="nl-NL" w:eastAsia="nl-NL"/>
              </w:rPr>
              <w:t>50 </w:t>
            </w:r>
          </w:p>
        </w:tc>
        <w:tc>
          <w:tcPr>
            <w:tcW w:w="960" w:type="dxa"/>
            <w:tcBorders>
              <w:top w:val="nil"/>
              <w:left w:val="nil"/>
              <w:bottom w:val="single" w:sz="6" w:space="0" w:color="8EAADB"/>
              <w:right w:val="single" w:sz="6" w:space="0" w:color="8EAADB"/>
            </w:tcBorders>
            <w:shd w:val="clear" w:color="auto" w:fill="auto"/>
            <w:hideMark/>
          </w:tcPr>
          <w:p w14:paraId="4CA92B7C" w14:textId="77777777" w:rsidR="00EA454D" w:rsidRPr="00195091" w:rsidRDefault="00EA454D"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val="nl-NL" w:eastAsia="nl-NL"/>
              </w:rPr>
              <w:t>6 </w:t>
            </w:r>
          </w:p>
        </w:tc>
      </w:tr>
      <w:tr w:rsidR="00EA454D" w:rsidRPr="00195091" w14:paraId="416EC25B" w14:textId="77777777" w:rsidTr="00EA454D">
        <w:trPr>
          <w:trHeight w:val="315"/>
        </w:trPr>
        <w:tc>
          <w:tcPr>
            <w:tcW w:w="1560" w:type="dxa"/>
            <w:tcBorders>
              <w:top w:val="nil"/>
              <w:left w:val="single" w:sz="6" w:space="0" w:color="8EAADB"/>
              <w:bottom w:val="single" w:sz="6" w:space="0" w:color="8EAADB"/>
              <w:right w:val="single" w:sz="6" w:space="0" w:color="8EAADB"/>
            </w:tcBorders>
            <w:shd w:val="clear" w:color="auto" w:fill="D9E2F3"/>
            <w:hideMark/>
          </w:tcPr>
          <w:p w14:paraId="08E28132" w14:textId="77777777" w:rsidR="00EA454D" w:rsidRPr="00195091" w:rsidRDefault="00EA454D" w:rsidP="00056919">
            <w:pPr>
              <w:spacing w:after="0" w:line="240" w:lineRule="auto"/>
              <w:textAlignment w:val="baseline"/>
              <w:rPr>
                <w:rFonts w:eastAsia="Times New Roman" w:cstheme="majorHAnsi"/>
                <w:b/>
                <w:bCs/>
                <w:sz w:val="24"/>
                <w:szCs w:val="24"/>
                <w:lang w:val="nl-NL" w:eastAsia="nl-NL"/>
              </w:rPr>
            </w:pPr>
            <w:r w:rsidRPr="00195091">
              <w:rPr>
                <w:rFonts w:eastAsia="Times New Roman" w:cstheme="majorHAnsi"/>
                <w:b/>
                <w:bCs/>
                <w:color w:val="000000"/>
                <w:lang w:val="nl-NL" w:eastAsia="nl-NL"/>
              </w:rPr>
              <w:t>Rest S. Africa </w:t>
            </w:r>
          </w:p>
        </w:tc>
        <w:tc>
          <w:tcPr>
            <w:tcW w:w="930" w:type="dxa"/>
            <w:tcBorders>
              <w:top w:val="nil"/>
              <w:left w:val="nil"/>
              <w:bottom w:val="single" w:sz="6" w:space="0" w:color="8EAADB"/>
              <w:right w:val="single" w:sz="6" w:space="0" w:color="8EAADB"/>
            </w:tcBorders>
            <w:shd w:val="clear" w:color="auto" w:fill="D9E2F3"/>
            <w:hideMark/>
          </w:tcPr>
          <w:p w14:paraId="7483092B" w14:textId="77777777" w:rsidR="00EA454D" w:rsidRPr="00195091" w:rsidRDefault="00EA454D"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val="nl-NL" w:eastAsia="nl-NL"/>
              </w:rPr>
              <w:t>-72 </w:t>
            </w:r>
          </w:p>
        </w:tc>
        <w:tc>
          <w:tcPr>
            <w:tcW w:w="930" w:type="dxa"/>
            <w:tcBorders>
              <w:top w:val="nil"/>
              <w:left w:val="nil"/>
              <w:bottom w:val="single" w:sz="6" w:space="0" w:color="8EAADB"/>
              <w:right w:val="single" w:sz="6" w:space="0" w:color="8EAADB"/>
            </w:tcBorders>
            <w:shd w:val="clear" w:color="auto" w:fill="D9E2F3"/>
            <w:hideMark/>
          </w:tcPr>
          <w:p w14:paraId="6203A4B0" w14:textId="77777777" w:rsidR="00EA454D" w:rsidRPr="00195091" w:rsidRDefault="00EA454D"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val="nl-NL" w:eastAsia="nl-NL"/>
              </w:rPr>
              <w:t>35 </w:t>
            </w:r>
          </w:p>
        </w:tc>
        <w:tc>
          <w:tcPr>
            <w:tcW w:w="960" w:type="dxa"/>
            <w:tcBorders>
              <w:top w:val="nil"/>
              <w:left w:val="nil"/>
              <w:bottom w:val="single" w:sz="6" w:space="0" w:color="8EAADB"/>
              <w:right w:val="single" w:sz="6" w:space="0" w:color="8EAADB"/>
            </w:tcBorders>
            <w:shd w:val="clear" w:color="auto" w:fill="D9E2F3"/>
            <w:hideMark/>
          </w:tcPr>
          <w:p w14:paraId="40D1EDB2" w14:textId="77777777" w:rsidR="00EA454D" w:rsidRPr="00195091" w:rsidRDefault="00EA454D"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val="nl-NL" w:eastAsia="nl-NL"/>
              </w:rPr>
              <w:t>18 </w:t>
            </w:r>
          </w:p>
        </w:tc>
      </w:tr>
    </w:tbl>
    <w:p w14:paraId="5122F074" w14:textId="77777777" w:rsidR="0075001B" w:rsidRPr="00195091" w:rsidRDefault="0075001B" w:rsidP="0075001B">
      <w:pPr>
        <w:spacing w:after="0" w:line="240" w:lineRule="auto"/>
        <w:textAlignment w:val="baseline"/>
        <w:rPr>
          <w:rFonts w:eastAsia="Times New Roman" w:cstheme="majorHAnsi"/>
          <w:lang w:eastAsia="nl-NL"/>
        </w:rPr>
      </w:pPr>
    </w:p>
    <w:p w14:paraId="446F7259" w14:textId="77777777" w:rsidR="0075001B" w:rsidRPr="00195091" w:rsidRDefault="0075001B" w:rsidP="0075001B">
      <w:pPr>
        <w:spacing w:after="0" w:line="240" w:lineRule="auto"/>
        <w:textAlignment w:val="baseline"/>
        <w:rPr>
          <w:rFonts w:eastAsia="Times New Roman" w:cstheme="majorHAnsi"/>
          <w:b/>
          <w:sz w:val="18"/>
          <w:szCs w:val="18"/>
          <w:lang w:eastAsia="nl-NL"/>
        </w:rPr>
      </w:pPr>
      <w:r w:rsidRPr="00195091">
        <w:rPr>
          <w:rFonts w:eastAsia="Times New Roman" w:cstheme="majorHAnsi"/>
          <w:b/>
          <w:bCs/>
          <w:u w:val="single"/>
          <w:lang w:eastAsia="nl-NL"/>
        </w:rPr>
        <w:t>Surface transport</w:t>
      </w:r>
      <w:r w:rsidRPr="00195091">
        <w:rPr>
          <w:rFonts w:eastAsia="Times New Roman" w:cstheme="majorHAnsi"/>
          <w:b/>
          <w:bCs/>
          <w:lang w:eastAsia="nl-NL"/>
        </w:rPr>
        <w:t> </w:t>
      </w:r>
    </w:p>
    <w:p w14:paraId="0282A2DE" w14:textId="1A7C9349" w:rsidR="0075001B" w:rsidRPr="00195091" w:rsidRDefault="0075001B" w:rsidP="0075001B">
      <w:pPr>
        <w:rPr>
          <w:rFonts w:cstheme="majorHAnsi"/>
          <w:sz w:val="18"/>
          <w:szCs w:val="18"/>
          <w:lang w:eastAsia="nl-NL"/>
        </w:rPr>
      </w:pPr>
      <w:r w:rsidRPr="00195091">
        <w:rPr>
          <w:rFonts w:cstheme="majorHAnsi"/>
          <w:lang w:eastAsia="nl-NL"/>
        </w:rPr>
        <w:t>The activity correction factor for </w:t>
      </w:r>
      <w:r w:rsidRPr="00195091">
        <w:rPr>
          <w:rFonts w:cstheme="majorHAnsi"/>
          <w:b/>
          <w:lang w:eastAsia="nl-NL"/>
        </w:rPr>
        <w:t>surface transport</w:t>
      </w:r>
      <w:r w:rsidRPr="00195091">
        <w:rPr>
          <w:rFonts w:cstheme="majorHAnsi"/>
          <w:lang w:eastAsia="nl-NL"/>
        </w:rPr>
        <w:t> was based on the Google Mobility database</w:t>
      </w:r>
      <w:r w:rsidR="00B549F4">
        <w:rPr>
          <w:rFonts w:cstheme="majorHAnsi"/>
          <w:lang w:eastAsia="nl-NL"/>
        </w:rPr>
        <w:fldChar w:fldCharType="begin" w:fldLock="1"/>
      </w:r>
      <w:r w:rsidR="00B549F4">
        <w:rPr>
          <w:rFonts w:cstheme="majorHAnsi"/>
          <w:lang w:eastAsia="nl-NL"/>
        </w:rPr>
        <w:instrText>ADDIN CSL_CITATION {"citationItems":[{"id":"ITEM-1","itemData":{"URL":"https://www.google.com/covid19/mobility/","accessed":{"date-parts":[["2020","12","17"]]},"author":[{"dropping-particle":"","family":"Google LLC","given":"","non-dropping-particle":"","parse-names":false,"suffix":""}],"id":"ITEM-1","issued":{"date-parts":[["2020"]]},"title":"COVID-19 Community Mobility Reports","type":"webpage"},"uris":["http://www.mendeley.com/documents/?uuid=90ad6890-d608-3834-9ce8-05f1b9d95ab6"]},{"id":"ITEM-2","itemData":{"URL":"https://ourworldindata.org/covid-mobility-trends#licence","accessed":{"date-parts":[["2021","5","17"]]},"author":[{"dropping-particle":"","family":"Ritchie","given":"H","non-dropping-particle":"","parse-names":false,"suffix":""}],"id":"ITEM-2","issued":{"date-parts":[["2020"]]},"title":"Google Mobility Trends: How has the pandemic changed the movement of people around the world?","type":"webpage"},"uris":["http://www.mendeley.com/documents/?uuid=9988668c-39a6-317c-8d7d-921f7da4de06"]}],"mendeley":{"formattedCitation":"&lt;sup&gt;25,26&lt;/sup&gt;","plainTextFormattedCitation":"25,26","previouslyFormattedCitation":"&lt;sup&gt;25,26&lt;/sup&gt;"},"properties":{"noteIndex":0},"schema":"https://github.com/citation-style-language/schema/raw/master/csl-citation.json"}</w:instrText>
      </w:r>
      <w:r w:rsidR="00B549F4">
        <w:rPr>
          <w:rFonts w:cstheme="majorHAnsi"/>
          <w:lang w:eastAsia="nl-NL"/>
        </w:rPr>
        <w:fldChar w:fldCharType="separate"/>
      </w:r>
      <w:r w:rsidR="00B549F4" w:rsidRPr="00B549F4">
        <w:rPr>
          <w:rFonts w:cstheme="majorHAnsi"/>
          <w:noProof/>
          <w:vertAlign w:val="superscript"/>
          <w:lang w:eastAsia="nl-NL"/>
        </w:rPr>
        <w:t>25,26</w:t>
      </w:r>
      <w:r w:rsidR="00B549F4">
        <w:rPr>
          <w:rFonts w:cstheme="majorHAnsi"/>
          <w:lang w:eastAsia="nl-NL"/>
        </w:rPr>
        <w:fldChar w:fldCharType="end"/>
      </w:r>
      <w:r w:rsidRPr="00195091">
        <w:rPr>
          <w:rFonts w:cstheme="majorHAnsi"/>
          <w:lang w:eastAsia="nl-NL"/>
        </w:rPr>
        <w:t>. It provides the change in the number of visitors split between retail and recreation, grocery and pharmacy, parks and outdoor spaces, workplaces and transit stations.  The important steps and assumptions are outlined below to convert the reduced number of visitors to road traffic. </w:t>
      </w:r>
    </w:p>
    <w:p w14:paraId="68AECCA7" w14:textId="6AF13B17" w:rsidR="0075001B" w:rsidRPr="00195091" w:rsidRDefault="0075001B" w:rsidP="0075001B">
      <w:pPr>
        <w:rPr>
          <w:rFonts w:cstheme="majorHAnsi"/>
          <w:sz w:val="18"/>
          <w:szCs w:val="18"/>
          <w:lang w:eastAsia="nl-NL"/>
        </w:rPr>
      </w:pPr>
      <w:r w:rsidRPr="00195091">
        <w:rPr>
          <w:rFonts w:cstheme="majorHAnsi"/>
          <w:lang w:eastAsia="nl-NL"/>
        </w:rPr>
        <w:t>First, it is assumed that the same percentage of the population uses a car for all of the above types of activities, based on relative data for each region</w:t>
      </w:r>
      <w:r w:rsidR="00B549F4">
        <w:rPr>
          <w:rFonts w:cstheme="majorHAnsi"/>
          <w:lang w:eastAsia="nl-NL"/>
        </w:rPr>
        <w:fldChar w:fldCharType="begin" w:fldLock="1"/>
      </w:r>
      <w:r w:rsidR="00B72301">
        <w:rPr>
          <w:rFonts w:cstheme="majorHAnsi"/>
          <w:lang w:eastAsia="nl-NL"/>
        </w:rPr>
        <w:instrText>ADDIN CSL_CITATION {"citationItems":[{"id":"ITEM-1","itemData":{"DOI":"10.1016/j.jum.2020.08.002","ISSN":"25890360","abstract":"This paper presents individuals' adjustment in daily out-of-home travel activities, in-home activities, and long-distance travel during the COVID – 19 travel restrictions. This study utilizes data from the COVID – 19 Survey for assessing Travel impact (COST) for the Kelowna region of British Columbia, Canada. The analysis suggests that individuals' participation in out-of-home activities were reduced by more than 50% during COVID – 19. The highest daily frequency of travel is found for routine shopping, followed by work-related travel. A comparative analysis of adjustment in out-of-home activities during COVID – 19 and the pre-pandemic period suggests that work-related travel increased for some occupations such as health, community, government, and sales and services. For recreational/social activities, travel increased for a higher share of older adults, and decreased for a higher share of younger adults. In the case of in-home activities, higher income households were found to be predominant in tele-working for a longer duration; whereas, lower and middle income groups were more involved in leisure and discretionary activities, and sleep. In the case of long-distance travel, the majority of the completed long-distance travel was made regionally using private car. Among the altered (i.e. cancelled, rescheduled, and unchanged) long-distance trips, international air-travel was predominant. The findings of this study provide insights towards people's immediate response to COVID – 19 travel restrictions, which will help in developing transportation plans and policies during COVID – 19, as well as for future pandemic and any other unprecedented scenarios.","author":[{"dropping-particle":"","family":"Fatmi","given":"Mahmudur Rahman","non-dropping-particle":"","parse-names":false,"suffix":""}],"container-title":"Journal of Urban Management","id":"ITEM-1","issue":"3","issued":{"date-parts":[["2020","9","1"]]},"page":"270-275","publisher":"Elsevier B.V.","title":"COVID-19 impact on urban mobility","type":"article-journal","volume":"9"},"uris":["http://www.mendeley.com/documents/?uuid=027efcbc-3662-3a3d-be41-67a3a75e30e5"]},{"id":"ITEM-2","itemData":{"URL":"https://www.statista.com/statistics/1013713/mode-of-transport-used-to-commute-to-work-in-the-netherlands/","accessed":{"date-parts":[["2021","5","17"]]},"author":[{"dropping-particle":"","family":"Statista","given":"","non-dropping-particle":"","parse-names":false,"suffix":""}],"id":"ITEM-2","issued":{"date-parts":[["2020"]]},"title":"Netherlands: modes of transport used to commute to work","type":"webpage"},"uris":["http://www.mendeley.com/documents/?uuid=54288aee-e3f8-34f9-94db-ad36925d1591"]},{"id":"ITEM-3","itemData":{"URL":"https://www.statista.com/statistics/183907/transportation-modes-used-to-commute-to-work-in-the-us/","accessed":{"date-parts":[["2021","5","17"]]},"author":[{"dropping-particle":"","family":"Statista","given":"","non-dropping-particle":"","parse-names":false,"suffix":""}],"id":"ITEM-3","issued":{"date-parts":[["2020"]]},"title":"Distribution of transportation modes to commute to work in 2017","type":"webpage"},"uris":["http://www.mendeley.com/documents/?uuid=b241cf3e-b14a-36e2-9a56-ffc437ae22e6"]},{"id":"ITEM-4","itemData":{"URL":"https://profile.id.com.au/australia/travel-to-work","accessed":{"date-parts":[["2020","12","17"]]},"author":[{"dropping-particle":"","family":"Informed Decisions","given":"","non-dropping-particle":"","parse-names":false,"suffix":""}],"id":"ITEM-4","issued":{"date-parts":[["2020"]]},"title":"Method of travel to work - Australia","type":"webpage"},"uris":["http://www.mendeley.com/documents/?uuid=168c8b40-ae8f-3e5f-aa16-e647c50c8101"]},{"id":"ITEM-5","itemData":{"author":[{"dropping-particle":"","family":"McKenzie","given":"Brian","non-dropping-particle":"","parse-names":false,"suffix":""}],"id":"ITEM-5","issued":{"date-parts":[["2015"]]},"title":"Who Drives to Work? Commuting by Automobile in the United States: 2013 American Community Survey Reports","type":"report"},"uris":["http://www.mendeley.com/documents/?uuid=f10d94ab-819e-3f25-905b-791067cf92e2"]},{"id":"ITEM-6","itemData":{"URL":"https://www.bloomberg.com/news/articles/2019-01-22/how-americans-commute-to-work-in-maps","accessed":{"date-parts":[["2020","12","17"]]},"author":[{"dropping-particle":"","family":"Florida","given":"Richard","non-dropping-particle":"","parse-names":false,"suffix":""}],"id":"ITEM-6","issued":{"date-parts":[["2020"]]},"title":"The Great Divide in How Americans Commute to Work","type":"webpage"},"uris":["http://www.mendeley.com/documents/?uuid=2272f8da-47c4-35a7-bb39-45156867ded0"]},{"id":"ITEM-7","itemData":{"URL":"https://www.michaelpage.nl/en/news-insights/studies/transport-and-commute","accessed":{"date-parts":[["2021","5","17"]]},"author":[{"dropping-particle":"","family":"Michael Page","given":"","non-dropping-particle":"","parse-names":false,"suffix":""}],"id":"ITEM-7","issued":{"date-parts":[["2020"]]},"title":"Transport and commute","type":"webpage"},"uris":["http://www.mendeley.com/documents/?uuid=02220658-321d-3325-924f-053d141ada54"]},{"id":"ITEM-8","itemData":{"DOI":"978-0-367-36463-2","author":[{"dropping-particle":"","family":"Rodrigue","given":"Jean Paule","non-dropping-particle":"","parse-names":false,"suffix":""}],"chapter-number":"8","container-title":"The Geography of Transport Systems","edition":"Fifth","id":"ITEM-8","issued":{"date-parts":[["2020"]]},"publisher":"Routledge New York","title":"Urban Transportation","type":"chapter"},"uris":["http://www.mendeley.com/documents/?uuid=25f14524-5e3b-366d-85b3-87dcb0a37e78"]},{"id":"ITEM-9","itemData":{"DOI":"10.3390/su11143823","ISSN":"20711050","abstract":"In Kenya's capital city, Nairobi, streets are regularly gridlocked. While it is clear that roads are congested at peak hours, it is not known which commuters are experiencing that congestion or what their commute times actually are. Even less is known about commuting patterns in other Kenyan cities. This paper contributes new evidence on commuting from a survey of 14,580 households, conducted in 15 Kenyan cities in 2013. Walking and matatus-privately-operated paratransit-account for 89% of all adult commuting in urban Kenya. As cities increase in size, the proportion relying on walking falls and matatu use increases. Within a city, commuters with higher income and education, and those living further from the city center, are more likely to use matatus rather than walk. Commute times are surprisingly short. In smaller Kenyan cities the median commute time is just 20 min. In Nairobi, the median commute time is 30 min, and only 5% of those surveyed reported commuting an hour or longer. These data paint a remarkably sustainable picture of urban travel patterns in Kenya. As incomes, education levels, and demand for motorized travel rise, the challenge will be to expand and improve the system while maintaining its sustainability.","author":[{"dropping-particle":"","family":"Salon","given":"Deborah","non-dropping-particle":"","parse-names":false,"suffix":""},{"dropping-particle":"","family":"Gulyani","given":"Sumila","non-dropping-particle":"","parse-names":false,"suffix":""}],"container-title":"Sustainability (Switzerland)","id":"ITEM-9","issue":"14","issued":{"date-parts":[["2019","7","12"]]},"page":"3823","publisher":"MDPI AG","title":"Commuting in Urban Kenya: Unpacking travel demand in large and small Kenyan cities","type":"article-journal","volume":"11"},"uris":["http://www.mendeley.com/documents/?uuid=9c07d6af-d08d-3d96-9d04-2d3f45a5cee2"]},{"id":"ITEM-10","itemData":{"URL":"https://medium.com/impact-engineered/the-african-commute-city-transport-trends-cf369e5106bd","accessed":{"date-parts":[["2020","12","17"]]},"author":[{"dropping-particle":"","family":"Demand@ASME","given":"","non-dropping-particle":"","parse-names":false,"suffix":""}],"id":"ITEM-10","issued":{"date-parts":[["2020"]]},"title":"The African commute: city transport trends","type":"webpage"},"uris":["http://www.mendeley.com/documents/?uuid=ab3856c7-c73f-3e9d-b880-b33fcc6ecb3f"]},{"id":"ITEM-11","itemData":{"author":[{"dropping-particle":"","family":"Deloitte Insights","given":"","non-dropping-particle":"","parse-names":false,"suffix":""}],"id":"ITEM-11","issued":{"date-parts":[["2020"]]},"title":"Deloitte City Mobility Index 2020 - Jakarta","type":"report"},"uris":["http://www.mendeley.com/documents/?uuid=b837c7a3-f2a8-313e-95a1-95d509409bc3"]},{"id":"ITEM-12","itemData":{"author":[{"dropping-particle":"","family":"Deloitte Insights","given":"","non-dropping-particle":"","parse-names":false,"suffix":""}],"id":"ITEM-12","issued":{"date-parts":[["2020"]]},"title":"Deloitte City Mobility Index 2020 - Riyadh","type":"report"},"uris":["http://www.mendeley.com/documents/?uuid=e44549bb-785b-35ca-98d6-2a8bf982a46e"]},{"id":"ITEM-13","itemData":{"author":[{"dropping-particle":"","family":"Department for Transport","given":"","non-dropping-particle":"","parse-names":false,"suffix":""}],"id":"ITEM-13","issued":{"date-parts":[["2019"]]},"title":"Transport Statistics Great Britain: 2019","type":"report"},"uris":["http://www.mendeley.com/documents/?uuid=29bfb3d0-c1b6-35dd-aa57-13d847bc145e"]}],"mendeley":{"formattedCitation":"&lt;sup&gt;27,28,37–39,29–36&lt;/sup&gt;","plainTextFormattedCitation":"27,28,37–39,29–36","previouslyFormattedCitation":"&lt;sup&gt;27–39&lt;/sup&gt;"},"properties":{"noteIndex":0},"schema":"https://github.com/citation-style-language/schema/raw/master/csl-citation.json"}</w:instrText>
      </w:r>
      <w:r w:rsidR="00B549F4">
        <w:rPr>
          <w:rFonts w:cstheme="majorHAnsi"/>
          <w:lang w:eastAsia="nl-NL"/>
        </w:rPr>
        <w:fldChar w:fldCharType="separate"/>
      </w:r>
      <w:r w:rsidR="00B72301" w:rsidRPr="00B72301">
        <w:rPr>
          <w:rFonts w:cstheme="majorHAnsi"/>
          <w:noProof/>
          <w:vertAlign w:val="superscript"/>
          <w:lang w:eastAsia="nl-NL"/>
        </w:rPr>
        <w:t>27,28,37–39,29–36</w:t>
      </w:r>
      <w:r w:rsidR="00B549F4">
        <w:rPr>
          <w:rFonts w:cstheme="majorHAnsi"/>
          <w:lang w:eastAsia="nl-NL"/>
        </w:rPr>
        <w:fldChar w:fldCharType="end"/>
      </w:r>
      <w:r w:rsidRPr="00195091">
        <w:rPr>
          <w:rFonts w:cstheme="majorHAnsi"/>
          <w:lang w:eastAsia="nl-NL"/>
        </w:rPr>
        <w:t>. This means that people who use a personal vehicle to go to work will also use it for grocery, retail and recreation trips. In the next step, the use of a personal vehicle between the above activities is assumed to be: 75% use for commuting purposes, 20% for retail, grocery and pharmacy trips, and 5% for day trips/outdoor visits</w:t>
      </w:r>
      <w:r w:rsidR="002813FE">
        <w:rPr>
          <w:rFonts w:cstheme="majorHAnsi"/>
          <w:lang w:eastAsia="nl-NL"/>
        </w:rPr>
        <w:fldChar w:fldCharType="begin" w:fldLock="1"/>
      </w:r>
      <w:r w:rsidR="00B72301">
        <w:rPr>
          <w:rFonts w:cstheme="majorHAnsi"/>
          <w:lang w:eastAsia="nl-NL"/>
        </w:rPr>
        <w:instrText>ADDIN CSL_CITATION {"citationItems":[{"id":"ITEM-1","itemData":{"author":[{"dropping-particle":"","family":"Department for Transport","given":"","non-dropping-particle":"","parse-names":false,"suffix":""}],"id":"ITEM-1","issued":{"date-parts":[["2019"]]},"title":"Transport Statistics Great Britain: 2019","type":"report"},"uris":["http://www.mendeley.com/documents/?uuid=29bfb3d0-c1b6-35dd-aa57-13d847bc145e"]},{"id":"ITEM-2","itemData":{"DOI":"978-90-357-1329-1","author":[{"dropping-particle":"","family":"Statistics Netherlands (CBS)","given":"","non-dropping-particle":"","parse-names":false,"suffix":""}],"id":"ITEM-2","issued":{"date-parts":[["2015"]]},"title":"Transport and mobility 2015","type":"report"},"uris":["http://www.mendeley.com/documents/?uuid=df265416-21b5-3d42-b530-3046e3729c2f"]}],"mendeley":{"formattedCitation":"&lt;sup&gt;39,40&lt;/sup&gt;","plainTextFormattedCitation":"39,40","previouslyFormattedCitation":"&lt;sup&gt;31,40&lt;/sup&gt;"},"properties":{"noteIndex":0},"schema":"https://github.com/citation-style-language/schema/raw/master/csl-citation.json"}</w:instrText>
      </w:r>
      <w:r w:rsidR="002813FE">
        <w:rPr>
          <w:rFonts w:cstheme="majorHAnsi"/>
          <w:lang w:eastAsia="nl-NL"/>
        </w:rPr>
        <w:fldChar w:fldCharType="separate"/>
      </w:r>
      <w:r w:rsidR="00B72301" w:rsidRPr="00B72301">
        <w:rPr>
          <w:rFonts w:cstheme="majorHAnsi"/>
          <w:noProof/>
          <w:vertAlign w:val="superscript"/>
          <w:lang w:eastAsia="nl-NL"/>
        </w:rPr>
        <w:t>39,40</w:t>
      </w:r>
      <w:r w:rsidR="002813FE">
        <w:rPr>
          <w:rFonts w:cstheme="majorHAnsi"/>
          <w:lang w:eastAsia="nl-NL"/>
        </w:rPr>
        <w:fldChar w:fldCharType="end"/>
      </w:r>
      <w:r w:rsidRPr="00195091">
        <w:rPr>
          <w:rFonts w:cstheme="majorHAnsi"/>
          <w:lang w:eastAsia="nl-NL"/>
        </w:rPr>
        <w:t>. The aggregate of these results represents the total reduction in car use, which is assumed to be equal to the reduction in PKM year-on-year (YoY) percentage change. Similar to aviation traffic, data for China were taken from the National Bureau of Statistics of China</w:t>
      </w:r>
      <w:r w:rsidR="006B6FB8">
        <w:rPr>
          <w:rFonts w:cstheme="majorHAnsi"/>
          <w:lang w:eastAsia="nl-NL"/>
        </w:rPr>
        <w:fldChar w:fldCharType="begin" w:fldLock="1"/>
      </w:r>
      <w:r w:rsidR="00664C1B">
        <w:rPr>
          <w:rFonts w:cstheme="majorHAnsi"/>
          <w:lang w:eastAsia="nl-NL"/>
        </w:rPr>
        <w:instrText>ADDIN CSL_CITATION {"citationItems":[{"id":"ITEM-1","itemData":{"URL":"https://data.stats.gov.cn/english/","accessed":{"date-parts":[["2020","12","15"]]},"author":[{"dropping-particle":"","family":"National Bureau of Statistics China (NBS)","given":"","non-dropping-particle":"","parse-names":false,"suffix":""}],"id":"ITEM-1","issued":{"date-parts":[["0"]]},"title":"National Bureau of Statistics China","type":"webpage"},"uris":["http://www.mendeley.com/documents/?uuid=19d09305-6dff-4eff-8de5-7af794245c00"]}],"mendeley":{"formattedCitation":"&lt;sup&gt;23&lt;/sup&gt;","plainTextFormattedCitation":"23","previouslyFormattedCitation":"&lt;sup&gt;23&lt;/sup&gt;"},"properties":{"noteIndex":0},"schema":"https://github.com/citation-style-language/schema/raw/master/csl-citation.json"}</w:instrText>
      </w:r>
      <w:r w:rsidR="006B6FB8">
        <w:rPr>
          <w:rFonts w:cstheme="majorHAnsi"/>
          <w:lang w:eastAsia="nl-NL"/>
        </w:rPr>
        <w:fldChar w:fldCharType="separate"/>
      </w:r>
      <w:r w:rsidR="006B6FB8" w:rsidRPr="006B6FB8">
        <w:rPr>
          <w:rFonts w:cstheme="majorHAnsi"/>
          <w:noProof/>
          <w:vertAlign w:val="superscript"/>
          <w:lang w:eastAsia="nl-NL"/>
        </w:rPr>
        <w:t>23</w:t>
      </w:r>
      <w:r w:rsidR="006B6FB8">
        <w:rPr>
          <w:rFonts w:cstheme="majorHAnsi"/>
          <w:lang w:eastAsia="nl-NL"/>
        </w:rPr>
        <w:fldChar w:fldCharType="end"/>
      </w:r>
      <w:r w:rsidRPr="00195091">
        <w:rPr>
          <w:rFonts w:cstheme="majorHAnsi"/>
          <w:lang w:eastAsia="nl-NL"/>
        </w:rPr>
        <w:t>, directly in PKM reduction. In collaboration with the consortium, normal traffic patterns are assumed to return to normal in 2022. </w:t>
      </w:r>
    </w:p>
    <w:p w14:paraId="14EE10BE" w14:textId="77777777" w:rsidR="0075001B" w:rsidRPr="00195091" w:rsidRDefault="0075001B" w:rsidP="0075001B">
      <w:pPr>
        <w:spacing w:after="0" w:line="240" w:lineRule="auto"/>
        <w:textAlignment w:val="baseline"/>
        <w:rPr>
          <w:rFonts w:eastAsia="Times New Roman" w:cstheme="majorHAnsi"/>
          <w:sz w:val="18"/>
          <w:szCs w:val="18"/>
          <w:lang w:eastAsia="nl-NL"/>
        </w:rPr>
      </w:pPr>
    </w:p>
    <w:tbl>
      <w:tblPr>
        <w:tblW w:w="45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5"/>
        <w:gridCol w:w="1125"/>
        <w:gridCol w:w="1290"/>
      </w:tblGrid>
      <w:tr w:rsidR="005118CB" w:rsidRPr="00195091" w14:paraId="1C2C4D52" w14:textId="77777777" w:rsidTr="005118CB">
        <w:trPr>
          <w:trHeight w:val="300"/>
        </w:trPr>
        <w:tc>
          <w:tcPr>
            <w:tcW w:w="4530" w:type="dxa"/>
            <w:gridSpan w:val="3"/>
            <w:tcBorders>
              <w:top w:val="single" w:sz="6" w:space="0" w:color="4472C4"/>
              <w:left w:val="single" w:sz="6" w:space="0" w:color="4472C4"/>
              <w:bottom w:val="single" w:sz="6" w:space="0" w:color="4472C4"/>
              <w:right w:val="nil"/>
            </w:tcBorders>
            <w:shd w:val="clear" w:color="auto" w:fill="4472C4"/>
            <w:hideMark/>
          </w:tcPr>
          <w:p w14:paraId="0C050CFD" w14:textId="77777777" w:rsidR="005118CB" w:rsidRPr="00195091" w:rsidRDefault="005118CB" w:rsidP="00056919">
            <w:pPr>
              <w:spacing w:after="0" w:line="240" w:lineRule="auto"/>
              <w:textAlignment w:val="baseline"/>
              <w:rPr>
                <w:rFonts w:eastAsia="Times New Roman" w:cstheme="majorHAnsi"/>
                <w:b/>
                <w:bCs/>
                <w:color w:val="FFFFFF"/>
                <w:sz w:val="24"/>
                <w:szCs w:val="24"/>
                <w:lang w:eastAsia="nl-NL"/>
              </w:rPr>
            </w:pPr>
            <w:r w:rsidRPr="00195091">
              <w:rPr>
                <w:rFonts w:eastAsia="Times New Roman" w:cstheme="majorHAnsi"/>
                <w:b/>
                <w:bCs/>
                <w:color w:val="FFFFFF"/>
                <w:lang w:eastAsia="nl-NL"/>
              </w:rPr>
              <w:t>Surface transport activity levels [PKM YoY %] </w:t>
            </w:r>
          </w:p>
        </w:tc>
      </w:tr>
      <w:tr w:rsidR="005118CB" w:rsidRPr="00195091" w14:paraId="471EC019" w14:textId="77777777" w:rsidTr="005118CB">
        <w:trPr>
          <w:trHeight w:val="300"/>
        </w:trPr>
        <w:tc>
          <w:tcPr>
            <w:tcW w:w="2115" w:type="dxa"/>
            <w:tcBorders>
              <w:top w:val="nil"/>
              <w:left w:val="single" w:sz="6" w:space="0" w:color="8EAADB"/>
              <w:bottom w:val="single" w:sz="6" w:space="0" w:color="8EAADB"/>
              <w:right w:val="single" w:sz="6" w:space="0" w:color="8EAADB"/>
            </w:tcBorders>
            <w:shd w:val="clear" w:color="auto" w:fill="D9E2F3"/>
            <w:hideMark/>
          </w:tcPr>
          <w:p w14:paraId="6A9F16B5" w14:textId="77777777" w:rsidR="005118CB" w:rsidRPr="00195091" w:rsidRDefault="005118CB" w:rsidP="00056919">
            <w:pPr>
              <w:spacing w:after="0" w:line="240" w:lineRule="auto"/>
              <w:textAlignment w:val="baseline"/>
              <w:rPr>
                <w:rFonts w:eastAsia="Times New Roman" w:cstheme="majorHAnsi"/>
                <w:b/>
                <w:bCs/>
                <w:sz w:val="24"/>
                <w:szCs w:val="24"/>
                <w:lang w:val="nl-NL" w:eastAsia="nl-NL"/>
              </w:rPr>
            </w:pPr>
            <w:r w:rsidRPr="00195091">
              <w:rPr>
                <w:rFonts w:eastAsia="Times New Roman" w:cstheme="majorHAnsi"/>
                <w:b/>
                <w:bCs/>
                <w:color w:val="000000"/>
                <w:lang w:eastAsia="nl-NL"/>
              </w:rPr>
              <w:t> </w:t>
            </w:r>
            <w:r w:rsidRPr="00195091">
              <w:rPr>
                <w:rFonts w:eastAsia="Times New Roman" w:cstheme="majorHAnsi"/>
                <w:b/>
                <w:bCs/>
                <w:color w:val="000000"/>
                <w:lang w:val="nl-NL" w:eastAsia="nl-NL"/>
              </w:rPr>
              <w:t> </w:t>
            </w:r>
          </w:p>
        </w:tc>
        <w:tc>
          <w:tcPr>
            <w:tcW w:w="1125" w:type="dxa"/>
            <w:tcBorders>
              <w:top w:val="nil"/>
              <w:left w:val="nil"/>
              <w:bottom w:val="single" w:sz="6" w:space="0" w:color="8EAADB"/>
              <w:right w:val="single" w:sz="6" w:space="0" w:color="8EAADB"/>
            </w:tcBorders>
            <w:shd w:val="clear" w:color="auto" w:fill="D9E2F3"/>
            <w:hideMark/>
          </w:tcPr>
          <w:p w14:paraId="74370860"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b/>
                <w:bCs/>
                <w:color w:val="000000"/>
                <w:lang w:val="nl-NL" w:eastAsia="nl-NL"/>
              </w:rPr>
              <w:t>2020</w:t>
            </w:r>
            <w:r w:rsidRPr="00195091">
              <w:rPr>
                <w:rFonts w:eastAsia="Times New Roman" w:cstheme="majorHAnsi"/>
                <w:color w:val="000000"/>
                <w:lang w:val="nl-NL" w:eastAsia="nl-NL"/>
              </w:rPr>
              <w:t> </w:t>
            </w:r>
          </w:p>
        </w:tc>
        <w:tc>
          <w:tcPr>
            <w:tcW w:w="1290" w:type="dxa"/>
            <w:tcBorders>
              <w:top w:val="nil"/>
              <w:left w:val="nil"/>
              <w:bottom w:val="single" w:sz="6" w:space="0" w:color="8EAADB"/>
              <w:right w:val="single" w:sz="6" w:space="0" w:color="8EAADB"/>
            </w:tcBorders>
            <w:shd w:val="clear" w:color="auto" w:fill="D9E2F3"/>
            <w:hideMark/>
          </w:tcPr>
          <w:p w14:paraId="7E4936EB"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b/>
                <w:bCs/>
                <w:color w:val="000000"/>
                <w:lang w:val="nl-NL" w:eastAsia="nl-NL"/>
              </w:rPr>
              <w:t>2021</w:t>
            </w:r>
            <w:r w:rsidRPr="00195091">
              <w:rPr>
                <w:rFonts w:eastAsia="Times New Roman" w:cstheme="majorHAnsi"/>
                <w:color w:val="000000"/>
                <w:lang w:val="nl-NL" w:eastAsia="nl-NL"/>
              </w:rPr>
              <w:t> </w:t>
            </w:r>
          </w:p>
        </w:tc>
      </w:tr>
      <w:tr w:rsidR="005118CB" w:rsidRPr="00195091" w14:paraId="659C7682" w14:textId="77777777" w:rsidTr="005118CB">
        <w:trPr>
          <w:trHeight w:val="300"/>
        </w:trPr>
        <w:tc>
          <w:tcPr>
            <w:tcW w:w="2115" w:type="dxa"/>
            <w:tcBorders>
              <w:top w:val="nil"/>
              <w:left w:val="single" w:sz="6" w:space="0" w:color="8EAADB"/>
              <w:bottom w:val="single" w:sz="6" w:space="0" w:color="8EAADB"/>
              <w:right w:val="single" w:sz="6" w:space="0" w:color="8EAADB"/>
            </w:tcBorders>
            <w:shd w:val="clear" w:color="auto" w:fill="auto"/>
            <w:hideMark/>
          </w:tcPr>
          <w:p w14:paraId="01BC6211" w14:textId="77777777" w:rsidR="005118CB" w:rsidRPr="00195091" w:rsidRDefault="005118CB" w:rsidP="00056919">
            <w:pPr>
              <w:spacing w:after="0" w:line="240" w:lineRule="auto"/>
              <w:textAlignment w:val="baseline"/>
              <w:rPr>
                <w:rFonts w:eastAsia="Times New Roman" w:cstheme="majorHAnsi"/>
                <w:b/>
                <w:bCs/>
                <w:sz w:val="24"/>
                <w:szCs w:val="24"/>
                <w:lang w:val="nl-NL" w:eastAsia="nl-NL"/>
              </w:rPr>
            </w:pPr>
            <w:r w:rsidRPr="00195091">
              <w:rPr>
                <w:rFonts w:eastAsia="Times New Roman" w:cstheme="majorHAnsi"/>
                <w:b/>
                <w:bCs/>
                <w:color w:val="000000"/>
                <w:lang w:val="nl-NL" w:eastAsia="nl-NL"/>
              </w:rPr>
              <w:t>Canada </w:t>
            </w:r>
          </w:p>
        </w:tc>
        <w:tc>
          <w:tcPr>
            <w:tcW w:w="1125" w:type="dxa"/>
            <w:tcBorders>
              <w:top w:val="nil"/>
              <w:left w:val="nil"/>
              <w:bottom w:val="single" w:sz="6" w:space="0" w:color="8EAADB"/>
              <w:right w:val="single" w:sz="6" w:space="0" w:color="8EAADB"/>
            </w:tcBorders>
            <w:shd w:val="clear" w:color="auto" w:fill="auto"/>
            <w:hideMark/>
          </w:tcPr>
          <w:p w14:paraId="330AD7A1"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-18</w:t>
            </w:r>
            <w:r w:rsidRPr="00195091">
              <w:rPr>
                <w:rFonts w:eastAsia="Times New Roman" w:cstheme="majorHAnsi"/>
                <w:color w:val="000000"/>
                <w:lang w:val="nl-NL" w:eastAsia="nl-NL"/>
              </w:rPr>
              <w:t> </w:t>
            </w:r>
          </w:p>
        </w:tc>
        <w:tc>
          <w:tcPr>
            <w:tcW w:w="1290" w:type="dxa"/>
            <w:tcBorders>
              <w:top w:val="nil"/>
              <w:left w:val="nil"/>
              <w:bottom w:val="single" w:sz="6" w:space="0" w:color="8EAADB"/>
              <w:right w:val="single" w:sz="6" w:space="0" w:color="8EAADB"/>
            </w:tcBorders>
            <w:shd w:val="clear" w:color="auto" w:fill="auto"/>
            <w:hideMark/>
          </w:tcPr>
          <w:p w14:paraId="41FF10D6"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13</w:t>
            </w:r>
            <w:r w:rsidRPr="00195091">
              <w:rPr>
                <w:rFonts w:eastAsia="Times New Roman" w:cstheme="majorHAnsi"/>
                <w:color w:val="000000"/>
                <w:lang w:val="nl-NL" w:eastAsia="nl-NL"/>
              </w:rPr>
              <w:t> </w:t>
            </w:r>
          </w:p>
        </w:tc>
      </w:tr>
      <w:tr w:rsidR="005118CB" w:rsidRPr="00195091" w14:paraId="49D5461A" w14:textId="77777777" w:rsidTr="005118CB">
        <w:trPr>
          <w:trHeight w:val="300"/>
        </w:trPr>
        <w:tc>
          <w:tcPr>
            <w:tcW w:w="2115" w:type="dxa"/>
            <w:tcBorders>
              <w:top w:val="nil"/>
              <w:left w:val="single" w:sz="6" w:space="0" w:color="8EAADB"/>
              <w:bottom w:val="single" w:sz="6" w:space="0" w:color="8EAADB"/>
              <w:right w:val="single" w:sz="6" w:space="0" w:color="8EAADB"/>
            </w:tcBorders>
            <w:shd w:val="clear" w:color="auto" w:fill="D9E2F3"/>
            <w:hideMark/>
          </w:tcPr>
          <w:p w14:paraId="3E7B3863" w14:textId="77777777" w:rsidR="005118CB" w:rsidRPr="00195091" w:rsidRDefault="005118CB" w:rsidP="00056919">
            <w:pPr>
              <w:spacing w:after="0" w:line="240" w:lineRule="auto"/>
              <w:textAlignment w:val="baseline"/>
              <w:rPr>
                <w:rFonts w:eastAsia="Times New Roman" w:cstheme="majorHAnsi"/>
                <w:b/>
                <w:bCs/>
                <w:sz w:val="24"/>
                <w:szCs w:val="24"/>
                <w:lang w:val="nl-NL" w:eastAsia="nl-NL"/>
              </w:rPr>
            </w:pPr>
            <w:r w:rsidRPr="00195091">
              <w:rPr>
                <w:rFonts w:eastAsia="Times New Roman" w:cstheme="majorHAnsi"/>
                <w:b/>
                <w:bCs/>
                <w:color w:val="000000"/>
                <w:lang w:val="nl-NL" w:eastAsia="nl-NL"/>
              </w:rPr>
              <w:t>USA </w:t>
            </w:r>
          </w:p>
        </w:tc>
        <w:tc>
          <w:tcPr>
            <w:tcW w:w="1125" w:type="dxa"/>
            <w:tcBorders>
              <w:top w:val="nil"/>
              <w:left w:val="nil"/>
              <w:bottom w:val="single" w:sz="6" w:space="0" w:color="8EAADB"/>
              <w:right w:val="single" w:sz="6" w:space="0" w:color="8EAADB"/>
            </w:tcBorders>
            <w:shd w:val="clear" w:color="auto" w:fill="D9E2F3"/>
            <w:hideMark/>
          </w:tcPr>
          <w:p w14:paraId="182EFBAB"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-21</w:t>
            </w:r>
            <w:r w:rsidRPr="00195091">
              <w:rPr>
                <w:rFonts w:eastAsia="Times New Roman" w:cstheme="majorHAnsi"/>
                <w:color w:val="000000"/>
                <w:lang w:val="nl-NL" w:eastAsia="nl-NL"/>
              </w:rPr>
              <w:t> </w:t>
            </w:r>
          </w:p>
        </w:tc>
        <w:tc>
          <w:tcPr>
            <w:tcW w:w="1290" w:type="dxa"/>
            <w:tcBorders>
              <w:top w:val="nil"/>
              <w:left w:val="nil"/>
              <w:bottom w:val="single" w:sz="6" w:space="0" w:color="8EAADB"/>
              <w:right w:val="single" w:sz="6" w:space="0" w:color="8EAADB"/>
            </w:tcBorders>
            <w:shd w:val="clear" w:color="auto" w:fill="D9E2F3"/>
            <w:hideMark/>
          </w:tcPr>
          <w:p w14:paraId="5D799075"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15</w:t>
            </w:r>
            <w:r w:rsidRPr="00195091">
              <w:rPr>
                <w:rFonts w:eastAsia="Times New Roman" w:cstheme="majorHAnsi"/>
                <w:color w:val="000000"/>
                <w:lang w:val="nl-NL" w:eastAsia="nl-NL"/>
              </w:rPr>
              <w:t> </w:t>
            </w:r>
          </w:p>
        </w:tc>
      </w:tr>
      <w:tr w:rsidR="005118CB" w:rsidRPr="00195091" w14:paraId="0227B556" w14:textId="77777777" w:rsidTr="005118CB">
        <w:trPr>
          <w:trHeight w:val="300"/>
        </w:trPr>
        <w:tc>
          <w:tcPr>
            <w:tcW w:w="2115" w:type="dxa"/>
            <w:tcBorders>
              <w:top w:val="nil"/>
              <w:left w:val="single" w:sz="6" w:space="0" w:color="8EAADB"/>
              <w:bottom w:val="single" w:sz="6" w:space="0" w:color="8EAADB"/>
              <w:right w:val="single" w:sz="6" w:space="0" w:color="8EAADB"/>
            </w:tcBorders>
            <w:shd w:val="clear" w:color="auto" w:fill="auto"/>
            <w:hideMark/>
          </w:tcPr>
          <w:p w14:paraId="15EF1FE0" w14:textId="77777777" w:rsidR="005118CB" w:rsidRPr="00195091" w:rsidRDefault="005118CB" w:rsidP="00056919">
            <w:pPr>
              <w:spacing w:after="0" w:line="240" w:lineRule="auto"/>
              <w:textAlignment w:val="baseline"/>
              <w:rPr>
                <w:rFonts w:eastAsia="Times New Roman" w:cstheme="majorHAnsi"/>
                <w:b/>
                <w:bCs/>
                <w:sz w:val="24"/>
                <w:szCs w:val="24"/>
                <w:lang w:val="nl-NL" w:eastAsia="nl-NL"/>
              </w:rPr>
            </w:pPr>
            <w:r w:rsidRPr="00195091">
              <w:rPr>
                <w:rFonts w:eastAsia="Times New Roman" w:cstheme="majorHAnsi"/>
                <w:b/>
                <w:bCs/>
                <w:color w:val="000000"/>
                <w:lang w:val="nl-NL" w:eastAsia="nl-NL"/>
              </w:rPr>
              <w:t>Mexico </w:t>
            </w:r>
          </w:p>
        </w:tc>
        <w:tc>
          <w:tcPr>
            <w:tcW w:w="1125" w:type="dxa"/>
            <w:tcBorders>
              <w:top w:val="nil"/>
              <w:left w:val="nil"/>
              <w:bottom w:val="single" w:sz="6" w:space="0" w:color="8EAADB"/>
              <w:right w:val="single" w:sz="6" w:space="0" w:color="8EAADB"/>
            </w:tcBorders>
            <w:shd w:val="clear" w:color="auto" w:fill="auto"/>
            <w:hideMark/>
          </w:tcPr>
          <w:p w14:paraId="11A69258"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-17</w:t>
            </w:r>
            <w:r w:rsidRPr="00195091">
              <w:rPr>
                <w:rFonts w:eastAsia="Times New Roman" w:cstheme="majorHAnsi"/>
                <w:color w:val="000000"/>
                <w:lang w:val="nl-NL" w:eastAsia="nl-NL"/>
              </w:rPr>
              <w:t> </w:t>
            </w:r>
          </w:p>
        </w:tc>
        <w:tc>
          <w:tcPr>
            <w:tcW w:w="1290" w:type="dxa"/>
            <w:tcBorders>
              <w:top w:val="nil"/>
              <w:left w:val="nil"/>
              <w:bottom w:val="single" w:sz="6" w:space="0" w:color="8EAADB"/>
              <w:right w:val="single" w:sz="6" w:space="0" w:color="8EAADB"/>
            </w:tcBorders>
            <w:shd w:val="clear" w:color="auto" w:fill="auto"/>
            <w:hideMark/>
          </w:tcPr>
          <w:p w14:paraId="3E48F5C3"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12</w:t>
            </w:r>
            <w:r w:rsidRPr="00195091">
              <w:rPr>
                <w:rFonts w:eastAsia="Times New Roman" w:cstheme="majorHAnsi"/>
                <w:color w:val="000000"/>
                <w:lang w:val="nl-NL" w:eastAsia="nl-NL"/>
              </w:rPr>
              <w:t> </w:t>
            </w:r>
          </w:p>
        </w:tc>
      </w:tr>
      <w:tr w:rsidR="005118CB" w:rsidRPr="00195091" w14:paraId="10EDCC5D" w14:textId="77777777" w:rsidTr="005118CB">
        <w:trPr>
          <w:trHeight w:val="300"/>
        </w:trPr>
        <w:tc>
          <w:tcPr>
            <w:tcW w:w="2115" w:type="dxa"/>
            <w:tcBorders>
              <w:top w:val="nil"/>
              <w:left w:val="single" w:sz="6" w:space="0" w:color="8EAADB"/>
              <w:bottom w:val="single" w:sz="6" w:space="0" w:color="8EAADB"/>
              <w:right w:val="single" w:sz="6" w:space="0" w:color="8EAADB"/>
            </w:tcBorders>
            <w:shd w:val="clear" w:color="auto" w:fill="D9E2F3"/>
            <w:hideMark/>
          </w:tcPr>
          <w:p w14:paraId="486468BA" w14:textId="77777777" w:rsidR="005118CB" w:rsidRPr="00195091" w:rsidRDefault="005118CB" w:rsidP="00056919">
            <w:pPr>
              <w:spacing w:after="0" w:line="240" w:lineRule="auto"/>
              <w:textAlignment w:val="baseline"/>
              <w:rPr>
                <w:rFonts w:eastAsia="Times New Roman" w:cstheme="majorHAnsi"/>
                <w:b/>
                <w:bCs/>
                <w:sz w:val="24"/>
                <w:szCs w:val="24"/>
                <w:lang w:val="nl-NL" w:eastAsia="nl-NL"/>
              </w:rPr>
            </w:pPr>
            <w:r w:rsidRPr="00195091">
              <w:rPr>
                <w:rFonts w:eastAsia="Times New Roman" w:cstheme="majorHAnsi"/>
                <w:b/>
                <w:bCs/>
                <w:color w:val="000000"/>
                <w:lang w:val="nl-NL" w:eastAsia="nl-NL"/>
              </w:rPr>
              <w:t>Rest C. America </w:t>
            </w:r>
          </w:p>
        </w:tc>
        <w:tc>
          <w:tcPr>
            <w:tcW w:w="1125" w:type="dxa"/>
            <w:tcBorders>
              <w:top w:val="nil"/>
              <w:left w:val="nil"/>
              <w:bottom w:val="single" w:sz="6" w:space="0" w:color="8EAADB"/>
              <w:right w:val="single" w:sz="6" w:space="0" w:color="8EAADB"/>
            </w:tcBorders>
            <w:shd w:val="clear" w:color="auto" w:fill="D9E2F3"/>
            <w:hideMark/>
          </w:tcPr>
          <w:p w14:paraId="4F128229"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-17</w:t>
            </w:r>
            <w:r w:rsidRPr="00195091">
              <w:rPr>
                <w:rFonts w:eastAsia="Times New Roman" w:cstheme="majorHAnsi"/>
                <w:color w:val="000000"/>
                <w:lang w:val="nl-NL" w:eastAsia="nl-NL"/>
              </w:rPr>
              <w:t> </w:t>
            </w:r>
          </w:p>
        </w:tc>
        <w:tc>
          <w:tcPr>
            <w:tcW w:w="1290" w:type="dxa"/>
            <w:tcBorders>
              <w:top w:val="nil"/>
              <w:left w:val="nil"/>
              <w:bottom w:val="single" w:sz="6" w:space="0" w:color="8EAADB"/>
              <w:right w:val="single" w:sz="6" w:space="0" w:color="8EAADB"/>
            </w:tcBorders>
            <w:shd w:val="clear" w:color="auto" w:fill="D9E2F3"/>
            <w:hideMark/>
          </w:tcPr>
          <w:p w14:paraId="14184087"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12</w:t>
            </w:r>
            <w:r w:rsidRPr="00195091">
              <w:rPr>
                <w:rFonts w:eastAsia="Times New Roman" w:cstheme="majorHAnsi"/>
                <w:color w:val="000000"/>
                <w:lang w:val="nl-NL" w:eastAsia="nl-NL"/>
              </w:rPr>
              <w:t> </w:t>
            </w:r>
          </w:p>
        </w:tc>
      </w:tr>
      <w:tr w:rsidR="005118CB" w:rsidRPr="00195091" w14:paraId="6BABA162" w14:textId="77777777" w:rsidTr="005118CB">
        <w:trPr>
          <w:trHeight w:val="300"/>
        </w:trPr>
        <w:tc>
          <w:tcPr>
            <w:tcW w:w="2115" w:type="dxa"/>
            <w:tcBorders>
              <w:top w:val="nil"/>
              <w:left w:val="single" w:sz="6" w:space="0" w:color="8EAADB"/>
              <w:bottom w:val="single" w:sz="6" w:space="0" w:color="8EAADB"/>
              <w:right w:val="single" w:sz="6" w:space="0" w:color="8EAADB"/>
            </w:tcBorders>
            <w:shd w:val="clear" w:color="auto" w:fill="auto"/>
            <w:hideMark/>
          </w:tcPr>
          <w:p w14:paraId="0DC5CE06" w14:textId="77777777" w:rsidR="005118CB" w:rsidRPr="00195091" w:rsidRDefault="005118CB" w:rsidP="00056919">
            <w:pPr>
              <w:spacing w:after="0" w:line="240" w:lineRule="auto"/>
              <w:textAlignment w:val="baseline"/>
              <w:rPr>
                <w:rFonts w:eastAsia="Times New Roman" w:cstheme="majorHAnsi"/>
                <w:b/>
                <w:bCs/>
                <w:sz w:val="24"/>
                <w:szCs w:val="24"/>
                <w:lang w:val="nl-NL" w:eastAsia="nl-NL"/>
              </w:rPr>
            </w:pPr>
            <w:r w:rsidRPr="00195091">
              <w:rPr>
                <w:rFonts w:eastAsia="Times New Roman" w:cstheme="majorHAnsi"/>
                <w:b/>
                <w:bCs/>
                <w:color w:val="000000"/>
                <w:lang w:val="nl-NL" w:eastAsia="nl-NL"/>
              </w:rPr>
              <w:t>Brazil </w:t>
            </w:r>
          </w:p>
        </w:tc>
        <w:tc>
          <w:tcPr>
            <w:tcW w:w="1125" w:type="dxa"/>
            <w:tcBorders>
              <w:top w:val="nil"/>
              <w:left w:val="nil"/>
              <w:bottom w:val="single" w:sz="6" w:space="0" w:color="8EAADB"/>
              <w:right w:val="single" w:sz="6" w:space="0" w:color="8EAADB"/>
            </w:tcBorders>
            <w:shd w:val="clear" w:color="auto" w:fill="auto"/>
            <w:hideMark/>
          </w:tcPr>
          <w:p w14:paraId="787D8588"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-11</w:t>
            </w:r>
            <w:r w:rsidRPr="00195091">
              <w:rPr>
                <w:rFonts w:eastAsia="Times New Roman" w:cstheme="majorHAnsi"/>
                <w:color w:val="000000"/>
                <w:lang w:val="nl-NL" w:eastAsia="nl-NL"/>
              </w:rPr>
              <w:t> </w:t>
            </w:r>
          </w:p>
        </w:tc>
        <w:tc>
          <w:tcPr>
            <w:tcW w:w="1290" w:type="dxa"/>
            <w:tcBorders>
              <w:top w:val="nil"/>
              <w:left w:val="nil"/>
              <w:bottom w:val="single" w:sz="6" w:space="0" w:color="8EAADB"/>
              <w:right w:val="single" w:sz="6" w:space="0" w:color="8EAADB"/>
            </w:tcBorders>
            <w:shd w:val="clear" w:color="auto" w:fill="auto"/>
            <w:hideMark/>
          </w:tcPr>
          <w:p w14:paraId="0278ABF2"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8</w:t>
            </w:r>
            <w:r w:rsidRPr="00195091">
              <w:rPr>
                <w:rFonts w:eastAsia="Times New Roman" w:cstheme="majorHAnsi"/>
                <w:color w:val="000000"/>
                <w:lang w:val="nl-NL" w:eastAsia="nl-NL"/>
              </w:rPr>
              <w:t> </w:t>
            </w:r>
          </w:p>
        </w:tc>
      </w:tr>
      <w:tr w:rsidR="005118CB" w:rsidRPr="00195091" w14:paraId="212DFAB4" w14:textId="77777777" w:rsidTr="005118CB">
        <w:trPr>
          <w:trHeight w:val="300"/>
        </w:trPr>
        <w:tc>
          <w:tcPr>
            <w:tcW w:w="2115" w:type="dxa"/>
            <w:tcBorders>
              <w:top w:val="nil"/>
              <w:left w:val="single" w:sz="6" w:space="0" w:color="8EAADB"/>
              <w:bottom w:val="single" w:sz="6" w:space="0" w:color="8EAADB"/>
              <w:right w:val="single" w:sz="6" w:space="0" w:color="8EAADB"/>
            </w:tcBorders>
            <w:shd w:val="clear" w:color="auto" w:fill="D9E2F3"/>
            <w:hideMark/>
          </w:tcPr>
          <w:p w14:paraId="325B1CEC" w14:textId="77777777" w:rsidR="005118CB" w:rsidRPr="00195091" w:rsidRDefault="005118CB" w:rsidP="00056919">
            <w:pPr>
              <w:spacing w:after="0" w:line="240" w:lineRule="auto"/>
              <w:textAlignment w:val="baseline"/>
              <w:rPr>
                <w:rFonts w:eastAsia="Times New Roman" w:cstheme="majorHAnsi"/>
                <w:b/>
                <w:bCs/>
                <w:sz w:val="24"/>
                <w:szCs w:val="24"/>
                <w:lang w:val="nl-NL" w:eastAsia="nl-NL"/>
              </w:rPr>
            </w:pPr>
            <w:r w:rsidRPr="00195091">
              <w:rPr>
                <w:rFonts w:eastAsia="Times New Roman" w:cstheme="majorHAnsi"/>
                <w:b/>
                <w:bCs/>
                <w:color w:val="000000"/>
                <w:lang w:val="nl-NL" w:eastAsia="nl-NL"/>
              </w:rPr>
              <w:t>Rest S. America </w:t>
            </w:r>
          </w:p>
        </w:tc>
        <w:tc>
          <w:tcPr>
            <w:tcW w:w="1125" w:type="dxa"/>
            <w:tcBorders>
              <w:top w:val="nil"/>
              <w:left w:val="nil"/>
              <w:bottom w:val="single" w:sz="6" w:space="0" w:color="8EAADB"/>
              <w:right w:val="single" w:sz="6" w:space="0" w:color="8EAADB"/>
            </w:tcBorders>
            <w:shd w:val="clear" w:color="auto" w:fill="D9E2F3"/>
            <w:hideMark/>
          </w:tcPr>
          <w:p w14:paraId="6C7147FF"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-20</w:t>
            </w:r>
            <w:r w:rsidRPr="00195091">
              <w:rPr>
                <w:rFonts w:eastAsia="Times New Roman" w:cstheme="majorHAnsi"/>
                <w:color w:val="000000"/>
                <w:lang w:val="nl-NL" w:eastAsia="nl-NL"/>
              </w:rPr>
              <w:t> </w:t>
            </w:r>
          </w:p>
        </w:tc>
        <w:tc>
          <w:tcPr>
            <w:tcW w:w="1290" w:type="dxa"/>
            <w:tcBorders>
              <w:top w:val="nil"/>
              <w:left w:val="nil"/>
              <w:bottom w:val="single" w:sz="6" w:space="0" w:color="8EAADB"/>
              <w:right w:val="single" w:sz="6" w:space="0" w:color="8EAADB"/>
            </w:tcBorders>
            <w:shd w:val="clear" w:color="auto" w:fill="D9E2F3"/>
            <w:hideMark/>
          </w:tcPr>
          <w:p w14:paraId="50E3FFAA"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14</w:t>
            </w:r>
            <w:r w:rsidRPr="00195091">
              <w:rPr>
                <w:rFonts w:eastAsia="Times New Roman" w:cstheme="majorHAnsi"/>
                <w:color w:val="000000"/>
                <w:lang w:val="nl-NL" w:eastAsia="nl-NL"/>
              </w:rPr>
              <w:t> </w:t>
            </w:r>
          </w:p>
        </w:tc>
      </w:tr>
      <w:tr w:rsidR="005118CB" w:rsidRPr="00195091" w14:paraId="0727D4AC" w14:textId="77777777" w:rsidTr="005118CB">
        <w:trPr>
          <w:trHeight w:val="300"/>
        </w:trPr>
        <w:tc>
          <w:tcPr>
            <w:tcW w:w="2115" w:type="dxa"/>
            <w:tcBorders>
              <w:top w:val="nil"/>
              <w:left w:val="single" w:sz="6" w:space="0" w:color="8EAADB"/>
              <w:bottom w:val="single" w:sz="6" w:space="0" w:color="8EAADB"/>
              <w:right w:val="single" w:sz="6" w:space="0" w:color="8EAADB"/>
            </w:tcBorders>
            <w:shd w:val="clear" w:color="auto" w:fill="auto"/>
            <w:hideMark/>
          </w:tcPr>
          <w:p w14:paraId="7BF78AED" w14:textId="77777777" w:rsidR="005118CB" w:rsidRPr="00195091" w:rsidRDefault="005118CB" w:rsidP="00056919">
            <w:pPr>
              <w:spacing w:after="0" w:line="240" w:lineRule="auto"/>
              <w:textAlignment w:val="baseline"/>
              <w:rPr>
                <w:rFonts w:eastAsia="Times New Roman" w:cstheme="majorHAnsi"/>
                <w:b/>
                <w:bCs/>
                <w:sz w:val="24"/>
                <w:szCs w:val="24"/>
                <w:lang w:val="nl-NL" w:eastAsia="nl-NL"/>
              </w:rPr>
            </w:pPr>
            <w:r w:rsidRPr="00195091">
              <w:rPr>
                <w:rFonts w:eastAsia="Times New Roman" w:cstheme="majorHAnsi"/>
                <w:b/>
                <w:bCs/>
                <w:color w:val="000000"/>
                <w:lang w:val="nl-NL" w:eastAsia="nl-NL"/>
              </w:rPr>
              <w:t>N. Africa </w:t>
            </w:r>
          </w:p>
        </w:tc>
        <w:tc>
          <w:tcPr>
            <w:tcW w:w="1125" w:type="dxa"/>
            <w:tcBorders>
              <w:top w:val="nil"/>
              <w:left w:val="nil"/>
              <w:bottom w:val="single" w:sz="6" w:space="0" w:color="8EAADB"/>
              <w:right w:val="single" w:sz="6" w:space="0" w:color="8EAADB"/>
            </w:tcBorders>
            <w:shd w:val="clear" w:color="auto" w:fill="auto"/>
            <w:hideMark/>
          </w:tcPr>
          <w:p w14:paraId="6299A77F"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-8</w:t>
            </w:r>
            <w:r w:rsidRPr="00195091">
              <w:rPr>
                <w:rFonts w:eastAsia="Times New Roman" w:cstheme="majorHAnsi"/>
                <w:color w:val="000000"/>
                <w:lang w:val="nl-NL" w:eastAsia="nl-NL"/>
              </w:rPr>
              <w:t> </w:t>
            </w:r>
          </w:p>
        </w:tc>
        <w:tc>
          <w:tcPr>
            <w:tcW w:w="1290" w:type="dxa"/>
            <w:tcBorders>
              <w:top w:val="nil"/>
              <w:left w:val="nil"/>
              <w:bottom w:val="single" w:sz="6" w:space="0" w:color="8EAADB"/>
              <w:right w:val="single" w:sz="6" w:space="0" w:color="8EAADB"/>
            </w:tcBorders>
            <w:shd w:val="clear" w:color="auto" w:fill="auto"/>
            <w:hideMark/>
          </w:tcPr>
          <w:p w14:paraId="3BBBA7A7"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6</w:t>
            </w:r>
            <w:r w:rsidRPr="00195091">
              <w:rPr>
                <w:rFonts w:eastAsia="Times New Roman" w:cstheme="majorHAnsi"/>
                <w:color w:val="000000"/>
                <w:lang w:val="nl-NL" w:eastAsia="nl-NL"/>
              </w:rPr>
              <w:t> </w:t>
            </w:r>
          </w:p>
        </w:tc>
      </w:tr>
      <w:tr w:rsidR="005118CB" w:rsidRPr="00195091" w14:paraId="064D0AFD" w14:textId="77777777" w:rsidTr="005118CB">
        <w:trPr>
          <w:trHeight w:val="300"/>
        </w:trPr>
        <w:tc>
          <w:tcPr>
            <w:tcW w:w="2115" w:type="dxa"/>
            <w:tcBorders>
              <w:top w:val="nil"/>
              <w:left w:val="single" w:sz="6" w:space="0" w:color="8EAADB"/>
              <w:bottom w:val="single" w:sz="6" w:space="0" w:color="8EAADB"/>
              <w:right w:val="single" w:sz="6" w:space="0" w:color="8EAADB"/>
            </w:tcBorders>
            <w:shd w:val="clear" w:color="auto" w:fill="D9E2F3"/>
            <w:hideMark/>
          </w:tcPr>
          <w:p w14:paraId="1E167C2A" w14:textId="77777777" w:rsidR="005118CB" w:rsidRPr="00195091" w:rsidRDefault="005118CB" w:rsidP="00056919">
            <w:pPr>
              <w:spacing w:after="0" w:line="240" w:lineRule="auto"/>
              <w:textAlignment w:val="baseline"/>
              <w:rPr>
                <w:rFonts w:eastAsia="Times New Roman" w:cstheme="majorHAnsi"/>
                <w:b/>
                <w:bCs/>
                <w:sz w:val="24"/>
                <w:szCs w:val="24"/>
                <w:lang w:val="nl-NL" w:eastAsia="nl-NL"/>
              </w:rPr>
            </w:pPr>
            <w:r w:rsidRPr="00195091">
              <w:rPr>
                <w:rFonts w:eastAsia="Times New Roman" w:cstheme="majorHAnsi"/>
                <w:b/>
                <w:bCs/>
                <w:color w:val="000000"/>
                <w:lang w:val="nl-NL" w:eastAsia="nl-NL"/>
              </w:rPr>
              <w:t>W. Africa </w:t>
            </w:r>
          </w:p>
        </w:tc>
        <w:tc>
          <w:tcPr>
            <w:tcW w:w="1125" w:type="dxa"/>
            <w:tcBorders>
              <w:top w:val="nil"/>
              <w:left w:val="nil"/>
              <w:bottom w:val="single" w:sz="6" w:space="0" w:color="8EAADB"/>
              <w:right w:val="single" w:sz="6" w:space="0" w:color="8EAADB"/>
            </w:tcBorders>
            <w:shd w:val="clear" w:color="auto" w:fill="D9E2F3"/>
            <w:hideMark/>
          </w:tcPr>
          <w:p w14:paraId="5FA61B24"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-9</w:t>
            </w:r>
            <w:r w:rsidRPr="00195091">
              <w:rPr>
                <w:rFonts w:eastAsia="Times New Roman" w:cstheme="majorHAnsi"/>
                <w:color w:val="000000"/>
                <w:lang w:val="nl-NL" w:eastAsia="nl-NL"/>
              </w:rPr>
              <w:t> </w:t>
            </w:r>
          </w:p>
        </w:tc>
        <w:tc>
          <w:tcPr>
            <w:tcW w:w="1290" w:type="dxa"/>
            <w:tcBorders>
              <w:top w:val="nil"/>
              <w:left w:val="nil"/>
              <w:bottom w:val="single" w:sz="6" w:space="0" w:color="8EAADB"/>
              <w:right w:val="single" w:sz="6" w:space="0" w:color="8EAADB"/>
            </w:tcBorders>
            <w:shd w:val="clear" w:color="auto" w:fill="D9E2F3"/>
            <w:hideMark/>
          </w:tcPr>
          <w:p w14:paraId="026C23A7"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6</w:t>
            </w:r>
            <w:r w:rsidRPr="00195091">
              <w:rPr>
                <w:rFonts w:eastAsia="Times New Roman" w:cstheme="majorHAnsi"/>
                <w:color w:val="000000"/>
                <w:lang w:val="nl-NL" w:eastAsia="nl-NL"/>
              </w:rPr>
              <w:t> </w:t>
            </w:r>
          </w:p>
        </w:tc>
      </w:tr>
      <w:tr w:rsidR="005118CB" w:rsidRPr="00195091" w14:paraId="4FD4C899" w14:textId="77777777" w:rsidTr="005118CB">
        <w:trPr>
          <w:trHeight w:val="300"/>
        </w:trPr>
        <w:tc>
          <w:tcPr>
            <w:tcW w:w="2115" w:type="dxa"/>
            <w:tcBorders>
              <w:top w:val="nil"/>
              <w:left w:val="single" w:sz="6" w:space="0" w:color="8EAADB"/>
              <w:bottom w:val="single" w:sz="6" w:space="0" w:color="8EAADB"/>
              <w:right w:val="single" w:sz="6" w:space="0" w:color="8EAADB"/>
            </w:tcBorders>
            <w:shd w:val="clear" w:color="auto" w:fill="auto"/>
            <w:hideMark/>
          </w:tcPr>
          <w:p w14:paraId="54AB4DD9" w14:textId="77777777" w:rsidR="005118CB" w:rsidRPr="00195091" w:rsidRDefault="005118CB" w:rsidP="00056919">
            <w:pPr>
              <w:spacing w:after="0" w:line="240" w:lineRule="auto"/>
              <w:textAlignment w:val="baseline"/>
              <w:rPr>
                <w:rFonts w:eastAsia="Times New Roman" w:cstheme="majorHAnsi"/>
                <w:b/>
                <w:bCs/>
                <w:sz w:val="24"/>
                <w:szCs w:val="24"/>
                <w:lang w:val="nl-NL" w:eastAsia="nl-NL"/>
              </w:rPr>
            </w:pPr>
            <w:r w:rsidRPr="00195091">
              <w:rPr>
                <w:rFonts w:eastAsia="Times New Roman" w:cstheme="majorHAnsi"/>
                <w:b/>
                <w:bCs/>
                <w:color w:val="000000"/>
                <w:lang w:val="nl-NL" w:eastAsia="nl-NL"/>
              </w:rPr>
              <w:t>E. Africa </w:t>
            </w:r>
          </w:p>
        </w:tc>
        <w:tc>
          <w:tcPr>
            <w:tcW w:w="1125" w:type="dxa"/>
            <w:tcBorders>
              <w:top w:val="nil"/>
              <w:left w:val="nil"/>
              <w:bottom w:val="single" w:sz="6" w:space="0" w:color="8EAADB"/>
              <w:right w:val="single" w:sz="6" w:space="0" w:color="8EAADB"/>
            </w:tcBorders>
            <w:shd w:val="clear" w:color="auto" w:fill="auto"/>
            <w:hideMark/>
          </w:tcPr>
          <w:p w14:paraId="4AD651AD"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-8</w:t>
            </w:r>
            <w:r w:rsidRPr="00195091">
              <w:rPr>
                <w:rFonts w:eastAsia="Times New Roman" w:cstheme="majorHAnsi"/>
                <w:color w:val="000000"/>
                <w:lang w:val="nl-NL" w:eastAsia="nl-NL"/>
              </w:rPr>
              <w:t> </w:t>
            </w:r>
          </w:p>
        </w:tc>
        <w:tc>
          <w:tcPr>
            <w:tcW w:w="1290" w:type="dxa"/>
            <w:tcBorders>
              <w:top w:val="nil"/>
              <w:left w:val="nil"/>
              <w:bottom w:val="single" w:sz="6" w:space="0" w:color="8EAADB"/>
              <w:right w:val="single" w:sz="6" w:space="0" w:color="8EAADB"/>
            </w:tcBorders>
            <w:shd w:val="clear" w:color="auto" w:fill="auto"/>
            <w:hideMark/>
          </w:tcPr>
          <w:p w14:paraId="1B083D81"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6</w:t>
            </w:r>
            <w:r w:rsidRPr="00195091">
              <w:rPr>
                <w:rFonts w:eastAsia="Times New Roman" w:cstheme="majorHAnsi"/>
                <w:color w:val="000000"/>
                <w:lang w:val="nl-NL" w:eastAsia="nl-NL"/>
              </w:rPr>
              <w:t> </w:t>
            </w:r>
          </w:p>
        </w:tc>
      </w:tr>
      <w:tr w:rsidR="005118CB" w:rsidRPr="00195091" w14:paraId="45D9B3E4" w14:textId="77777777" w:rsidTr="005118CB">
        <w:trPr>
          <w:trHeight w:val="300"/>
        </w:trPr>
        <w:tc>
          <w:tcPr>
            <w:tcW w:w="2115" w:type="dxa"/>
            <w:tcBorders>
              <w:top w:val="nil"/>
              <w:left w:val="single" w:sz="6" w:space="0" w:color="8EAADB"/>
              <w:bottom w:val="single" w:sz="6" w:space="0" w:color="8EAADB"/>
              <w:right w:val="single" w:sz="6" w:space="0" w:color="8EAADB"/>
            </w:tcBorders>
            <w:shd w:val="clear" w:color="auto" w:fill="D9E2F3"/>
            <w:hideMark/>
          </w:tcPr>
          <w:p w14:paraId="312086BA" w14:textId="77777777" w:rsidR="005118CB" w:rsidRPr="00195091" w:rsidRDefault="005118CB" w:rsidP="00056919">
            <w:pPr>
              <w:spacing w:after="0" w:line="240" w:lineRule="auto"/>
              <w:textAlignment w:val="baseline"/>
              <w:rPr>
                <w:rFonts w:eastAsia="Times New Roman" w:cstheme="majorHAnsi"/>
                <w:b/>
                <w:bCs/>
                <w:sz w:val="24"/>
                <w:szCs w:val="24"/>
                <w:lang w:val="nl-NL" w:eastAsia="nl-NL"/>
              </w:rPr>
            </w:pPr>
            <w:r w:rsidRPr="00195091">
              <w:rPr>
                <w:rFonts w:eastAsia="Times New Roman" w:cstheme="majorHAnsi"/>
                <w:b/>
                <w:bCs/>
                <w:color w:val="000000"/>
                <w:lang w:val="nl-NL" w:eastAsia="nl-NL"/>
              </w:rPr>
              <w:t>South Africa </w:t>
            </w:r>
          </w:p>
        </w:tc>
        <w:tc>
          <w:tcPr>
            <w:tcW w:w="1125" w:type="dxa"/>
            <w:tcBorders>
              <w:top w:val="nil"/>
              <w:left w:val="nil"/>
              <w:bottom w:val="single" w:sz="6" w:space="0" w:color="8EAADB"/>
              <w:right w:val="single" w:sz="6" w:space="0" w:color="8EAADB"/>
            </w:tcBorders>
            <w:shd w:val="clear" w:color="auto" w:fill="D9E2F3"/>
            <w:hideMark/>
          </w:tcPr>
          <w:p w14:paraId="47DD4BB0"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-13</w:t>
            </w:r>
            <w:r w:rsidRPr="00195091">
              <w:rPr>
                <w:rFonts w:eastAsia="Times New Roman" w:cstheme="majorHAnsi"/>
                <w:color w:val="000000"/>
                <w:lang w:val="nl-NL" w:eastAsia="nl-NL"/>
              </w:rPr>
              <w:t> </w:t>
            </w:r>
          </w:p>
        </w:tc>
        <w:tc>
          <w:tcPr>
            <w:tcW w:w="1290" w:type="dxa"/>
            <w:tcBorders>
              <w:top w:val="nil"/>
              <w:left w:val="nil"/>
              <w:bottom w:val="single" w:sz="6" w:space="0" w:color="8EAADB"/>
              <w:right w:val="single" w:sz="6" w:space="0" w:color="8EAADB"/>
            </w:tcBorders>
            <w:shd w:val="clear" w:color="auto" w:fill="D9E2F3"/>
            <w:hideMark/>
          </w:tcPr>
          <w:p w14:paraId="0FAD68AC"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9</w:t>
            </w:r>
            <w:r w:rsidRPr="00195091">
              <w:rPr>
                <w:rFonts w:eastAsia="Times New Roman" w:cstheme="majorHAnsi"/>
                <w:color w:val="000000"/>
                <w:lang w:val="nl-NL" w:eastAsia="nl-NL"/>
              </w:rPr>
              <w:t> </w:t>
            </w:r>
          </w:p>
        </w:tc>
      </w:tr>
      <w:tr w:rsidR="005118CB" w:rsidRPr="00195091" w14:paraId="4CBCBBA1" w14:textId="77777777" w:rsidTr="005118CB">
        <w:trPr>
          <w:trHeight w:val="300"/>
        </w:trPr>
        <w:tc>
          <w:tcPr>
            <w:tcW w:w="2115" w:type="dxa"/>
            <w:tcBorders>
              <w:top w:val="nil"/>
              <w:left w:val="single" w:sz="6" w:space="0" w:color="8EAADB"/>
              <w:bottom w:val="single" w:sz="6" w:space="0" w:color="8EAADB"/>
              <w:right w:val="single" w:sz="6" w:space="0" w:color="8EAADB"/>
            </w:tcBorders>
            <w:shd w:val="clear" w:color="auto" w:fill="auto"/>
            <w:hideMark/>
          </w:tcPr>
          <w:p w14:paraId="4BD719D4" w14:textId="77777777" w:rsidR="005118CB" w:rsidRPr="00195091" w:rsidRDefault="005118CB" w:rsidP="00056919">
            <w:pPr>
              <w:spacing w:after="0" w:line="240" w:lineRule="auto"/>
              <w:textAlignment w:val="baseline"/>
              <w:rPr>
                <w:rFonts w:eastAsia="Times New Roman" w:cstheme="majorHAnsi"/>
                <w:b/>
                <w:bCs/>
                <w:sz w:val="24"/>
                <w:szCs w:val="24"/>
                <w:lang w:val="nl-NL" w:eastAsia="nl-NL"/>
              </w:rPr>
            </w:pPr>
            <w:r w:rsidRPr="00195091">
              <w:rPr>
                <w:rFonts w:eastAsia="Times New Roman" w:cstheme="majorHAnsi"/>
                <w:b/>
                <w:bCs/>
                <w:color w:val="000000"/>
                <w:lang w:val="nl-NL" w:eastAsia="nl-NL"/>
              </w:rPr>
              <w:t>W. Europe </w:t>
            </w:r>
          </w:p>
        </w:tc>
        <w:tc>
          <w:tcPr>
            <w:tcW w:w="1125" w:type="dxa"/>
            <w:tcBorders>
              <w:top w:val="nil"/>
              <w:left w:val="nil"/>
              <w:bottom w:val="single" w:sz="6" w:space="0" w:color="8EAADB"/>
              <w:right w:val="single" w:sz="6" w:space="0" w:color="8EAADB"/>
            </w:tcBorders>
            <w:shd w:val="clear" w:color="auto" w:fill="auto"/>
            <w:hideMark/>
          </w:tcPr>
          <w:p w14:paraId="1606B85A"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-16</w:t>
            </w:r>
            <w:r w:rsidRPr="00195091">
              <w:rPr>
                <w:rFonts w:eastAsia="Times New Roman" w:cstheme="majorHAnsi"/>
                <w:color w:val="000000"/>
                <w:lang w:val="nl-NL" w:eastAsia="nl-NL"/>
              </w:rPr>
              <w:t> </w:t>
            </w:r>
          </w:p>
        </w:tc>
        <w:tc>
          <w:tcPr>
            <w:tcW w:w="1290" w:type="dxa"/>
            <w:tcBorders>
              <w:top w:val="nil"/>
              <w:left w:val="nil"/>
              <w:bottom w:val="single" w:sz="6" w:space="0" w:color="8EAADB"/>
              <w:right w:val="single" w:sz="6" w:space="0" w:color="8EAADB"/>
            </w:tcBorders>
            <w:shd w:val="clear" w:color="auto" w:fill="auto"/>
            <w:hideMark/>
          </w:tcPr>
          <w:p w14:paraId="1ADB2279"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11</w:t>
            </w:r>
            <w:r w:rsidRPr="00195091">
              <w:rPr>
                <w:rFonts w:eastAsia="Times New Roman" w:cstheme="majorHAnsi"/>
                <w:color w:val="000000"/>
                <w:lang w:val="nl-NL" w:eastAsia="nl-NL"/>
              </w:rPr>
              <w:t> </w:t>
            </w:r>
          </w:p>
        </w:tc>
      </w:tr>
      <w:tr w:rsidR="005118CB" w:rsidRPr="00195091" w14:paraId="4C791D3B" w14:textId="77777777" w:rsidTr="005118CB">
        <w:trPr>
          <w:trHeight w:val="300"/>
        </w:trPr>
        <w:tc>
          <w:tcPr>
            <w:tcW w:w="2115" w:type="dxa"/>
            <w:tcBorders>
              <w:top w:val="nil"/>
              <w:left w:val="single" w:sz="6" w:space="0" w:color="8EAADB"/>
              <w:bottom w:val="single" w:sz="6" w:space="0" w:color="8EAADB"/>
              <w:right w:val="single" w:sz="6" w:space="0" w:color="8EAADB"/>
            </w:tcBorders>
            <w:shd w:val="clear" w:color="auto" w:fill="D9E2F3"/>
            <w:hideMark/>
          </w:tcPr>
          <w:p w14:paraId="7F76F922" w14:textId="77777777" w:rsidR="005118CB" w:rsidRPr="00195091" w:rsidRDefault="005118CB" w:rsidP="00056919">
            <w:pPr>
              <w:spacing w:after="0" w:line="240" w:lineRule="auto"/>
              <w:textAlignment w:val="baseline"/>
              <w:rPr>
                <w:rFonts w:eastAsia="Times New Roman" w:cstheme="majorHAnsi"/>
                <w:b/>
                <w:bCs/>
                <w:sz w:val="24"/>
                <w:szCs w:val="24"/>
                <w:lang w:val="nl-NL" w:eastAsia="nl-NL"/>
              </w:rPr>
            </w:pPr>
            <w:r w:rsidRPr="00195091">
              <w:rPr>
                <w:rFonts w:eastAsia="Times New Roman" w:cstheme="majorHAnsi"/>
                <w:b/>
                <w:bCs/>
                <w:color w:val="000000"/>
                <w:lang w:val="nl-NL" w:eastAsia="nl-NL"/>
              </w:rPr>
              <w:t>C. Europe </w:t>
            </w:r>
          </w:p>
        </w:tc>
        <w:tc>
          <w:tcPr>
            <w:tcW w:w="1125" w:type="dxa"/>
            <w:tcBorders>
              <w:top w:val="nil"/>
              <w:left w:val="nil"/>
              <w:bottom w:val="single" w:sz="6" w:space="0" w:color="8EAADB"/>
              <w:right w:val="single" w:sz="6" w:space="0" w:color="8EAADB"/>
            </w:tcBorders>
            <w:shd w:val="clear" w:color="auto" w:fill="D9E2F3"/>
            <w:hideMark/>
          </w:tcPr>
          <w:p w14:paraId="124091E7"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-10</w:t>
            </w:r>
            <w:r w:rsidRPr="00195091">
              <w:rPr>
                <w:rFonts w:eastAsia="Times New Roman" w:cstheme="majorHAnsi"/>
                <w:color w:val="000000"/>
                <w:lang w:val="nl-NL" w:eastAsia="nl-NL"/>
              </w:rPr>
              <w:t> </w:t>
            </w:r>
          </w:p>
        </w:tc>
        <w:tc>
          <w:tcPr>
            <w:tcW w:w="1290" w:type="dxa"/>
            <w:tcBorders>
              <w:top w:val="nil"/>
              <w:left w:val="nil"/>
              <w:bottom w:val="single" w:sz="6" w:space="0" w:color="8EAADB"/>
              <w:right w:val="single" w:sz="6" w:space="0" w:color="8EAADB"/>
            </w:tcBorders>
            <w:shd w:val="clear" w:color="auto" w:fill="D9E2F3"/>
            <w:hideMark/>
          </w:tcPr>
          <w:p w14:paraId="522A0AD5"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7</w:t>
            </w:r>
            <w:r w:rsidRPr="00195091">
              <w:rPr>
                <w:rFonts w:eastAsia="Times New Roman" w:cstheme="majorHAnsi"/>
                <w:color w:val="000000"/>
                <w:lang w:val="nl-NL" w:eastAsia="nl-NL"/>
              </w:rPr>
              <w:t> </w:t>
            </w:r>
          </w:p>
        </w:tc>
      </w:tr>
      <w:tr w:rsidR="005118CB" w:rsidRPr="00195091" w14:paraId="33491AE9" w14:textId="77777777" w:rsidTr="005118CB">
        <w:trPr>
          <w:trHeight w:val="300"/>
        </w:trPr>
        <w:tc>
          <w:tcPr>
            <w:tcW w:w="2115" w:type="dxa"/>
            <w:tcBorders>
              <w:top w:val="nil"/>
              <w:left w:val="single" w:sz="6" w:space="0" w:color="8EAADB"/>
              <w:bottom w:val="single" w:sz="6" w:space="0" w:color="8EAADB"/>
              <w:right w:val="single" w:sz="6" w:space="0" w:color="8EAADB"/>
            </w:tcBorders>
            <w:shd w:val="clear" w:color="auto" w:fill="auto"/>
            <w:hideMark/>
          </w:tcPr>
          <w:p w14:paraId="5D634968" w14:textId="77777777" w:rsidR="005118CB" w:rsidRPr="00195091" w:rsidRDefault="005118CB" w:rsidP="00056919">
            <w:pPr>
              <w:spacing w:after="0" w:line="240" w:lineRule="auto"/>
              <w:textAlignment w:val="baseline"/>
              <w:rPr>
                <w:rFonts w:eastAsia="Times New Roman" w:cstheme="majorHAnsi"/>
                <w:b/>
                <w:bCs/>
                <w:sz w:val="24"/>
                <w:szCs w:val="24"/>
                <w:lang w:val="nl-NL" w:eastAsia="nl-NL"/>
              </w:rPr>
            </w:pPr>
            <w:r w:rsidRPr="00195091">
              <w:rPr>
                <w:rFonts w:eastAsia="Times New Roman" w:cstheme="majorHAnsi"/>
                <w:b/>
                <w:bCs/>
                <w:color w:val="000000"/>
                <w:lang w:val="nl-NL" w:eastAsia="nl-NL"/>
              </w:rPr>
              <w:t>Turkey </w:t>
            </w:r>
          </w:p>
        </w:tc>
        <w:tc>
          <w:tcPr>
            <w:tcW w:w="1125" w:type="dxa"/>
            <w:tcBorders>
              <w:top w:val="nil"/>
              <w:left w:val="nil"/>
              <w:bottom w:val="single" w:sz="6" w:space="0" w:color="8EAADB"/>
              <w:right w:val="single" w:sz="6" w:space="0" w:color="8EAADB"/>
            </w:tcBorders>
            <w:shd w:val="clear" w:color="auto" w:fill="auto"/>
            <w:hideMark/>
          </w:tcPr>
          <w:p w14:paraId="450406FA"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-12</w:t>
            </w:r>
            <w:r w:rsidRPr="00195091">
              <w:rPr>
                <w:rFonts w:eastAsia="Times New Roman" w:cstheme="majorHAnsi"/>
                <w:color w:val="000000"/>
                <w:lang w:val="nl-NL" w:eastAsia="nl-NL"/>
              </w:rPr>
              <w:t> </w:t>
            </w:r>
          </w:p>
        </w:tc>
        <w:tc>
          <w:tcPr>
            <w:tcW w:w="1290" w:type="dxa"/>
            <w:tcBorders>
              <w:top w:val="nil"/>
              <w:left w:val="nil"/>
              <w:bottom w:val="single" w:sz="6" w:space="0" w:color="8EAADB"/>
              <w:right w:val="single" w:sz="6" w:space="0" w:color="8EAADB"/>
            </w:tcBorders>
            <w:shd w:val="clear" w:color="auto" w:fill="auto"/>
            <w:hideMark/>
          </w:tcPr>
          <w:p w14:paraId="468C89C0"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9</w:t>
            </w:r>
            <w:r w:rsidRPr="00195091">
              <w:rPr>
                <w:rFonts w:eastAsia="Times New Roman" w:cstheme="majorHAnsi"/>
                <w:color w:val="000000"/>
                <w:lang w:val="nl-NL" w:eastAsia="nl-NL"/>
              </w:rPr>
              <w:t> </w:t>
            </w:r>
          </w:p>
        </w:tc>
      </w:tr>
      <w:tr w:rsidR="005118CB" w:rsidRPr="00195091" w14:paraId="089613A5" w14:textId="77777777" w:rsidTr="005118CB">
        <w:trPr>
          <w:trHeight w:val="300"/>
        </w:trPr>
        <w:tc>
          <w:tcPr>
            <w:tcW w:w="2115" w:type="dxa"/>
            <w:tcBorders>
              <w:top w:val="nil"/>
              <w:left w:val="single" w:sz="6" w:space="0" w:color="8EAADB"/>
              <w:bottom w:val="single" w:sz="6" w:space="0" w:color="8EAADB"/>
              <w:right w:val="single" w:sz="6" w:space="0" w:color="8EAADB"/>
            </w:tcBorders>
            <w:shd w:val="clear" w:color="auto" w:fill="D9E2F3"/>
            <w:hideMark/>
          </w:tcPr>
          <w:p w14:paraId="169A3849" w14:textId="77777777" w:rsidR="005118CB" w:rsidRPr="00195091" w:rsidRDefault="005118CB" w:rsidP="00056919">
            <w:pPr>
              <w:spacing w:after="0" w:line="240" w:lineRule="auto"/>
              <w:textAlignment w:val="baseline"/>
              <w:rPr>
                <w:rFonts w:eastAsia="Times New Roman" w:cstheme="majorHAnsi"/>
                <w:b/>
                <w:bCs/>
                <w:sz w:val="24"/>
                <w:szCs w:val="24"/>
                <w:lang w:val="nl-NL" w:eastAsia="nl-NL"/>
              </w:rPr>
            </w:pPr>
            <w:r w:rsidRPr="00195091">
              <w:rPr>
                <w:rFonts w:eastAsia="Times New Roman" w:cstheme="majorHAnsi"/>
                <w:b/>
                <w:bCs/>
                <w:color w:val="000000"/>
                <w:lang w:val="nl-NL" w:eastAsia="nl-NL"/>
              </w:rPr>
              <w:t>Ukraine </w:t>
            </w:r>
          </w:p>
        </w:tc>
        <w:tc>
          <w:tcPr>
            <w:tcW w:w="1125" w:type="dxa"/>
            <w:tcBorders>
              <w:top w:val="nil"/>
              <w:left w:val="nil"/>
              <w:bottom w:val="single" w:sz="6" w:space="0" w:color="8EAADB"/>
              <w:right w:val="single" w:sz="6" w:space="0" w:color="8EAADB"/>
            </w:tcBorders>
            <w:shd w:val="clear" w:color="auto" w:fill="D9E2F3"/>
            <w:hideMark/>
          </w:tcPr>
          <w:p w14:paraId="356E0D1E"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-9</w:t>
            </w:r>
            <w:r w:rsidRPr="00195091">
              <w:rPr>
                <w:rFonts w:eastAsia="Times New Roman" w:cstheme="majorHAnsi"/>
                <w:color w:val="000000"/>
                <w:lang w:val="nl-NL" w:eastAsia="nl-NL"/>
              </w:rPr>
              <w:t> </w:t>
            </w:r>
          </w:p>
        </w:tc>
        <w:tc>
          <w:tcPr>
            <w:tcW w:w="1290" w:type="dxa"/>
            <w:tcBorders>
              <w:top w:val="nil"/>
              <w:left w:val="nil"/>
              <w:bottom w:val="single" w:sz="6" w:space="0" w:color="8EAADB"/>
              <w:right w:val="single" w:sz="6" w:space="0" w:color="8EAADB"/>
            </w:tcBorders>
            <w:shd w:val="clear" w:color="auto" w:fill="D9E2F3"/>
            <w:hideMark/>
          </w:tcPr>
          <w:p w14:paraId="59FA09C2"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6</w:t>
            </w:r>
            <w:r w:rsidRPr="00195091">
              <w:rPr>
                <w:rFonts w:eastAsia="Times New Roman" w:cstheme="majorHAnsi"/>
                <w:color w:val="000000"/>
                <w:lang w:val="nl-NL" w:eastAsia="nl-NL"/>
              </w:rPr>
              <w:t> </w:t>
            </w:r>
          </w:p>
        </w:tc>
      </w:tr>
      <w:tr w:rsidR="005118CB" w:rsidRPr="00195091" w14:paraId="06F36181" w14:textId="77777777" w:rsidTr="005118CB">
        <w:trPr>
          <w:trHeight w:val="300"/>
        </w:trPr>
        <w:tc>
          <w:tcPr>
            <w:tcW w:w="2115" w:type="dxa"/>
            <w:tcBorders>
              <w:top w:val="nil"/>
              <w:left w:val="single" w:sz="6" w:space="0" w:color="8EAADB"/>
              <w:bottom w:val="single" w:sz="6" w:space="0" w:color="8EAADB"/>
              <w:right w:val="single" w:sz="6" w:space="0" w:color="8EAADB"/>
            </w:tcBorders>
            <w:shd w:val="clear" w:color="auto" w:fill="auto"/>
            <w:hideMark/>
          </w:tcPr>
          <w:p w14:paraId="007C644E" w14:textId="77777777" w:rsidR="005118CB" w:rsidRPr="00195091" w:rsidRDefault="005118CB" w:rsidP="00056919">
            <w:pPr>
              <w:spacing w:after="0" w:line="240" w:lineRule="auto"/>
              <w:textAlignment w:val="baseline"/>
              <w:rPr>
                <w:rFonts w:eastAsia="Times New Roman" w:cstheme="majorHAnsi"/>
                <w:b/>
                <w:bCs/>
                <w:sz w:val="24"/>
                <w:szCs w:val="24"/>
                <w:lang w:val="nl-NL" w:eastAsia="nl-NL"/>
              </w:rPr>
            </w:pPr>
            <w:r w:rsidRPr="00195091">
              <w:rPr>
                <w:rFonts w:eastAsia="Times New Roman" w:cstheme="majorHAnsi"/>
                <w:b/>
                <w:bCs/>
                <w:color w:val="000000"/>
                <w:lang w:val="nl-NL" w:eastAsia="nl-NL"/>
              </w:rPr>
              <w:t>Stan </w:t>
            </w:r>
          </w:p>
        </w:tc>
        <w:tc>
          <w:tcPr>
            <w:tcW w:w="1125" w:type="dxa"/>
            <w:tcBorders>
              <w:top w:val="nil"/>
              <w:left w:val="nil"/>
              <w:bottom w:val="single" w:sz="6" w:space="0" w:color="8EAADB"/>
              <w:right w:val="single" w:sz="6" w:space="0" w:color="8EAADB"/>
            </w:tcBorders>
            <w:shd w:val="clear" w:color="auto" w:fill="auto"/>
            <w:hideMark/>
          </w:tcPr>
          <w:p w14:paraId="3F20C320"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-14</w:t>
            </w:r>
            <w:r w:rsidRPr="00195091">
              <w:rPr>
                <w:rFonts w:eastAsia="Times New Roman" w:cstheme="majorHAnsi"/>
                <w:color w:val="000000"/>
                <w:lang w:val="nl-NL" w:eastAsia="nl-NL"/>
              </w:rPr>
              <w:t> </w:t>
            </w:r>
          </w:p>
        </w:tc>
        <w:tc>
          <w:tcPr>
            <w:tcW w:w="1290" w:type="dxa"/>
            <w:tcBorders>
              <w:top w:val="nil"/>
              <w:left w:val="nil"/>
              <w:bottom w:val="single" w:sz="6" w:space="0" w:color="8EAADB"/>
              <w:right w:val="single" w:sz="6" w:space="0" w:color="8EAADB"/>
            </w:tcBorders>
            <w:shd w:val="clear" w:color="auto" w:fill="auto"/>
            <w:hideMark/>
          </w:tcPr>
          <w:p w14:paraId="66EA84B5"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10</w:t>
            </w:r>
            <w:r w:rsidRPr="00195091">
              <w:rPr>
                <w:rFonts w:eastAsia="Times New Roman" w:cstheme="majorHAnsi"/>
                <w:color w:val="000000"/>
                <w:lang w:val="nl-NL" w:eastAsia="nl-NL"/>
              </w:rPr>
              <w:t> </w:t>
            </w:r>
          </w:p>
        </w:tc>
      </w:tr>
      <w:tr w:rsidR="005118CB" w:rsidRPr="00195091" w14:paraId="51D7F625" w14:textId="77777777" w:rsidTr="005118CB">
        <w:trPr>
          <w:trHeight w:val="300"/>
        </w:trPr>
        <w:tc>
          <w:tcPr>
            <w:tcW w:w="2115" w:type="dxa"/>
            <w:tcBorders>
              <w:top w:val="nil"/>
              <w:left w:val="single" w:sz="6" w:space="0" w:color="8EAADB"/>
              <w:bottom w:val="single" w:sz="6" w:space="0" w:color="8EAADB"/>
              <w:right w:val="single" w:sz="6" w:space="0" w:color="8EAADB"/>
            </w:tcBorders>
            <w:shd w:val="clear" w:color="auto" w:fill="D9E2F3"/>
            <w:hideMark/>
          </w:tcPr>
          <w:p w14:paraId="41F04677" w14:textId="77777777" w:rsidR="005118CB" w:rsidRPr="00195091" w:rsidRDefault="005118CB" w:rsidP="00056919">
            <w:pPr>
              <w:spacing w:after="0" w:line="240" w:lineRule="auto"/>
              <w:textAlignment w:val="baseline"/>
              <w:rPr>
                <w:rFonts w:eastAsia="Times New Roman" w:cstheme="majorHAnsi"/>
                <w:b/>
                <w:bCs/>
                <w:sz w:val="24"/>
                <w:szCs w:val="24"/>
                <w:lang w:val="nl-NL" w:eastAsia="nl-NL"/>
              </w:rPr>
            </w:pPr>
            <w:r w:rsidRPr="00195091">
              <w:rPr>
                <w:rFonts w:eastAsia="Times New Roman" w:cstheme="majorHAnsi"/>
                <w:b/>
                <w:bCs/>
                <w:color w:val="000000"/>
                <w:lang w:val="nl-NL" w:eastAsia="nl-NL"/>
              </w:rPr>
              <w:t>Russia </w:t>
            </w:r>
          </w:p>
        </w:tc>
        <w:tc>
          <w:tcPr>
            <w:tcW w:w="1125" w:type="dxa"/>
            <w:tcBorders>
              <w:top w:val="nil"/>
              <w:left w:val="nil"/>
              <w:bottom w:val="single" w:sz="6" w:space="0" w:color="8EAADB"/>
              <w:right w:val="single" w:sz="6" w:space="0" w:color="8EAADB"/>
            </w:tcBorders>
            <w:shd w:val="clear" w:color="auto" w:fill="D9E2F3"/>
            <w:hideMark/>
          </w:tcPr>
          <w:p w14:paraId="39CC0A57"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-10</w:t>
            </w:r>
            <w:r w:rsidRPr="00195091">
              <w:rPr>
                <w:rFonts w:eastAsia="Times New Roman" w:cstheme="majorHAnsi"/>
                <w:color w:val="000000"/>
                <w:lang w:val="nl-NL" w:eastAsia="nl-NL"/>
              </w:rPr>
              <w:t> </w:t>
            </w:r>
          </w:p>
        </w:tc>
        <w:tc>
          <w:tcPr>
            <w:tcW w:w="1290" w:type="dxa"/>
            <w:tcBorders>
              <w:top w:val="nil"/>
              <w:left w:val="nil"/>
              <w:bottom w:val="single" w:sz="6" w:space="0" w:color="8EAADB"/>
              <w:right w:val="single" w:sz="6" w:space="0" w:color="8EAADB"/>
            </w:tcBorders>
            <w:shd w:val="clear" w:color="auto" w:fill="D9E2F3"/>
            <w:hideMark/>
          </w:tcPr>
          <w:p w14:paraId="63B56D8A"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7</w:t>
            </w:r>
            <w:r w:rsidRPr="00195091">
              <w:rPr>
                <w:rFonts w:eastAsia="Times New Roman" w:cstheme="majorHAnsi"/>
                <w:color w:val="000000"/>
                <w:lang w:val="nl-NL" w:eastAsia="nl-NL"/>
              </w:rPr>
              <w:t> </w:t>
            </w:r>
          </w:p>
        </w:tc>
      </w:tr>
      <w:tr w:rsidR="005118CB" w:rsidRPr="00195091" w14:paraId="1C60A7F8" w14:textId="77777777" w:rsidTr="005118CB">
        <w:trPr>
          <w:trHeight w:val="300"/>
        </w:trPr>
        <w:tc>
          <w:tcPr>
            <w:tcW w:w="2115" w:type="dxa"/>
            <w:tcBorders>
              <w:top w:val="nil"/>
              <w:left w:val="single" w:sz="6" w:space="0" w:color="8EAADB"/>
              <w:bottom w:val="single" w:sz="6" w:space="0" w:color="8EAADB"/>
              <w:right w:val="single" w:sz="6" w:space="0" w:color="8EAADB"/>
            </w:tcBorders>
            <w:shd w:val="clear" w:color="auto" w:fill="auto"/>
            <w:hideMark/>
          </w:tcPr>
          <w:p w14:paraId="650AC00F" w14:textId="77777777" w:rsidR="005118CB" w:rsidRPr="00195091" w:rsidRDefault="005118CB" w:rsidP="00056919">
            <w:pPr>
              <w:spacing w:after="0" w:line="240" w:lineRule="auto"/>
              <w:textAlignment w:val="baseline"/>
              <w:rPr>
                <w:rFonts w:eastAsia="Times New Roman" w:cstheme="majorHAnsi"/>
                <w:b/>
                <w:bCs/>
                <w:sz w:val="24"/>
                <w:szCs w:val="24"/>
                <w:lang w:val="nl-NL" w:eastAsia="nl-NL"/>
              </w:rPr>
            </w:pPr>
            <w:r w:rsidRPr="00195091">
              <w:rPr>
                <w:rFonts w:eastAsia="Times New Roman" w:cstheme="majorHAnsi"/>
                <w:b/>
                <w:bCs/>
                <w:color w:val="000000"/>
                <w:lang w:val="nl-NL" w:eastAsia="nl-NL"/>
              </w:rPr>
              <w:t>M. East </w:t>
            </w:r>
          </w:p>
        </w:tc>
        <w:tc>
          <w:tcPr>
            <w:tcW w:w="1125" w:type="dxa"/>
            <w:tcBorders>
              <w:top w:val="nil"/>
              <w:left w:val="nil"/>
              <w:bottom w:val="single" w:sz="6" w:space="0" w:color="8EAADB"/>
              <w:right w:val="single" w:sz="6" w:space="0" w:color="8EAADB"/>
            </w:tcBorders>
            <w:shd w:val="clear" w:color="auto" w:fill="auto"/>
            <w:hideMark/>
          </w:tcPr>
          <w:p w14:paraId="6876EF64"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-25</w:t>
            </w:r>
            <w:r w:rsidRPr="00195091">
              <w:rPr>
                <w:rFonts w:eastAsia="Times New Roman" w:cstheme="majorHAnsi"/>
                <w:color w:val="000000"/>
                <w:lang w:val="nl-NL" w:eastAsia="nl-NL"/>
              </w:rPr>
              <w:t> </w:t>
            </w:r>
          </w:p>
        </w:tc>
        <w:tc>
          <w:tcPr>
            <w:tcW w:w="1290" w:type="dxa"/>
            <w:tcBorders>
              <w:top w:val="nil"/>
              <w:left w:val="nil"/>
              <w:bottom w:val="single" w:sz="6" w:space="0" w:color="8EAADB"/>
              <w:right w:val="single" w:sz="6" w:space="0" w:color="8EAADB"/>
            </w:tcBorders>
            <w:shd w:val="clear" w:color="auto" w:fill="auto"/>
            <w:hideMark/>
          </w:tcPr>
          <w:p w14:paraId="35CAB768"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18</w:t>
            </w:r>
            <w:r w:rsidRPr="00195091">
              <w:rPr>
                <w:rFonts w:eastAsia="Times New Roman" w:cstheme="majorHAnsi"/>
                <w:color w:val="000000"/>
                <w:lang w:val="nl-NL" w:eastAsia="nl-NL"/>
              </w:rPr>
              <w:t> </w:t>
            </w:r>
          </w:p>
        </w:tc>
      </w:tr>
      <w:tr w:rsidR="005118CB" w:rsidRPr="00195091" w14:paraId="1BBF3914" w14:textId="77777777" w:rsidTr="005118CB">
        <w:trPr>
          <w:trHeight w:val="300"/>
        </w:trPr>
        <w:tc>
          <w:tcPr>
            <w:tcW w:w="2115" w:type="dxa"/>
            <w:tcBorders>
              <w:top w:val="nil"/>
              <w:left w:val="single" w:sz="6" w:space="0" w:color="8EAADB"/>
              <w:bottom w:val="single" w:sz="6" w:space="0" w:color="8EAADB"/>
              <w:right w:val="single" w:sz="6" w:space="0" w:color="8EAADB"/>
            </w:tcBorders>
            <w:shd w:val="clear" w:color="auto" w:fill="D9E2F3"/>
            <w:hideMark/>
          </w:tcPr>
          <w:p w14:paraId="43188FEA" w14:textId="77777777" w:rsidR="005118CB" w:rsidRPr="00195091" w:rsidRDefault="005118CB" w:rsidP="00056919">
            <w:pPr>
              <w:spacing w:after="0" w:line="240" w:lineRule="auto"/>
              <w:textAlignment w:val="baseline"/>
              <w:rPr>
                <w:rFonts w:eastAsia="Times New Roman" w:cstheme="majorHAnsi"/>
                <w:b/>
                <w:bCs/>
                <w:sz w:val="24"/>
                <w:szCs w:val="24"/>
                <w:lang w:val="nl-NL" w:eastAsia="nl-NL"/>
              </w:rPr>
            </w:pPr>
            <w:r w:rsidRPr="00195091">
              <w:rPr>
                <w:rFonts w:eastAsia="Times New Roman" w:cstheme="majorHAnsi"/>
                <w:b/>
                <w:bCs/>
                <w:color w:val="000000"/>
                <w:lang w:val="nl-NL" w:eastAsia="nl-NL"/>
              </w:rPr>
              <w:t>India </w:t>
            </w:r>
          </w:p>
        </w:tc>
        <w:tc>
          <w:tcPr>
            <w:tcW w:w="1125" w:type="dxa"/>
            <w:tcBorders>
              <w:top w:val="nil"/>
              <w:left w:val="nil"/>
              <w:bottom w:val="single" w:sz="6" w:space="0" w:color="8EAADB"/>
              <w:right w:val="single" w:sz="6" w:space="0" w:color="8EAADB"/>
            </w:tcBorders>
            <w:shd w:val="clear" w:color="auto" w:fill="D9E2F3"/>
            <w:hideMark/>
          </w:tcPr>
          <w:p w14:paraId="2055CE0A"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-16</w:t>
            </w:r>
            <w:r w:rsidRPr="00195091">
              <w:rPr>
                <w:rFonts w:eastAsia="Times New Roman" w:cstheme="majorHAnsi"/>
                <w:color w:val="000000"/>
                <w:lang w:val="nl-NL" w:eastAsia="nl-NL"/>
              </w:rPr>
              <w:t> </w:t>
            </w:r>
          </w:p>
        </w:tc>
        <w:tc>
          <w:tcPr>
            <w:tcW w:w="1290" w:type="dxa"/>
            <w:tcBorders>
              <w:top w:val="nil"/>
              <w:left w:val="nil"/>
              <w:bottom w:val="single" w:sz="6" w:space="0" w:color="8EAADB"/>
              <w:right w:val="single" w:sz="6" w:space="0" w:color="8EAADB"/>
            </w:tcBorders>
            <w:shd w:val="clear" w:color="auto" w:fill="D9E2F3"/>
            <w:hideMark/>
          </w:tcPr>
          <w:p w14:paraId="16CE1ACB"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11</w:t>
            </w:r>
            <w:r w:rsidRPr="00195091">
              <w:rPr>
                <w:rFonts w:eastAsia="Times New Roman" w:cstheme="majorHAnsi"/>
                <w:color w:val="000000"/>
                <w:lang w:val="nl-NL" w:eastAsia="nl-NL"/>
              </w:rPr>
              <w:t> </w:t>
            </w:r>
          </w:p>
        </w:tc>
      </w:tr>
      <w:tr w:rsidR="005118CB" w:rsidRPr="00195091" w14:paraId="250AA7B3" w14:textId="77777777" w:rsidTr="005118CB">
        <w:trPr>
          <w:trHeight w:val="300"/>
        </w:trPr>
        <w:tc>
          <w:tcPr>
            <w:tcW w:w="2115" w:type="dxa"/>
            <w:tcBorders>
              <w:top w:val="nil"/>
              <w:left w:val="single" w:sz="6" w:space="0" w:color="8EAADB"/>
              <w:bottom w:val="single" w:sz="6" w:space="0" w:color="8EAADB"/>
              <w:right w:val="single" w:sz="6" w:space="0" w:color="8EAADB"/>
            </w:tcBorders>
            <w:shd w:val="clear" w:color="auto" w:fill="auto"/>
            <w:hideMark/>
          </w:tcPr>
          <w:p w14:paraId="11FD6D84" w14:textId="77777777" w:rsidR="005118CB" w:rsidRPr="00195091" w:rsidRDefault="005118CB" w:rsidP="00056919">
            <w:pPr>
              <w:spacing w:after="0" w:line="240" w:lineRule="auto"/>
              <w:textAlignment w:val="baseline"/>
              <w:rPr>
                <w:rFonts w:eastAsia="Times New Roman" w:cstheme="majorHAnsi"/>
                <w:b/>
                <w:bCs/>
                <w:sz w:val="24"/>
                <w:szCs w:val="24"/>
                <w:lang w:val="nl-NL" w:eastAsia="nl-NL"/>
              </w:rPr>
            </w:pPr>
            <w:r w:rsidRPr="00195091">
              <w:rPr>
                <w:rFonts w:eastAsia="Times New Roman" w:cstheme="majorHAnsi"/>
                <w:b/>
                <w:bCs/>
                <w:color w:val="000000"/>
                <w:lang w:val="nl-NL" w:eastAsia="nl-NL"/>
              </w:rPr>
              <w:t>Korea </w:t>
            </w:r>
          </w:p>
        </w:tc>
        <w:tc>
          <w:tcPr>
            <w:tcW w:w="1125" w:type="dxa"/>
            <w:tcBorders>
              <w:top w:val="nil"/>
              <w:left w:val="nil"/>
              <w:bottom w:val="single" w:sz="6" w:space="0" w:color="8EAADB"/>
              <w:right w:val="single" w:sz="6" w:space="0" w:color="8EAADB"/>
            </w:tcBorders>
            <w:shd w:val="clear" w:color="auto" w:fill="auto"/>
            <w:hideMark/>
          </w:tcPr>
          <w:p w14:paraId="425F0BBD"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-2</w:t>
            </w:r>
            <w:r w:rsidRPr="00195091">
              <w:rPr>
                <w:rFonts w:eastAsia="Times New Roman" w:cstheme="majorHAnsi"/>
                <w:color w:val="000000"/>
                <w:lang w:val="nl-NL" w:eastAsia="nl-NL"/>
              </w:rPr>
              <w:t> </w:t>
            </w:r>
          </w:p>
        </w:tc>
        <w:tc>
          <w:tcPr>
            <w:tcW w:w="1290" w:type="dxa"/>
            <w:tcBorders>
              <w:top w:val="nil"/>
              <w:left w:val="nil"/>
              <w:bottom w:val="single" w:sz="6" w:space="0" w:color="8EAADB"/>
              <w:right w:val="single" w:sz="6" w:space="0" w:color="8EAADB"/>
            </w:tcBorders>
            <w:shd w:val="clear" w:color="auto" w:fill="auto"/>
            <w:hideMark/>
          </w:tcPr>
          <w:p w14:paraId="535220A2"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2</w:t>
            </w:r>
            <w:r w:rsidRPr="00195091">
              <w:rPr>
                <w:rFonts w:eastAsia="Times New Roman" w:cstheme="majorHAnsi"/>
                <w:color w:val="000000"/>
                <w:lang w:val="nl-NL" w:eastAsia="nl-NL"/>
              </w:rPr>
              <w:t> </w:t>
            </w:r>
          </w:p>
        </w:tc>
      </w:tr>
      <w:tr w:rsidR="005118CB" w:rsidRPr="00195091" w14:paraId="5615A11C" w14:textId="77777777" w:rsidTr="005118CB">
        <w:trPr>
          <w:trHeight w:val="300"/>
        </w:trPr>
        <w:tc>
          <w:tcPr>
            <w:tcW w:w="2115" w:type="dxa"/>
            <w:tcBorders>
              <w:top w:val="nil"/>
              <w:left w:val="single" w:sz="6" w:space="0" w:color="8EAADB"/>
              <w:bottom w:val="single" w:sz="6" w:space="0" w:color="8EAADB"/>
              <w:right w:val="single" w:sz="6" w:space="0" w:color="8EAADB"/>
            </w:tcBorders>
            <w:shd w:val="clear" w:color="auto" w:fill="D9E2F3"/>
            <w:hideMark/>
          </w:tcPr>
          <w:p w14:paraId="24D055B2" w14:textId="77777777" w:rsidR="005118CB" w:rsidRPr="00195091" w:rsidRDefault="005118CB" w:rsidP="00056919">
            <w:pPr>
              <w:spacing w:after="0" w:line="240" w:lineRule="auto"/>
              <w:textAlignment w:val="baseline"/>
              <w:rPr>
                <w:rFonts w:eastAsia="Times New Roman" w:cstheme="majorHAnsi"/>
                <w:b/>
                <w:bCs/>
                <w:sz w:val="24"/>
                <w:szCs w:val="24"/>
                <w:lang w:val="nl-NL" w:eastAsia="nl-NL"/>
              </w:rPr>
            </w:pPr>
            <w:r w:rsidRPr="00195091">
              <w:rPr>
                <w:rFonts w:eastAsia="Times New Roman" w:cstheme="majorHAnsi"/>
                <w:b/>
                <w:bCs/>
                <w:color w:val="000000"/>
                <w:lang w:val="nl-NL" w:eastAsia="nl-NL"/>
              </w:rPr>
              <w:t>China </w:t>
            </w:r>
          </w:p>
        </w:tc>
        <w:tc>
          <w:tcPr>
            <w:tcW w:w="1125" w:type="dxa"/>
            <w:tcBorders>
              <w:top w:val="nil"/>
              <w:left w:val="nil"/>
              <w:bottom w:val="single" w:sz="6" w:space="0" w:color="8EAADB"/>
              <w:right w:val="single" w:sz="6" w:space="0" w:color="8EAADB"/>
            </w:tcBorders>
            <w:shd w:val="clear" w:color="auto" w:fill="D9E2F3"/>
            <w:hideMark/>
          </w:tcPr>
          <w:p w14:paraId="67745512"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-46</w:t>
            </w:r>
            <w:r w:rsidRPr="00195091">
              <w:rPr>
                <w:rFonts w:eastAsia="Times New Roman" w:cstheme="majorHAnsi"/>
                <w:color w:val="000000"/>
                <w:lang w:val="nl-NL" w:eastAsia="nl-NL"/>
              </w:rPr>
              <w:t> </w:t>
            </w:r>
          </w:p>
        </w:tc>
        <w:tc>
          <w:tcPr>
            <w:tcW w:w="1290" w:type="dxa"/>
            <w:tcBorders>
              <w:top w:val="nil"/>
              <w:left w:val="nil"/>
              <w:bottom w:val="single" w:sz="6" w:space="0" w:color="8EAADB"/>
              <w:right w:val="single" w:sz="6" w:space="0" w:color="8EAADB"/>
            </w:tcBorders>
            <w:shd w:val="clear" w:color="auto" w:fill="D9E2F3"/>
            <w:hideMark/>
          </w:tcPr>
          <w:p w14:paraId="74F07159"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33</w:t>
            </w:r>
            <w:r w:rsidRPr="00195091">
              <w:rPr>
                <w:rFonts w:eastAsia="Times New Roman" w:cstheme="majorHAnsi"/>
                <w:color w:val="000000"/>
                <w:lang w:val="nl-NL" w:eastAsia="nl-NL"/>
              </w:rPr>
              <w:t> </w:t>
            </w:r>
          </w:p>
        </w:tc>
      </w:tr>
      <w:tr w:rsidR="005118CB" w:rsidRPr="00195091" w14:paraId="25BDDCF9" w14:textId="77777777" w:rsidTr="005118CB">
        <w:trPr>
          <w:trHeight w:val="300"/>
        </w:trPr>
        <w:tc>
          <w:tcPr>
            <w:tcW w:w="2115" w:type="dxa"/>
            <w:tcBorders>
              <w:top w:val="nil"/>
              <w:left w:val="single" w:sz="6" w:space="0" w:color="8EAADB"/>
              <w:bottom w:val="single" w:sz="6" w:space="0" w:color="8EAADB"/>
              <w:right w:val="single" w:sz="6" w:space="0" w:color="8EAADB"/>
            </w:tcBorders>
            <w:shd w:val="clear" w:color="auto" w:fill="auto"/>
            <w:hideMark/>
          </w:tcPr>
          <w:p w14:paraId="16D2A27D" w14:textId="77777777" w:rsidR="005118CB" w:rsidRPr="00195091" w:rsidRDefault="005118CB" w:rsidP="00056919">
            <w:pPr>
              <w:spacing w:after="0" w:line="240" w:lineRule="auto"/>
              <w:textAlignment w:val="baseline"/>
              <w:rPr>
                <w:rFonts w:eastAsia="Times New Roman" w:cstheme="majorHAnsi"/>
                <w:b/>
                <w:bCs/>
                <w:sz w:val="24"/>
                <w:szCs w:val="24"/>
                <w:lang w:val="nl-NL" w:eastAsia="nl-NL"/>
              </w:rPr>
            </w:pPr>
            <w:r w:rsidRPr="00195091">
              <w:rPr>
                <w:rFonts w:eastAsia="Times New Roman" w:cstheme="majorHAnsi"/>
                <w:b/>
                <w:bCs/>
                <w:color w:val="000000"/>
                <w:lang w:val="nl-NL" w:eastAsia="nl-NL"/>
              </w:rPr>
              <w:t>SE. Asia </w:t>
            </w:r>
          </w:p>
        </w:tc>
        <w:tc>
          <w:tcPr>
            <w:tcW w:w="1125" w:type="dxa"/>
            <w:tcBorders>
              <w:top w:val="nil"/>
              <w:left w:val="nil"/>
              <w:bottom w:val="single" w:sz="6" w:space="0" w:color="8EAADB"/>
              <w:right w:val="single" w:sz="6" w:space="0" w:color="8EAADB"/>
            </w:tcBorders>
            <w:shd w:val="clear" w:color="auto" w:fill="auto"/>
            <w:hideMark/>
          </w:tcPr>
          <w:p w14:paraId="29B05DCB"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-15</w:t>
            </w:r>
            <w:r w:rsidRPr="00195091">
              <w:rPr>
                <w:rFonts w:eastAsia="Times New Roman" w:cstheme="majorHAnsi"/>
                <w:color w:val="000000"/>
                <w:lang w:val="nl-NL" w:eastAsia="nl-NL"/>
              </w:rPr>
              <w:t> </w:t>
            </w:r>
          </w:p>
        </w:tc>
        <w:tc>
          <w:tcPr>
            <w:tcW w:w="1290" w:type="dxa"/>
            <w:tcBorders>
              <w:top w:val="nil"/>
              <w:left w:val="nil"/>
              <w:bottom w:val="single" w:sz="6" w:space="0" w:color="8EAADB"/>
              <w:right w:val="single" w:sz="6" w:space="0" w:color="8EAADB"/>
            </w:tcBorders>
            <w:shd w:val="clear" w:color="auto" w:fill="auto"/>
            <w:hideMark/>
          </w:tcPr>
          <w:p w14:paraId="6E0AFA0D"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10</w:t>
            </w:r>
            <w:r w:rsidRPr="00195091">
              <w:rPr>
                <w:rFonts w:eastAsia="Times New Roman" w:cstheme="majorHAnsi"/>
                <w:color w:val="000000"/>
                <w:lang w:val="nl-NL" w:eastAsia="nl-NL"/>
              </w:rPr>
              <w:t> </w:t>
            </w:r>
          </w:p>
        </w:tc>
      </w:tr>
      <w:tr w:rsidR="005118CB" w:rsidRPr="00195091" w14:paraId="0FDEA9A9" w14:textId="77777777" w:rsidTr="005118CB">
        <w:trPr>
          <w:trHeight w:val="300"/>
        </w:trPr>
        <w:tc>
          <w:tcPr>
            <w:tcW w:w="2115" w:type="dxa"/>
            <w:tcBorders>
              <w:top w:val="nil"/>
              <w:left w:val="single" w:sz="6" w:space="0" w:color="8EAADB"/>
              <w:bottom w:val="single" w:sz="6" w:space="0" w:color="8EAADB"/>
              <w:right w:val="single" w:sz="6" w:space="0" w:color="8EAADB"/>
            </w:tcBorders>
            <w:shd w:val="clear" w:color="auto" w:fill="D9E2F3"/>
            <w:hideMark/>
          </w:tcPr>
          <w:p w14:paraId="7FD30E0D" w14:textId="77777777" w:rsidR="005118CB" w:rsidRPr="00195091" w:rsidRDefault="005118CB" w:rsidP="00056919">
            <w:pPr>
              <w:spacing w:after="0" w:line="240" w:lineRule="auto"/>
              <w:textAlignment w:val="baseline"/>
              <w:rPr>
                <w:rFonts w:eastAsia="Times New Roman" w:cstheme="majorHAnsi"/>
                <w:b/>
                <w:bCs/>
                <w:sz w:val="24"/>
                <w:szCs w:val="24"/>
                <w:lang w:val="nl-NL" w:eastAsia="nl-NL"/>
              </w:rPr>
            </w:pPr>
            <w:r w:rsidRPr="00195091">
              <w:rPr>
                <w:rFonts w:eastAsia="Times New Roman" w:cstheme="majorHAnsi"/>
                <w:b/>
                <w:bCs/>
                <w:color w:val="000000"/>
                <w:lang w:val="nl-NL" w:eastAsia="nl-NL"/>
              </w:rPr>
              <w:t>Indonesia </w:t>
            </w:r>
          </w:p>
        </w:tc>
        <w:tc>
          <w:tcPr>
            <w:tcW w:w="1125" w:type="dxa"/>
            <w:tcBorders>
              <w:top w:val="nil"/>
              <w:left w:val="nil"/>
              <w:bottom w:val="single" w:sz="6" w:space="0" w:color="8EAADB"/>
              <w:right w:val="single" w:sz="6" w:space="0" w:color="8EAADB"/>
            </w:tcBorders>
            <w:shd w:val="clear" w:color="auto" w:fill="D9E2F3"/>
            <w:hideMark/>
          </w:tcPr>
          <w:p w14:paraId="5ECF0181"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-15</w:t>
            </w:r>
            <w:r w:rsidRPr="00195091">
              <w:rPr>
                <w:rFonts w:eastAsia="Times New Roman" w:cstheme="majorHAnsi"/>
                <w:color w:val="000000"/>
                <w:lang w:val="nl-NL" w:eastAsia="nl-NL"/>
              </w:rPr>
              <w:t> </w:t>
            </w:r>
          </w:p>
        </w:tc>
        <w:tc>
          <w:tcPr>
            <w:tcW w:w="1290" w:type="dxa"/>
            <w:tcBorders>
              <w:top w:val="nil"/>
              <w:left w:val="nil"/>
              <w:bottom w:val="single" w:sz="6" w:space="0" w:color="8EAADB"/>
              <w:right w:val="single" w:sz="6" w:space="0" w:color="8EAADB"/>
            </w:tcBorders>
            <w:shd w:val="clear" w:color="auto" w:fill="D9E2F3"/>
            <w:hideMark/>
          </w:tcPr>
          <w:p w14:paraId="4679AA93"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11</w:t>
            </w:r>
            <w:r w:rsidRPr="00195091">
              <w:rPr>
                <w:rFonts w:eastAsia="Times New Roman" w:cstheme="majorHAnsi"/>
                <w:color w:val="000000"/>
                <w:lang w:val="nl-NL" w:eastAsia="nl-NL"/>
              </w:rPr>
              <w:t> </w:t>
            </w:r>
          </w:p>
        </w:tc>
      </w:tr>
      <w:tr w:rsidR="005118CB" w:rsidRPr="00195091" w14:paraId="5A7C1FD7" w14:textId="77777777" w:rsidTr="005118CB">
        <w:trPr>
          <w:trHeight w:val="300"/>
        </w:trPr>
        <w:tc>
          <w:tcPr>
            <w:tcW w:w="2115" w:type="dxa"/>
            <w:tcBorders>
              <w:top w:val="nil"/>
              <w:left w:val="single" w:sz="6" w:space="0" w:color="8EAADB"/>
              <w:bottom w:val="single" w:sz="6" w:space="0" w:color="8EAADB"/>
              <w:right w:val="single" w:sz="6" w:space="0" w:color="8EAADB"/>
            </w:tcBorders>
            <w:shd w:val="clear" w:color="auto" w:fill="auto"/>
            <w:hideMark/>
          </w:tcPr>
          <w:p w14:paraId="6C1F64AD" w14:textId="77777777" w:rsidR="005118CB" w:rsidRPr="00195091" w:rsidRDefault="005118CB" w:rsidP="00056919">
            <w:pPr>
              <w:spacing w:after="0" w:line="240" w:lineRule="auto"/>
              <w:textAlignment w:val="baseline"/>
              <w:rPr>
                <w:rFonts w:eastAsia="Times New Roman" w:cstheme="majorHAnsi"/>
                <w:b/>
                <w:bCs/>
                <w:sz w:val="24"/>
                <w:szCs w:val="24"/>
                <w:lang w:val="nl-NL" w:eastAsia="nl-NL"/>
              </w:rPr>
            </w:pPr>
            <w:r w:rsidRPr="00195091">
              <w:rPr>
                <w:rFonts w:eastAsia="Times New Roman" w:cstheme="majorHAnsi"/>
                <w:b/>
                <w:bCs/>
                <w:color w:val="000000"/>
                <w:lang w:val="nl-NL" w:eastAsia="nl-NL"/>
              </w:rPr>
              <w:t>Japan </w:t>
            </w:r>
          </w:p>
        </w:tc>
        <w:tc>
          <w:tcPr>
            <w:tcW w:w="1125" w:type="dxa"/>
            <w:tcBorders>
              <w:top w:val="nil"/>
              <w:left w:val="nil"/>
              <w:bottom w:val="single" w:sz="6" w:space="0" w:color="8EAADB"/>
              <w:right w:val="single" w:sz="6" w:space="0" w:color="8EAADB"/>
            </w:tcBorders>
            <w:shd w:val="clear" w:color="auto" w:fill="auto"/>
            <w:hideMark/>
          </w:tcPr>
          <w:p w14:paraId="0B66281A"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-4</w:t>
            </w:r>
            <w:r w:rsidRPr="00195091">
              <w:rPr>
                <w:rFonts w:eastAsia="Times New Roman" w:cstheme="majorHAnsi"/>
                <w:color w:val="000000"/>
                <w:lang w:val="nl-NL" w:eastAsia="nl-NL"/>
              </w:rPr>
              <w:t> </w:t>
            </w:r>
          </w:p>
        </w:tc>
        <w:tc>
          <w:tcPr>
            <w:tcW w:w="1290" w:type="dxa"/>
            <w:tcBorders>
              <w:top w:val="nil"/>
              <w:left w:val="nil"/>
              <w:bottom w:val="single" w:sz="6" w:space="0" w:color="8EAADB"/>
              <w:right w:val="single" w:sz="6" w:space="0" w:color="8EAADB"/>
            </w:tcBorders>
            <w:shd w:val="clear" w:color="auto" w:fill="auto"/>
            <w:hideMark/>
          </w:tcPr>
          <w:p w14:paraId="691D2C9C"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3</w:t>
            </w:r>
            <w:r w:rsidRPr="00195091">
              <w:rPr>
                <w:rFonts w:eastAsia="Times New Roman" w:cstheme="majorHAnsi"/>
                <w:color w:val="000000"/>
                <w:lang w:val="nl-NL" w:eastAsia="nl-NL"/>
              </w:rPr>
              <w:t> </w:t>
            </w:r>
          </w:p>
        </w:tc>
      </w:tr>
      <w:tr w:rsidR="005118CB" w:rsidRPr="00195091" w14:paraId="3C3E8BF7" w14:textId="77777777" w:rsidTr="005118CB">
        <w:trPr>
          <w:trHeight w:val="300"/>
        </w:trPr>
        <w:tc>
          <w:tcPr>
            <w:tcW w:w="2115" w:type="dxa"/>
            <w:tcBorders>
              <w:top w:val="nil"/>
              <w:left w:val="single" w:sz="6" w:space="0" w:color="8EAADB"/>
              <w:bottom w:val="single" w:sz="6" w:space="0" w:color="8EAADB"/>
              <w:right w:val="single" w:sz="6" w:space="0" w:color="8EAADB"/>
            </w:tcBorders>
            <w:shd w:val="clear" w:color="auto" w:fill="D9E2F3"/>
            <w:hideMark/>
          </w:tcPr>
          <w:p w14:paraId="66DE60EE" w14:textId="77777777" w:rsidR="005118CB" w:rsidRPr="00195091" w:rsidRDefault="005118CB" w:rsidP="00056919">
            <w:pPr>
              <w:spacing w:after="0" w:line="240" w:lineRule="auto"/>
              <w:textAlignment w:val="baseline"/>
              <w:rPr>
                <w:rFonts w:eastAsia="Times New Roman" w:cstheme="majorHAnsi"/>
                <w:b/>
                <w:bCs/>
                <w:sz w:val="24"/>
                <w:szCs w:val="24"/>
                <w:lang w:val="nl-NL" w:eastAsia="nl-NL"/>
              </w:rPr>
            </w:pPr>
            <w:r w:rsidRPr="00195091">
              <w:rPr>
                <w:rFonts w:eastAsia="Times New Roman" w:cstheme="majorHAnsi"/>
                <w:b/>
                <w:bCs/>
                <w:color w:val="000000"/>
                <w:lang w:val="nl-NL" w:eastAsia="nl-NL"/>
              </w:rPr>
              <w:t>Oceania </w:t>
            </w:r>
          </w:p>
        </w:tc>
        <w:tc>
          <w:tcPr>
            <w:tcW w:w="1125" w:type="dxa"/>
            <w:tcBorders>
              <w:top w:val="nil"/>
              <w:left w:val="nil"/>
              <w:bottom w:val="single" w:sz="6" w:space="0" w:color="8EAADB"/>
              <w:right w:val="single" w:sz="6" w:space="0" w:color="8EAADB"/>
            </w:tcBorders>
            <w:shd w:val="clear" w:color="auto" w:fill="D9E2F3"/>
            <w:hideMark/>
          </w:tcPr>
          <w:p w14:paraId="7C3984E4"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-13</w:t>
            </w:r>
            <w:r w:rsidRPr="00195091">
              <w:rPr>
                <w:rFonts w:eastAsia="Times New Roman" w:cstheme="majorHAnsi"/>
                <w:color w:val="000000"/>
                <w:lang w:val="nl-NL" w:eastAsia="nl-NL"/>
              </w:rPr>
              <w:t> </w:t>
            </w:r>
          </w:p>
        </w:tc>
        <w:tc>
          <w:tcPr>
            <w:tcW w:w="1290" w:type="dxa"/>
            <w:tcBorders>
              <w:top w:val="nil"/>
              <w:left w:val="nil"/>
              <w:bottom w:val="single" w:sz="6" w:space="0" w:color="8EAADB"/>
              <w:right w:val="single" w:sz="6" w:space="0" w:color="8EAADB"/>
            </w:tcBorders>
            <w:shd w:val="clear" w:color="auto" w:fill="D9E2F3"/>
            <w:hideMark/>
          </w:tcPr>
          <w:p w14:paraId="45AC1763"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9</w:t>
            </w:r>
            <w:r w:rsidRPr="00195091">
              <w:rPr>
                <w:rFonts w:eastAsia="Times New Roman" w:cstheme="majorHAnsi"/>
                <w:color w:val="000000"/>
                <w:lang w:val="nl-NL" w:eastAsia="nl-NL"/>
              </w:rPr>
              <w:t> </w:t>
            </w:r>
          </w:p>
        </w:tc>
      </w:tr>
      <w:tr w:rsidR="005118CB" w:rsidRPr="00195091" w14:paraId="601DEBCB" w14:textId="77777777" w:rsidTr="005118CB">
        <w:trPr>
          <w:trHeight w:val="300"/>
        </w:trPr>
        <w:tc>
          <w:tcPr>
            <w:tcW w:w="2115" w:type="dxa"/>
            <w:tcBorders>
              <w:top w:val="nil"/>
              <w:left w:val="single" w:sz="6" w:space="0" w:color="8EAADB"/>
              <w:bottom w:val="single" w:sz="6" w:space="0" w:color="8EAADB"/>
              <w:right w:val="single" w:sz="6" w:space="0" w:color="8EAADB"/>
            </w:tcBorders>
            <w:shd w:val="clear" w:color="auto" w:fill="auto"/>
            <w:hideMark/>
          </w:tcPr>
          <w:p w14:paraId="468C5CDE" w14:textId="77777777" w:rsidR="005118CB" w:rsidRPr="00195091" w:rsidRDefault="005118CB" w:rsidP="00056919">
            <w:pPr>
              <w:spacing w:after="0" w:line="240" w:lineRule="auto"/>
              <w:textAlignment w:val="baseline"/>
              <w:rPr>
                <w:rFonts w:eastAsia="Times New Roman" w:cstheme="majorHAnsi"/>
                <w:b/>
                <w:bCs/>
                <w:sz w:val="24"/>
                <w:szCs w:val="24"/>
                <w:lang w:val="nl-NL" w:eastAsia="nl-NL"/>
              </w:rPr>
            </w:pPr>
            <w:r w:rsidRPr="00195091">
              <w:rPr>
                <w:rFonts w:eastAsia="Times New Roman" w:cstheme="majorHAnsi"/>
                <w:b/>
                <w:bCs/>
                <w:color w:val="000000"/>
                <w:lang w:val="nl-NL" w:eastAsia="nl-NL"/>
              </w:rPr>
              <w:t>Rest S. Asia </w:t>
            </w:r>
          </w:p>
        </w:tc>
        <w:tc>
          <w:tcPr>
            <w:tcW w:w="1125" w:type="dxa"/>
            <w:tcBorders>
              <w:top w:val="nil"/>
              <w:left w:val="nil"/>
              <w:bottom w:val="single" w:sz="6" w:space="0" w:color="8EAADB"/>
              <w:right w:val="single" w:sz="6" w:space="0" w:color="8EAADB"/>
            </w:tcBorders>
            <w:shd w:val="clear" w:color="auto" w:fill="auto"/>
            <w:hideMark/>
          </w:tcPr>
          <w:p w14:paraId="11D39E32"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-14</w:t>
            </w:r>
            <w:r w:rsidRPr="00195091">
              <w:rPr>
                <w:rFonts w:eastAsia="Times New Roman" w:cstheme="majorHAnsi"/>
                <w:color w:val="000000"/>
                <w:lang w:val="nl-NL" w:eastAsia="nl-NL"/>
              </w:rPr>
              <w:t> </w:t>
            </w:r>
          </w:p>
        </w:tc>
        <w:tc>
          <w:tcPr>
            <w:tcW w:w="1290" w:type="dxa"/>
            <w:tcBorders>
              <w:top w:val="nil"/>
              <w:left w:val="nil"/>
              <w:bottom w:val="single" w:sz="6" w:space="0" w:color="8EAADB"/>
              <w:right w:val="single" w:sz="6" w:space="0" w:color="8EAADB"/>
            </w:tcBorders>
            <w:shd w:val="clear" w:color="auto" w:fill="auto"/>
            <w:hideMark/>
          </w:tcPr>
          <w:p w14:paraId="7E68AD11"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8</w:t>
            </w:r>
            <w:r w:rsidRPr="00195091">
              <w:rPr>
                <w:rFonts w:eastAsia="Times New Roman" w:cstheme="majorHAnsi"/>
                <w:color w:val="000000"/>
                <w:lang w:val="nl-NL" w:eastAsia="nl-NL"/>
              </w:rPr>
              <w:t> </w:t>
            </w:r>
          </w:p>
        </w:tc>
      </w:tr>
      <w:tr w:rsidR="005118CB" w:rsidRPr="00195091" w14:paraId="53D9EF89" w14:textId="77777777" w:rsidTr="005118CB">
        <w:trPr>
          <w:trHeight w:val="315"/>
        </w:trPr>
        <w:tc>
          <w:tcPr>
            <w:tcW w:w="2115" w:type="dxa"/>
            <w:tcBorders>
              <w:top w:val="nil"/>
              <w:left w:val="single" w:sz="6" w:space="0" w:color="8EAADB"/>
              <w:bottom w:val="single" w:sz="6" w:space="0" w:color="8EAADB"/>
              <w:right w:val="single" w:sz="6" w:space="0" w:color="8EAADB"/>
            </w:tcBorders>
            <w:shd w:val="clear" w:color="auto" w:fill="D9E2F3"/>
            <w:hideMark/>
          </w:tcPr>
          <w:p w14:paraId="76EBB31E" w14:textId="77777777" w:rsidR="005118CB" w:rsidRPr="00195091" w:rsidRDefault="005118CB" w:rsidP="00056919">
            <w:pPr>
              <w:spacing w:after="0" w:line="240" w:lineRule="auto"/>
              <w:textAlignment w:val="baseline"/>
              <w:rPr>
                <w:rFonts w:eastAsia="Times New Roman" w:cstheme="majorHAnsi"/>
                <w:b/>
                <w:bCs/>
                <w:sz w:val="24"/>
                <w:szCs w:val="24"/>
                <w:lang w:val="nl-NL" w:eastAsia="nl-NL"/>
              </w:rPr>
            </w:pPr>
            <w:r w:rsidRPr="00195091">
              <w:rPr>
                <w:rFonts w:eastAsia="Times New Roman" w:cstheme="majorHAnsi"/>
                <w:b/>
                <w:bCs/>
                <w:color w:val="000000"/>
                <w:lang w:val="nl-NL" w:eastAsia="nl-NL"/>
              </w:rPr>
              <w:t>Rest S. Africa </w:t>
            </w:r>
          </w:p>
        </w:tc>
        <w:tc>
          <w:tcPr>
            <w:tcW w:w="1125" w:type="dxa"/>
            <w:tcBorders>
              <w:top w:val="nil"/>
              <w:left w:val="nil"/>
              <w:bottom w:val="single" w:sz="6" w:space="0" w:color="8EAADB"/>
              <w:right w:val="single" w:sz="6" w:space="0" w:color="8EAADB"/>
            </w:tcBorders>
            <w:shd w:val="clear" w:color="auto" w:fill="D9E2F3"/>
            <w:hideMark/>
          </w:tcPr>
          <w:p w14:paraId="4B438713"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-5</w:t>
            </w:r>
            <w:r w:rsidRPr="00195091">
              <w:rPr>
                <w:rFonts w:eastAsia="Times New Roman" w:cstheme="majorHAnsi"/>
                <w:color w:val="000000"/>
                <w:lang w:val="nl-NL" w:eastAsia="nl-NL"/>
              </w:rPr>
              <w:t> </w:t>
            </w:r>
          </w:p>
        </w:tc>
        <w:tc>
          <w:tcPr>
            <w:tcW w:w="1290" w:type="dxa"/>
            <w:tcBorders>
              <w:top w:val="nil"/>
              <w:left w:val="nil"/>
              <w:bottom w:val="single" w:sz="6" w:space="0" w:color="8EAADB"/>
              <w:right w:val="single" w:sz="6" w:space="0" w:color="8EAADB"/>
            </w:tcBorders>
            <w:shd w:val="clear" w:color="auto" w:fill="D9E2F3"/>
            <w:hideMark/>
          </w:tcPr>
          <w:p w14:paraId="78A1C36F"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4</w:t>
            </w:r>
            <w:r w:rsidRPr="00195091">
              <w:rPr>
                <w:rFonts w:eastAsia="Times New Roman" w:cstheme="majorHAnsi"/>
                <w:color w:val="000000"/>
                <w:lang w:val="nl-NL" w:eastAsia="nl-NL"/>
              </w:rPr>
              <w:t> </w:t>
            </w:r>
          </w:p>
        </w:tc>
      </w:tr>
    </w:tbl>
    <w:p w14:paraId="6AC74C95" w14:textId="77777777" w:rsidR="0075001B" w:rsidRPr="00195091" w:rsidRDefault="0075001B" w:rsidP="0075001B">
      <w:pPr>
        <w:rPr>
          <w:rFonts w:eastAsia="Times New Roman" w:cstheme="majorHAnsi"/>
          <w:lang w:eastAsia="nl-NL"/>
        </w:rPr>
      </w:pPr>
    </w:p>
    <w:p w14:paraId="59292359" w14:textId="77777777" w:rsidR="0075001B" w:rsidRPr="00195091" w:rsidRDefault="0075001B" w:rsidP="0075001B">
      <w:pPr>
        <w:spacing w:after="0" w:line="240" w:lineRule="auto"/>
        <w:textAlignment w:val="baseline"/>
        <w:rPr>
          <w:rFonts w:eastAsia="Times New Roman" w:cstheme="majorHAnsi"/>
          <w:b/>
          <w:sz w:val="18"/>
          <w:szCs w:val="18"/>
          <w:lang w:eastAsia="nl-NL"/>
        </w:rPr>
      </w:pPr>
      <w:r w:rsidRPr="00195091">
        <w:rPr>
          <w:rFonts w:eastAsia="Times New Roman" w:cstheme="majorHAnsi"/>
          <w:b/>
          <w:u w:val="single"/>
          <w:lang w:eastAsia="nl-NL"/>
        </w:rPr>
        <w:t>Industry</w:t>
      </w:r>
      <w:r w:rsidRPr="00195091">
        <w:rPr>
          <w:rFonts w:eastAsia="Times New Roman" w:cstheme="majorHAnsi"/>
          <w:b/>
          <w:lang w:eastAsia="nl-NL"/>
        </w:rPr>
        <w:t> </w:t>
      </w:r>
    </w:p>
    <w:p w14:paraId="1A3DEFCA" w14:textId="3F7215AA" w:rsidR="0075001B" w:rsidRPr="00195091" w:rsidRDefault="0075001B" w:rsidP="0075001B">
      <w:pPr>
        <w:rPr>
          <w:rFonts w:cstheme="majorHAnsi"/>
          <w:sz w:val="18"/>
          <w:szCs w:val="18"/>
          <w:lang w:eastAsia="nl-NL"/>
        </w:rPr>
      </w:pPr>
      <w:r w:rsidRPr="00195091">
        <w:rPr>
          <w:rFonts w:cstheme="majorHAnsi"/>
          <w:lang w:eastAsia="nl-NL"/>
        </w:rPr>
        <w:t>Three sectors in the IMAGE industry module are looked at: steel, cement and other industry (including the rest of the industrial sector).  The industrial activity level in IMAGE is presented as material demand related to economic activity and material intensity for steel and cement. Based on demand for materials, the production is determined and the related use of energy and the and subsequent emission. The activity correction factors were implemented in either the material demand level or the material production level, depending on the data availability. The activity level in the </w:t>
      </w:r>
      <w:r w:rsidRPr="00195091">
        <w:rPr>
          <w:rFonts w:cstheme="majorHAnsi"/>
          <w:b/>
          <w:lang w:eastAsia="nl-NL"/>
        </w:rPr>
        <w:t>steel</w:t>
      </w:r>
      <w:r w:rsidRPr="00195091">
        <w:rPr>
          <w:rFonts w:cstheme="majorHAnsi"/>
          <w:lang w:eastAsia="nl-NL"/>
        </w:rPr>
        <w:t> industry is based on the World Steel Association data</w:t>
      </w:r>
      <w:r w:rsidR="00664C1B">
        <w:rPr>
          <w:rFonts w:cstheme="majorHAnsi"/>
          <w:lang w:eastAsia="nl-NL"/>
        </w:rPr>
        <w:fldChar w:fldCharType="begin" w:fldLock="1"/>
      </w:r>
      <w:r w:rsidR="00B10804">
        <w:rPr>
          <w:rFonts w:cstheme="majorHAnsi"/>
          <w:lang w:eastAsia="nl-NL"/>
        </w:rPr>
        <w:instrText>ADDIN CSL_CITATION {"citationItems":[{"id":"ITEM-1","itemData":{"URL":"https://www.worldsteel.org/steel-by-topic/statistics/short-range-outlook.html","accessed":{"date-parts":[["2021","5","17"]]},"author":[{"dropping-particle":"","family":"World Steel Association","given":"","non-dropping-particle":"","parse-names":false,"suffix":""}],"id":"ITEM-1","issued":{"date-parts":[["2020"]]},"title":"Steel Demand Forecasts","type":"webpage"},"uris":["http://www.mendeley.com/documents/?uuid=4e41c973-f96b-3708-a194-4fc80fd2a184"]}],"mendeley":{"formattedCitation":"&lt;sup&gt;41&lt;/sup&gt;","plainTextFormattedCitation":"41","previouslyFormattedCitation":"&lt;sup&gt;41&lt;/sup&gt;"},"properties":{"noteIndex":0},"schema":"https://github.com/citation-style-language/schema/raw/master/csl-citation.json"}</w:instrText>
      </w:r>
      <w:r w:rsidR="00664C1B">
        <w:rPr>
          <w:rFonts w:cstheme="majorHAnsi"/>
          <w:lang w:eastAsia="nl-NL"/>
        </w:rPr>
        <w:fldChar w:fldCharType="separate"/>
      </w:r>
      <w:r w:rsidR="00664C1B" w:rsidRPr="00664C1B">
        <w:rPr>
          <w:rFonts w:cstheme="majorHAnsi"/>
          <w:noProof/>
          <w:vertAlign w:val="superscript"/>
          <w:lang w:eastAsia="nl-NL"/>
        </w:rPr>
        <w:t>41</w:t>
      </w:r>
      <w:r w:rsidR="00664C1B">
        <w:rPr>
          <w:rFonts w:cstheme="majorHAnsi"/>
          <w:lang w:eastAsia="nl-NL"/>
        </w:rPr>
        <w:fldChar w:fldCharType="end"/>
      </w:r>
      <w:r w:rsidRPr="00195091">
        <w:rPr>
          <w:rFonts w:cstheme="majorHAnsi"/>
          <w:lang w:eastAsia="nl-NL"/>
        </w:rPr>
        <w:t>, with the regional steel demand in 2020 and forecasts for 2021. Most of the regions have decreased steel demand in 2020 (-6% to -20% compared to 2019), except for China (+8%), Turkey (+10%) and the Oceania region (+2.1%). In 2021, all the regional projections increased compared to 2020 levels (+2.5% to +11%), besides China, which remains at the same demand level as 2020. The activity level for steel is assumed to return to the SSP2 level in 2022.  </w:t>
      </w:r>
    </w:p>
    <w:p w14:paraId="5524E5C8" w14:textId="10CCE1A4" w:rsidR="0075001B" w:rsidRPr="00195091" w:rsidRDefault="0075001B" w:rsidP="0075001B">
      <w:pPr>
        <w:rPr>
          <w:rFonts w:cstheme="majorHAnsi"/>
          <w:sz w:val="18"/>
          <w:szCs w:val="18"/>
          <w:lang w:eastAsia="nl-NL"/>
        </w:rPr>
      </w:pPr>
      <w:r w:rsidRPr="00195091">
        <w:rPr>
          <w:rFonts w:cstheme="majorHAnsi"/>
          <w:lang w:eastAsia="nl-NL"/>
        </w:rPr>
        <w:t>For the </w:t>
      </w:r>
      <w:r w:rsidRPr="00195091">
        <w:rPr>
          <w:rFonts w:cstheme="majorHAnsi"/>
          <w:b/>
          <w:lang w:eastAsia="nl-NL"/>
        </w:rPr>
        <w:t>cement</w:t>
      </w:r>
      <w:r w:rsidRPr="00195091">
        <w:rPr>
          <w:rFonts w:cstheme="majorHAnsi"/>
          <w:lang w:eastAsia="nl-NL"/>
        </w:rPr>
        <w:t> activity levels, data from the IFC</w:t>
      </w:r>
      <w:r w:rsidR="00B10804">
        <w:rPr>
          <w:rFonts w:cstheme="majorHAnsi"/>
          <w:lang w:eastAsia="nl-NL"/>
        </w:rPr>
        <w:fldChar w:fldCharType="begin" w:fldLock="1"/>
      </w:r>
      <w:r w:rsidR="005C4227">
        <w:rPr>
          <w:rFonts w:cstheme="majorHAnsi"/>
          <w:lang w:eastAsia="nl-NL"/>
        </w:rPr>
        <w:instrText>ADDIN CSL_CITATION {"citationItems":[{"id":"ITEM-1","itemData":{"author":[{"dropping-particle":"","family":"International Finance Corporation","given":"","non-dropping-particle":"","parse-names":false,"suffix":""}],"id":"ITEM-1","issued":{"date-parts":[["2020"]]},"title":"The Impact of COVID-19 on the Cement Industry","type":"report"},"uris":["http://www.mendeley.com/documents/?uuid=912f0dd1-6b9f-3c55-a8de-34cf393e5215"]}],"mendeley":{"formattedCitation":"&lt;sup&gt;42&lt;/sup&gt;","plainTextFormattedCitation":"42","previouslyFormattedCitation":"&lt;sup&gt;42&lt;/sup&gt;"},"properties":{"noteIndex":0},"schema":"https://github.com/citation-style-language/schema/raw/master/csl-citation.json"}</w:instrText>
      </w:r>
      <w:r w:rsidR="00B10804">
        <w:rPr>
          <w:rFonts w:cstheme="majorHAnsi"/>
          <w:lang w:eastAsia="nl-NL"/>
        </w:rPr>
        <w:fldChar w:fldCharType="separate"/>
      </w:r>
      <w:r w:rsidR="00B10804" w:rsidRPr="00B10804">
        <w:rPr>
          <w:rFonts w:cstheme="majorHAnsi"/>
          <w:noProof/>
          <w:vertAlign w:val="superscript"/>
          <w:lang w:eastAsia="nl-NL"/>
        </w:rPr>
        <w:t>42</w:t>
      </w:r>
      <w:r w:rsidR="00B10804">
        <w:rPr>
          <w:rFonts w:cstheme="majorHAnsi"/>
          <w:lang w:eastAsia="nl-NL"/>
        </w:rPr>
        <w:fldChar w:fldCharType="end"/>
      </w:r>
      <w:r w:rsidRPr="00195091">
        <w:rPr>
          <w:rFonts w:cstheme="majorHAnsi"/>
          <w:lang w:eastAsia="nl-NL"/>
        </w:rPr>
        <w:t xml:space="preserve"> (International Finance Corporation) were used, providing information on cement production changes in 2020 compared to 2019. The same assumption as in steel is applied here as well, namely that activity levels return to SSP2 levels in 2022.  </w:t>
      </w:r>
    </w:p>
    <w:p w14:paraId="03901BDA" w14:textId="7A7AA8FF" w:rsidR="0075001B" w:rsidRPr="00195091" w:rsidRDefault="0075001B" w:rsidP="0075001B">
      <w:pPr>
        <w:rPr>
          <w:rFonts w:cstheme="majorHAnsi"/>
          <w:sz w:val="18"/>
          <w:szCs w:val="18"/>
          <w:lang w:eastAsia="nl-NL"/>
        </w:rPr>
      </w:pPr>
      <w:r w:rsidRPr="00195091">
        <w:rPr>
          <w:rFonts w:cstheme="majorHAnsi"/>
          <w:lang w:eastAsia="nl-NL"/>
        </w:rPr>
        <w:t>For the </w:t>
      </w:r>
      <w:r w:rsidRPr="00195091">
        <w:rPr>
          <w:rFonts w:cstheme="majorHAnsi"/>
          <w:b/>
          <w:lang w:eastAsia="nl-NL"/>
        </w:rPr>
        <w:t>rest of the industry</w:t>
      </w:r>
      <w:r w:rsidRPr="00195091">
        <w:rPr>
          <w:rFonts w:cstheme="majorHAnsi"/>
          <w:lang w:eastAsia="nl-NL"/>
        </w:rPr>
        <w:t>, OECD</w:t>
      </w:r>
      <w:r w:rsidR="005C4227">
        <w:rPr>
          <w:rFonts w:cstheme="majorHAnsi"/>
          <w:lang w:eastAsia="nl-NL"/>
        </w:rPr>
        <w:fldChar w:fldCharType="begin" w:fldLock="1"/>
      </w:r>
      <w:r w:rsidR="00785AF3">
        <w:rPr>
          <w:rFonts w:cstheme="majorHAnsi"/>
          <w:lang w:eastAsia="nl-NL"/>
        </w:rPr>
        <w:instrText>ADDIN CSL_CITATION {"citationItems":[{"id":"ITEM-1","itemData":{"URL":"https://stats.oecd.org/index.aspx?queryid=21758","accessed":{"date-parts":[["2021","5","17"]]},"author":[{"dropping-particle":"","family":"Organization for Economic Co-operation and Development","given":"","non-dropping-particle":"","parse-names":false,"suffix":""}],"id":"ITEM-1","issued":{"date-parts":[["2020"]]},"title":"Key Short-Term Economic Indicators : Industrial Production","type":"webpage"},"uris":["http://www.mendeley.com/documents/?uuid=ef5c323e-ee14-3c1b-b42b-d8800d43dfee"]}],"mendeley":{"formattedCitation":"&lt;sup&gt;43&lt;/sup&gt;","plainTextFormattedCitation":"43","previouslyFormattedCitation":"&lt;sup&gt;43&lt;/sup&gt;"},"properties":{"noteIndex":0},"schema":"https://github.com/citation-style-language/schema/raw/master/csl-citation.json"}</w:instrText>
      </w:r>
      <w:r w:rsidR="005C4227">
        <w:rPr>
          <w:rFonts w:cstheme="majorHAnsi"/>
          <w:lang w:eastAsia="nl-NL"/>
        </w:rPr>
        <w:fldChar w:fldCharType="separate"/>
      </w:r>
      <w:r w:rsidR="005C4227" w:rsidRPr="005C4227">
        <w:rPr>
          <w:rFonts w:cstheme="majorHAnsi"/>
          <w:noProof/>
          <w:vertAlign w:val="superscript"/>
          <w:lang w:eastAsia="nl-NL"/>
        </w:rPr>
        <w:t>43</w:t>
      </w:r>
      <w:r w:rsidR="005C4227">
        <w:rPr>
          <w:rFonts w:cstheme="majorHAnsi"/>
          <w:lang w:eastAsia="nl-NL"/>
        </w:rPr>
        <w:fldChar w:fldCharType="end"/>
      </w:r>
      <w:r w:rsidR="00785AF3">
        <w:rPr>
          <w:rFonts w:cstheme="majorHAnsi"/>
          <w:lang w:eastAsia="nl-NL"/>
        </w:rPr>
        <w:t xml:space="preserve"> </w:t>
      </w:r>
      <w:r w:rsidRPr="00195091">
        <w:rPr>
          <w:rFonts w:cstheme="majorHAnsi"/>
          <w:lang w:eastAsia="nl-NL"/>
        </w:rPr>
        <w:t>data were used, which provide the industrial production levels in Q1 to Q2/Q3 2020 for the OECD countries. The assumption was made that the 2020 activity levels equal the average of these two or three seasons. For non-OECD regions, we apply the national data from China, Mexico, India, Ukraine, South Africa, Kazakhstan, Chad, Egypt, Nepal and Bangladesh, and use them as proxy data for the TIMER regions</w:t>
      </w:r>
      <w:r w:rsidR="00785AF3">
        <w:rPr>
          <w:rFonts w:cstheme="majorHAnsi"/>
          <w:lang w:eastAsia="nl-NL"/>
        </w:rPr>
        <w:fldChar w:fldCharType="begin" w:fldLock="1"/>
      </w:r>
      <w:r w:rsidR="00FF0F07">
        <w:rPr>
          <w:rFonts w:cstheme="majorHAnsi"/>
          <w:lang w:eastAsia="nl-NL"/>
        </w:rPr>
        <w:instrText>ADDIN CSL_CITATION {"citationItems":[{"id":"ITEM-1","itemData":{"URL":"https://models.pbl.nl/image/index.php/Region_classification_map","accessed":{"date-parts":[["2021","5","17"]]},"author":[{"dropping-particle":"","family":"PBL Netherlands Environmental Assessment Agency","given":"","non-dropping-particle":"","parse-names":false,"suffix":""}],"id":"ITEM-1","issued":{"date-parts":[["2020"]]},"title":"Region classification map - IMAGE","type":"webpage"},"uris":["http://www.mendeley.com/documents/?uuid=4c3a542e-99d0-3ad7-89cd-f097df4c86ea"]}],"mendeley":{"formattedCitation":"&lt;sup&gt;44&lt;/sup&gt;","plainTextFormattedCitation":"44","previouslyFormattedCitation":"&lt;sup&gt;44&lt;/sup&gt;"},"properties":{"noteIndex":0},"schema":"https://github.com/citation-style-language/schema/raw/master/csl-citation.json"}</w:instrText>
      </w:r>
      <w:r w:rsidR="00785AF3">
        <w:rPr>
          <w:rFonts w:cstheme="majorHAnsi"/>
          <w:lang w:eastAsia="nl-NL"/>
        </w:rPr>
        <w:fldChar w:fldCharType="separate"/>
      </w:r>
      <w:r w:rsidR="00785AF3" w:rsidRPr="00785AF3">
        <w:rPr>
          <w:rFonts w:cstheme="majorHAnsi"/>
          <w:noProof/>
          <w:vertAlign w:val="superscript"/>
          <w:lang w:eastAsia="nl-NL"/>
        </w:rPr>
        <w:t>44</w:t>
      </w:r>
      <w:r w:rsidR="00785AF3">
        <w:rPr>
          <w:rFonts w:cstheme="majorHAnsi"/>
          <w:lang w:eastAsia="nl-NL"/>
        </w:rPr>
        <w:fldChar w:fldCharType="end"/>
      </w:r>
      <w:r w:rsidRPr="00195091">
        <w:rPr>
          <w:rFonts w:cstheme="majorHAnsi"/>
          <w:lang w:eastAsia="nl-NL"/>
        </w:rPr>
        <w:t>. Similar to cement and steel, activity levels ar</w:t>
      </w:r>
      <w:r w:rsidRPr="00195091">
        <w:rPr>
          <w:rFonts w:cstheme="majorHAnsi"/>
          <w:strike/>
          <w:lang w:eastAsia="nl-NL"/>
        </w:rPr>
        <w:t>e</w:t>
      </w:r>
      <w:r w:rsidRPr="00195091">
        <w:rPr>
          <w:rFonts w:cstheme="majorHAnsi"/>
          <w:lang w:eastAsia="nl-NL"/>
        </w:rPr>
        <w:t> assumed to return to SSP2 rates in 2022. There are three regions without available data: The rest of Central America, Eastern Africa and the Rest of Southern Africa, for which the original SSP2 activity levels were assumed in these cases.  </w:t>
      </w:r>
    </w:p>
    <w:p w14:paraId="4A8926C7" w14:textId="77777777" w:rsidR="0075001B" w:rsidRPr="00195091" w:rsidRDefault="0075001B" w:rsidP="0075001B">
      <w:pPr>
        <w:spacing w:after="0" w:line="240" w:lineRule="auto"/>
        <w:textAlignment w:val="baseline"/>
        <w:rPr>
          <w:rFonts w:eastAsia="Times New Roman" w:cstheme="majorHAnsi"/>
          <w:sz w:val="18"/>
          <w:szCs w:val="18"/>
          <w:lang w:eastAsia="nl-NL"/>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9"/>
        <w:gridCol w:w="672"/>
        <w:gridCol w:w="660"/>
        <w:gridCol w:w="897"/>
        <w:gridCol w:w="891"/>
        <w:gridCol w:w="961"/>
        <w:gridCol w:w="961"/>
      </w:tblGrid>
      <w:tr w:rsidR="005118CB" w:rsidRPr="005118CB" w14:paraId="7BE0AD4D" w14:textId="77777777" w:rsidTr="005118CB">
        <w:trPr>
          <w:trHeight w:val="300"/>
        </w:trPr>
        <w:tc>
          <w:tcPr>
            <w:tcW w:w="0" w:type="auto"/>
            <w:gridSpan w:val="7"/>
            <w:tcBorders>
              <w:top w:val="single" w:sz="6" w:space="0" w:color="4472C4"/>
              <w:left w:val="single" w:sz="6" w:space="0" w:color="4472C4"/>
              <w:bottom w:val="single" w:sz="6" w:space="0" w:color="4472C4"/>
              <w:right w:val="nil"/>
            </w:tcBorders>
            <w:shd w:val="clear" w:color="auto" w:fill="4472C4"/>
            <w:hideMark/>
          </w:tcPr>
          <w:p w14:paraId="0AA17D0F" w14:textId="77777777" w:rsidR="005118CB" w:rsidRPr="005118CB" w:rsidRDefault="005118CB" w:rsidP="00056919">
            <w:pPr>
              <w:spacing w:after="0" w:line="240" w:lineRule="auto"/>
              <w:textAlignment w:val="baseline"/>
              <w:rPr>
                <w:rFonts w:eastAsia="Times New Roman" w:cstheme="majorHAnsi"/>
                <w:b/>
                <w:bCs/>
                <w:color w:val="FFFFFF"/>
                <w:lang w:val="nl-NL" w:eastAsia="nl-NL"/>
              </w:rPr>
            </w:pPr>
            <w:r w:rsidRPr="005118CB">
              <w:rPr>
                <w:rFonts w:eastAsia="Times New Roman" w:cstheme="majorHAnsi"/>
                <w:b/>
                <w:bCs/>
                <w:color w:val="FFFFFF"/>
                <w:lang w:eastAsia="nl-NL"/>
              </w:rPr>
              <w:t>Industry activity levels [YoY %]</w:t>
            </w:r>
            <w:r w:rsidRPr="005118CB">
              <w:rPr>
                <w:rFonts w:eastAsia="Times New Roman" w:cstheme="majorHAnsi"/>
                <w:b/>
                <w:bCs/>
                <w:color w:val="FFFFFF"/>
                <w:lang w:val="nl-NL" w:eastAsia="nl-NL"/>
              </w:rPr>
              <w:t> </w:t>
            </w:r>
          </w:p>
        </w:tc>
      </w:tr>
      <w:tr w:rsidR="005118CB" w:rsidRPr="005118CB" w14:paraId="14E89B3B" w14:textId="77777777" w:rsidTr="005118CB">
        <w:trPr>
          <w:trHeight w:val="450"/>
        </w:trPr>
        <w:tc>
          <w:tcPr>
            <w:tcW w:w="0" w:type="auto"/>
            <w:tcBorders>
              <w:top w:val="nil"/>
              <w:left w:val="single" w:sz="6" w:space="0" w:color="8EAADB"/>
              <w:bottom w:val="single" w:sz="6" w:space="0" w:color="8EAADB"/>
              <w:right w:val="single" w:sz="6" w:space="0" w:color="8EAADB"/>
            </w:tcBorders>
            <w:shd w:val="clear" w:color="auto" w:fill="D9E2F3"/>
            <w:hideMark/>
          </w:tcPr>
          <w:p w14:paraId="7565662B" w14:textId="77777777" w:rsidR="005118CB" w:rsidRPr="005118CB" w:rsidRDefault="005118CB" w:rsidP="00056919">
            <w:pPr>
              <w:spacing w:after="0" w:line="240" w:lineRule="auto"/>
              <w:jc w:val="right"/>
              <w:textAlignment w:val="baseline"/>
              <w:rPr>
                <w:rFonts w:eastAsia="Times New Roman" w:cstheme="majorHAnsi"/>
                <w:b/>
                <w:lang w:eastAsia="nl-NL"/>
              </w:rPr>
            </w:pPr>
            <w:r w:rsidRPr="005118CB">
              <w:rPr>
                <w:rFonts w:eastAsia="Times New Roman" w:cstheme="majorHAnsi"/>
                <w:b/>
                <w:color w:val="000000"/>
                <w:lang w:eastAsia="nl-NL"/>
              </w:rPr>
              <w:t> </w:t>
            </w:r>
          </w:p>
        </w:tc>
        <w:tc>
          <w:tcPr>
            <w:tcW w:w="0" w:type="auto"/>
            <w:gridSpan w:val="2"/>
            <w:tcBorders>
              <w:top w:val="nil"/>
              <w:left w:val="nil"/>
              <w:bottom w:val="single" w:sz="6" w:space="0" w:color="8EAADB"/>
              <w:right w:val="single" w:sz="6" w:space="0" w:color="8EAADB"/>
            </w:tcBorders>
            <w:shd w:val="clear" w:color="auto" w:fill="D9E2F3"/>
            <w:hideMark/>
          </w:tcPr>
          <w:p w14:paraId="4E0D81EC"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 Steel demand</w:t>
            </w:r>
            <w:r w:rsidRPr="005118CB">
              <w:rPr>
                <w:rFonts w:eastAsia="Times New Roman" w:cstheme="majorHAnsi"/>
                <w:color w:val="000000"/>
                <w:lang w:val="nl-NL" w:eastAsia="nl-NL"/>
              </w:rPr>
              <w:t> </w:t>
            </w:r>
          </w:p>
        </w:tc>
        <w:tc>
          <w:tcPr>
            <w:tcW w:w="0" w:type="auto"/>
            <w:gridSpan w:val="2"/>
            <w:tcBorders>
              <w:top w:val="nil"/>
              <w:left w:val="nil"/>
              <w:bottom w:val="single" w:sz="6" w:space="0" w:color="8EAADB"/>
              <w:right w:val="single" w:sz="6" w:space="0" w:color="8EAADB"/>
            </w:tcBorders>
            <w:shd w:val="clear" w:color="auto" w:fill="D9E2F3"/>
            <w:hideMark/>
          </w:tcPr>
          <w:p w14:paraId="773E0FC6"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Cement production</w:t>
            </w:r>
            <w:r w:rsidRPr="005118CB">
              <w:rPr>
                <w:rFonts w:eastAsia="Times New Roman" w:cstheme="majorHAnsi"/>
                <w:color w:val="000000"/>
                <w:lang w:val="nl-NL" w:eastAsia="nl-NL"/>
              </w:rPr>
              <w:t> </w:t>
            </w:r>
          </w:p>
        </w:tc>
        <w:tc>
          <w:tcPr>
            <w:tcW w:w="0" w:type="auto"/>
            <w:gridSpan w:val="2"/>
            <w:tcBorders>
              <w:top w:val="nil"/>
              <w:left w:val="nil"/>
              <w:bottom w:val="single" w:sz="6" w:space="0" w:color="8EAADB"/>
              <w:right w:val="single" w:sz="6" w:space="0" w:color="8EAADB"/>
            </w:tcBorders>
            <w:shd w:val="clear" w:color="auto" w:fill="D9E2F3"/>
            <w:hideMark/>
          </w:tcPr>
          <w:p w14:paraId="22F0255A"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Industrial production</w:t>
            </w:r>
            <w:r w:rsidRPr="005118CB">
              <w:rPr>
                <w:rFonts w:eastAsia="Times New Roman" w:cstheme="majorHAnsi"/>
                <w:color w:val="000000"/>
                <w:lang w:val="nl-NL" w:eastAsia="nl-NL"/>
              </w:rPr>
              <w:t> </w:t>
            </w:r>
          </w:p>
        </w:tc>
      </w:tr>
      <w:tr w:rsidR="005118CB" w:rsidRPr="005118CB" w14:paraId="6BB4CC85" w14:textId="77777777" w:rsidTr="005118CB">
        <w:trPr>
          <w:trHeight w:val="300"/>
        </w:trPr>
        <w:tc>
          <w:tcPr>
            <w:tcW w:w="0" w:type="auto"/>
            <w:tcBorders>
              <w:top w:val="nil"/>
              <w:left w:val="single" w:sz="6" w:space="0" w:color="8EAADB"/>
              <w:bottom w:val="single" w:sz="6" w:space="0" w:color="8EAADB"/>
              <w:right w:val="single" w:sz="6" w:space="0" w:color="8EAADB"/>
            </w:tcBorders>
            <w:shd w:val="clear" w:color="auto" w:fill="auto"/>
            <w:hideMark/>
          </w:tcPr>
          <w:p w14:paraId="3A97F33C" w14:textId="77777777" w:rsidR="005118CB" w:rsidRPr="005118CB" w:rsidRDefault="005118CB" w:rsidP="00056919">
            <w:pPr>
              <w:spacing w:after="0" w:line="240" w:lineRule="auto"/>
              <w:textAlignment w:val="baseline"/>
              <w:rPr>
                <w:rFonts w:eastAsia="Times New Roman" w:cstheme="majorHAnsi"/>
                <w:b/>
                <w:bCs/>
                <w:lang w:val="nl-NL" w:eastAsia="nl-NL"/>
              </w:rPr>
            </w:pPr>
            <w:r w:rsidRPr="005118CB">
              <w:rPr>
                <w:rFonts w:eastAsia="Times New Roman" w:cstheme="majorHAnsi"/>
                <w:b/>
                <w:bCs/>
                <w:color w:val="000000"/>
                <w:lang w:eastAsia="nl-NL"/>
              </w:rPr>
              <w:t> </w:t>
            </w:r>
            <w:r w:rsidRPr="005118CB">
              <w:rPr>
                <w:rFonts w:eastAsia="Times New Roman" w:cstheme="majorHAnsi"/>
                <w:b/>
                <w:bCs/>
                <w:color w:val="000000"/>
                <w:lang w:val="nl-NL" w:eastAsia="nl-NL"/>
              </w:rPr>
              <w:t> </w:t>
            </w:r>
          </w:p>
        </w:tc>
        <w:tc>
          <w:tcPr>
            <w:tcW w:w="0" w:type="auto"/>
            <w:tcBorders>
              <w:top w:val="nil"/>
              <w:left w:val="nil"/>
              <w:bottom w:val="single" w:sz="6" w:space="0" w:color="8EAADB"/>
              <w:right w:val="single" w:sz="6" w:space="0" w:color="8EAADB"/>
            </w:tcBorders>
            <w:shd w:val="clear" w:color="auto" w:fill="auto"/>
            <w:vAlign w:val="center"/>
            <w:hideMark/>
          </w:tcPr>
          <w:p w14:paraId="725B259A"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b/>
                <w:bCs/>
                <w:color w:val="000000"/>
                <w:lang w:val="nl-NL" w:eastAsia="nl-NL"/>
              </w:rPr>
              <w:t>2020</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vAlign w:val="center"/>
            <w:hideMark/>
          </w:tcPr>
          <w:p w14:paraId="2DBE78DC"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b/>
                <w:bCs/>
                <w:color w:val="000000"/>
                <w:lang w:val="nl-NL" w:eastAsia="nl-NL"/>
              </w:rPr>
              <w:t>2021</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vAlign w:val="center"/>
            <w:hideMark/>
          </w:tcPr>
          <w:p w14:paraId="7F2F69C2"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b/>
                <w:bCs/>
                <w:color w:val="000000"/>
                <w:lang w:val="nl-NL" w:eastAsia="nl-NL"/>
              </w:rPr>
              <w:t>2020</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vAlign w:val="center"/>
            <w:hideMark/>
          </w:tcPr>
          <w:p w14:paraId="58F92F83"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b/>
                <w:bCs/>
                <w:color w:val="000000"/>
                <w:lang w:val="nl-NL" w:eastAsia="nl-NL"/>
              </w:rPr>
              <w:t>2021</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vAlign w:val="center"/>
            <w:hideMark/>
          </w:tcPr>
          <w:p w14:paraId="6AA08E20"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b/>
                <w:bCs/>
                <w:color w:val="000000"/>
                <w:lang w:val="nl-NL" w:eastAsia="nl-NL"/>
              </w:rPr>
              <w:t>2020</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vAlign w:val="center"/>
            <w:hideMark/>
          </w:tcPr>
          <w:p w14:paraId="2C796427"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b/>
                <w:bCs/>
                <w:color w:val="000000"/>
                <w:lang w:val="nl-NL" w:eastAsia="nl-NL"/>
              </w:rPr>
              <w:t>2021</w:t>
            </w:r>
            <w:r w:rsidRPr="005118CB">
              <w:rPr>
                <w:rFonts w:eastAsia="Times New Roman" w:cstheme="majorHAnsi"/>
                <w:color w:val="000000"/>
                <w:lang w:val="nl-NL" w:eastAsia="nl-NL"/>
              </w:rPr>
              <w:t> </w:t>
            </w:r>
          </w:p>
        </w:tc>
      </w:tr>
      <w:tr w:rsidR="005118CB" w:rsidRPr="005118CB" w14:paraId="4471F815" w14:textId="77777777" w:rsidTr="005118CB">
        <w:trPr>
          <w:trHeight w:val="300"/>
        </w:trPr>
        <w:tc>
          <w:tcPr>
            <w:tcW w:w="0" w:type="auto"/>
            <w:tcBorders>
              <w:top w:val="nil"/>
              <w:left w:val="single" w:sz="6" w:space="0" w:color="8EAADB"/>
              <w:bottom w:val="single" w:sz="6" w:space="0" w:color="8EAADB"/>
              <w:right w:val="single" w:sz="6" w:space="0" w:color="8EAADB"/>
            </w:tcBorders>
            <w:shd w:val="clear" w:color="auto" w:fill="D9E2F3"/>
            <w:hideMark/>
          </w:tcPr>
          <w:p w14:paraId="12170CC5" w14:textId="77777777" w:rsidR="005118CB" w:rsidRPr="005118CB" w:rsidRDefault="005118CB" w:rsidP="00056919">
            <w:pPr>
              <w:spacing w:after="0" w:line="240" w:lineRule="auto"/>
              <w:textAlignment w:val="baseline"/>
              <w:rPr>
                <w:rFonts w:eastAsia="Times New Roman" w:cstheme="majorHAnsi"/>
                <w:b/>
                <w:bCs/>
                <w:lang w:val="nl-NL" w:eastAsia="nl-NL"/>
              </w:rPr>
            </w:pPr>
            <w:r w:rsidRPr="005118CB">
              <w:rPr>
                <w:rFonts w:eastAsia="Times New Roman" w:cstheme="majorHAnsi"/>
                <w:b/>
                <w:bCs/>
                <w:color w:val="000000"/>
                <w:lang w:val="nl-NL" w:eastAsia="nl-NL"/>
              </w:rPr>
              <w:t>Canada </w:t>
            </w:r>
          </w:p>
        </w:tc>
        <w:tc>
          <w:tcPr>
            <w:tcW w:w="0" w:type="auto"/>
            <w:tcBorders>
              <w:top w:val="nil"/>
              <w:left w:val="nil"/>
              <w:bottom w:val="single" w:sz="6" w:space="0" w:color="8EAADB"/>
              <w:right w:val="single" w:sz="6" w:space="0" w:color="8EAADB"/>
            </w:tcBorders>
            <w:shd w:val="clear" w:color="auto" w:fill="D9E2F3"/>
            <w:vAlign w:val="center"/>
            <w:hideMark/>
          </w:tcPr>
          <w:p w14:paraId="19519E30"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-16</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vAlign w:val="center"/>
            <w:hideMark/>
          </w:tcPr>
          <w:p w14:paraId="6B2E48E3"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7</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vAlign w:val="center"/>
            <w:hideMark/>
          </w:tcPr>
          <w:p w14:paraId="69AF282B"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-3</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vAlign w:val="center"/>
            <w:hideMark/>
          </w:tcPr>
          <w:p w14:paraId="7FA4F5A0"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1</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vAlign w:val="center"/>
            <w:hideMark/>
          </w:tcPr>
          <w:p w14:paraId="766FEC90"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-9</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vAlign w:val="center"/>
            <w:hideMark/>
          </w:tcPr>
          <w:p w14:paraId="3ED350D1"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3</w:t>
            </w:r>
            <w:r w:rsidRPr="005118CB">
              <w:rPr>
                <w:rFonts w:eastAsia="Times New Roman" w:cstheme="majorHAnsi"/>
                <w:color w:val="000000"/>
                <w:lang w:val="nl-NL" w:eastAsia="nl-NL"/>
              </w:rPr>
              <w:t> </w:t>
            </w:r>
          </w:p>
        </w:tc>
      </w:tr>
      <w:tr w:rsidR="005118CB" w:rsidRPr="005118CB" w14:paraId="21D07B23" w14:textId="77777777" w:rsidTr="005118CB">
        <w:trPr>
          <w:trHeight w:val="300"/>
        </w:trPr>
        <w:tc>
          <w:tcPr>
            <w:tcW w:w="0" w:type="auto"/>
            <w:tcBorders>
              <w:top w:val="nil"/>
              <w:left w:val="single" w:sz="6" w:space="0" w:color="8EAADB"/>
              <w:bottom w:val="single" w:sz="6" w:space="0" w:color="8EAADB"/>
              <w:right w:val="single" w:sz="6" w:space="0" w:color="8EAADB"/>
            </w:tcBorders>
            <w:shd w:val="clear" w:color="auto" w:fill="auto"/>
            <w:hideMark/>
          </w:tcPr>
          <w:p w14:paraId="63470B8D" w14:textId="77777777" w:rsidR="005118CB" w:rsidRPr="005118CB" w:rsidRDefault="005118CB" w:rsidP="00056919">
            <w:pPr>
              <w:spacing w:after="0" w:line="240" w:lineRule="auto"/>
              <w:textAlignment w:val="baseline"/>
              <w:rPr>
                <w:rFonts w:eastAsia="Times New Roman" w:cstheme="majorHAnsi"/>
                <w:b/>
                <w:bCs/>
                <w:lang w:val="nl-NL" w:eastAsia="nl-NL"/>
              </w:rPr>
            </w:pPr>
            <w:r w:rsidRPr="005118CB">
              <w:rPr>
                <w:rFonts w:eastAsia="Times New Roman" w:cstheme="majorHAnsi"/>
                <w:b/>
                <w:bCs/>
                <w:color w:val="000000"/>
                <w:lang w:val="nl-NL" w:eastAsia="nl-NL"/>
              </w:rPr>
              <w:t>USA </w:t>
            </w:r>
          </w:p>
        </w:tc>
        <w:tc>
          <w:tcPr>
            <w:tcW w:w="0" w:type="auto"/>
            <w:tcBorders>
              <w:top w:val="nil"/>
              <w:left w:val="nil"/>
              <w:bottom w:val="single" w:sz="6" w:space="0" w:color="8EAADB"/>
              <w:right w:val="single" w:sz="6" w:space="0" w:color="8EAADB"/>
            </w:tcBorders>
            <w:shd w:val="clear" w:color="auto" w:fill="auto"/>
            <w:vAlign w:val="center"/>
            <w:hideMark/>
          </w:tcPr>
          <w:p w14:paraId="37931CD4"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-16</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vAlign w:val="center"/>
            <w:hideMark/>
          </w:tcPr>
          <w:p w14:paraId="21C5CD7B"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7</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vAlign w:val="center"/>
            <w:hideMark/>
          </w:tcPr>
          <w:p w14:paraId="3C68A0B4"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-1.50</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vAlign w:val="center"/>
            <w:hideMark/>
          </w:tcPr>
          <w:p w14:paraId="14E9FC00"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-1</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vAlign w:val="center"/>
            <w:hideMark/>
          </w:tcPr>
          <w:p w14:paraId="6F7540F9"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-8</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vAlign w:val="center"/>
            <w:hideMark/>
          </w:tcPr>
          <w:p w14:paraId="004A7A69"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2.5</w:t>
            </w:r>
            <w:r w:rsidRPr="005118CB">
              <w:rPr>
                <w:rFonts w:eastAsia="Times New Roman" w:cstheme="majorHAnsi"/>
                <w:color w:val="000000"/>
                <w:lang w:val="nl-NL" w:eastAsia="nl-NL"/>
              </w:rPr>
              <w:t> </w:t>
            </w:r>
          </w:p>
        </w:tc>
      </w:tr>
      <w:tr w:rsidR="005118CB" w:rsidRPr="005118CB" w14:paraId="34E0DDC2" w14:textId="77777777" w:rsidTr="005118CB">
        <w:trPr>
          <w:trHeight w:val="300"/>
        </w:trPr>
        <w:tc>
          <w:tcPr>
            <w:tcW w:w="0" w:type="auto"/>
            <w:tcBorders>
              <w:top w:val="nil"/>
              <w:left w:val="single" w:sz="6" w:space="0" w:color="8EAADB"/>
              <w:bottom w:val="single" w:sz="6" w:space="0" w:color="8EAADB"/>
              <w:right w:val="single" w:sz="6" w:space="0" w:color="8EAADB"/>
            </w:tcBorders>
            <w:shd w:val="clear" w:color="auto" w:fill="D9E2F3"/>
            <w:hideMark/>
          </w:tcPr>
          <w:p w14:paraId="5610AE87" w14:textId="77777777" w:rsidR="005118CB" w:rsidRPr="005118CB" w:rsidRDefault="005118CB" w:rsidP="00056919">
            <w:pPr>
              <w:spacing w:after="0" w:line="240" w:lineRule="auto"/>
              <w:textAlignment w:val="baseline"/>
              <w:rPr>
                <w:rFonts w:eastAsia="Times New Roman" w:cstheme="majorHAnsi"/>
                <w:b/>
                <w:bCs/>
                <w:lang w:val="nl-NL" w:eastAsia="nl-NL"/>
              </w:rPr>
            </w:pPr>
            <w:r w:rsidRPr="005118CB">
              <w:rPr>
                <w:rFonts w:eastAsia="Times New Roman" w:cstheme="majorHAnsi"/>
                <w:b/>
                <w:bCs/>
                <w:color w:val="000000"/>
                <w:lang w:val="nl-NL" w:eastAsia="nl-NL"/>
              </w:rPr>
              <w:t>Mexico </w:t>
            </w:r>
          </w:p>
        </w:tc>
        <w:tc>
          <w:tcPr>
            <w:tcW w:w="0" w:type="auto"/>
            <w:tcBorders>
              <w:top w:val="nil"/>
              <w:left w:val="nil"/>
              <w:bottom w:val="single" w:sz="6" w:space="0" w:color="8EAADB"/>
              <w:right w:val="single" w:sz="6" w:space="0" w:color="8EAADB"/>
            </w:tcBorders>
            <w:shd w:val="clear" w:color="auto" w:fill="D9E2F3"/>
            <w:vAlign w:val="center"/>
            <w:hideMark/>
          </w:tcPr>
          <w:p w14:paraId="59044F74"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-13</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vAlign w:val="center"/>
            <w:hideMark/>
          </w:tcPr>
          <w:p w14:paraId="1568E9E3"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7</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vAlign w:val="center"/>
            <w:hideMark/>
          </w:tcPr>
          <w:p w14:paraId="74E16DA6"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-6</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vAlign w:val="center"/>
            <w:hideMark/>
          </w:tcPr>
          <w:p w14:paraId="07385E63"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2</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vAlign w:val="center"/>
            <w:hideMark/>
          </w:tcPr>
          <w:p w14:paraId="1889B0CB"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-12</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vAlign w:val="center"/>
            <w:hideMark/>
          </w:tcPr>
          <w:p w14:paraId="75501164"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4</w:t>
            </w:r>
            <w:r w:rsidRPr="005118CB">
              <w:rPr>
                <w:rFonts w:eastAsia="Times New Roman" w:cstheme="majorHAnsi"/>
                <w:color w:val="000000"/>
                <w:lang w:val="nl-NL" w:eastAsia="nl-NL"/>
              </w:rPr>
              <w:t> </w:t>
            </w:r>
          </w:p>
        </w:tc>
      </w:tr>
      <w:tr w:rsidR="005118CB" w:rsidRPr="005118CB" w14:paraId="55D79F72" w14:textId="77777777" w:rsidTr="005118CB">
        <w:trPr>
          <w:trHeight w:val="300"/>
        </w:trPr>
        <w:tc>
          <w:tcPr>
            <w:tcW w:w="0" w:type="auto"/>
            <w:tcBorders>
              <w:top w:val="nil"/>
              <w:left w:val="single" w:sz="6" w:space="0" w:color="8EAADB"/>
              <w:bottom w:val="single" w:sz="6" w:space="0" w:color="8EAADB"/>
              <w:right w:val="single" w:sz="6" w:space="0" w:color="8EAADB"/>
            </w:tcBorders>
            <w:shd w:val="clear" w:color="auto" w:fill="auto"/>
            <w:hideMark/>
          </w:tcPr>
          <w:p w14:paraId="31A837B7" w14:textId="77777777" w:rsidR="005118CB" w:rsidRPr="005118CB" w:rsidRDefault="005118CB" w:rsidP="00056919">
            <w:pPr>
              <w:spacing w:after="0" w:line="240" w:lineRule="auto"/>
              <w:textAlignment w:val="baseline"/>
              <w:rPr>
                <w:rFonts w:eastAsia="Times New Roman" w:cstheme="majorHAnsi"/>
                <w:b/>
                <w:bCs/>
                <w:lang w:val="nl-NL" w:eastAsia="nl-NL"/>
              </w:rPr>
            </w:pPr>
            <w:r w:rsidRPr="005118CB">
              <w:rPr>
                <w:rFonts w:eastAsia="Times New Roman" w:cstheme="majorHAnsi"/>
                <w:b/>
                <w:bCs/>
                <w:color w:val="000000"/>
                <w:lang w:val="nl-NL" w:eastAsia="nl-NL"/>
              </w:rPr>
              <w:t>Rest C. America </w:t>
            </w:r>
          </w:p>
        </w:tc>
        <w:tc>
          <w:tcPr>
            <w:tcW w:w="0" w:type="auto"/>
            <w:tcBorders>
              <w:top w:val="nil"/>
              <w:left w:val="nil"/>
              <w:bottom w:val="single" w:sz="6" w:space="0" w:color="8EAADB"/>
              <w:right w:val="single" w:sz="6" w:space="0" w:color="8EAADB"/>
            </w:tcBorders>
            <w:shd w:val="clear" w:color="auto" w:fill="auto"/>
            <w:vAlign w:val="center"/>
            <w:hideMark/>
          </w:tcPr>
          <w:p w14:paraId="1D6E31F6"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-10</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vAlign w:val="center"/>
            <w:hideMark/>
          </w:tcPr>
          <w:p w14:paraId="277F72F9"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8</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vAlign w:val="center"/>
            <w:hideMark/>
          </w:tcPr>
          <w:p w14:paraId="5F6A94AB"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-6</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vAlign w:val="center"/>
            <w:hideMark/>
          </w:tcPr>
          <w:p w14:paraId="16D658A3"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2</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vAlign w:val="center"/>
            <w:hideMark/>
          </w:tcPr>
          <w:p w14:paraId="38132A00"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0</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vAlign w:val="center"/>
            <w:hideMark/>
          </w:tcPr>
          <w:p w14:paraId="523F1219"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0</w:t>
            </w:r>
            <w:r w:rsidRPr="005118CB">
              <w:rPr>
                <w:rFonts w:eastAsia="Times New Roman" w:cstheme="majorHAnsi"/>
                <w:color w:val="000000"/>
                <w:lang w:val="nl-NL" w:eastAsia="nl-NL"/>
              </w:rPr>
              <w:t> </w:t>
            </w:r>
          </w:p>
        </w:tc>
      </w:tr>
      <w:tr w:rsidR="005118CB" w:rsidRPr="005118CB" w14:paraId="7A5297A6" w14:textId="77777777" w:rsidTr="005118CB">
        <w:trPr>
          <w:trHeight w:val="300"/>
        </w:trPr>
        <w:tc>
          <w:tcPr>
            <w:tcW w:w="0" w:type="auto"/>
            <w:tcBorders>
              <w:top w:val="nil"/>
              <w:left w:val="single" w:sz="6" w:space="0" w:color="8EAADB"/>
              <w:bottom w:val="single" w:sz="6" w:space="0" w:color="8EAADB"/>
              <w:right w:val="single" w:sz="6" w:space="0" w:color="8EAADB"/>
            </w:tcBorders>
            <w:shd w:val="clear" w:color="auto" w:fill="D9E2F3"/>
            <w:hideMark/>
          </w:tcPr>
          <w:p w14:paraId="4C0CABA9" w14:textId="77777777" w:rsidR="005118CB" w:rsidRPr="005118CB" w:rsidRDefault="005118CB" w:rsidP="00056919">
            <w:pPr>
              <w:spacing w:after="0" w:line="240" w:lineRule="auto"/>
              <w:textAlignment w:val="baseline"/>
              <w:rPr>
                <w:rFonts w:eastAsia="Times New Roman" w:cstheme="majorHAnsi"/>
                <w:b/>
                <w:bCs/>
                <w:lang w:val="nl-NL" w:eastAsia="nl-NL"/>
              </w:rPr>
            </w:pPr>
            <w:r w:rsidRPr="005118CB">
              <w:rPr>
                <w:rFonts w:eastAsia="Times New Roman" w:cstheme="majorHAnsi"/>
                <w:b/>
                <w:bCs/>
                <w:color w:val="000000"/>
                <w:lang w:val="nl-NL" w:eastAsia="nl-NL"/>
              </w:rPr>
              <w:t>Brazil </w:t>
            </w:r>
          </w:p>
        </w:tc>
        <w:tc>
          <w:tcPr>
            <w:tcW w:w="0" w:type="auto"/>
            <w:tcBorders>
              <w:top w:val="nil"/>
              <w:left w:val="nil"/>
              <w:bottom w:val="single" w:sz="6" w:space="0" w:color="8EAADB"/>
              <w:right w:val="single" w:sz="6" w:space="0" w:color="8EAADB"/>
            </w:tcBorders>
            <w:shd w:val="clear" w:color="auto" w:fill="D9E2F3"/>
            <w:vAlign w:val="center"/>
            <w:hideMark/>
          </w:tcPr>
          <w:p w14:paraId="1D2244AB"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-10</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vAlign w:val="center"/>
            <w:hideMark/>
          </w:tcPr>
          <w:p w14:paraId="46B11888"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8</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vAlign w:val="center"/>
            <w:hideMark/>
          </w:tcPr>
          <w:p w14:paraId="1306ED07"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-6</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vAlign w:val="center"/>
            <w:hideMark/>
          </w:tcPr>
          <w:p w14:paraId="0BBFF44C"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2</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vAlign w:val="center"/>
            <w:hideMark/>
          </w:tcPr>
          <w:p w14:paraId="5E0BB76A"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-7.5</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vAlign w:val="center"/>
            <w:hideMark/>
          </w:tcPr>
          <w:p w14:paraId="02883301"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2.5</w:t>
            </w:r>
            <w:r w:rsidRPr="005118CB">
              <w:rPr>
                <w:rFonts w:eastAsia="Times New Roman" w:cstheme="majorHAnsi"/>
                <w:color w:val="000000"/>
                <w:lang w:val="nl-NL" w:eastAsia="nl-NL"/>
              </w:rPr>
              <w:t> </w:t>
            </w:r>
          </w:p>
        </w:tc>
      </w:tr>
      <w:tr w:rsidR="005118CB" w:rsidRPr="005118CB" w14:paraId="2C0F9E8F" w14:textId="77777777" w:rsidTr="005118CB">
        <w:trPr>
          <w:trHeight w:val="300"/>
        </w:trPr>
        <w:tc>
          <w:tcPr>
            <w:tcW w:w="0" w:type="auto"/>
            <w:tcBorders>
              <w:top w:val="nil"/>
              <w:left w:val="single" w:sz="6" w:space="0" w:color="8EAADB"/>
              <w:bottom w:val="single" w:sz="6" w:space="0" w:color="8EAADB"/>
              <w:right w:val="single" w:sz="6" w:space="0" w:color="8EAADB"/>
            </w:tcBorders>
            <w:shd w:val="clear" w:color="auto" w:fill="auto"/>
            <w:hideMark/>
          </w:tcPr>
          <w:p w14:paraId="4D90AEC5" w14:textId="77777777" w:rsidR="005118CB" w:rsidRPr="005118CB" w:rsidRDefault="005118CB" w:rsidP="00056919">
            <w:pPr>
              <w:spacing w:after="0" w:line="240" w:lineRule="auto"/>
              <w:textAlignment w:val="baseline"/>
              <w:rPr>
                <w:rFonts w:eastAsia="Times New Roman" w:cstheme="majorHAnsi"/>
                <w:b/>
                <w:bCs/>
                <w:lang w:val="nl-NL" w:eastAsia="nl-NL"/>
              </w:rPr>
            </w:pPr>
            <w:r w:rsidRPr="005118CB">
              <w:rPr>
                <w:rFonts w:eastAsia="Times New Roman" w:cstheme="majorHAnsi"/>
                <w:b/>
                <w:bCs/>
                <w:color w:val="000000"/>
                <w:lang w:val="nl-NL" w:eastAsia="nl-NL"/>
              </w:rPr>
              <w:t>Rest S. America </w:t>
            </w:r>
          </w:p>
        </w:tc>
        <w:tc>
          <w:tcPr>
            <w:tcW w:w="0" w:type="auto"/>
            <w:tcBorders>
              <w:top w:val="nil"/>
              <w:left w:val="nil"/>
              <w:bottom w:val="single" w:sz="6" w:space="0" w:color="8EAADB"/>
              <w:right w:val="single" w:sz="6" w:space="0" w:color="8EAADB"/>
            </w:tcBorders>
            <w:shd w:val="clear" w:color="auto" w:fill="auto"/>
            <w:vAlign w:val="center"/>
            <w:hideMark/>
          </w:tcPr>
          <w:p w14:paraId="428D91F5"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-10</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vAlign w:val="center"/>
            <w:hideMark/>
          </w:tcPr>
          <w:p w14:paraId="4C254E67"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8</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vAlign w:val="center"/>
            <w:hideMark/>
          </w:tcPr>
          <w:p w14:paraId="4E3D9C8F"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-6</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vAlign w:val="center"/>
            <w:hideMark/>
          </w:tcPr>
          <w:p w14:paraId="2CABFD4E"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2</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vAlign w:val="center"/>
            <w:hideMark/>
          </w:tcPr>
          <w:p w14:paraId="5D216DA1"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-2</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vAlign w:val="center"/>
            <w:hideMark/>
          </w:tcPr>
          <w:p w14:paraId="6677A096"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1</w:t>
            </w:r>
            <w:r w:rsidRPr="005118CB">
              <w:rPr>
                <w:rFonts w:eastAsia="Times New Roman" w:cstheme="majorHAnsi"/>
                <w:color w:val="000000"/>
                <w:lang w:val="nl-NL" w:eastAsia="nl-NL"/>
              </w:rPr>
              <w:t> </w:t>
            </w:r>
          </w:p>
        </w:tc>
      </w:tr>
      <w:tr w:rsidR="005118CB" w:rsidRPr="005118CB" w14:paraId="28AE917B" w14:textId="77777777" w:rsidTr="005118CB">
        <w:trPr>
          <w:trHeight w:val="300"/>
        </w:trPr>
        <w:tc>
          <w:tcPr>
            <w:tcW w:w="0" w:type="auto"/>
            <w:tcBorders>
              <w:top w:val="nil"/>
              <w:left w:val="single" w:sz="6" w:space="0" w:color="8EAADB"/>
              <w:bottom w:val="single" w:sz="6" w:space="0" w:color="8EAADB"/>
              <w:right w:val="single" w:sz="6" w:space="0" w:color="8EAADB"/>
            </w:tcBorders>
            <w:shd w:val="clear" w:color="auto" w:fill="D9E2F3"/>
            <w:hideMark/>
          </w:tcPr>
          <w:p w14:paraId="6E42985B" w14:textId="77777777" w:rsidR="005118CB" w:rsidRPr="005118CB" w:rsidRDefault="005118CB" w:rsidP="00056919">
            <w:pPr>
              <w:spacing w:after="0" w:line="240" w:lineRule="auto"/>
              <w:textAlignment w:val="baseline"/>
              <w:rPr>
                <w:rFonts w:eastAsia="Times New Roman" w:cstheme="majorHAnsi"/>
                <w:b/>
                <w:bCs/>
                <w:lang w:val="nl-NL" w:eastAsia="nl-NL"/>
              </w:rPr>
            </w:pPr>
            <w:r w:rsidRPr="005118CB">
              <w:rPr>
                <w:rFonts w:eastAsia="Times New Roman" w:cstheme="majorHAnsi"/>
                <w:b/>
                <w:bCs/>
                <w:color w:val="000000"/>
                <w:lang w:val="nl-NL" w:eastAsia="nl-NL"/>
              </w:rPr>
              <w:t>Northern Africa </w:t>
            </w:r>
          </w:p>
        </w:tc>
        <w:tc>
          <w:tcPr>
            <w:tcW w:w="0" w:type="auto"/>
            <w:tcBorders>
              <w:top w:val="nil"/>
              <w:left w:val="nil"/>
              <w:bottom w:val="single" w:sz="6" w:space="0" w:color="8EAADB"/>
              <w:right w:val="single" w:sz="6" w:space="0" w:color="8EAADB"/>
            </w:tcBorders>
            <w:shd w:val="clear" w:color="auto" w:fill="D9E2F3"/>
            <w:vAlign w:val="center"/>
            <w:hideMark/>
          </w:tcPr>
          <w:p w14:paraId="0BDBD50C"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-16</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vAlign w:val="center"/>
            <w:hideMark/>
          </w:tcPr>
          <w:p w14:paraId="0B88D5C0"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9</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vAlign w:val="center"/>
            <w:hideMark/>
          </w:tcPr>
          <w:p w14:paraId="1B7CD68F"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-7</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vAlign w:val="center"/>
            <w:hideMark/>
          </w:tcPr>
          <w:p w14:paraId="1F3FDB15"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2</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vAlign w:val="center"/>
            <w:hideMark/>
          </w:tcPr>
          <w:p w14:paraId="6FC471C5"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-15</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vAlign w:val="center"/>
            <w:hideMark/>
          </w:tcPr>
          <w:p w14:paraId="5E4D74CC"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5</w:t>
            </w:r>
            <w:r w:rsidRPr="005118CB">
              <w:rPr>
                <w:rFonts w:eastAsia="Times New Roman" w:cstheme="majorHAnsi"/>
                <w:color w:val="000000"/>
                <w:lang w:val="nl-NL" w:eastAsia="nl-NL"/>
              </w:rPr>
              <w:t> </w:t>
            </w:r>
          </w:p>
        </w:tc>
      </w:tr>
      <w:tr w:rsidR="005118CB" w:rsidRPr="005118CB" w14:paraId="76328D24" w14:textId="77777777" w:rsidTr="005118CB">
        <w:trPr>
          <w:trHeight w:val="300"/>
        </w:trPr>
        <w:tc>
          <w:tcPr>
            <w:tcW w:w="0" w:type="auto"/>
            <w:tcBorders>
              <w:top w:val="nil"/>
              <w:left w:val="single" w:sz="6" w:space="0" w:color="8EAADB"/>
              <w:bottom w:val="single" w:sz="6" w:space="0" w:color="8EAADB"/>
              <w:right w:val="single" w:sz="6" w:space="0" w:color="8EAADB"/>
            </w:tcBorders>
            <w:shd w:val="clear" w:color="auto" w:fill="auto"/>
            <w:hideMark/>
          </w:tcPr>
          <w:p w14:paraId="4C0FE81C" w14:textId="77777777" w:rsidR="005118CB" w:rsidRPr="005118CB" w:rsidRDefault="005118CB" w:rsidP="00056919">
            <w:pPr>
              <w:spacing w:after="0" w:line="240" w:lineRule="auto"/>
              <w:textAlignment w:val="baseline"/>
              <w:rPr>
                <w:rFonts w:eastAsia="Times New Roman" w:cstheme="majorHAnsi"/>
                <w:b/>
                <w:bCs/>
                <w:lang w:val="nl-NL" w:eastAsia="nl-NL"/>
              </w:rPr>
            </w:pPr>
            <w:r w:rsidRPr="005118CB">
              <w:rPr>
                <w:rFonts w:eastAsia="Times New Roman" w:cstheme="majorHAnsi"/>
                <w:b/>
                <w:bCs/>
                <w:color w:val="000000"/>
                <w:lang w:val="nl-NL" w:eastAsia="nl-NL"/>
              </w:rPr>
              <w:t>Western Africa </w:t>
            </w:r>
          </w:p>
        </w:tc>
        <w:tc>
          <w:tcPr>
            <w:tcW w:w="0" w:type="auto"/>
            <w:tcBorders>
              <w:top w:val="nil"/>
              <w:left w:val="nil"/>
              <w:bottom w:val="single" w:sz="6" w:space="0" w:color="8EAADB"/>
              <w:right w:val="single" w:sz="6" w:space="0" w:color="8EAADB"/>
            </w:tcBorders>
            <w:shd w:val="clear" w:color="auto" w:fill="auto"/>
            <w:vAlign w:val="center"/>
            <w:hideMark/>
          </w:tcPr>
          <w:p w14:paraId="19485E81"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-16</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vAlign w:val="center"/>
            <w:hideMark/>
          </w:tcPr>
          <w:p w14:paraId="085E36A9"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9</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vAlign w:val="center"/>
            <w:hideMark/>
          </w:tcPr>
          <w:p w14:paraId="2163A2ED"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0</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vAlign w:val="center"/>
            <w:hideMark/>
          </w:tcPr>
          <w:p w14:paraId="066E140D"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0</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vAlign w:val="center"/>
            <w:hideMark/>
          </w:tcPr>
          <w:p w14:paraId="4803E1CE"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8</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vAlign w:val="center"/>
            <w:hideMark/>
          </w:tcPr>
          <w:p w14:paraId="57FA86AF"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-3</w:t>
            </w:r>
            <w:r w:rsidRPr="005118CB">
              <w:rPr>
                <w:rFonts w:eastAsia="Times New Roman" w:cstheme="majorHAnsi"/>
                <w:color w:val="000000"/>
                <w:lang w:val="nl-NL" w:eastAsia="nl-NL"/>
              </w:rPr>
              <w:t> </w:t>
            </w:r>
          </w:p>
        </w:tc>
      </w:tr>
      <w:tr w:rsidR="005118CB" w:rsidRPr="005118CB" w14:paraId="31975040" w14:textId="77777777" w:rsidTr="005118CB">
        <w:trPr>
          <w:trHeight w:val="300"/>
        </w:trPr>
        <w:tc>
          <w:tcPr>
            <w:tcW w:w="0" w:type="auto"/>
            <w:tcBorders>
              <w:top w:val="nil"/>
              <w:left w:val="single" w:sz="6" w:space="0" w:color="8EAADB"/>
              <w:bottom w:val="single" w:sz="6" w:space="0" w:color="8EAADB"/>
              <w:right w:val="single" w:sz="6" w:space="0" w:color="8EAADB"/>
            </w:tcBorders>
            <w:shd w:val="clear" w:color="auto" w:fill="D9E2F3"/>
            <w:hideMark/>
          </w:tcPr>
          <w:p w14:paraId="0C5D8256" w14:textId="77777777" w:rsidR="005118CB" w:rsidRPr="005118CB" w:rsidRDefault="005118CB" w:rsidP="00056919">
            <w:pPr>
              <w:spacing w:after="0" w:line="240" w:lineRule="auto"/>
              <w:textAlignment w:val="baseline"/>
              <w:rPr>
                <w:rFonts w:eastAsia="Times New Roman" w:cstheme="majorHAnsi"/>
                <w:b/>
                <w:bCs/>
                <w:lang w:val="nl-NL" w:eastAsia="nl-NL"/>
              </w:rPr>
            </w:pPr>
            <w:r w:rsidRPr="005118CB">
              <w:rPr>
                <w:rFonts w:eastAsia="Times New Roman" w:cstheme="majorHAnsi"/>
                <w:b/>
                <w:bCs/>
                <w:color w:val="000000"/>
                <w:lang w:val="nl-NL" w:eastAsia="nl-NL"/>
              </w:rPr>
              <w:t>Eastern Africa </w:t>
            </w:r>
          </w:p>
        </w:tc>
        <w:tc>
          <w:tcPr>
            <w:tcW w:w="0" w:type="auto"/>
            <w:tcBorders>
              <w:top w:val="nil"/>
              <w:left w:val="nil"/>
              <w:bottom w:val="single" w:sz="6" w:space="0" w:color="8EAADB"/>
              <w:right w:val="single" w:sz="6" w:space="0" w:color="8EAADB"/>
            </w:tcBorders>
            <w:shd w:val="clear" w:color="auto" w:fill="D9E2F3"/>
            <w:vAlign w:val="center"/>
            <w:hideMark/>
          </w:tcPr>
          <w:p w14:paraId="7A5DD237"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-16</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vAlign w:val="center"/>
            <w:hideMark/>
          </w:tcPr>
          <w:p w14:paraId="7C5671ED"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9</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vAlign w:val="center"/>
            <w:hideMark/>
          </w:tcPr>
          <w:p w14:paraId="1B5D8B4F"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0</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vAlign w:val="center"/>
            <w:hideMark/>
          </w:tcPr>
          <w:p w14:paraId="6EB61310"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0</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vAlign w:val="center"/>
            <w:hideMark/>
          </w:tcPr>
          <w:p w14:paraId="5A0643F2"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0</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vAlign w:val="center"/>
            <w:hideMark/>
          </w:tcPr>
          <w:p w14:paraId="3D6993EC"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0</w:t>
            </w:r>
            <w:r w:rsidRPr="005118CB">
              <w:rPr>
                <w:rFonts w:eastAsia="Times New Roman" w:cstheme="majorHAnsi"/>
                <w:color w:val="000000"/>
                <w:lang w:val="nl-NL" w:eastAsia="nl-NL"/>
              </w:rPr>
              <w:t> </w:t>
            </w:r>
          </w:p>
        </w:tc>
      </w:tr>
      <w:tr w:rsidR="005118CB" w:rsidRPr="005118CB" w14:paraId="6D1E8938" w14:textId="77777777" w:rsidTr="005118CB">
        <w:trPr>
          <w:trHeight w:val="300"/>
        </w:trPr>
        <w:tc>
          <w:tcPr>
            <w:tcW w:w="0" w:type="auto"/>
            <w:tcBorders>
              <w:top w:val="nil"/>
              <w:left w:val="single" w:sz="6" w:space="0" w:color="8EAADB"/>
              <w:bottom w:val="single" w:sz="6" w:space="0" w:color="8EAADB"/>
              <w:right w:val="single" w:sz="6" w:space="0" w:color="8EAADB"/>
            </w:tcBorders>
            <w:shd w:val="clear" w:color="auto" w:fill="auto"/>
            <w:hideMark/>
          </w:tcPr>
          <w:p w14:paraId="14EE75B4" w14:textId="77777777" w:rsidR="005118CB" w:rsidRPr="005118CB" w:rsidRDefault="005118CB" w:rsidP="00056919">
            <w:pPr>
              <w:spacing w:after="0" w:line="240" w:lineRule="auto"/>
              <w:textAlignment w:val="baseline"/>
              <w:rPr>
                <w:rFonts w:eastAsia="Times New Roman" w:cstheme="majorHAnsi"/>
                <w:b/>
                <w:bCs/>
                <w:lang w:val="nl-NL" w:eastAsia="nl-NL"/>
              </w:rPr>
            </w:pPr>
            <w:r w:rsidRPr="005118CB">
              <w:rPr>
                <w:rFonts w:eastAsia="Times New Roman" w:cstheme="majorHAnsi"/>
                <w:b/>
                <w:bCs/>
                <w:color w:val="000000"/>
                <w:lang w:val="nl-NL" w:eastAsia="nl-NL"/>
              </w:rPr>
              <w:t>South Africa </w:t>
            </w:r>
          </w:p>
        </w:tc>
        <w:tc>
          <w:tcPr>
            <w:tcW w:w="0" w:type="auto"/>
            <w:tcBorders>
              <w:top w:val="nil"/>
              <w:left w:val="nil"/>
              <w:bottom w:val="single" w:sz="6" w:space="0" w:color="8EAADB"/>
              <w:right w:val="single" w:sz="6" w:space="0" w:color="8EAADB"/>
            </w:tcBorders>
            <w:shd w:val="clear" w:color="auto" w:fill="auto"/>
            <w:vAlign w:val="center"/>
            <w:hideMark/>
          </w:tcPr>
          <w:p w14:paraId="1B2634B0"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-16</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vAlign w:val="center"/>
            <w:hideMark/>
          </w:tcPr>
          <w:p w14:paraId="23C0038E"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9</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vAlign w:val="center"/>
            <w:hideMark/>
          </w:tcPr>
          <w:p w14:paraId="18551A3B"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0</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vAlign w:val="center"/>
            <w:hideMark/>
          </w:tcPr>
          <w:p w14:paraId="13DC1364"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0</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vAlign w:val="center"/>
            <w:hideMark/>
          </w:tcPr>
          <w:p w14:paraId="7CE0A184"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-14</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vAlign w:val="center"/>
            <w:hideMark/>
          </w:tcPr>
          <w:p w14:paraId="50A13C03"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5</w:t>
            </w:r>
            <w:r w:rsidRPr="005118CB">
              <w:rPr>
                <w:rFonts w:eastAsia="Times New Roman" w:cstheme="majorHAnsi"/>
                <w:color w:val="000000"/>
                <w:lang w:val="nl-NL" w:eastAsia="nl-NL"/>
              </w:rPr>
              <w:t> </w:t>
            </w:r>
          </w:p>
        </w:tc>
      </w:tr>
      <w:tr w:rsidR="005118CB" w:rsidRPr="005118CB" w14:paraId="69D9B0CD" w14:textId="77777777" w:rsidTr="005118CB">
        <w:trPr>
          <w:trHeight w:val="300"/>
        </w:trPr>
        <w:tc>
          <w:tcPr>
            <w:tcW w:w="0" w:type="auto"/>
            <w:tcBorders>
              <w:top w:val="nil"/>
              <w:left w:val="single" w:sz="6" w:space="0" w:color="8EAADB"/>
              <w:bottom w:val="single" w:sz="6" w:space="0" w:color="8EAADB"/>
              <w:right w:val="single" w:sz="6" w:space="0" w:color="8EAADB"/>
            </w:tcBorders>
            <w:shd w:val="clear" w:color="auto" w:fill="D9E2F3"/>
            <w:hideMark/>
          </w:tcPr>
          <w:p w14:paraId="47832C2C" w14:textId="77777777" w:rsidR="005118CB" w:rsidRPr="005118CB" w:rsidRDefault="005118CB" w:rsidP="00056919">
            <w:pPr>
              <w:spacing w:after="0" w:line="240" w:lineRule="auto"/>
              <w:textAlignment w:val="baseline"/>
              <w:rPr>
                <w:rFonts w:eastAsia="Times New Roman" w:cstheme="majorHAnsi"/>
                <w:b/>
                <w:bCs/>
                <w:lang w:val="nl-NL" w:eastAsia="nl-NL"/>
              </w:rPr>
            </w:pPr>
            <w:r w:rsidRPr="005118CB">
              <w:rPr>
                <w:rFonts w:eastAsia="Times New Roman" w:cstheme="majorHAnsi"/>
                <w:b/>
                <w:bCs/>
                <w:color w:val="000000"/>
                <w:lang w:val="nl-NL" w:eastAsia="nl-NL"/>
              </w:rPr>
              <w:t>W. Europe </w:t>
            </w:r>
          </w:p>
        </w:tc>
        <w:tc>
          <w:tcPr>
            <w:tcW w:w="0" w:type="auto"/>
            <w:tcBorders>
              <w:top w:val="nil"/>
              <w:left w:val="nil"/>
              <w:bottom w:val="single" w:sz="6" w:space="0" w:color="8EAADB"/>
              <w:right w:val="single" w:sz="6" w:space="0" w:color="8EAADB"/>
            </w:tcBorders>
            <w:shd w:val="clear" w:color="auto" w:fill="D9E2F3"/>
            <w:vAlign w:val="center"/>
            <w:hideMark/>
          </w:tcPr>
          <w:p w14:paraId="0E426416"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-15</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vAlign w:val="center"/>
            <w:hideMark/>
          </w:tcPr>
          <w:p w14:paraId="24065A23"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11</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vAlign w:val="center"/>
            <w:hideMark/>
          </w:tcPr>
          <w:p w14:paraId="22BCC8C2"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-8</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vAlign w:val="center"/>
            <w:hideMark/>
          </w:tcPr>
          <w:p w14:paraId="3F6E7E5D"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3</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vAlign w:val="center"/>
            <w:hideMark/>
          </w:tcPr>
          <w:p w14:paraId="0CF27EFE"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-10</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vAlign w:val="center"/>
            <w:hideMark/>
          </w:tcPr>
          <w:p w14:paraId="4DFE9B82"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3</w:t>
            </w:r>
            <w:r w:rsidRPr="005118CB">
              <w:rPr>
                <w:rFonts w:eastAsia="Times New Roman" w:cstheme="majorHAnsi"/>
                <w:color w:val="000000"/>
                <w:lang w:val="nl-NL" w:eastAsia="nl-NL"/>
              </w:rPr>
              <w:t> </w:t>
            </w:r>
          </w:p>
        </w:tc>
      </w:tr>
      <w:tr w:rsidR="005118CB" w:rsidRPr="005118CB" w14:paraId="6D522EF3" w14:textId="77777777" w:rsidTr="005118CB">
        <w:trPr>
          <w:trHeight w:val="300"/>
        </w:trPr>
        <w:tc>
          <w:tcPr>
            <w:tcW w:w="0" w:type="auto"/>
            <w:tcBorders>
              <w:top w:val="nil"/>
              <w:left w:val="single" w:sz="6" w:space="0" w:color="8EAADB"/>
              <w:bottom w:val="single" w:sz="6" w:space="0" w:color="8EAADB"/>
              <w:right w:val="single" w:sz="6" w:space="0" w:color="8EAADB"/>
            </w:tcBorders>
            <w:shd w:val="clear" w:color="auto" w:fill="auto"/>
            <w:hideMark/>
          </w:tcPr>
          <w:p w14:paraId="5F608E26" w14:textId="77777777" w:rsidR="005118CB" w:rsidRPr="005118CB" w:rsidRDefault="005118CB" w:rsidP="00056919">
            <w:pPr>
              <w:spacing w:after="0" w:line="240" w:lineRule="auto"/>
              <w:textAlignment w:val="baseline"/>
              <w:rPr>
                <w:rFonts w:eastAsia="Times New Roman" w:cstheme="majorHAnsi"/>
                <w:b/>
                <w:bCs/>
                <w:lang w:val="nl-NL" w:eastAsia="nl-NL"/>
              </w:rPr>
            </w:pPr>
            <w:r w:rsidRPr="005118CB">
              <w:rPr>
                <w:rFonts w:eastAsia="Times New Roman" w:cstheme="majorHAnsi"/>
                <w:b/>
                <w:bCs/>
                <w:color w:val="000000"/>
                <w:lang w:val="nl-NL" w:eastAsia="nl-NL"/>
              </w:rPr>
              <w:t>C. Europe </w:t>
            </w:r>
          </w:p>
        </w:tc>
        <w:tc>
          <w:tcPr>
            <w:tcW w:w="0" w:type="auto"/>
            <w:tcBorders>
              <w:top w:val="nil"/>
              <w:left w:val="nil"/>
              <w:bottom w:val="single" w:sz="6" w:space="0" w:color="8EAADB"/>
              <w:right w:val="single" w:sz="6" w:space="0" w:color="8EAADB"/>
            </w:tcBorders>
            <w:shd w:val="clear" w:color="auto" w:fill="auto"/>
            <w:vAlign w:val="center"/>
            <w:hideMark/>
          </w:tcPr>
          <w:p w14:paraId="163A344E"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-15</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vAlign w:val="center"/>
            <w:hideMark/>
          </w:tcPr>
          <w:p w14:paraId="51F54869"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11</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vAlign w:val="center"/>
            <w:hideMark/>
          </w:tcPr>
          <w:p w14:paraId="49E7C733"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-6</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vAlign w:val="center"/>
            <w:hideMark/>
          </w:tcPr>
          <w:p w14:paraId="5BD1CE4F"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2</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vAlign w:val="center"/>
            <w:hideMark/>
          </w:tcPr>
          <w:p w14:paraId="1AE4A44A"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-8</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vAlign w:val="center"/>
            <w:hideMark/>
          </w:tcPr>
          <w:p w14:paraId="507F5A76"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3</w:t>
            </w:r>
            <w:r w:rsidRPr="005118CB">
              <w:rPr>
                <w:rFonts w:eastAsia="Times New Roman" w:cstheme="majorHAnsi"/>
                <w:color w:val="000000"/>
                <w:lang w:val="nl-NL" w:eastAsia="nl-NL"/>
              </w:rPr>
              <w:t> </w:t>
            </w:r>
          </w:p>
        </w:tc>
      </w:tr>
      <w:tr w:rsidR="005118CB" w:rsidRPr="005118CB" w14:paraId="14167662" w14:textId="77777777" w:rsidTr="005118CB">
        <w:trPr>
          <w:trHeight w:val="300"/>
        </w:trPr>
        <w:tc>
          <w:tcPr>
            <w:tcW w:w="0" w:type="auto"/>
            <w:tcBorders>
              <w:top w:val="nil"/>
              <w:left w:val="single" w:sz="6" w:space="0" w:color="8EAADB"/>
              <w:bottom w:val="single" w:sz="6" w:space="0" w:color="8EAADB"/>
              <w:right w:val="single" w:sz="6" w:space="0" w:color="8EAADB"/>
            </w:tcBorders>
            <w:shd w:val="clear" w:color="auto" w:fill="D9E2F3"/>
            <w:hideMark/>
          </w:tcPr>
          <w:p w14:paraId="04E00ECD" w14:textId="77777777" w:rsidR="005118CB" w:rsidRPr="005118CB" w:rsidRDefault="005118CB" w:rsidP="00056919">
            <w:pPr>
              <w:spacing w:after="0" w:line="240" w:lineRule="auto"/>
              <w:textAlignment w:val="baseline"/>
              <w:rPr>
                <w:rFonts w:eastAsia="Times New Roman" w:cstheme="majorHAnsi"/>
                <w:b/>
                <w:bCs/>
                <w:lang w:val="nl-NL" w:eastAsia="nl-NL"/>
              </w:rPr>
            </w:pPr>
            <w:r w:rsidRPr="005118CB">
              <w:rPr>
                <w:rFonts w:eastAsia="Times New Roman" w:cstheme="majorHAnsi"/>
                <w:b/>
                <w:bCs/>
                <w:color w:val="000000"/>
                <w:lang w:val="nl-NL" w:eastAsia="nl-NL"/>
              </w:rPr>
              <w:t>Turkey </w:t>
            </w:r>
          </w:p>
        </w:tc>
        <w:tc>
          <w:tcPr>
            <w:tcW w:w="0" w:type="auto"/>
            <w:tcBorders>
              <w:top w:val="nil"/>
              <w:left w:val="nil"/>
              <w:bottom w:val="single" w:sz="6" w:space="0" w:color="8EAADB"/>
              <w:right w:val="single" w:sz="6" w:space="0" w:color="8EAADB"/>
            </w:tcBorders>
            <w:shd w:val="clear" w:color="auto" w:fill="D9E2F3"/>
            <w:vAlign w:val="center"/>
            <w:hideMark/>
          </w:tcPr>
          <w:p w14:paraId="22A47EF4"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10</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vAlign w:val="center"/>
            <w:hideMark/>
          </w:tcPr>
          <w:p w14:paraId="1BA71E20"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12</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vAlign w:val="center"/>
            <w:hideMark/>
          </w:tcPr>
          <w:p w14:paraId="753B700A"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-5</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vAlign w:val="center"/>
            <w:hideMark/>
          </w:tcPr>
          <w:p w14:paraId="0446153D"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2</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vAlign w:val="center"/>
            <w:hideMark/>
          </w:tcPr>
          <w:p w14:paraId="0FA98454"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-2</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vAlign w:val="center"/>
            <w:hideMark/>
          </w:tcPr>
          <w:p w14:paraId="754642B5"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1</w:t>
            </w:r>
            <w:r w:rsidRPr="005118CB">
              <w:rPr>
                <w:rFonts w:eastAsia="Times New Roman" w:cstheme="majorHAnsi"/>
                <w:color w:val="000000"/>
                <w:lang w:val="nl-NL" w:eastAsia="nl-NL"/>
              </w:rPr>
              <w:t> </w:t>
            </w:r>
          </w:p>
        </w:tc>
      </w:tr>
      <w:tr w:rsidR="005118CB" w:rsidRPr="005118CB" w14:paraId="047EC5CA" w14:textId="77777777" w:rsidTr="005118CB">
        <w:trPr>
          <w:trHeight w:val="300"/>
        </w:trPr>
        <w:tc>
          <w:tcPr>
            <w:tcW w:w="0" w:type="auto"/>
            <w:tcBorders>
              <w:top w:val="nil"/>
              <w:left w:val="single" w:sz="6" w:space="0" w:color="8EAADB"/>
              <w:bottom w:val="single" w:sz="6" w:space="0" w:color="8EAADB"/>
              <w:right w:val="single" w:sz="6" w:space="0" w:color="8EAADB"/>
            </w:tcBorders>
            <w:shd w:val="clear" w:color="auto" w:fill="auto"/>
            <w:hideMark/>
          </w:tcPr>
          <w:p w14:paraId="3CC83E75" w14:textId="77777777" w:rsidR="005118CB" w:rsidRPr="005118CB" w:rsidRDefault="005118CB" w:rsidP="00056919">
            <w:pPr>
              <w:spacing w:after="0" w:line="240" w:lineRule="auto"/>
              <w:textAlignment w:val="baseline"/>
              <w:rPr>
                <w:rFonts w:eastAsia="Times New Roman" w:cstheme="majorHAnsi"/>
                <w:b/>
                <w:bCs/>
                <w:lang w:val="nl-NL" w:eastAsia="nl-NL"/>
              </w:rPr>
            </w:pPr>
            <w:r w:rsidRPr="005118CB">
              <w:rPr>
                <w:rFonts w:eastAsia="Times New Roman" w:cstheme="majorHAnsi"/>
                <w:b/>
                <w:bCs/>
                <w:color w:val="000000"/>
                <w:lang w:val="nl-NL" w:eastAsia="nl-NL"/>
              </w:rPr>
              <w:t>Ukraine </w:t>
            </w:r>
          </w:p>
        </w:tc>
        <w:tc>
          <w:tcPr>
            <w:tcW w:w="0" w:type="auto"/>
            <w:tcBorders>
              <w:top w:val="nil"/>
              <w:left w:val="nil"/>
              <w:bottom w:val="single" w:sz="6" w:space="0" w:color="8EAADB"/>
              <w:right w:val="single" w:sz="6" w:space="0" w:color="8EAADB"/>
            </w:tcBorders>
            <w:shd w:val="clear" w:color="auto" w:fill="auto"/>
            <w:vAlign w:val="center"/>
            <w:hideMark/>
          </w:tcPr>
          <w:p w14:paraId="6910D276"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-9</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vAlign w:val="center"/>
            <w:hideMark/>
          </w:tcPr>
          <w:p w14:paraId="4566EF67"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5.5</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vAlign w:val="center"/>
            <w:hideMark/>
          </w:tcPr>
          <w:p w14:paraId="18FB29E6"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-5</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vAlign w:val="center"/>
            <w:hideMark/>
          </w:tcPr>
          <w:p w14:paraId="76830A1C"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2</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vAlign w:val="center"/>
            <w:hideMark/>
          </w:tcPr>
          <w:p w14:paraId="1C27BECC"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-7</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vAlign w:val="center"/>
            <w:hideMark/>
          </w:tcPr>
          <w:p w14:paraId="3BCF5DDE"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2</w:t>
            </w:r>
            <w:r w:rsidRPr="005118CB">
              <w:rPr>
                <w:rFonts w:eastAsia="Times New Roman" w:cstheme="majorHAnsi"/>
                <w:color w:val="000000"/>
                <w:lang w:val="nl-NL" w:eastAsia="nl-NL"/>
              </w:rPr>
              <w:t> </w:t>
            </w:r>
          </w:p>
        </w:tc>
      </w:tr>
      <w:tr w:rsidR="005118CB" w:rsidRPr="005118CB" w14:paraId="1BFE7EFC" w14:textId="77777777" w:rsidTr="005118CB">
        <w:trPr>
          <w:trHeight w:val="300"/>
        </w:trPr>
        <w:tc>
          <w:tcPr>
            <w:tcW w:w="0" w:type="auto"/>
            <w:tcBorders>
              <w:top w:val="nil"/>
              <w:left w:val="single" w:sz="6" w:space="0" w:color="8EAADB"/>
              <w:bottom w:val="single" w:sz="6" w:space="0" w:color="8EAADB"/>
              <w:right w:val="single" w:sz="6" w:space="0" w:color="8EAADB"/>
            </w:tcBorders>
            <w:shd w:val="clear" w:color="auto" w:fill="D9E2F3"/>
            <w:hideMark/>
          </w:tcPr>
          <w:p w14:paraId="0E767E66" w14:textId="77777777" w:rsidR="005118CB" w:rsidRPr="005118CB" w:rsidRDefault="005118CB" w:rsidP="00056919">
            <w:pPr>
              <w:spacing w:after="0" w:line="240" w:lineRule="auto"/>
              <w:textAlignment w:val="baseline"/>
              <w:rPr>
                <w:rFonts w:eastAsia="Times New Roman" w:cstheme="majorHAnsi"/>
                <w:b/>
                <w:bCs/>
                <w:lang w:val="nl-NL" w:eastAsia="nl-NL"/>
              </w:rPr>
            </w:pPr>
            <w:r w:rsidRPr="005118CB">
              <w:rPr>
                <w:rFonts w:eastAsia="Times New Roman" w:cstheme="majorHAnsi"/>
                <w:b/>
                <w:bCs/>
                <w:color w:val="000000"/>
                <w:lang w:val="nl-NL" w:eastAsia="nl-NL"/>
              </w:rPr>
              <w:t>Stan </w:t>
            </w:r>
          </w:p>
        </w:tc>
        <w:tc>
          <w:tcPr>
            <w:tcW w:w="0" w:type="auto"/>
            <w:tcBorders>
              <w:top w:val="nil"/>
              <w:left w:val="nil"/>
              <w:bottom w:val="single" w:sz="6" w:space="0" w:color="8EAADB"/>
              <w:right w:val="single" w:sz="6" w:space="0" w:color="8EAADB"/>
            </w:tcBorders>
            <w:shd w:val="clear" w:color="auto" w:fill="D9E2F3"/>
            <w:vAlign w:val="center"/>
            <w:hideMark/>
          </w:tcPr>
          <w:p w14:paraId="72DBC261"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-9</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vAlign w:val="center"/>
            <w:hideMark/>
          </w:tcPr>
          <w:p w14:paraId="73BCED55"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5.5</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vAlign w:val="center"/>
            <w:hideMark/>
          </w:tcPr>
          <w:p w14:paraId="31E9DDE0"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-5</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vAlign w:val="center"/>
            <w:hideMark/>
          </w:tcPr>
          <w:p w14:paraId="73F1A7EC"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2</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vAlign w:val="center"/>
            <w:hideMark/>
          </w:tcPr>
          <w:p w14:paraId="18C408DD"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-1</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vAlign w:val="center"/>
            <w:hideMark/>
          </w:tcPr>
          <w:p w14:paraId="3394D124"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0</w:t>
            </w:r>
            <w:r w:rsidRPr="005118CB">
              <w:rPr>
                <w:rFonts w:eastAsia="Times New Roman" w:cstheme="majorHAnsi"/>
                <w:color w:val="000000"/>
                <w:lang w:val="nl-NL" w:eastAsia="nl-NL"/>
              </w:rPr>
              <w:t> </w:t>
            </w:r>
          </w:p>
        </w:tc>
      </w:tr>
      <w:tr w:rsidR="005118CB" w:rsidRPr="005118CB" w14:paraId="5E28B72E" w14:textId="77777777" w:rsidTr="005118CB">
        <w:trPr>
          <w:trHeight w:val="300"/>
        </w:trPr>
        <w:tc>
          <w:tcPr>
            <w:tcW w:w="0" w:type="auto"/>
            <w:tcBorders>
              <w:top w:val="nil"/>
              <w:left w:val="single" w:sz="6" w:space="0" w:color="8EAADB"/>
              <w:bottom w:val="single" w:sz="6" w:space="0" w:color="8EAADB"/>
              <w:right w:val="single" w:sz="6" w:space="0" w:color="8EAADB"/>
            </w:tcBorders>
            <w:shd w:val="clear" w:color="auto" w:fill="auto"/>
            <w:hideMark/>
          </w:tcPr>
          <w:p w14:paraId="0D5A4B43" w14:textId="77777777" w:rsidR="005118CB" w:rsidRPr="005118CB" w:rsidRDefault="005118CB" w:rsidP="00056919">
            <w:pPr>
              <w:spacing w:after="0" w:line="240" w:lineRule="auto"/>
              <w:textAlignment w:val="baseline"/>
              <w:rPr>
                <w:rFonts w:eastAsia="Times New Roman" w:cstheme="majorHAnsi"/>
                <w:b/>
                <w:bCs/>
                <w:lang w:val="nl-NL" w:eastAsia="nl-NL"/>
              </w:rPr>
            </w:pPr>
            <w:r w:rsidRPr="005118CB">
              <w:rPr>
                <w:rFonts w:eastAsia="Times New Roman" w:cstheme="majorHAnsi"/>
                <w:b/>
                <w:bCs/>
                <w:color w:val="000000"/>
                <w:lang w:val="nl-NL" w:eastAsia="nl-NL"/>
              </w:rPr>
              <w:t>Russia </w:t>
            </w:r>
          </w:p>
        </w:tc>
        <w:tc>
          <w:tcPr>
            <w:tcW w:w="0" w:type="auto"/>
            <w:tcBorders>
              <w:top w:val="nil"/>
              <w:left w:val="nil"/>
              <w:bottom w:val="single" w:sz="6" w:space="0" w:color="8EAADB"/>
              <w:right w:val="single" w:sz="6" w:space="0" w:color="8EAADB"/>
            </w:tcBorders>
            <w:shd w:val="clear" w:color="auto" w:fill="auto"/>
            <w:vAlign w:val="center"/>
            <w:hideMark/>
          </w:tcPr>
          <w:p w14:paraId="5C060847"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-8.5</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vAlign w:val="center"/>
            <w:hideMark/>
          </w:tcPr>
          <w:p w14:paraId="6E787BCF"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5</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vAlign w:val="center"/>
            <w:hideMark/>
          </w:tcPr>
          <w:p w14:paraId="1F32A33F"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-5</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vAlign w:val="center"/>
            <w:hideMark/>
          </w:tcPr>
          <w:p w14:paraId="74AD62DA"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2</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vAlign w:val="center"/>
            <w:hideMark/>
          </w:tcPr>
          <w:p w14:paraId="3AB64386"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-3.5</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vAlign w:val="center"/>
            <w:hideMark/>
          </w:tcPr>
          <w:p w14:paraId="7D494F1B"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1</w:t>
            </w:r>
            <w:r w:rsidRPr="005118CB">
              <w:rPr>
                <w:rFonts w:eastAsia="Times New Roman" w:cstheme="majorHAnsi"/>
                <w:color w:val="000000"/>
                <w:lang w:val="nl-NL" w:eastAsia="nl-NL"/>
              </w:rPr>
              <w:t> </w:t>
            </w:r>
          </w:p>
        </w:tc>
      </w:tr>
      <w:tr w:rsidR="005118CB" w:rsidRPr="005118CB" w14:paraId="7D5AE5E3" w14:textId="77777777" w:rsidTr="005118CB">
        <w:trPr>
          <w:trHeight w:val="300"/>
        </w:trPr>
        <w:tc>
          <w:tcPr>
            <w:tcW w:w="0" w:type="auto"/>
            <w:tcBorders>
              <w:top w:val="nil"/>
              <w:left w:val="single" w:sz="6" w:space="0" w:color="8EAADB"/>
              <w:bottom w:val="single" w:sz="6" w:space="0" w:color="8EAADB"/>
              <w:right w:val="single" w:sz="6" w:space="0" w:color="8EAADB"/>
            </w:tcBorders>
            <w:shd w:val="clear" w:color="auto" w:fill="D9E2F3"/>
            <w:hideMark/>
          </w:tcPr>
          <w:p w14:paraId="5B083CD8" w14:textId="77777777" w:rsidR="005118CB" w:rsidRPr="005118CB" w:rsidRDefault="005118CB" w:rsidP="00056919">
            <w:pPr>
              <w:spacing w:after="0" w:line="240" w:lineRule="auto"/>
              <w:textAlignment w:val="baseline"/>
              <w:rPr>
                <w:rFonts w:eastAsia="Times New Roman" w:cstheme="majorHAnsi"/>
                <w:b/>
                <w:bCs/>
                <w:lang w:val="nl-NL" w:eastAsia="nl-NL"/>
              </w:rPr>
            </w:pPr>
            <w:r w:rsidRPr="005118CB">
              <w:rPr>
                <w:rFonts w:eastAsia="Times New Roman" w:cstheme="majorHAnsi"/>
                <w:b/>
                <w:bCs/>
                <w:color w:val="000000"/>
                <w:lang w:val="nl-NL" w:eastAsia="nl-NL"/>
              </w:rPr>
              <w:t>M. East </w:t>
            </w:r>
          </w:p>
        </w:tc>
        <w:tc>
          <w:tcPr>
            <w:tcW w:w="0" w:type="auto"/>
            <w:tcBorders>
              <w:top w:val="nil"/>
              <w:left w:val="nil"/>
              <w:bottom w:val="single" w:sz="6" w:space="0" w:color="8EAADB"/>
              <w:right w:val="single" w:sz="6" w:space="0" w:color="8EAADB"/>
            </w:tcBorders>
            <w:shd w:val="clear" w:color="auto" w:fill="D9E2F3"/>
            <w:vAlign w:val="center"/>
            <w:hideMark/>
          </w:tcPr>
          <w:p w14:paraId="66132234"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-19.5</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vAlign w:val="center"/>
            <w:hideMark/>
          </w:tcPr>
          <w:p w14:paraId="071408C6"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6</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vAlign w:val="center"/>
            <w:hideMark/>
          </w:tcPr>
          <w:p w14:paraId="26A14C47"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-7</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vAlign w:val="center"/>
            <w:hideMark/>
          </w:tcPr>
          <w:p w14:paraId="14F80A0D"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2</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vAlign w:val="center"/>
            <w:hideMark/>
          </w:tcPr>
          <w:p w14:paraId="0AA6486D"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6</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vAlign w:val="center"/>
            <w:hideMark/>
          </w:tcPr>
          <w:p w14:paraId="28353DD0"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-2</w:t>
            </w:r>
            <w:r w:rsidRPr="005118CB">
              <w:rPr>
                <w:rFonts w:eastAsia="Times New Roman" w:cstheme="majorHAnsi"/>
                <w:color w:val="000000"/>
                <w:lang w:val="nl-NL" w:eastAsia="nl-NL"/>
              </w:rPr>
              <w:t> </w:t>
            </w:r>
          </w:p>
        </w:tc>
      </w:tr>
      <w:tr w:rsidR="005118CB" w:rsidRPr="005118CB" w14:paraId="2AD2C204" w14:textId="77777777" w:rsidTr="005118CB">
        <w:trPr>
          <w:trHeight w:val="300"/>
        </w:trPr>
        <w:tc>
          <w:tcPr>
            <w:tcW w:w="0" w:type="auto"/>
            <w:tcBorders>
              <w:top w:val="nil"/>
              <w:left w:val="single" w:sz="6" w:space="0" w:color="8EAADB"/>
              <w:bottom w:val="single" w:sz="6" w:space="0" w:color="8EAADB"/>
              <w:right w:val="single" w:sz="6" w:space="0" w:color="8EAADB"/>
            </w:tcBorders>
            <w:shd w:val="clear" w:color="auto" w:fill="auto"/>
            <w:hideMark/>
          </w:tcPr>
          <w:p w14:paraId="23324302" w14:textId="77777777" w:rsidR="005118CB" w:rsidRPr="005118CB" w:rsidRDefault="005118CB" w:rsidP="00056919">
            <w:pPr>
              <w:spacing w:after="0" w:line="240" w:lineRule="auto"/>
              <w:textAlignment w:val="baseline"/>
              <w:rPr>
                <w:rFonts w:eastAsia="Times New Roman" w:cstheme="majorHAnsi"/>
                <w:b/>
                <w:bCs/>
                <w:lang w:val="nl-NL" w:eastAsia="nl-NL"/>
              </w:rPr>
            </w:pPr>
            <w:r w:rsidRPr="005118CB">
              <w:rPr>
                <w:rFonts w:eastAsia="Times New Roman" w:cstheme="majorHAnsi"/>
                <w:b/>
                <w:bCs/>
                <w:color w:val="000000"/>
                <w:lang w:val="nl-NL" w:eastAsia="nl-NL"/>
              </w:rPr>
              <w:t>India </w:t>
            </w:r>
          </w:p>
        </w:tc>
        <w:tc>
          <w:tcPr>
            <w:tcW w:w="0" w:type="auto"/>
            <w:tcBorders>
              <w:top w:val="nil"/>
              <w:left w:val="nil"/>
              <w:bottom w:val="single" w:sz="6" w:space="0" w:color="8EAADB"/>
              <w:right w:val="single" w:sz="6" w:space="0" w:color="8EAADB"/>
            </w:tcBorders>
            <w:shd w:val="clear" w:color="auto" w:fill="auto"/>
            <w:vAlign w:val="center"/>
            <w:hideMark/>
          </w:tcPr>
          <w:p w14:paraId="5A415BD9"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-20</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vAlign w:val="center"/>
            <w:hideMark/>
          </w:tcPr>
          <w:p w14:paraId="186D6F8C"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23</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vAlign w:val="center"/>
            <w:hideMark/>
          </w:tcPr>
          <w:p w14:paraId="395D0DEC"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-10</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vAlign w:val="center"/>
            <w:hideMark/>
          </w:tcPr>
          <w:p w14:paraId="41EBFC30"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3</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vAlign w:val="center"/>
            <w:hideMark/>
          </w:tcPr>
          <w:p w14:paraId="15369508"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-15</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vAlign w:val="center"/>
            <w:hideMark/>
          </w:tcPr>
          <w:p w14:paraId="6A001458"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5</w:t>
            </w:r>
            <w:r w:rsidRPr="005118CB">
              <w:rPr>
                <w:rFonts w:eastAsia="Times New Roman" w:cstheme="majorHAnsi"/>
                <w:color w:val="000000"/>
                <w:lang w:val="nl-NL" w:eastAsia="nl-NL"/>
              </w:rPr>
              <w:t> </w:t>
            </w:r>
          </w:p>
        </w:tc>
      </w:tr>
      <w:tr w:rsidR="005118CB" w:rsidRPr="005118CB" w14:paraId="52C77FD2" w14:textId="77777777" w:rsidTr="005118CB">
        <w:trPr>
          <w:trHeight w:val="300"/>
        </w:trPr>
        <w:tc>
          <w:tcPr>
            <w:tcW w:w="0" w:type="auto"/>
            <w:tcBorders>
              <w:top w:val="nil"/>
              <w:left w:val="single" w:sz="6" w:space="0" w:color="8EAADB"/>
              <w:bottom w:val="single" w:sz="6" w:space="0" w:color="8EAADB"/>
              <w:right w:val="single" w:sz="6" w:space="0" w:color="8EAADB"/>
            </w:tcBorders>
            <w:shd w:val="clear" w:color="auto" w:fill="D9E2F3"/>
            <w:hideMark/>
          </w:tcPr>
          <w:p w14:paraId="7269CDF8" w14:textId="77777777" w:rsidR="005118CB" w:rsidRPr="005118CB" w:rsidRDefault="005118CB" w:rsidP="00056919">
            <w:pPr>
              <w:spacing w:after="0" w:line="240" w:lineRule="auto"/>
              <w:textAlignment w:val="baseline"/>
              <w:rPr>
                <w:rFonts w:eastAsia="Times New Roman" w:cstheme="majorHAnsi"/>
                <w:b/>
                <w:bCs/>
                <w:lang w:val="nl-NL" w:eastAsia="nl-NL"/>
              </w:rPr>
            </w:pPr>
            <w:r w:rsidRPr="005118CB">
              <w:rPr>
                <w:rFonts w:eastAsia="Times New Roman" w:cstheme="majorHAnsi"/>
                <w:b/>
                <w:bCs/>
                <w:color w:val="000000"/>
                <w:lang w:val="nl-NL" w:eastAsia="nl-NL"/>
              </w:rPr>
              <w:t>Korea </w:t>
            </w:r>
          </w:p>
        </w:tc>
        <w:tc>
          <w:tcPr>
            <w:tcW w:w="0" w:type="auto"/>
            <w:tcBorders>
              <w:top w:val="nil"/>
              <w:left w:val="nil"/>
              <w:bottom w:val="single" w:sz="6" w:space="0" w:color="8EAADB"/>
              <w:right w:val="single" w:sz="6" w:space="0" w:color="8EAADB"/>
            </w:tcBorders>
            <w:shd w:val="clear" w:color="auto" w:fill="D9E2F3"/>
            <w:vAlign w:val="center"/>
            <w:hideMark/>
          </w:tcPr>
          <w:p w14:paraId="600F9DF9"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-8</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vAlign w:val="center"/>
            <w:hideMark/>
          </w:tcPr>
          <w:p w14:paraId="522C5576"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4</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vAlign w:val="center"/>
            <w:hideMark/>
          </w:tcPr>
          <w:p w14:paraId="09D78150"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-1</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vAlign w:val="center"/>
            <w:hideMark/>
          </w:tcPr>
          <w:p w14:paraId="2B888DB1"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0.5</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vAlign w:val="center"/>
            <w:hideMark/>
          </w:tcPr>
          <w:p w14:paraId="30B0788C"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-1</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vAlign w:val="center"/>
            <w:hideMark/>
          </w:tcPr>
          <w:p w14:paraId="7D0D6401"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0</w:t>
            </w:r>
            <w:r w:rsidRPr="005118CB">
              <w:rPr>
                <w:rFonts w:eastAsia="Times New Roman" w:cstheme="majorHAnsi"/>
                <w:color w:val="000000"/>
                <w:lang w:val="nl-NL" w:eastAsia="nl-NL"/>
              </w:rPr>
              <w:t> </w:t>
            </w:r>
          </w:p>
        </w:tc>
      </w:tr>
      <w:tr w:rsidR="005118CB" w:rsidRPr="005118CB" w14:paraId="60FB1A74" w14:textId="77777777" w:rsidTr="005118CB">
        <w:trPr>
          <w:trHeight w:val="300"/>
        </w:trPr>
        <w:tc>
          <w:tcPr>
            <w:tcW w:w="0" w:type="auto"/>
            <w:tcBorders>
              <w:top w:val="nil"/>
              <w:left w:val="single" w:sz="6" w:space="0" w:color="8EAADB"/>
              <w:bottom w:val="single" w:sz="6" w:space="0" w:color="8EAADB"/>
              <w:right w:val="single" w:sz="6" w:space="0" w:color="8EAADB"/>
            </w:tcBorders>
            <w:shd w:val="clear" w:color="auto" w:fill="auto"/>
            <w:hideMark/>
          </w:tcPr>
          <w:p w14:paraId="4A7F88C2" w14:textId="77777777" w:rsidR="005118CB" w:rsidRPr="005118CB" w:rsidRDefault="005118CB" w:rsidP="00056919">
            <w:pPr>
              <w:spacing w:after="0" w:line="240" w:lineRule="auto"/>
              <w:textAlignment w:val="baseline"/>
              <w:rPr>
                <w:rFonts w:eastAsia="Times New Roman" w:cstheme="majorHAnsi"/>
                <w:b/>
                <w:bCs/>
                <w:lang w:val="nl-NL" w:eastAsia="nl-NL"/>
              </w:rPr>
            </w:pPr>
            <w:r w:rsidRPr="005118CB">
              <w:rPr>
                <w:rFonts w:eastAsia="Times New Roman" w:cstheme="majorHAnsi"/>
                <w:b/>
                <w:bCs/>
                <w:color w:val="000000"/>
                <w:lang w:val="nl-NL" w:eastAsia="nl-NL"/>
              </w:rPr>
              <w:t>China </w:t>
            </w:r>
          </w:p>
        </w:tc>
        <w:tc>
          <w:tcPr>
            <w:tcW w:w="0" w:type="auto"/>
            <w:tcBorders>
              <w:top w:val="nil"/>
              <w:left w:val="nil"/>
              <w:bottom w:val="single" w:sz="6" w:space="0" w:color="8EAADB"/>
              <w:right w:val="single" w:sz="6" w:space="0" w:color="8EAADB"/>
            </w:tcBorders>
            <w:shd w:val="clear" w:color="auto" w:fill="auto"/>
            <w:vAlign w:val="center"/>
            <w:hideMark/>
          </w:tcPr>
          <w:p w14:paraId="19AE62C8"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8</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vAlign w:val="center"/>
            <w:hideMark/>
          </w:tcPr>
          <w:p w14:paraId="52104023"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0</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vAlign w:val="center"/>
            <w:hideMark/>
          </w:tcPr>
          <w:p w14:paraId="5479625E"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-10</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vAlign w:val="center"/>
            <w:hideMark/>
          </w:tcPr>
          <w:p w14:paraId="4FBFA051"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3</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vAlign w:val="center"/>
            <w:hideMark/>
          </w:tcPr>
          <w:p w14:paraId="05761A0C"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3</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vAlign w:val="center"/>
            <w:hideMark/>
          </w:tcPr>
          <w:p w14:paraId="1ED1F0F0"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-1</w:t>
            </w:r>
            <w:r w:rsidRPr="005118CB">
              <w:rPr>
                <w:rFonts w:eastAsia="Times New Roman" w:cstheme="majorHAnsi"/>
                <w:color w:val="000000"/>
                <w:lang w:val="nl-NL" w:eastAsia="nl-NL"/>
              </w:rPr>
              <w:t> </w:t>
            </w:r>
          </w:p>
        </w:tc>
      </w:tr>
      <w:tr w:rsidR="005118CB" w:rsidRPr="005118CB" w14:paraId="6A186C25" w14:textId="77777777" w:rsidTr="005118CB">
        <w:trPr>
          <w:trHeight w:val="300"/>
        </w:trPr>
        <w:tc>
          <w:tcPr>
            <w:tcW w:w="0" w:type="auto"/>
            <w:tcBorders>
              <w:top w:val="nil"/>
              <w:left w:val="single" w:sz="6" w:space="0" w:color="8EAADB"/>
              <w:bottom w:val="single" w:sz="6" w:space="0" w:color="8EAADB"/>
              <w:right w:val="single" w:sz="6" w:space="0" w:color="8EAADB"/>
            </w:tcBorders>
            <w:shd w:val="clear" w:color="auto" w:fill="D9E2F3"/>
            <w:hideMark/>
          </w:tcPr>
          <w:p w14:paraId="1C32C0B7" w14:textId="77777777" w:rsidR="005118CB" w:rsidRPr="005118CB" w:rsidRDefault="005118CB" w:rsidP="00056919">
            <w:pPr>
              <w:spacing w:after="0" w:line="240" w:lineRule="auto"/>
              <w:textAlignment w:val="baseline"/>
              <w:rPr>
                <w:rFonts w:eastAsia="Times New Roman" w:cstheme="majorHAnsi"/>
                <w:b/>
                <w:bCs/>
                <w:lang w:val="nl-NL" w:eastAsia="nl-NL"/>
              </w:rPr>
            </w:pPr>
            <w:r w:rsidRPr="005118CB">
              <w:rPr>
                <w:rFonts w:eastAsia="Times New Roman" w:cstheme="majorHAnsi"/>
                <w:b/>
                <w:bCs/>
                <w:color w:val="000000"/>
                <w:lang w:val="nl-NL" w:eastAsia="nl-NL"/>
              </w:rPr>
              <w:t>SE. Asia </w:t>
            </w:r>
          </w:p>
        </w:tc>
        <w:tc>
          <w:tcPr>
            <w:tcW w:w="0" w:type="auto"/>
            <w:tcBorders>
              <w:top w:val="nil"/>
              <w:left w:val="nil"/>
              <w:bottom w:val="single" w:sz="6" w:space="0" w:color="8EAADB"/>
              <w:right w:val="single" w:sz="6" w:space="0" w:color="8EAADB"/>
            </w:tcBorders>
            <w:shd w:val="clear" w:color="auto" w:fill="D9E2F3"/>
            <w:vAlign w:val="center"/>
            <w:hideMark/>
          </w:tcPr>
          <w:p w14:paraId="6217E786"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-6</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vAlign w:val="center"/>
            <w:hideMark/>
          </w:tcPr>
          <w:p w14:paraId="4A19DE9D"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6</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vAlign w:val="center"/>
            <w:hideMark/>
          </w:tcPr>
          <w:p w14:paraId="5D7E0C31"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-5</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vAlign w:val="center"/>
            <w:hideMark/>
          </w:tcPr>
          <w:p w14:paraId="47A6A7DD"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2</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vAlign w:val="center"/>
            <w:hideMark/>
          </w:tcPr>
          <w:p w14:paraId="5F82B0FC"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-2</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vAlign w:val="center"/>
            <w:hideMark/>
          </w:tcPr>
          <w:p w14:paraId="33CC9C5F"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1</w:t>
            </w:r>
            <w:r w:rsidRPr="005118CB">
              <w:rPr>
                <w:rFonts w:eastAsia="Times New Roman" w:cstheme="majorHAnsi"/>
                <w:color w:val="000000"/>
                <w:lang w:val="nl-NL" w:eastAsia="nl-NL"/>
              </w:rPr>
              <w:t> </w:t>
            </w:r>
          </w:p>
        </w:tc>
      </w:tr>
      <w:tr w:rsidR="005118CB" w:rsidRPr="005118CB" w14:paraId="2EEC04F6" w14:textId="77777777" w:rsidTr="005118CB">
        <w:trPr>
          <w:trHeight w:val="300"/>
        </w:trPr>
        <w:tc>
          <w:tcPr>
            <w:tcW w:w="0" w:type="auto"/>
            <w:tcBorders>
              <w:top w:val="nil"/>
              <w:left w:val="single" w:sz="6" w:space="0" w:color="8EAADB"/>
              <w:bottom w:val="single" w:sz="6" w:space="0" w:color="8EAADB"/>
              <w:right w:val="single" w:sz="6" w:space="0" w:color="8EAADB"/>
            </w:tcBorders>
            <w:shd w:val="clear" w:color="auto" w:fill="auto"/>
            <w:hideMark/>
          </w:tcPr>
          <w:p w14:paraId="45F9BF40" w14:textId="77777777" w:rsidR="005118CB" w:rsidRPr="005118CB" w:rsidRDefault="005118CB" w:rsidP="00056919">
            <w:pPr>
              <w:spacing w:after="0" w:line="240" w:lineRule="auto"/>
              <w:textAlignment w:val="baseline"/>
              <w:rPr>
                <w:rFonts w:eastAsia="Times New Roman" w:cstheme="majorHAnsi"/>
                <w:b/>
                <w:bCs/>
                <w:lang w:val="nl-NL" w:eastAsia="nl-NL"/>
              </w:rPr>
            </w:pPr>
            <w:r w:rsidRPr="005118CB">
              <w:rPr>
                <w:rFonts w:eastAsia="Times New Roman" w:cstheme="majorHAnsi"/>
                <w:b/>
                <w:bCs/>
                <w:color w:val="000000"/>
                <w:lang w:val="nl-NL" w:eastAsia="nl-NL"/>
              </w:rPr>
              <w:t>Indonesia </w:t>
            </w:r>
          </w:p>
        </w:tc>
        <w:tc>
          <w:tcPr>
            <w:tcW w:w="0" w:type="auto"/>
            <w:tcBorders>
              <w:top w:val="nil"/>
              <w:left w:val="nil"/>
              <w:bottom w:val="single" w:sz="6" w:space="0" w:color="8EAADB"/>
              <w:right w:val="single" w:sz="6" w:space="0" w:color="8EAADB"/>
            </w:tcBorders>
            <w:shd w:val="clear" w:color="auto" w:fill="auto"/>
            <w:vAlign w:val="center"/>
            <w:hideMark/>
          </w:tcPr>
          <w:p w14:paraId="192AE51A"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-6</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vAlign w:val="center"/>
            <w:hideMark/>
          </w:tcPr>
          <w:p w14:paraId="1DA3CAAC"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6</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vAlign w:val="center"/>
            <w:hideMark/>
          </w:tcPr>
          <w:p w14:paraId="2FA2F31D"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-5</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vAlign w:val="center"/>
            <w:hideMark/>
          </w:tcPr>
          <w:p w14:paraId="19557614"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2</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vAlign w:val="center"/>
            <w:hideMark/>
          </w:tcPr>
          <w:p w14:paraId="7E9FAF3C"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-2</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vAlign w:val="center"/>
            <w:hideMark/>
          </w:tcPr>
          <w:p w14:paraId="4F12860F"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1</w:t>
            </w:r>
            <w:r w:rsidRPr="005118CB">
              <w:rPr>
                <w:rFonts w:eastAsia="Times New Roman" w:cstheme="majorHAnsi"/>
                <w:color w:val="000000"/>
                <w:lang w:val="nl-NL" w:eastAsia="nl-NL"/>
              </w:rPr>
              <w:t> </w:t>
            </w:r>
          </w:p>
        </w:tc>
      </w:tr>
      <w:tr w:rsidR="005118CB" w:rsidRPr="005118CB" w14:paraId="40532A3D" w14:textId="77777777" w:rsidTr="005118CB">
        <w:trPr>
          <w:trHeight w:val="300"/>
        </w:trPr>
        <w:tc>
          <w:tcPr>
            <w:tcW w:w="0" w:type="auto"/>
            <w:tcBorders>
              <w:top w:val="nil"/>
              <w:left w:val="single" w:sz="6" w:space="0" w:color="8EAADB"/>
              <w:bottom w:val="single" w:sz="6" w:space="0" w:color="8EAADB"/>
              <w:right w:val="single" w:sz="6" w:space="0" w:color="8EAADB"/>
            </w:tcBorders>
            <w:shd w:val="clear" w:color="auto" w:fill="D9E2F3"/>
            <w:hideMark/>
          </w:tcPr>
          <w:p w14:paraId="2F87139B" w14:textId="77777777" w:rsidR="005118CB" w:rsidRPr="005118CB" w:rsidRDefault="005118CB" w:rsidP="00056919">
            <w:pPr>
              <w:spacing w:after="0" w:line="240" w:lineRule="auto"/>
              <w:textAlignment w:val="baseline"/>
              <w:rPr>
                <w:rFonts w:eastAsia="Times New Roman" w:cstheme="majorHAnsi"/>
                <w:b/>
                <w:bCs/>
                <w:lang w:val="nl-NL" w:eastAsia="nl-NL"/>
              </w:rPr>
            </w:pPr>
            <w:r w:rsidRPr="005118CB">
              <w:rPr>
                <w:rFonts w:eastAsia="Times New Roman" w:cstheme="majorHAnsi"/>
                <w:b/>
                <w:bCs/>
                <w:color w:val="000000"/>
                <w:lang w:val="nl-NL" w:eastAsia="nl-NL"/>
              </w:rPr>
              <w:t>Japan </w:t>
            </w:r>
          </w:p>
        </w:tc>
        <w:tc>
          <w:tcPr>
            <w:tcW w:w="0" w:type="auto"/>
            <w:tcBorders>
              <w:top w:val="nil"/>
              <w:left w:val="nil"/>
              <w:bottom w:val="single" w:sz="6" w:space="0" w:color="8EAADB"/>
              <w:right w:val="single" w:sz="6" w:space="0" w:color="8EAADB"/>
            </w:tcBorders>
            <w:shd w:val="clear" w:color="auto" w:fill="D9E2F3"/>
            <w:vAlign w:val="center"/>
            <w:hideMark/>
          </w:tcPr>
          <w:p w14:paraId="6C07EAA9"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-20</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vAlign w:val="center"/>
            <w:hideMark/>
          </w:tcPr>
          <w:p w14:paraId="06C24EEF"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8</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vAlign w:val="center"/>
            <w:hideMark/>
          </w:tcPr>
          <w:p w14:paraId="675ACBE9"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-1</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vAlign w:val="center"/>
            <w:hideMark/>
          </w:tcPr>
          <w:p w14:paraId="214DA67A"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0.5</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vAlign w:val="center"/>
            <w:hideMark/>
          </w:tcPr>
          <w:p w14:paraId="3AF86153"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-11</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vAlign w:val="center"/>
            <w:hideMark/>
          </w:tcPr>
          <w:p w14:paraId="65BA802C"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4</w:t>
            </w:r>
            <w:r w:rsidRPr="005118CB">
              <w:rPr>
                <w:rFonts w:eastAsia="Times New Roman" w:cstheme="majorHAnsi"/>
                <w:color w:val="000000"/>
                <w:lang w:val="nl-NL" w:eastAsia="nl-NL"/>
              </w:rPr>
              <w:t> </w:t>
            </w:r>
          </w:p>
        </w:tc>
      </w:tr>
      <w:tr w:rsidR="005118CB" w:rsidRPr="005118CB" w14:paraId="32D13636" w14:textId="77777777" w:rsidTr="005118CB">
        <w:trPr>
          <w:trHeight w:val="300"/>
        </w:trPr>
        <w:tc>
          <w:tcPr>
            <w:tcW w:w="0" w:type="auto"/>
            <w:tcBorders>
              <w:top w:val="nil"/>
              <w:left w:val="single" w:sz="6" w:space="0" w:color="8EAADB"/>
              <w:bottom w:val="single" w:sz="6" w:space="0" w:color="8EAADB"/>
              <w:right w:val="single" w:sz="6" w:space="0" w:color="8EAADB"/>
            </w:tcBorders>
            <w:shd w:val="clear" w:color="auto" w:fill="auto"/>
            <w:hideMark/>
          </w:tcPr>
          <w:p w14:paraId="51884AA3" w14:textId="77777777" w:rsidR="005118CB" w:rsidRPr="005118CB" w:rsidRDefault="005118CB" w:rsidP="00056919">
            <w:pPr>
              <w:spacing w:after="0" w:line="240" w:lineRule="auto"/>
              <w:textAlignment w:val="baseline"/>
              <w:rPr>
                <w:rFonts w:eastAsia="Times New Roman" w:cstheme="majorHAnsi"/>
                <w:b/>
                <w:bCs/>
                <w:lang w:val="nl-NL" w:eastAsia="nl-NL"/>
              </w:rPr>
            </w:pPr>
            <w:r w:rsidRPr="005118CB">
              <w:rPr>
                <w:rFonts w:eastAsia="Times New Roman" w:cstheme="majorHAnsi"/>
                <w:b/>
                <w:bCs/>
                <w:color w:val="000000"/>
                <w:lang w:val="nl-NL" w:eastAsia="nl-NL"/>
              </w:rPr>
              <w:t>Oceania </w:t>
            </w:r>
          </w:p>
        </w:tc>
        <w:tc>
          <w:tcPr>
            <w:tcW w:w="0" w:type="auto"/>
            <w:tcBorders>
              <w:top w:val="nil"/>
              <w:left w:val="nil"/>
              <w:bottom w:val="single" w:sz="6" w:space="0" w:color="8EAADB"/>
              <w:right w:val="single" w:sz="6" w:space="0" w:color="8EAADB"/>
            </w:tcBorders>
            <w:shd w:val="clear" w:color="auto" w:fill="auto"/>
            <w:vAlign w:val="center"/>
            <w:hideMark/>
          </w:tcPr>
          <w:p w14:paraId="74A43F4E"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2</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vAlign w:val="center"/>
            <w:hideMark/>
          </w:tcPr>
          <w:p w14:paraId="5C1D8959"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2.5</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vAlign w:val="center"/>
            <w:hideMark/>
          </w:tcPr>
          <w:p w14:paraId="742AF877"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-7</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vAlign w:val="center"/>
            <w:hideMark/>
          </w:tcPr>
          <w:p w14:paraId="2F8AE4F8"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2</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vAlign w:val="center"/>
            <w:hideMark/>
          </w:tcPr>
          <w:p w14:paraId="7E7EBBC2"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-4</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vAlign w:val="center"/>
            <w:hideMark/>
          </w:tcPr>
          <w:p w14:paraId="5EF5EE1F"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1.5</w:t>
            </w:r>
            <w:r w:rsidRPr="005118CB">
              <w:rPr>
                <w:rFonts w:eastAsia="Times New Roman" w:cstheme="majorHAnsi"/>
                <w:color w:val="000000"/>
                <w:lang w:val="nl-NL" w:eastAsia="nl-NL"/>
              </w:rPr>
              <w:t> </w:t>
            </w:r>
          </w:p>
        </w:tc>
      </w:tr>
      <w:tr w:rsidR="005118CB" w:rsidRPr="005118CB" w14:paraId="14C363B7" w14:textId="77777777" w:rsidTr="005118CB">
        <w:trPr>
          <w:trHeight w:val="300"/>
        </w:trPr>
        <w:tc>
          <w:tcPr>
            <w:tcW w:w="0" w:type="auto"/>
            <w:tcBorders>
              <w:top w:val="nil"/>
              <w:left w:val="single" w:sz="6" w:space="0" w:color="8EAADB"/>
              <w:bottom w:val="single" w:sz="6" w:space="0" w:color="8EAADB"/>
              <w:right w:val="single" w:sz="6" w:space="0" w:color="8EAADB"/>
            </w:tcBorders>
            <w:shd w:val="clear" w:color="auto" w:fill="D9E2F3"/>
            <w:hideMark/>
          </w:tcPr>
          <w:p w14:paraId="1F197349" w14:textId="77777777" w:rsidR="005118CB" w:rsidRPr="005118CB" w:rsidRDefault="005118CB" w:rsidP="00056919">
            <w:pPr>
              <w:spacing w:after="0" w:line="240" w:lineRule="auto"/>
              <w:textAlignment w:val="baseline"/>
              <w:rPr>
                <w:rFonts w:eastAsia="Times New Roman" w:cstheme="majorHAnsi"/>
                <w:b/>
                <w:bCs/>
                <w:lang w:val="nl-NL" w:eastAsia="nl-NL"/>
              </w:rPr>
            </w:pPr>
            <w:r w:rsidRPr="005118CB">
              <w:rPr>
                <w:rFonts w:eastAsia="Times New Roman" w:cstheme="majorHAnsi"/>
                <w:b/>
                <w:bCs/>
                <w:color w:val="000000"/>
                <w:lang w:val="nl-NL" w:eastAsia="nl-NL"/>
              </w:rPr>
              <w:t>Rest S. Asia </w:t>
            </w:r>
          </w:p>
        </w:tc>
        <w:tc>
          <w:tcPr>
            <w:tcW w:w="0" w:type="auto"/>
            <w:tcBorders>
              <w:top w:val="nil"/>
              <w:left w:val="nil"/>
              <w:bottom w:val="single" w:sz="6" w:space="0" w:color="8EAADB"/>
              <w:right w:val="single" w:sz="6" w:space="0" w:color="8EAADB"/>
            </w:tcBorders>
            <w:shd w:val="clear" w:color="auto" w:fill="D9E2F3"/>
            <w:vAlign w:val="center"/>
            <w:hideMark/>
          </w:tcPr>
          <w:p w14:paraId="2E687DCE"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-6</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vAlign w:val="center"/>
            <w:hideMark/>
          </w:tcPr>
          <w:p w14:paraId="79AF09D8"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6</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vAlign w:val="center"/>
            <w:hideMark/>
          </w:tcPr>
          <w:p w14:paraId="4B19A4A5"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-5</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vAlign w:val="center"/>
            <w:hideMark/>
          </w:tcPr>
          <w:p w14:paraId="31CE2D7A"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2</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vAlign w:val="center"/>
            <w:hideMark/>
          </w:tcPr>
          <w:p w14:paraId="4DB36B80"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-2</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vAlign w:val="center"/>
            <w:hideMark/>
          </w:tcPr>
          <w:p w14:paraId="772FE098"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1</w:t>
            </w:r>
            <w:r w:rsidRPr="005118CB">
              <w:rPr>
                <w:rFonts w:eastAsia="Times New Roman" w:cstheme="majorHAnsi"/>
                <w:color w:val="000000"/>
                <w:lang w:val="nl-NL" w:eastAsia="nl-NL"/>
              </w:rPr>
              <w:t> </w:t>
            </w:r>
          </w:p>
        </w:tc>
      </w:tr>
      <w:tr w:rsidR="005118CB" w:rsidRPr="005118CB" w14:paraId="5595BC82" w14:textId="77777777" w:rsidTr="005118CB">
        <w:trPr>
          <w:trHeight w:val="315"/>
        </w:trPr>
        <w:tc>
          <w:tcPr>
            <w:tcW w:w="0" w:type="auto"/>
            <w:tcBorders>
              <w:top w:val="nil"/>
              <w:left w:val="single" w:sz="6" w:space="0" w:color="8EAADB"/>
              <w:bottom w:val="single" w:sz="6" w:space="0" w:color="8EAADB"/>
              <w:right w:val="single" w:sz="6" w:space="0" w:color="8EAADB"/>
            </w:tcBorders>
            <w:shd w:val="clear" w:color="auto" w:fill="auto"/>
            <w:hideMark/>
          </w:tcPr>
          <w:p w14:paraId="26D5269E" w14:textId="77777777" w:rsidR="005118CB" w:rsidRPr="005118CB" w:rsidRDefault="005118CB" w:rsidP="00056919">
            <w:pPr>
              <w:spacing w:after="0" w:line="240" w:lineRule="auto"/>
              <w:textAlignment w:val="baseline"/>
              <w:rPr>
                <w:rFonts w:eastAsia="Times New Roman" w:cstheme="majorHAnsi"/>
                <w:b/>
                <w:bCs/>
                <w:lang w:val="nl-NL" w:eastAsia="nl-NL"/>
              </w:rPr>
            </w:pPr>
            <w:r w:rsidRPr="005118CB">
              <w:rPr>
                <w:rFonts w:eastAsia="Times New Roman" w:cstheme="majorHAnsi"/>
                <w:b/>
                <w:bCs/>
                <w:color w:val="000000"/>
                <w:lang w:val="nl-NL" w:eastAsia="nl-NL"/>
              </w:rPr>
              <w:t>Rest S. Africa </w:t>
            </w:r>
          </w:p>
        </w:tc>
        <w:tc>
          <w:tcPr>
            <w:tcW w:w="0" w:type="auto"/>
            <w:tcBorders>
              <w:top w:val="nil"/>
              <w:left w:val="nil"/>
              <w:bottom w:val="single" w:sz="6" w:space="0" w:color="8EAADB"/>
              <w:right w:val="single" w:sz="6" w:space="0" w:color="8EAADB"/>
            </w:tcBorders>
            <w:shd w:val="clear" w:color="auto" w:fill="auto"/>
            <w:vAlign w:val="center"/>
            <w:hideMark/>
          </w:tcPr>
          <w:p w14:paraId="5A374BA5"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-16</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vAlign w:val="center"/>
            <w:hideMark/>
          </w:tcPr>
          <w:p w14:paraId="165DE763"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9</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vAlign w:val="center"/>
            <w:hideMark/>
          </w:tcPr>
          <w:p w14:paraId="2B8290C4"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0</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vAlign w:val="center"/>
            <w:hideMark/>
          </w:tcPr>
          <w:p w14:paraId="4AF873D6"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0</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vAlign w:val="center"/>
            <w:hideMark/>
          </w:tcPr>
          <w:p w14:paraId="3880C145"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0</w:t>
            </w:r>
            <w:r w:rsidRPr="005118CB">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vAlign w:val="center"/>
            <w:hideMark/>
          </w:tcPr>
          <w:p w14:paraId="3E833674" w14:textId="77777777" w:rsidR="005118CB" w:rsidRPr="005118CB" w:rsidRDefault="005118CB" w:rsidP="00056919">
            <w:pPr>
              <w:spacing w:after="0" w:line="240" w:lineRule="auto"/>
              <w:jc w:val="center"/>
              <w:textAlignment w:val="baseline"/>
              <w:rPr>
                <w:rFonts w:eastAsia="Times New Roman" w:cstheme="majorHAnsi"/>
                <w:lang w:val="nl-NL" w:eastAsia="nl-NL"/>
              </w:rPr>
            </w:pPr>
            <w:r w:rsidRPr="005118CB">
              <w:rPr>
                <w:rFonts w:eastAsia="Times New Roman" w:cstheme="majorHAnsi"/>
                <w:color w:val="000000"/>
                <w:lang w:eastAsia="nl-NL"/>
              </w:rPr>
              <w:t>0</w:t>
            </w:r>
            <w:r w:rsidRPr="005118CB">
              <w:rPr>
                <w:rFonts w:eastAsia="Times New Roman" w:cstheme="majorHAnsi"/>
                <w:color w:val="000000"/>
                <w:lang w:val="nl-NL" w:eastAsia="nl-NL"/>
              </w:rPr>
              <w:t> </w:t>
            </w:r>
          </w:p>
        </w:tc>
      </w:tr>
    </w:tbl>
    <w:p w14:paraId="436FEA5E" w14:textId="5DC1FD4E" w:rsidR="0075001B" w:rsidRPr="00195091" w:rsidRDefault="0075001B" w:rsidP="0075001B">
      <w:pPr>
        <w:spacing w:after="0" w:line="240" w:lineRule="auto"/>
        <w:textAlignment w:val="baseline"/>
        <w:rPr>
          <w:rFonts w:eastAsia="Times New Roman" w:cstheme="majorHAnsi"/>
          <w:sz w:val="18"/>
          <w:szCs w:val="18"/>
          <w:lang w:eastAsia="nl-NL"/>
        </w:rPr>
      </w:pPr>
    </w:p>
    <w:p w14:paraId="377EED7E" w14:textId="77777777" w:rsidR="0075001B" w:rsidRPr="00195091" w:rsidRDefault="0075001B" w:rsidP="0075001B">
      <w:pPr>
        <w:spacing w:after="0" w:line="240" w:lineRule="auto"/>
        <w:textAlignment w:val="baseline"/>
        <w:rPr>
          <w:rFonts w:eastAsia="Times New Roman" w:cstheme="majorHAnsi"/>
          <w:b/>
          <w:sz w:val="18"/>
          <w:szCs w:val="18"/>
          <w:lang w:eastAsia="nl-NL"/>
        </w:rPr>
      </w:pPr>
      <w:r w:rsidRPr="00195091">
        <w:rPr>
          <w:rFonts w:eastAsia="Times New Roman" w:cstheme="majorHAnsi"/>
          <w:b/>
          <w:u w:val="single"/>
          <w:lang w:eastAsia="nl-NL"/>
        </w:rPr>
        <w:t>Buildings</w:t>
      </w:r>
      <w:r w:rsidRPr="00195091">
        <w:rPr>
          <w:rFonts w:eastAsia="Times New Roman" w:cstheme="majorHAnsi"/>
          <w:b/>
          <w:lang w:eastAsia="nl-NL"/>
        </w:rPr>
        <w:t> </w:t>
      </w:r>
    </w:p>
    <w:p w14:paraId="1B69D058" w14:textId="16E37F35" w:rsidR="0075001B" w:rsidRPr="00195091" w:rsidRDefault="0075001B" w:rsidP="0075001B">
      <w:pPr>
        <w:rPr>
          <w:rFonts w:cstheme="majorHAnsi"/>
          <w:sz w:val="18"/>
          <w:szCs w:val="18"/>
          <w:lang w:eastAsia="nl-NL"/>
        </w:rPr>
      </w:pPr>
      <w:r w:rsidRPr="00195091">
        <w:rPr>
          <w:rFonts w:cstheme="majorHAnsi"/>
          <w:lang w:eastAsia="nl-NL"/>
        </w:rPr>
        <w:t>The buildings sector in the IMAGE is separated into the residential and service buildings sectors. Data for the </w:t>
      </w:r>
      <w:r w:rsidRPr="00195091">
        <w:rPr>
          <w:rFonts w:cstheme="majorHAnsi"/>
          <w:b/>
          <w:lang w:eastAsia="nl-NL"/>
        </w:rPr>
        <w:t>residential</w:t>
      </w:r>
      <w:r w:rsidRPr="00195091">
        <w:rPr>
          <w:rFonts w:cstheme="majorHAnsi"/>
          <w:lang w:eastAsia="nl-NL"/>
        </w:rPr>
        <w:t> buildings sector were taken from the Google Mobility database</w:t>
      </w:r>
      <w:r w:rsidR="00FF0F07">
        <w:rPr>
          <w:rFonts w:cstheme="majorHAnsi"/>
          <w:lang w:eastAsia="nl-NL"/>
        </w:rPr>
        <w:fldChar w:fldCharType="begin" w:fldLock="1"/>
      </w:r>
      <w:r w:rsidR="00230FA3">
        <w:rPr>
          <w:rFonts w:cstheme="majorHAnsi"/>
          <w:lang w:eastAsia="nl-NL"/>
        </w:rPr>
        <w:instrText>ADDIN CSL_CITATION {"citationItems":[{"id":"ITEM-1","itemData":{"URL":"https://www.google.com/covid19/mobility/","accessed":{"date-parts":[["2020","12","17"]]},"author":[{"dropping-particle":"","family":"Google LLC","given":"","non-dropping-particle":"","parse-names":false,"suffix":""}],"id":"ITEM-1","issued":{"date-parts":[["2020"]]},"title":"COVID-19 Community Mobility Reports","type":"webpage"},"uris":["http://www.mendeley.com/documents/?uuid=90ad6890-d608-3834-9ce8-05f1b9d95ab6"]},{"id":"ITEM-2","itemData":{"URL":"https://ourworldindata.org/covid-mobility-trends#licence","accessed":{"date-parts":[["2021","5","17"]]},"author":[{"dropping-particle":"","family":"Ritchie","given":"H","non-dropping-particle":"","parse-names":false,"suffix":""}],"id":"ITEM-2","issued":{"date-parts":[["2020"]]},"title":"Google Mobility Trends: How has the pandemic changed the movement of people around the world?","type":"webpage"},"uris":["http://www.mendeley.com/documents/?uuid=9988668c-39a6-317c-8d7d-921f7da4de06"]}],"mendeley":{"formattedCitation":"&lt;sup&gt;25,26&lt;/sup&gt;","plainTextFormattedCitation":"25,26","previouslyFormattedCitation":"&lt;sup&gt;25,26&lt;/sup&gt;"},"properties":{"noteIndex":0},"schema":"https://github.com/citation-style-language/schema/raw/master/csl-citation.json"}</w:instrText>
      </w:r>
      <w:r w:rsidR="00FF0F07">
        <w:rPr>
          <w:rFonts w:cstheme="majorHAnsi"/>
          <w:lang w:eastAsia="nl-NL"/>
        </w:rPr>
        <w:fldChar w:fldCharType="separate"/>
      </w:r>
      <w:r w:rsidR="00FF0F07" w:rsidRPr="00FF0F07">
        <w:rPr>
          <w:rFonts w:cstheme="majorHAnsi"/>
          <w:noProof/>
          <w:vertAlign w:val="superscript"/>
          <w:lang w:eastAsia="nl-NL"/>
        </w:rPr>
        <w:t>25,26</w:t>
      </w:r>
      <w:r w:rsidR="00FF0F07">
        <w:rPr>
          <w:rFonts w:cstheme="majorHAnsi"/>
          <w:lang w:eastAsia="nl-NL"/>
        </w:rPr>
        <w:fldChar w:fldCharType="end"/>
      </w:r>
      <w:r w:rsidRPr="00195091">
        <w:rPr>
          <w:rFonts w:cstheme="majorHAnsi"/>
          <w:lang w:eastAsia="nl-NL"/>
        </w:rPr>
        <w:t>. They provide a change in the amount of time spent in one’s residence. Since data were not available for China, the data for Hong Kong were used as a proxy.  </w:t>
      </w:r>
    </w:p>
    <w:p w14:paraId="456A8414" w14:textId="77777777" w:rsidR="0075001B" w:rsidRPr="00195091" w:rsidRDefault="0075001B" w:rsidP="0075001B">
      <w:pPr>
        <w:rPr>
          <w:rFonts w:cstheme="majorHAnsi"/>
          <w:sz w:val="18"/>
          <w:szCs w:val="18"/>
          <w:lang w:eastAsia="nl-NL"/>
        </w:rPr>
      </w:pPr>
      <w:r w:rsidRPr="00195091">
        <w:rPr>
          <w:rFonts w:cstheme="majorHAnsi"/>
          <w:lang w:eastAsia="nl-NL"/>
        </w:rPr>
        <w:t>The main assumption for this sector is that the time spent indoors (in percentage increase) leads to an increase in energy demand for heating and cooling (depending on the region we are investigating), while the rest of the residential profile remains the same; changes in lighting, cooking and appliances are assumed to be negligible compared to heating and cooling demand changes. Residential consumption patterns are assumed to return to pre-COVID levels in 2022.  </w:t>
      </w:r>
    </w:p>
    <w:p w14:paraId="2259D161" w14:textId="0FCC047F" w:rsidR="0075001B" w:rsidRPr="00195091" w:rsidRDefault="0075001B" w:rsidP="0075001B">
      <w:pPr>
        <w:rPr>
          <w:rFonts w:cstheme="majorHAnsi"/>
          <w:sz w:val="18"/>
          <w:szCs w:val="18"/>
          <w:lang w:eastAsia="nl-NL"/>
        </w:rPr>
      </w:pPr>
      <w:r w:rsidRPr="00195091">
        <w:rPr>
          <w:rFonts w:cstheme="majorHAnsi"/>
          <w:lang w:eastAsia="nl-NL"/>
        </w:rPr>
        <w:t>Due to limited data availability, a uniform approach was selected for the </w:t>
      </w:r>
      <w:r w:rsidRPr="00195091">
        <w:rPr>
          <w:rFonts w:cstheme="majorHAnsi"/>
          <w:b/>
          <w:lang w:eastAsia="nl-NL"/>
        </w:rPr>
        <w:t>services</w:t>
      </w:r>
      <w:r w:rsidRPr="00195091">
        <w:rPr>
          <w:rFonts w:cstheme="majorHAnsi"/>
          <w:lang w:eastAsia="nl-NL"/>
        </w:rPr>
        <w:t> sector. According to early studies, a decrease in consumption was applied in all regions, showing that service buildings have witnessed a decrease in energy consumption, although not as significant as in other sectors. This is due to the fact that service buildings have a high baseload demand to prevent mold and humidity building up in the HVAC systems, security systems needing to operate continuously, and servers kept functioning at all times</w:t>
      </w:r>
      <w:r w:rsidR="00230FA3">
        <w:rPr>
          <w:rFonts w:cstheme="majorHAnsi"/>
          <w:lang w:eastAsia="nl-NL"/>
        </w:rPr>
        <w:fldChar w:fldCharType="begin" w:fldLock="1"/>
      </w:r>
      <w:r w:rsidR="005F1A9D">
        <w:rPr>
          <w:rFonts w:cstheme="majorHAnsi"/>
          <w:lang w:eastAsia="nl-NL"/>
        </w:rPr>
        <w:instrText>ADDIN CSL_CITATION {"citationItems":[{"id":"ITEM-1","itemData":{"URL":"https://www.prescriptivedata.io/reports/covid-nyc-march-2020","accessed":{"date-parts":[["2021","5","17"]]},"author":[{"dropping-particle":"","family":"Prescriptive Data","given":"","non-dropping-particle":"","parse-names":false,"suffix":""}],"id":"ITEM-1","issued":{"date-parts":[["2020"]]},"title":"The Impact Of COVID-19 On NYC Office Buildings","type":"webpage"},"uris":["http://www.mendeley.com/documents/?uuid=1fa2a3b5-a61d-3f19-9742-50daa613ca12"]},{"id":"ITEM-2","itemData":{"URL":"https://gresb.com/covid-19-and-commercial-energy-realizing-and-sustaining-savings/","accessed":{"date-parts":[["2021","5","17"]]},"author":[{"dropping-particle":"","family":"Segars","given":"Ray","non-dropping-particle":"","parse-names":false,"suffix":""}],"id":"ITEM-2","issued":{"date-parts":[["2020"]]},"title":"COVID-19 and Commercial Energy: Realizing and Sustaining Savings","type":"webpage"},"uris":["http://www.mendeley.com/documents/?uuid=4dcfbf84-23c4-3d2d-907e-cacbf5cea197"]},{"id":"ITEM-3","itemData":{"URL":"https://www.sapient.industries/covid-19","accessed":{"date-parts":[["2021","5","17"]]},"author":[{"dropping-particle":"","family":"Sapient Industries","given":"","non-dropping-particle":"","parse-names":false,"suffix":""}],"id":"ITEM-3","issued":{"date-parts":[["2020"]]},"title":"Reduced occupancy, increased savings","type":"webpage"},"uris":["http://www.mendeley.com/documents/?uuid=54a9e257-21be-3cae-aca4-2206ceef1566"]},{"id":"ITEM-4","itemData":{"URL":"https://www.greentechmedia.com/articles/read/how-office-buildings-power-down-during-coronavirus-lockdown","accessed":{"date-parts":[["2021","5","17"]]},"author":[{"dropping-particle":"","family":"John","given":"Jeff St","non-dropping-particle":"","parse-names":false,"suffix":""}],"id":"ITEM-4","issued":{"date-parts":[["2020"]]},"title":"Why Empty Office Buildings Still Consume Lots of Power During a Global Pandemic","type":"webpage"},"uris":["http://www.mendeley.com/documents/?uuid=16a8320d-9e3d-32a8-9d3e-7a054c506562"]},{"id":"ITEM-5","itemData":{"URL":"https://www.egi.co.uk/news/commercial-buildings-fail-in-lockdown-conservation/","accessed":{"date-parts":[["2021","5","17"]]},"author":[{"dropping-particle":"","family":"McClary","given":"Samantha","non-dropping-particle":"","parse-names":false,"suffix":""}],"id":"ITEM-5","issued":{"date-parts":[["2020"]]},"title":"Commercial buildings fail in lockdown conservation","type":"webpage"},"uris":["http://www.mendeley.com/documents/?uuid=b8f454fd-c8cc-3b5b-994b-f7bafa8a168e"]}],"mendeley":{"formattedCitation":"&lt;sup&gt;45–49&lt;/sup&gt;","plainTextFormattedCitation":"45–49","previouslyFormattedCitation":"&lt;sup&gt;45–49&lt;/sup&gt;"},"properties":{"noteIndex":0},"schema":"https://github.com/citation-style-language/schema/raw/master/csl-citation.json"}</w:instrText>
      </w:r>
      <w:r w:rsidR="00230FA3">
        <w:rPr>
          <w:rFonts w:cstheme="majorHAnsi"/>
          <w:lang w:eastAsia="nl-NL"/>
        </w:rPr>
        <w:fldChar w:fldCharType="separate"/>
      </w:r>
      <w:r w:rsidR="00230FA3" w:rsidRPr="00230FA3">
        <w:rPr>
          <w:rFonts w:cstheme="majorHAnsi"/>
          <w:noProof/>
          <w:vertAlign w:val="superscript"/>
          <w:lang w:eastAsia="nl-NL"/>
        </w:rPr>
        <w:t>45–49</w:t>
      </w:r>
      <w:r w:rsidR="00230FA3">
        <w:rPr>
          <w:rFonts w:cstheme="majorHAnsi"/>
          <w:lang w:eastAsia="nl-NL"/>
        </w:rPr>
        <w:fldChar w:fldCharType="end"/>
      </w:r>
      <w:r w:rsidRPr="00195091">
        <w:rPr>
          <w:rFonts w:cstheme="majorHAnsi"/>
          <w:lang w:eastAsia="nl-NL"/>
        </w:rPr>
        <w:t>. Service buildings consumption patterns are assumed to return to pre-COVID levels in 2022.  </w:t>
      </w:r>
    </w:p>
    <w:p w14:paraId="6AC22F1B" w14:textId="77777777" w:rsidR="0075001B" w:rsidRPr="00195091" w:rsidRDefault="0075001B" w:rsidP="0075001B">
      <w:pPr>
        <w:spacing w:after="0" w:line="240" w:lineRule="auto"/>
        <w:textAlignment w:val="baseline"/>
        <w:rPr>
          <w:rFonts w:eastAsia="Times New Roman" w:cstheme="majorHAnsi"/>
          <w:sz w:val="18"/>
          <w:szCs w:val="18"/>
          <w:lang w:eastAsia="nl-NL"/>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0"/>
        <w:gridCol w:w="763"/>
        <w:gridCol w:w="776"/>
        <w:gridCol w:w="763"/>
        <w:gridCol w:w="763"/>
      </w:tblGrid>
      <w:tr w:rsidR="005118CB" w:rsidRPr="00195091" w14:paraId="7F3D90AA" w14:textId="77777777" w:rsidTr="00322B9D">
        <w:trPr>
          <w:trHeight w:val="300"/>
        </w:trPr>
        <w:tc>
          <w:tcPr>
            <w:tcW w:w="0" w:type="auto"/>
            <w:gridSpan w:val="5"/>
            <w:tcBorders>
              <w:top w:val="single" w:sz="6" w:space="0" w:color="4472C4"/>
              <w:left w:val="single" w:sz="6" w:space="0" w:color="4472C4"/>
              <w:bottom w:val="single" w:sz="6" w:space="0" w:color="4472C4"/>
              <w:right w:val="nil"/>
            </w:tcBorders>
            <w:shd w:val="clear" w:color="auto" w:fill="4472C4"/>
            <w:hideMark/>
          </w:tcPr>
          <w:p w14:paraId="376A30B0" w14:textId="5AF4DB65" w:rsidR="005118CB" w:rsidRPr="00195091" w:rsidRDefault="005118CB" w:rsidP="00322B9D">
            <w:pPr>
              <w:spacing w:after="0" w:line="240" w:lineRule="auto"/>
              <w:textAlignment w:val="baseline"/>
              <w:rPr>
                <w:rFonts w:eastAsia="Times New Roman" w:cstheme="majorHAnsi"/>
                <w:b/>
                <w:bCs/>
                <w:color w:val="FFFFFF"/>
                <w:sz w:val="24"/>
                <w:szCs w:val="24"/>
                <w:lang w:eastAsia="nl-NL"/>
              </w:rPr>
            </w:pPr>
            <w:r w:rsidRPr="00195091">
              <w:rPr>
                <w:rFonts w:eastAsia="Times New Roman" w:cstheme="majorHAnsi"/>
                <w:b/>
                <w:bCs/>
                <w:color w:val="FFFFFF"/>
                <w:lang w:eastAsia="nl-NL"/>
              </w:rPr>
              <w:t>Building sector activity levels  [Energy consumption YoY %] </w:t>
            </w:r>
          </w:p>
        </w:tc>
      </w:tr>
      <w:tr w:rsidR="005118CB" w:rsidRPr="00195091" w14:paraId="5091F8B5" w14:textId="77777777" w:rsidTr="00322B9D">
        <w:trPr>
          <w:trHeight w:val="300"/>
        </w:trPr>
        <w:tc>
          <w:tcPr>
            <w:tcW w:w="0" w:type="auto"/>
            <w:tcBorders>
              <w:top w:val="nil"/>
              <w:left w:val="single" w:sz="6" w:space="0" w:color="8EAADB"/>
              <w:bottom w:val="single" w:sz="6" w:space="0" w:color="8EAADB"/>
              <w:right w:val="single" w:sz="6" w:space="0" w:color="8EAADB"/>
            </w:tcBorders>
            <w:shd w:val="clear" w:color="auto" w:fill="D9E2F3"/>
            <w:hideMark/>
          </w:tcPr>
          <w:p w14:paraId="77E3C8C2" w14:textId="77777777" w:rsidR="005118CB" w:rsidRPr="00195091" w:rsidRDefault="005118CB" w:rsidP="00056919">
            <w:pPr>
              <w:spacing w:after="0" w:line="240" w:lineRule="auto"/>
              <w:jc w:val="right"/>
              <w:textAlignment w:val="baseline"/>
              <w:rPr>
                <w:rFonts w:eastAsia="Times New Roman" w:cstheme="majorHAnsi"/>
                <w:b/>
                <w:bCs/>
                <w:sz w:val="24"/>
                <w:szCs w:val="24"/>
                <w:lang w:eastAsia="nl-NL"/>
              </w:rPr>
            </w:pPr>
            <w:r w:rsidRPr="00195091">
              <w:rPr>
                <w:rFonts w:eastAsia="Times New Roman" w:cstheme="majorHAnsi"/>
                <w:b/>
                <w:bCs/>
                <w:color w:val="000000"/>
                <w:lang w:eastAsia="nl-NL"/>
              </w:rPr>
              <w:t> </w:t>
            </w:r>
          </w:p>
        </w:tc>
        <w:tc>
          <w:tcPr>
            <w:tcW w:w="0" w:type="auto"/>
            <w:gridSpan w:val="2"/>
            <w:tcBorders>
              <w:top w:val="nil"/>
              <w:left w:val="nil"/>
              <w:bottom w:val="single" w:sz="6" w:space="0" w:color="8EAADB"/>
              <w:right w:val="single" w:sz="6" w:space="0" w:color="8EAADB"/>
            </w:tcBorders>
            <w:shd w:val="clear" w:color="auto" w:fill="D9E2F3"/>
            <w:hideMark/>
          </w:tcPr>
          <w:p w14:paraId="7899B62E"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Residential</w:t>
            </w:r>
            <w:r w:rsidRPr="00195091">
              <w:rPr>
                <w:rFonts w:eastAsia="Times New Roman" w:cstheme="majorHAnsi"/>
                <w:color w:val="000000"/>
                <w:lang w:val="nl-NL" w:eastAsia="nl-NL"/>
              </w:rPr>
              <w:t> </w:t>
            </w:r>
          </w:p>
        </w:tc>
        <w:tc>
          <w:tcPr>
            <w:tcW w:w="0" w:type="auto"/>
            <w:gridSpan w:val="2"/>
            <w:tcBorders>
              <w:top w:val="nil"/>
              <w:left w:val="nil"/>
              <w:bottom w:val="single" w:sz="6" w:space="0" w:color="8EAADB"/>
              <w:right w:val="single" w:sz="6" w:space="0" w:color="8EAADB"/>
            </w:tcBorders>
            <w:shd w:val="clear" w:color="auto" w:fill="D9E2F3"/>
            <w:hideMark/>
          </w:tcPr>
          <w:p w14:paraId="3BEEFEB8"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Services</w:t>
            </w:r>
            <w:r w:rsidRPr="00195091">
              <w:rPr>
                <w:rFonts w:eastAsia="Times New Roman" w:cstheme="majorHAnsi"/>
                <w:color w:val="000000"/>
                <w:lang w:val="nl-NL" w:eastAsia="nl-NL"/>
              </w:rPr>
              <w:t> </w:t>
            </w:r>
          </w:p>
        </w:tc>
      </w:tr>
      <w:tr w:rsidR="005118CB" w:rsidRPr="00195091" w14:paraId="25AD52AA" w14:textId="77777777" w:rsidTr="00322B9D">
        <w:trPr>
          <w:trHeight w:val="300"/>
        </w:trPr>
        <w:tc>
          <w:tcPr>
            <w:tcW w:w="0" w:type="auto"/>
            <w:tcBorders>
              <w:top w:val="nil"/>
              <w:left w:val="single" w:sz="6" w:space="0" w:color="8EAADB"/>
              <w:bottom w:val="single" w:sz="6" w:space="0" w:color="8EAADB"/>
              <w:right w:val="single" w:sz="6" w:space="0" w:color="8EAADB"/>
            </w:tcBorders>
            <w:shd w:val="clear" w:color="auto" w:fill="auto"/>
            <w:hideMark/>
          </w:tcPr>
          <w:p w14:paraId="0AFF095B" w14:textId="77777777" w:rsidR="005118CB" w:rsidRPr="00195091" w:rsidRDefault="005118CB" w:rsidP="00056919">
            <w:pPr>
              <w:spacing w:after="0" w:line="240" w:lineRule="auto"/>
              <w:textAlignment w:val="baseline"/>
              <w:rPr>
                <w:rFonts w:eastAsia="Times New Roman" w:cstheme="majorHAnsi"/>
                <w:b/>
                <w:bCs/>
                <w:sz w:val="24"/>
                <w:szCs w:val="24"/>
                <w:lang w:val="nl-NL" w:eastAsia="nl-NL"/>
              </w:rPr>
            </w:pPr>
            <w:r w:rsidRPr="00195091">
              <w:rPr>
                <w:rFonts w:eastAsia="Times New Roman" w:cstheme="majorHAnsi"/>
                <w:b/>
                <w:bCs/>
                <w:color w:val="000000"/>
                <w:lang w:eastAsia="nl-NL"/>
              </w:rPr>
              <w:t> </w:t>
            </w:r>
            <w:r w:rsidRPr="00195091">
              <w:rPr>
                <w:rFonts w:eastAsia="Times New Roman" w:cstheme="majorHAnsi"/>
                <w:b/>
                <w:bCs/>
                <w:color w:val="000000"/>
                <w:lang w:val="nl-NL" w:eastAsia="nl-NL"/>
              </w:rPr>
              <w:t> </w:t>
            </w:r>
          </w:p>
        </w:tc>
        <w:tc>
          <w:tcPr>
            <w:tcW w:w="0" w:type="auto"/>
            <w:tcBorders>
              <w:top w:val="nil"/>
              <w:left w:val="nil"/>
              <w:bottom w:val="single" w:sz="6" w:space="0" w:color="8EAADB"/>
              <w:right w:val="single" w:sz="6" w:space="0" w:color="8EAADB"/>
            </w:tcBorders>
            <w:shd w:val="clear" w:color="auto" w:fill="auto"/>
            <w:hideMark/>
          </w:tcPr>
          <w:p w14:paraId="7516941D"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b/>
                <w:bCs/>
                <w:color w:val="000000"/>
                <w:lang w:val="nl-NL" w:eastAsia="nl-NL"/>
              </w:rPr>
              <w:t>2020</w:t>
            </w:r>
            <w:r w:rsidRPr="00195091">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hideMark/>
          </w:tcPr>
          <w:p w14:paraId="7E3D153E"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b/>
                <w:bCs/>
                <w:color w:val="000000"/>
                <w:lang w:val="nl-NL" w:eastAsia="nl-NL"/>
              </w:rPr>
              <w:t>2021</w:t>
            </w:r>
            <w:r w:rsidRPr="00195091">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hideMark/>
          </w:tcPr>
          <w:p w14:paraId="0864DD58"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b/>
                <w:bCs/>
                <w:color w:val="000000"/>
                <w:lang w:val="nl-NL" w:eastAsia="nl-NL"/>
              </w:rPr>
              <w:t>2020</w:t>
            </w:r>
            <w:r w:rsidRPr="00195091">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hideMark/>
          </w:tcPr>
          <w:p w14:paraId="208C2926"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b/>
                <w:bCs/>
                <w:color w:val="000000"/>
                <w:lang w:val="nl-NL" w:eastAsia="nl-NL"/>
              </w:rPr>
              <w:t>2021</w:t>
            </w:r>
            <w:r w:rsidRPr="00195091">
              <w:rPr>
                <w:rFonts w:eastAsia="Times New Roman" w:cstheme="majorHAnsi"/>
                <w:color w:val="000000"/>
                <w:lang w:val="nl-NL" w:eastAsia="nl-NL"/>
              </w:rPr>
              <w:t> </w:t>
            </w:r>
          </w:p>
        </w:tc>
      </w:tr>
      <w:tr w:rsidR="005118CB" w:rsidRPr="00195091" w14:paraId="51E346E3" w14:textId="77777777" w:rsidTr="00322B9D">
        <w:trPr>
          <w:trHeight w:val="300"/>
        </w:trPr>
        <w:tc>
          <w:tcPr>
            <w:tcW w:w="0" w:type="auto"/>
            <w:tcBorders>
              <w:top w:val="nil"/>
              <w:left w:val="single" w:sz="6" w:space="0" w:color="8EAADB"/>
              <w:bottom w:val="single" w:sz="6" w:space="0" w:color="8EAADB"/>
              <w:right w:val="single" w:sz="6" w:space="0" w:color="8EAADB"/>
            </w:tcBorders>
            <w:shd w:val="clear" w:color="auto" w:fill="D9E2F3"/>
            <w:hideMark/>
          </w:tcPr>
          <w:p w14:paraId="0548F8BC" w14:textId="77777777" w:rsidR="005118CB" w:rsidRPr="00195091" w:rsidRDefault="005118CB" w:rsidP="00056919">
            <w:pPr>
              <w:spacing w:after="0" w:line="240" w:lineRule="auto"/>
              <w:textAlignment w:val="baseline"/>
              <w:rPr>
                <w:rFonts w:eastAsia="Times New Roman" w:cstheme="majorHAnsi"/>
                <w:b/>
                <w:bCs/>
                <w:sz w:val="24"/>
                <w:szCs w:val="24"/>
                <w:lang w:val="nl-NL" w:eastAsia="nl-NL"/>
              </w:rPr>
            </w:pPr>
            <w:r w:rsidRPr="00195091">
              <w:rPr>
                <w:rFonts w:eastAsia="Times New Roman" w:cstheme="majorHAnsi"/>
                <w:b/>
                <w:bCs/>
                <w:color w:val="000000"/>
                <w:lang w:val="nl-NL" w:eastAsia="nl-NL"/>
              </w:rPr>
              <w:t>Canada </w:t>
            </w:r>
          </w:p>
        </w:tc>
        <w:tc>
          <w:tcPr>
            <w:tcW w:w="0" w:type="auto"/>
            <w:tcBorders>
              <w:top w:val="nil"/>
              <w:left w:val="nil"/>
              <w:bottom w:val="single" w:sz="6" w:space="0" w:color="8EAADB"/>
              <w:right w:val="single" w:sz="6" w:space="0" w:color="8EAADB"/>
            </w:tcBorders>
            <w:shd w:val="clear" w:color="auto" w:fill="D9E2F3"/>
            <w:hideMark/>
          </w:tcPr>
          <w:p w14:paraId="5B7B07E1"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11</w:t>
            </w:r>
            <w:r w:rsidRPr="00195091">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hideMark/>
          </w:tcPr>
          <w:p w14:paraId="19EA3CCD"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-8</w:t>
            </w:r>
            <w:r w:rsidRPr="00195091">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hideMark/>
          </w:tcPr>
          <w:p w14:paraId="4A2B33D4"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-25</w:t>
            </w:r>
            <w:r w:rsidRPr="00195091">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hideMark/>
          </w:tcPr>
          <w:p w14:paraId="76701E0F"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18</w:t>
            </w:r>
            <w:r w:rsidRPr="00195091">
              <w:rPr>
                <w:rFonts w:eastAsia="Times New Roman" w:cstheme="majorHAnsi"/>
                <w:color w:val="000000"/>
                <w:lang w:val="nl-NL" w:eastAsia="nl-NL"/>
              </w:rPr>
              <w:t> </w:t>
            </w:r>
          </w:p>
        </w:tc>
      </w:tr>
      <w:tr w:rsidR="005118CB" w:rsidRPr="00195091" w14:paraId="352AF3BF" w14:textId="77777777" w:rsidTr="00322B9D">
        <w:trPr>
          <w:trHeight w:val="300"/>
        </w:trPr>
        <w:tc>
          <w:tcPr>
            <w:tcW w:w="0" w:type="auto"/>
            <w:tcBorders>
              <w:top w:val="nil"/>
              <w:left w:val="single" w:sz="6" w:space="0" w:color="8EAADB"/>
              <w:bottom w:val="single" w:sz="6" w:space="0" w:color="8EAADB"/>
              <w:right w:val="single" w:sz="6" w:space="0" w:color="8EAADB"/>
            </w:tcBorders>
            <w:shd w:val="clear" w:color="auto" w:fill="auto"/>
            <w:hideMark/>
          </w:tcPr>
          <w:p w14:paraId="1723494F" w14:textId="77777777" w:rsidR="005118CB" w:rsidRPr="00195091" w:rsidRDefault="005118CB" w:rsidP="00056919">
            <w:pPr>
              <w:spacing w:after="0" w:line="240" w:lineRule="auto"/>
              <w:textAlignment w:val="baseline"/>
              <w:rPr>
                <w:rFonts w:eastAsia="Times New Roman" w:cstheme="majorHAnsi"/>
                <w:b/>
                <w:bCs/>
                <w:sz w:val="24"/>
                <w:szCs w:val="24"/>
                <w:lang w:val="nl-NL" w:eastAsia="nl-NL"/>
              </w:rPr>
            </w:pPr>
            <w:r w:rsidRPr="00195091">
              <w:rPr>
                <w:rFonts w:eastAsia="Times New Roman" w:cstheme="majorHAnsi"/>
                <w:b/>
                <w:bCs/>
                <w:color w:val="000000"/>
                <w:lang w:val="nl-NL" w:eastAsia="nl-NL"/>
              </w:rPr>
              <w:t>USA </w:t>
            </w:r>
          </w:p>
        </w:tc>
        <w:tc>
          <w:tcPr>
            <w:tcW w:w="0" w:type="auto"/>
            <w:tcBorders>
              <w:top w:val="nil"/>
              <w:left w:val="nil"/>
              <w:bottom w:val="single" w:sz="6" w:space="0" w:color="8EAADB"/>
              <w:right w:val="single" w:sz="6" w:space="0" w:color="8EAADB"/>
            </w:tcBorders>
            <w:shd w:val="clear" w:color="auto" w:fill="auto"/>
            <w:hideMark/>
          </w:tcPr>
          <w:p w14:paraId="3FC0232E"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9</w:t>
            </w:r>
            <w:r w:rsidRPr="00195091">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hideMark/>
          </w:tcPr>
          <w:p w14:paraId="4912807D"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-7</w:t>
            </w:r>
            <w:r w:rsidRPr="00195091">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hideMark/>
          </w:tcPr>
          <w:p w14:paraId="65D82103"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-25</w:t>
            </w:r>
            <w:r w:rsidRPr="00195091">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hideMark/>
          </w:tcPr>
          <w:p w14:paraId="2F77559E"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18</w:t>
            </w:r>
            <w:r w:rsidRPr="00195091">
              <w:rPr>
                <w:rFonts w:eastAsia="Times New Roman" w:cstheme="majorHAnsi"/>
                <w:color w:val="000000"/>
                <w:lang w:val="nl-NL" w:eastAsia="nl-NL"/>
              </w:rPr>
              <w:t> </w:t>
            </w:r>
          </w:p>
        </w:tc>
      </w:tr>
      <w:tr w:rsidR="005118CB" w:rsidRPr="00195091" w14:paraId="75C1C174" w14:textId="77777777" w:rsidTr="00322B9D">
        <w:trPr>
          <w:trHeight w:val="300"/>
        </w:trPr>
        <w:tc>
          <w:tcPr>
            <w:tcW w:w="0" w:type="auto"/>
            <w:tcBorders>
              <w:top w:val="nil"/>
              <w:left w:val="single" w:sz="6" w:space="0" w:color="8EAADB"/>
              <w:bottom w:val="single" w:sz="6" w:space="0" w:color="8EAADB"/>
              <w:right w:val="single" w:sz="6" w:space="0" w:color="8EAADB"/>
            </w:tcBorders>
            <w:shd w:val="clear" w:color="auto" w:fill="D9E2F3"/>
            <w:hideMark/>
          </w:tcPr>
          <w:p w14:paraId="4BD5B8BC" w14:textId="77777777" w:rsidR="005118CB" w:rsidRPr="00195091" w:rsidRDefault="005118CB" w:rsidP="00056919">
            <w:pPr>
              <w:spacing w:after="0" w:line="240" w:lineRule="auto"/>
              <w:textAlignment w:val="baseline"/>
              <w:rPr>
                <w:rFonts w:eastAsia="Times New Roman" w:cstheme="majorHAnsi"/>
                <w:b/>
                <w:bCs/>
                <w:sz w:val="24"/>
                <w:szCs w:val="24"/>
                <w:lang w:val="nl-NL" w:eastAsia="nl-NL"/>
              </w:rPr>
            </w:pPr>
            <w:r w:rsidRPr="00195091">
              <w:rPr>
                <w:rFonts w:eastAsia="Times New Roman" w:cstheme="majorHAnsi"/>
                <w:b/>
                <w:bCs/>
                <w:color w:val="000000"/>
                <w:lang w:val="nl-NL" w:eastAsia="nl-NL"/>
              </w:rPr>
              <w:t>Mexico </w:t>
            </w:r>
          </w:p>
        </w:tc>
        <w:tc>
          <w:tcPr>
            <w:tcW w:w="0" w:type="auto"/>
            <w:tcBorders>
              <w:top w:val="nil"/>
              <w:left w:val="nil"/>
              <w:bottom w:val="single" w:sz="6" w:space="0" w:color="8EAADB"/>
              <w:right w:val="single" w:sz="6" w:space="0" w:color="8EAADB"/>
            </w:tcBorders>
            <w:shd w:val="clear" w:color="auto" w:fill="D9E2F3"/>
            <w:hideMark/>
          </w:tcPr>
          <w:p w14:paraId="611CCFAC"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13</w:t>
            </w:r>
            <w:r w:rsidRPr="00195091">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hideMark/>
          </w:tcPr>
          <w:p w14:paraId="2957EF59"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-9</w:t>
            </w:r>
            <w:r w:rsidRPr="00195091">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hideMark/>
          </w:tcPr>
          <w:p w14:paraId="2D85F875"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-25</w:t>
            </w:r>
            <w:r w:rsidRPr="00195091">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hideMark/>
          </w:tcPr>
          <w:p w14:paraId="07997327"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18</w:t>
            </w:r>
            <w:r w:rsidRPr="00195091">
              <w:rPr>
                <w:rFonts w:eastAsia="Times New Roman" w:cstheme="majorHAnsi"/>
                <w:color w:val="000000"/>
                <w:lang w:val="nl-NL" w:eastAsia="nl-NL"/>
              </w:rPr>
              <w:t> </w:t>
            </w:r>
          </w:p>
        </w:tc>
      </w:tr>
      <w:tr w:rsidR="005118CB" w:rsidRPr="00195091" w14:paraId="4DA495C9" w14:textId="77777777" w:rsidTr="00322B9D">
        <w:trPr>
          <w:trHeight w:val="300"/>
        </w:trPr>
        <w:tc>
          <w:tcPr>
            <w:tcW w:w="0" w:type="auto"/>
            <w:tcBorders>
              <w:top w:val="nil"/>
              <w:left w:val="single" w:sz="6" w:space="0" w:color="8EAADB"/>
              <w:bottom w:val="single" w:sz="6" w:space="0" w:color="8EAADB"/>
              <w:right w:val="single" w:sz="6" w:space="0" w:color="8EAADB"/>
            </w:tcBorders>
            <w:shd w:val="clear" w:color="auto" w:fill="auto"/>
            <w:hideMark/>
          </w:tcPr>
          <w:p w14:paraId="25276C03" w14:textId="77777777" w:rsidR="005118CB" w:rsidRPr="00195091" w:rsidRDefault="005118CB" w:rsidP="00056919">
            <w:pPr>
              <w:spacing w:after="0" w:line="240" w:lineRule="auto"/>
              <w:textAlignment w:val="baseline"/>
              <w:rPr>
                <w:rFonts w:eastAsia="Times New Roman" w:cstheme="majorHAnsi"/>
                <w:b/>
                <w:bCs/>
                <w:sz w:val="24"/>
                <w:szCs w:val="24"/>
                <w:lang w:val="nl-NL" w:eastAsia="nl-NL"/>
              </w:rPr>
            </w:pPr>
            <w:r w:rsidRPr="00195091">
              <w:rPr>
                <w:rFonts w:eastAsia="Times New Roman" w:cstheme="majorHAnsi"/>
                <w:b/>
                <w:bCs/>
                <w:color w:val="000000"/>
                <w:lang w:val="nl-NL" w:eastAsia="nl-NL"/>
              </w:rPr>
              <w:t>Rest C. America </w:t>
            </w:r>
          </w:p>
        </w:tc>
        <w:tc>
          <w:tcPr>
            <w:tcW w:w="0" w:type="auto"/>
            <w:tcBorders>
              <w:top w:val="nil"/>
              <w:left w:val="nil"/>
              <w:bottom w:val="single" w:sz="6" w:space="0" w:color="8EAADB"/>
              <w:right w:val="single" w:sz="6" w:space="0" w:color="8EAADB"/>
            </w:tcBorders>
            <w:shd w:val="clear" w:color="auto" w:fill="auto"/>
            <w:hideMark/>
          </w:tcPr>
          <w:p w14:paraId="74678614"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13</w:t>
            </w:r>
            <w:r w:rsidRPr="00195091">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hideMark/>
          </w:tcPr>
          <w:p w14:paraId="428FA90C"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-9</w:t>
            </w:r>
            <w:r w:rsidRPr="00195091">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hideMark/>
          </w:tcPr>
          <w:p w14:paraId="1C550DE6"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-25</w:t>
            </w:r>
            <w:r w:rsidRPr="00195091">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hideMark/>
          </w:tcPr>
          <w:p w14:paraId="0602F08C"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18</w:t>
            </w:r>
            <w:r w:rsidRPr="00195091">
              <w:rPr>
                <w:rFonts w:eastAsia="Times New Roman" w:cstheme="majorHAnsi"/>
                <w:color w:val="000000"/>
                <w:lang w:val="nl-NL" w:eastAsia="nl-NL"/>
              </w:rPr>
              <w:t> </w:t>
            </w:r>
          </w:p>
        </w:tc>
      </w:tr>
      <w:tr w:rsidR="005118CB" w:rsidRPr="00195091" w14:paraId="03F343A8" w14:textId="77777777" w:rsidTr="00322B9D">
        <w:trPr>
          <w:trHeight w:val="300"/>
        </w:trPr>
        <w:tc>
          <w:tcPr>
            <w:tcW w:w="0" w:type="auto"/>
            <w:tcBorders>
              <w:top w:val="nil"/>
              <w:left w:val="single" w:sz="6" w:space="0" w:color="8EAADB"/>
              <w:bottom w:val="single" w:sz="6" w:space="0" w:color="8EAADB"/>
              <w:right w:val="single" w:sz="6" w:space="0" w:color="8EAADB"/>
            </w:tcBorders>
            <w:shd w:val="clear" w:color="auto" w:fill="D9E2F3"/>
            <w:hideMark/>
          </w:tcPr>
          <w:p w14:paraId="3E1326D2" w14:textId="77777777" w:rsidR="005118CB" w:rsidRPr="00195091" w:rsidRDefault="005118CB" w:rsidP="00056919">
            <w:pPr>
              <w:spacing w:after="0" w:line="240" w:lineRule="auto"/>
              <w:textAlignment w:val="baseline"/>
              <w:rPr>
                <w:rFonts w:eastAsia="Times New Roman" w:cstheme="majorHAnsi"/>
                <w:b/>
                <w:bCs/>
                <w:sz w:val="24"/>
                <w:szCs w:val="24"/>
                <w:lang w:val="nl-NL" w:eastAsia="nl-NL"/>
              </w:rPr>
            </w:pPr>
            <w:r w:rsidRPr="00195091">
              <w:rPr>
                <w:rFonts w:eastAsia="Times New Roman" w:cstheme="majorHAnsi"/>
                <w:b/>
                <w:bCs/>
                <w:color w:val="000000"/>
                <w:lang w:val="nl-NL" w:eastAsia="nl-NL"/>
              </w:rPr>
              <w:t>Brazil </w:t>
            </w:r>
          </w:p>
        </w:tc>
        <w:tc>
          <w:tcPr>
            <w:tcW w:w="0" w:type="auto"/>
            <w:tcBorders>
              <w:top w:val="nil"/>
              <w:left w:val="nil"/>
              <w:bottom w:val="single" w:sz="6" w:space="0" w:color="8EAADB"/>
              <w:right w:val="single" w:sz="6" w:space="0" w:color="8EAADB"/>
            </w:tcBorders>
            <w:shd w:val="clear" w:color="auto" w:fill="D9E2F3"/>
            <w:hideMark/>
          </w:tcPr>
          <w:p w14:paraId="7FC52837"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11</w:t>
            </w:r>
            <w:r w:rsidRPr="00195091">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hideMark/>
          </w:tcPr>
          <w:p w14:paraId="49A4D5B1"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-8</w:t>
            </w:r>
            <w:r w:rsidRPr="00195091">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hideMark/>
          </w:tcPr>
          <w:p w14:paraId="53A6D020"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-25</w:t>
            </w:r>
            <w:r w:rsidRPr="00195091">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hideMark/>
          </w:tcPr>
          <w:p w14:paraId="418B39E3"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18</w:t>
            </w:r>
            <w:r w:rsidRPr="00195091">
              <w:rPr>
                <w:rFonts w:eastAsia="Times New Roman" w:cstheme="majorHAnsi"/>
                <w:color w:val="000000"/>
                <w:lang w:val="nl-NL" w:eastAsia="nl-NL"/>
              </w:rPr>
              <w:t> </w:t>
            </w:r>
          </w:p>
        </w:tc>
      </w:tr>
      <w:tr w:rsidR="005118CB" w:rsidRPr="00195091" w14:paraId="54B4FAD7" w14:textId="77777777" w:rsidTr="00322B9D">
        <w:trPr>
          <w:trHeight w:val="300"/>
        </w:trPr>
        <w:tc>
          <w:tcPr>
            <w:tcW w:w="0" w:type="auto"/>
            <w:tcBorders>
              <w:top w:val="nil"/>
              <w:left w:val="single" w:sz="6" w:space="0" w:color="8EAADB"/>
              <w:bottom w:val="single" w:sz="6" w:space="0" w:color="8EAADB"/>
              <w:right w:val="single" w:sz="6" w:space="0" w:color="8EAADB"/>
            </w:tcBorders>
            <w:shd w:val="clear" w:color="auto" w:fill="auto"/>
            <w:hideMark/>
          </w:tcPr>
          <w:p w14:paraId="267739FB" w14:textId="77777777" w:rsidR="005118CB" w:rsidRPr="00195091" w:rsidRDefault="005118CB" w:rsidP="00056919">
            <w:pPr>
              <w:spacing w:after="0" w:line="240" w:lineRule="auto"/>
              <w:textAlignment w:val="baseline"/>
              <w:rPr>
                <w:rFonts w:eastAsia="Times New Roman" w:cstheme="majorHAnsi"/>
                <w:b/>
                <w:bCs/>
                <w:sz w:val="24"/>
                <w:szCs w:val="24"/>
                <w:lang w:val="nl-NL" w:eastAsia="nl-NL"/>
              </w:rPr>
            </w:pPr>
            <w:r w:rsidRPr="00195091">
              <w:rPr>
                <w:rFonts w:eastAsia="Times New Roman" w:cstheme="majorHAnsi"/>
                <w:b/>
                <w:bCs/>
                <w:color w:val="000000"/>
                <w:lang w:val="nl-NL" w:eastAsia="nl-NL"/>
              </w:rPr>
              <w:t>Rest S. America </w:t>
            </w:r>
          </w:p>
        </w:tc>
        <w:tc>
          <w:tcPr>
            <w:tcW w:w="0" w:type="auto"/>
            <w:tcBorders>
              <w:top w:val="nil"/>
              <w:left w:val="nil"/>
              <w:bottom w:val="single" w:sz="6" w:space="0" w:color="8EAADB"/>
              <w:right w:val="single" w:sz="6" w:space="0" w:color="8EAADB"/>
            </w:tcBorders>
            <w:shd w:val="clear" w:color="auto" w:fill="auto"/>
            <w:hideMark/>
          </w:tcPr>
          <w:p w14:paraId="46F823A1"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16</w:t>
            </w:r>
            <w:r w:rsidRPr="00195091">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hideMark/>
          </w:tcPr>
          <w:p w14:paraId="387BC256"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-11.5</w:t>
            </w:r>
            <w:r w:rsidRPr="00195091">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hideMark/>
          </w:tcPr>
          <w:p w14:paraId="7EDB37D4"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-25</w:t>
            </w:r>
            <w:r w:rsidRPr="00195091">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hideMark/>
          </w:tcPr>
          <w:p w14:paraId="3AF9B102"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18</w:t>
            </w:r>
            <w:r w:rsidRPr="00195091">
              <w:rPr>
                <w:rFonts w:eastAsia="Times New Roman" w:cstheme="majorHAnsi"/>
                <w:color w:val="000000"/>
                <w:lang w:val="nl-NL" w:eastAsia="nl-NL"/>
              </w:rPr>
              <w:t> </w:t>
            </w:r>
          </w:p>
        </w:tc>
      </w:tr>
      <w:tr w:rsidR="005118CB" w:rsidRPr="00195091" w14:paraId="428E57EC" w14:textId="77777777" w:rsidTr="00322B9D">
        <w:trPr>
          <w:trHeight w:val="300"/>
        </w:trPr>
        <w:tc>
          <w:tcPr>
            <w:tcW w:w="0" w:type="auto"/>
            <w:tcBorders>
              <w:top w:val="nil"/>
              <w:left w:val="single" w:sz="6" w:space="0" w:color="8EAADB"/>
              <w:bottom w:val="single" w:sz="6" w:space="0" w:color="8EAADB"/>
              <w:right w:val="single" w:sz="6" w:space="0" w:color="8EAADB"/>
            </w:tcBorders>
            <w:shd w:val="clear" w:color="auto" w:fill="D9E2F3"/>
            <w:hideMark/>
          </w:tcPr>
          <w:p w14:paraId="3E07EE5C" w14:textId="77777777" w:rsidR="005118CB" w:rsidRPr="00195091" w:rsidRDefault="005118CB" w:rsidP="00056919">
            <w:pPr>
              <w:spacing w:after="0" w:line="240" w:lineRule="auto"/>
              <w:textAlignment w:val="baseline"/>
              <w:rPr>
                <w:rFonts w:eastAsia="Times New Roman" w:cstheme="majorHAnsi"/>
                <w:b/>
                <w:bCs/>
                <w:sz w:val="24"/>
                <w:szCs w:val="24"/>
                <w:lang w:val="nl-NL" w:eastAsia="nl-NL"/>
              </w:rPr>
            </w:pPr>
            <w:r w:rsidRPr="00195091">
              <w:rPr>
                <w:rFonts w:eastAsia="Times New Roman" w:cstheme="majorHAnsi"/>
                <w:b/>
                <w:bCs/>
                <w:color w:val="000000"/>
                <w:lang w:val="nl-NL" w:eastAsia="nl-NL"/>
              </w:rPr>
              <w:t>N. Africa </w:t>
            </w:r>
          </w:p>
        </w:tc>
        <w:tc>
          <w:tcPr>
            <w:tcW w:w="0" w:type="auto"/>
            <w:tcBorders>
              <w:top w:val="nil"/>
              <w:left w:val="nil"/>
              <w:bottom w:val="single" w:sz="6" w:space="0" w:color="8EAADB"/>
              <w:right w:val="single" w:sz="6" w:space="0" w:color="8EAADB"/>
            </w:tcBorders>
            <w:shd w:val="clear" w:color="auto" w:fill="D9E2F3"/>
            <w:hideMark/>
          </w:tcPr>
          <w:p w14:paraId="51501A9C"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8</w:t>
            </w:r>
            <w:r w:rsidRPr="00195091">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hideMark/>
          </w:tcPr>
          <w:p w14:paraId="0919AEB0"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-5.5</w:t>
            </w:r>
            <w:r w:rsidRPr="00195091">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hideMark/>
          </w:tcPr>
          <w:p w14:paraId="394F4B83"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-25</w:t>
            </w:r>
            <w:r w:rsidRPr="00195091">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hideMark/>
          </w:tcPr>
          <w:p w14:paraId="3210B58F"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18</w:t>
            </w:r>
            <w:r w:rsidRPr="00195091">
              <w:rPr>
                <w:rFonts w:eastAsia="Times New Roman" w:cstheme="majorHAnsi"/>
                <w:color w:val="000000"/>
                <w:lang w:val="nl-NL" w:eastAsia="nl-NL"/>
              </w:rPr>
              <w:t> </w:t>
            </w:r>
          </w:p>
        </w:tc>
      </w:tr>
      <w:tr w:rsidR="005118CB" w:rsidRPr="00195091" w14:paraId="6EE1AFCF" w14:textId="77777777" w:rsidTr="00322B9D">
        <w:trPr>
          <w:trHeight w:val="300"/>
        </w:trPr>
        <w:tc>
          <w:tcPr>
            <w:tcW w:w="0" w:type="auto"/>
            <w:tcBorders>
              <w:top w:val="nil"/>
              <w:left w:val="single" w:sz="6" w:space="0" w:color="8EAADB"/>
              <w:bottom w:val="single" w:sz="6" w:space="0" w:color="8EAADB"/>
              <w:right w:val="single" w:sz="6" w:space="0" w:color="8EAADB"/>
            </w:tcBorders>
            <w:shd w:val="clear" w:color="auto" w:fill="auto"/>
            <w:hideMark/>
          </w:tcPr>
          <w:p w14:paraId="69CFD2F2" w14:textId="77777777" w:rsidR="005118CB" w:rsidRPr="00195091" w:rsidRDefault="005118CB" w:rsidP="00056919">
            <w:pPr>
              <w:spacing w:after="0" w:line="240" w:lineRule="auto"/>
              <w:textAlignment w:val="baseline"/>
              <w:rPr>
                <w:rFonts w:eastAsia="Times New Roman" w:cstheme="majorHAnsi"/>
                <w:b/>
                <w:bCs/>
                <w:sz w:val="24"/>
                <w:szCs w:val="24"/>
                <w:lang w:val="nl-NL" w:eastAsia="nl-NL"/>
              </w:rPr>
            </w:pPr>
            <w:r w:rsidRPr="00195091">
              <w:rPr>
                <w:rFonts w:eastAsia="Times New Roman" w:cstheme="majorHAnsi"/>
                <w:b/>
                <w:bCs/>
                <w:color w:val="000000"/>
                <w:lang w:val="nl-NL" w:eastAsia="nl-NL"/>
              </w:rPr>
              <w:t>W. Africa </w:t>
            </w:r>
          </w:p>
        </w:tc>
        <w:tc>
          <w:tcPr>
            <w:tcW w:w="0" w:type="auto"/>
            <w:tcBorders>
              <w:top w:val="nil"/>
              <w:left w:val="nil"/>
              <w:bottom w:val="single" w:sz="6" w:space="0" w:color="8EAADB"/>
              <w:right w:val="single" w:sz="6" w:space="0" w:color="8EAADB"/>
            </w:tcBorders>
            <w:shd w:val="clear" w:color="auto" w:fill="auto"/>
            <w:hideMark/>
          </w:tcPr>
          <w:p w14:paraId="64DC826D"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13.5</w:t>
            </w:r>
            <w:r w:rsidRPr="00195091">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hideMark/>
          </w:tcPr>
          <w:p w14:paraId="7A847ABE"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-10</w:t>
            </w:r>
            <w:r w:rsidRPr="00195091">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hideMark/>
          </w:tcPr>
          <w:p w14:paraId="4765C17C"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-25</w:t>
            </w:r>
            <w:r w:rsidRPr="00195091">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hideMark/>
          </w:tcPr>
          <w:p w14:paraId="25BC92A2"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18</w:t>
            </w:r>
            <w:r w:rsidRPr="00195091">
              <w:rPr>
                <w:rFonts w:eastAsia="Times New Roman" w:cstheme="majorHAnsi"/>
                <w:color w:val="000000"/>
                <w:lang w:val="nl-NL" w:eastAsia="nl-NL"/>
              </w:rPr>
              <w:t> </w:t>
            </w:r>
          </w:p>
        </w:tc>
      </w:tr>
      <w:tr w:rsidR="005118CB" w:rsidRPr="00195091" w14:paraId="791F5F8D" w14:textId="77777777" w:rsidTr="00322B9D">
        <w:trPr>
          <w:trHeight w:val="300"/>
        </w:trPr>
        <w:tc>
          <w:tcPr>
            <w:tcW w:w="0" w:type="auto"/>
            <w:tcBorders>
              <w:top w:val="nil"/>
              <w:left w:val="single" w:sz="6" w:space="0" w:color="8EAADB"/>
              <w:bottom w:val="single" w:sz="6" w:space="0" w:color="8EAADB"/>
              <w:right w:val="single" w:sz="6" w:space="0" w:color="8EAADB"/>
            </w:tcBorders>
            <w:shd w:val="clear" w:color="auto" w:fill="D9E2F3"/>
            <w:hideMark/>
          </w:tcPr>
          <w:p w14:paraId="63228F2F" w14:textId="77777777" w:rsidR="005118CB" w:rsidRPr="00195091" w:rsidRDefault="005118CB" w:rsidP="00056919">
            <w:pPr>
              <w:spacing w:after="0" w:line="240" w:lineRule="auto"/>
              <w:textAlignment w:val="baseline"/>
              <w:rPr>
                <w:rFonts w:eastAsia="Times New Roman" w:cstheme="majorHAnsi"/>
                <w:b/>
                <w:bCs/>
                <w:sz w:val="24"/>
                <w:szCs w:val="24"/>
                <w:lang w:val="nl-NL" w:eastAsia="nl-NL"/>
              </w:rPr>
            </w:pPr>
            <w:r w:rsidRPr="00195091">
              <w:rPr>
                <w:rFonts w:eastAsia="Times New Roman" w:cstheme="majorHAnsi"/>
                <w:b/>
                <w:bCs/>
                <w:color w:val="000000"/>
                <w:lang w:val="nl-NL" w:eastAsia="nl-NL"/>
              </w:rPr>
              <w:t>E. Africa </w:t>
            </w:r>
          </w:p>
        </w:tc>
        <w:tc>
          <w:tcPr>
            <w:tcW w:w="0" w:type="auto"/>
            <w:tcBorders>
              <w:top w:val="nil"/>
              <w:left w:val="nil"/>
              <w:bottom w:val="single" w:sz="6" w:space="0" w:color="8EAADB"/>
              <w:right w:val="single" w:sz="6" w:space="0" w:color="8EAADB"/>
            </w:tcBorders>
            <w:shd w:val="clear" w:color="auto" w:fill="D9E2F3"/>
            <w:hideMark/>
          </w:tcPr>
          <w:p w14:paraId="3FDBE8FF"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13</w:t>
            </w:r>
            <w:r w:rsidRPr="00195091">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hideMark/>
          </w:tcPr>
          <w:p w14:paraId="72866031"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-9.5</w:t>
            </w:r>
            <w:r w:rsidRPr="00195091">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hideMark/>
          </w:tcPr>
          <w:p w14:paraId="282524AC"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-25</w:t>
            </w:r>
            <w:r w:rsidRPr="00195091">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hideMark/>
          </w:tcPr>
          <w:p w14:paraId="33FCB17A"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18</w:t>
            </w:r>
            <w:r w:rsidRPr="00195091">
              <w:rPr>
                <w:rFonts w:eastAsia="Times New Roman" w:cstheme="majorHAnsi"/>
                <w:color w:val="000000"/>
                <w:lang w:val="nl-NL" w:eastAsia="nl-NL"/>
              </w:rPr>
              <w:t> </w:t>
            </w:r>
          </w:p>
        </w:tc>
      </w:tr>
      <w:tr w:rsidR="005118CB" w:rsidRPr="00195091" w14:paraId="6E0009A1" w14:textId="77777777" w:rsidTr="00322B9D">
        <w:trPr>
          <w:trHeight w:val="300"/>
        </w:trPr>
        <w:tc>
          <w:tcPr>
            <w:tcW w:w="0" w:type="auto"/>
            <w:tcBorders>
              <w:top w:val="nil"/>
              <w:left w:val="single" w:sz="6" w:space="0" w:color="8EAADB"/>
              <w:bottom w:val="single" w:sz="6" w:space="0" w:color="8EAADB"/>
              <w:right w:val="single" w:sz="6" w:space="0" w:color="8EAADB"/>
            </w:tcBorders>
            <w:shd w:val="clear" w:color="auto" w:fill="auto"/>
            <w:hideMark/>
          </w:tcPr>
          <w:p w14:paraId="43A1A001" w14:textId="77777777" w:rsidR="005118CB" w:rsidRPr="00195091" w:rsidRDefault="005118CB" w:rsidP="00056919">
            <w:pPr>
              <w:spacing w:after="0" w:line="240" w:lineRule="auto"/>
              <w:textAlignment w:val="baseline"/>
              <w:rPr>
                <w:rFonts w:eastAsia="Times New Roman" w:cstheme="majorHAnsi"/>
                <w:b/>
                <w:bCs/>
                <w:sz w:val="24"/>
                <w:szCs w:val="24"/>
                <w:lang w:val="nl-NL" w:eastAsia="nl-NL"/>
              </w:rPr>
            </w:pPr>
            <w:r w:rsidRPr="00195091">
              <w:rPr>
                <w:rFonts w:eastAsia="Times New Roman" w:cstheme="majorHAnsi"/>
                <w:b/>
                <w:bCs/>
                <w:color w:val="000000"/>
                <w:lang w:val="nl-NL" w:eastAsia="nl-NL"/>
              </w:rPr>
              <w:t>South Africa </w:t>
            </w:r>
          </w:p>
        </w:tc>
        <w:tc>
          <w:tcPr>
            <w:tcW w:w="0" w:type="auto"/>
            <w:tcBorders>
              <w:top w:val="nil"/>
              <w:left w:val="nil"/>
              <w:bottom w:val="single" w:sz="6" w:space="0" w:color="8EAADB"/>
              <w:right w:val="single" w:sz="6" w:space="0" w:color="8EAADB"/>
            </w:tcBorders>
            <w:shd w:val="clear" w:color="auto" w:fill="auto"/>
            <w:hideMark/>
          </w:tcPr>
          <w:p w14:paraId="2A8422E7"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16</w:t>
            </w:r>
            <w:r w:rsidRPr="00195091">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hideMark/>
          </w:tcPr>
          <w:p w14:paraId="2A3BB7E9"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-11</w:t>
            </w:r>
            <w:r w:rsidRPr="00195091">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hideMark/>
          </w:tcPr>
          <w:p w14:paraId="500B1DC4"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-25</w:t>
            </w:r>
            <w:r w:rsidRPr="00195091">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hideMark/>
          </w:tcPr>
          <w:p w14:paraId="5581C3EA"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18</w:t>
            </w:r>
            <w:r w:rsidRPr="00195091">
              <w:rPr>
                <w:rFonts w:eastAsia="Times New Roman" w:cstheme="majorHAnsi"/>
                <w:color w:val="000000"/>
                <w:lang w:val="nl-NL" w:eastAsia="nl-NL"/>
              </w:rPr>
              <w:t> </w:t>
            </w:r>
          </w:p>
        </w:tc>
      </w:tr>
      <w:tr w:rsidR="005118CB" w:rsidRPr="00195091" w14:paraId="32F620A7" w14:textId="77777777" w:rsidTr="00322B9D">
        <w:trPr>
          <w:trHeight w:val="300"/>
        </w:trPr>
        <w:tc>
          <w:tcPr>
            <w:tcW w:w="0" w:type="auto"/>
            <w:tcBorders>
              <w:top w:val="nil"/>
              <w:left w:val="single" w:sz="6" w:space="0" w:color="8EAADB"/>
              <w:bottom w:val="single" w:sz="6" w:space="0" w:color="8EAADB"/>
              <w:right w:val="single" w:sz="6" w:space="0" w:color="8EAADB"/>
            </w:tcBorders>
            <w:shd w:val="clear" w:color="auto" w:fill="D9E2F3"/>
            <w:hideMark/>
          </w:tcPr>
          <w:p w14:paraId="127E4F97" w14:textId="77777777" w:rsidR="005118CB" w:rsidRPr="00195091" w:rsidRDefault="005118CB" w:rsidP="00056919">
            <w:pPr>
              <w:spacing w:after="0" w:line="240" w:lineRule="auto"/>
              <w:textAlignment w:val="baseline"/>
              <w:rPr>
                <w:rFonts w:eastAsia="Times New Roman" w:cstheme="majorHAnsi"/>
                <w:b/>
                <w:bCs/>
                <w:sz w:val="24"/>
                <w:szCs w:val="24"/>
                <w:lang w:val="nl-NL" w:eastAsia="nl-NL"/>
              </w:rPr>
            </w:pPr>
            <w:r w:rsidRPr="00195091">
              <w:rPr>
                <w:rFonts w:eastAsia="Times New Roman" w:cstheme="majorHAnsi"/>
                <w:b/>
                <w:bCs/>
                <w:color w:val="000000"/>
                <w:lang w:val="nl-NL" w:eastAsia="nl-NL"/>
              </w:rPr>
              <w:t>W. Europe </w:t>
            </w:r>
          </w:p>
        </w:tc>
        <w:tc>
          <w:tcPr>
            <w:tcW w:w="0" w:type="auto"/>
            <w:tcBorders>
              <w:top w:val="nil"/>
              <w:left w:val="nil"/>
              <w:bottom w:val="single" w:sz="6" w:space="0" w:color="8EAADB"/>
              <w:right w:val="single" w:sz="6" w:space="0" w:color="8EAADB"/>
            </w:tcBorders>
            <w:shd w:val="clear" w:color="auto" w:fill="D9E2F3"/>
            <w:hideMark/>
          </w:tcPr>
          <w:p w14:paraId="12C00F20"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10</w:t>
            </w:r>
            <w:r w:rsidRPr="00195091">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hideMark/>
          </w:tcPr>
          <w:p w14:paraId="6D110C19"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-7</w:t>
            </w:r>
            <w:r w:rsidRPr="00195091">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hideMark/>
          </w:tcPr>
          <w:p w14:paraId="420A143E"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-25</w:t>
            </w:r>
            <w:r w:rsidRPr="00195091">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hideMark/>
          </w:tcPr>
          <w:p w14:paraId="17B75D6D"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18</w:t>
            </w:r>
            <w:r w:rsidRPr="00195091">
              <w:rPr>
                <w:rFonts w:eastAsia="Times New Roman" w:cstheme="majorHAnsi"/>
                <w:color w:val="000000"/>
                <w:lang w:val="nl-NL" w:eastAsia="nl-NL"/>
              </w:rPr>
              <w:t> </w:t>
            </w:r>
          </w:p>
        </w:tc>
      </w:tr>
      <w:tr w:rsidR="005118CB" w:rsidRPr="00195091" w14:paraId="4150F221" w14:textId="77777777" w:rsidTr="00322B9D">
        <w:trPr>
          <w:trHeight w:val="300"/>
        </w:trPr>
        <w:tc>
          <w:tcPr>
            <w:tcW w:w="0" w:type="auto"/>
            <w:tcBorders>
              <w:top w:val="nil"/>
              <w:left w:val="single" w:sz="6" w:space="0" w:color="8EAADB"/>
              <w:bottom w:val="single" w:sz="6" w:space="0" w:color="8EAADB"/>
              <w:right w:val="single" w:sz="6" w:space="0" w:color="8EAADB"/>
            </w:tcBorders>
            <w:shd w:val="clear" w:color="auto" w:fill="auto"/>
            <w:hideMark/>
          </w:tcPr>
          <w:p w14:paraId="274F830E" w14:textId="77777777" w:rsidR="005118CB" w:rsidRPr="00195091" w:rsidRDefault="005118CB" w:rsidP="00056919">
            <w:pPr>
              <w:spacing w:after="0" w:line="240" w:lineRule="auto"/>
              <w:textAlignment w:val="baseline"/>
              <w:rPr>
                <w:rFonts w:eastAsia="Times New Roman" w:cstheme="majorHAnsi"/>
                <w:b/>
                <w:bCs/>
                <w:sz w:val="24"/>
                <w:szCs w:val="24"/>
                <w:lang w:val="nl-NL" w:eastAsia="nl-NL"/>
              </w:rPr>
            </w:pPr>
            <w:r w:rsidRPr="00195091">
              <w:rPr>
                <w:rFonts w:eastAsia="Times New Roman" w:cstheme="majorHAnsi"/>
                <w:b/>
                <w:bCs/>
                <w:color w:val="000000"/>
                <w:lang w:val="nl-NL" w:eastAsia="nl-NL"/>
              </w:rPr>
              <w:t>C. Europe </w:t>
            </w:r>
          </w:p>
        </w:tc>
        <w:tc>
          <w:tcPr>
            <w:tcW w:w="0" w:type="auto"/>
            <w:tcBorders>
              <w:top w:val="nil"/>
              <w:left w:val="nil"/>
              <w:bottom w:val="single" w:sz="6" w:space="0" w:color="8EAADB"/>
              <w:right w:val="single" w:sz="6" w:space="0" w:color="8EAADB"/>
            </w:tcBorders>
            <w:shd w:val="clear" w:color="auto" w:fill="auto"/>
            <w:hideMark/>
          </w:tcPr>
          <w:p w14:paraId="30638881"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5</w:t>
            </w:r>
            <w:r w:rsidRPr="00195091">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hideMark/>
          </w:tcPr>
          <w:p w14:paraId="75787D39"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-3.5</w:t>
            </w:r>
            <w:r w:rsidRPr="00195091">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hideMark/>
          </w:tcPr>
          <w:p w14:paraId="2A68F509"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-25</w:t>
            </w:r>
            <w:r w:rsidRPr="00195091">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hideMark/>
          </w:tcPr>
          <w:p w14:paraId="178D2187"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18</w:t>
            </w:r>
            <w:r w:rsidRPr="00195091">
              <w:rPr>
                <w:rFonts w:eastAsia="Times New Roman" w:cstheme="majorHAnsi"/>
                <w:color w:val="000000"/>
                <w:lang w:val="nl-NL" w:eastAsia="nl-NL"/>
              </w:rPr>
              <w:t> </w:t>
            </w:r>
          </w:p>
        </w:tc>
      </w:tr>
      <w:tr w:rsidR="005118CB" w:rsidRPr="00195091" w14:paraId="3631F035" w14:textId="77777777" w:rsidTr="00322B9D">
        <w:trPr>
          <w:trHeight w:val="300"/>
        </w:trPr>
        <w:tc>
          <w:tcPr>
            <w:tcW w:w="0" w:type="auto"/>
            <w:tcBorders>
              <w:top w:val="nil"/>
              <w:left w:val="single" w:sz="6" w:space="0" w:color="8EAADB"/>
              <w:bottom w:val="single" w:sz="6" w:space="0" w:color="8EAADB"/>
              <w:right w:val="single" w:sz="6" w:space="0" w:color="8EAADB"/>
            </w:tcBorders>
            <w:shd w:val="clear" w:color="auto" w:fill="D9E2F3"/>
            <w:hideMark/>
          </w:tcPr>
          <w:p w14:paraId="5965B8D3" w14:textId="77777777" w:rsidR="005118CB" w:rsidRPr="00195091" w:rsidRDefault="005118CB" w:rsidP="00056919">
            <w:pPr>
              <w:spacing w:after="0" w:line="240" w:lineRule="auto"/>
              <w:textAlignment w:val="baseline"/>
              <w:rPr>
                <w:rFonts w:eastAsia="Times New Roman" w:cstheme="majorHAnsi"/>
                <w:b/>
                <w:bCs/>
                <w:sz w:val="24"/>
                <w:szCs w:val="24"/>
                <w:lang w:val="nl-NL" w:eastAsia="nl-NL"/>
              </w:rPr>
            </w:pPr>
            <w:r w:rsidRPr="00195091">
              <w:rPr>
                <w:rFonts w:eastAsia="Times New Roman" w:cstheme="majorHAnsi"/>
                <w:b/>
                <w:bCs/>
                <w:color w:val="000000"/>
                <w:lang w:val="nl-NL" w:eastAsia="nl-NL"/>
              </w:rPr>
              <w:t>Turkey </w:t>
            </w:r>
          </w:p>
        </w:tc>
        <w:tc>
          <w:tcPr>
            <w:tcW w:w="0" w:type="auto"/>
            <w:tcBorders>
              <w:top w:val="nil"/>
              <w:left w:val="nil"/>
              <w:bottom w:val="single" w:sz="6" w:space="0" w:color="8EAADB"/>
              <w:right w:val="single" w:sz="6" w:space="0" w:color="8EAADB"/>
            </w:tcBorders>
            <w:shd w:val="clear" w:color="auto" w:fill="D9E2F3"/>
            <w:hideMark/>
          </w:tcPr>
          <w:p w14:paraId="2E705284"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7</w:t>
            </w:r>
            <w:r w:rsidRPr="00195091">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hideMark/>
          </w:tcPr>
          <w:p w14:paraId="261A5FF5"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-5</w:t>
            </w:r>
            <w:r w:rsidRPr="00195091">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hideMark/>
          </w:tcPr>
          <w:p w14:paraId="5CDFF0DA"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-25</w:t>
            </w:r>
            <w:r w:rsidRPr="00195091">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hideMark/>
          </w:tcPr>
          <w:p w14:paraId="1627B38A"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18</w:t>
            </w:r>
            <w:r w:rsidRPr="00195091">
              <w:rPr>
                <w:rFonts w:eastAsia="Times New Roman" w:cstheme="majorHAnsi"/>
                <w:color w:val="000000"/>
                <w:lang w:val="nl-NL" w:eastAsia="nl-NL"/>
              </w:rPr>
              <w:t> </w:t>
            </w:r>
          </w:p>
        </w:tc>
      </w:tr>
      <w:tr w:rsidR="005118CB" w:rsidRPr="00195091" w14:paraId="150DA7B4" w14:textId="77777777" w:rsidTr="00322B9D">
        <w:trPr>
          <w:trHeight w:val="300"/>
        </w:trPr>
        <w:tc>
          <w:tcPr>
            <w:tcW w:w="0" w:type="auto"/>
            <w:tcBorders>
              <w:top w:val="nil"/>
              <w:left w:val="single" w:sz="6" w:space="0" w:color="8EAADB"/>
              <w:bottom w:val="single" w:sz="6" w:space="0" w:color="8EAADB"/>
              <w:right w:val="single" w:sz="6" w:space="0" w:color="8EAADB"/>
            </w:tcBorders>
            <w:shd w:val="clear" w:color="auto" w:fill="auto"/>
            <w:hideMark/>
          </w:tcPr>
          <w:p w14:paraId="34D90309" w14:textId="77777777" w:rsidR="005118CB" w:rsidRPr="00195091" w:rsidRDefault="005118CB" w:rsidP="00056919">
            <w:pPr>
              <w:spacing w:after="0" w:line="240" w:lineRule="auto"/>
              <w:textAlignment w:val="baseline"/>
              <w:rPr>
                <w:rFonts w:eastAsia="Times New Roman" w:cstheme="majorHAnsi"/>
                <w:b/>
                <w:bCs/>
                <w:sz w:val="24"/>
                <w:szCs w:val="24"/>
                <w:lang w:val="nl-NL" w:eastAsia="nl-NL"/>
              </w:rPr>
            </w:pPr>
            <w:r w:rsidRPr="00195091">
              <w:rPr>
                <w:rFonts w:eastAsia="Times New Roman" w:cstheme="majorHAnsi"/>
                <w:b/>
                <w:bCs/>
                <w:color w:val="000000"/>
                <w:lang w:val="nl-NL" w:eastAsia="nl-NL"/>
              </w:rPr>
              <w:t>Ukraine </w:t>
            </w:r>
          </w:p>
        </w:tc>
        <w:tc>
          <w:tcPr>
            <w:tcW w:w="0" w:type="auto"/>
            <w:tcBorders>
              <w:top w:val="nil"/>
              <w:left w:val="nil"/>
              <w:bottom w:val="single" w:sz="6" w:space="0" w:color="8EAADB"/>
              <w:right w:val="single" w:sz="6" w:space="0" w:color="8EAADB"/>
            </w:tcBorders>
            <w:shd w:val="clear" w:color="auto" w:fill="auto"/>
            <w:hideMark/>
          </w:tcPr>
          <w:p w14:paraId="04564BB0"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5</w:t>
            </w:r>
            <w:r w:rsidRPr="00195091">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hideMark/>
          </w:tcPr>
          <w:p w14:paraId="7DA24320"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-4</w:t>
            </w:r>
            <w:r w:rsidRPr="00195091">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hideMark/>
          </w:tcPr>
          <w:p w14:paraId="54F61890"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-25</w:t>
            </w:r>
            <w:r w:rsidRPr="00195091">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hideMark/>
          </w:tcPr>
          <w:p w14:paraId="0019228F"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18</w:t>
            </w:r>
            <w:r w:rsidRPr="00195091">
              <w:rPr>
                <w:rFonts w:eastAsia="Times New Roman" w:cstheme="majorHAnsi"/>
                <w:color w:val="000000"/>
                <w:lang w:val="nl-NL" w:eastAsia="nl-NL"/>
              </w:rPr>
              <w:t> </w:t>
            </w:r>
          </w:p>
        </w:tc>
      </w:tr>
      <w:tr w:rsidR="005118CB" w:rsidRPr="00195091" w14:paraId="049A724F" w14:textId="77777777" w:rsidTr="00322B9D">
        <w:trPr>
          <w:trHeight w:val="300"/>
        </w:trPr>
        <w:tc>
          <w:tcPr>
            <w:tcW w:w="0" w:type="auto"/>
            <w:tcBorders>
              <w:top w:val="nil"/>
              <w:left w:val="single" w:sz="6" w:space="0" w:color="8EAADB"/>
              <w:bottom w:val="single" w:sz="6" w:space="0" w:color="8EAADB"/>
              <w:right w:val="single" w:sz="6" w:space="0" w:color="8EAADB"/>
            </w:tcBorders>
            <w:shd w:val="clear" w:color="auto" w:fill="D9E2F3"/>
            <w:hideMark/>
          </w:tcPr>
          <w:p w14:paraId="47E76F8B" w14:textId="77777777" w:rsidR="005118CB" w:rsidRPr="00195091" w:rsidRDefault="005118CB" w:rsidP="00056919">
            <w:pPr>
              <w:spacing w:after="0" w:line="240" w:lineRule="auto"/>
              <w:textAlignment w:val="baseline"/>
              <w:rPr>
                <w:rFonts w:eastAsia="Times New Roman" w:cstheme="majorHAnsi"/>
                <w:b/>
                <w:bCs/>
                <w:sz w:val="24"/>
                <w:szCs w:val="24"/>
                <w:lang w:val="nl-NL" w:eastAsia="nl-NL"/>
              </w:rPr>
            </w:pPr>
            <w:r w:rsidRPr="00195091">
              <w:rPr>
                <w:rFonts w:eastAsia="Times New Roman" w:cstheme="majorHAnsi"/>
                <w:b/>
                <w:bCs/>
                <w:color w:val="000000"/>
                <w:lang w:val="nl-NL" w:eastAsia="nl-NL"/>
              </w:rPr>
              <w:t>Stan </w:t>
            </w:r>
          </w:p>
        </w:tc>
        <w:tc>
          <w:tcPr>
            <w:tcW w:w="0" w:type="auto"/>
            <w:tcBorders>
              <w:top w:val="nil"/>
              <w:left w:val="nil"/>
              <w:bottom w:val="single" w:sz="6" w:space="0" w:color="8EAADB"/>
              <w:right w:val="single" w:sz="6" w:space="0" w:color="8EAADB"/>
            </w:tcBorders>
            <w:shd w:val="clear" w:color="auto" w:fill="D9E2F3"/>
            <w:hideMark/>
          </w:tcPr>
          <w:p w14:paraId="14AF0875"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5</w:t>
            </w:r>
            <w:r w:rsidRPr="00195091">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hideMark/>
          </w:tcPr>
          <w:p w14:paraId="19E425A1"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-4</w:t>
            </w:r>
            <w:r w:rsidRPr="00195091">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hideMark/>
          </w:tcPr>
          <w:p w14:paraId="60846302"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-25</w:t>
            </w:r>
            <w:r w:rsidRPr="00195091">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hideMark/>
          </w:tcPr>
          <w:p w14:paraId="51D7358B"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18</w:t>
            </w:r>
            <w:r w:rsidRPr="00195091">
              <w:rPr>
                <w:rFonts w:eastAsia="Times New Roman" w:cstheme="majorHAnsi"/>
                <w:color w:val="000000"/>
                <w:lang w:val="nl-NL" w:eastAsia="nl-NL"/>
              </w:rPr>
              <w:t> </w:t>
            </w:r>
          </w:p>
        </w:tc>
      </w:tr>
      <w:tr w:rsidR="005118CB" w:rsidRPr="00195091" w14:paraId="0BDED795" w14:textId="77777777" w:rsidTr="00322B9D">
        <w:trPr>
          <w:trHeight w:val="300"/>
        </w:trPr>
        <w:tc>
          <w:tcPr>
            <w:tcW w:w="0" w:type="auto"/>
            <w:tcBorders>
              <w:top w:val="nil"/>
              <w:left w:val="single" w:sz="6" w:space="0" w:color="8EAADB"/>
              <w:bottom w:val="single" w:sz="6" w:space="0" w:color="8EAADB"/>
              <w:right w:val="single" w:sz="6" w:space="0" w:color="8EAADB"/>
            </w:tcBorders>
            <w:shd w:val="clear" w:color="auto" w:fill="auto"/>
            <w:hideMark/>
          </w:tcPr>
          <w:p w14:paraId="341FECD5" w14:textId="77777777" w:rsidR="005118CB" w:rsidRPr="00195091" w:rsidRDefault="005118CB" w:rsidP="00056919">
            <w:pPr>
              <w:spacing w:after="0" w:line="240" w:lineRule="auto"/>
              <w:textAlignment w:val="baseline"/>
              <w:rPr>
                <w:rFonts w:eastAsia="Times New Roman" w:cstheme="majorHAnsi"/>
                <w:b/>
                <w:bCs/>
                <w:sz w:val="24"/>
                <w:szCs w:val="24"/>
                <w:lang w:val="nl-NL" w:eastAsia="nl-NL"/>
              </w:rPr>
            </w:pPr>
            <w:r w:rsidRPr="00195091">
              <w:rPr>
                <w:rFonts w:eastAsia="Times New Roman" w:cstheme="majorHAnsi"/>
                <w:b/>
                <w:bCs/>
                <w:color w:val="000000"/>
                <w:lang w:val="nl-NL" w:eastAsia="nl-NL"/>
              </w:rPr>
              <w:t>Russia </w:t>
            </w:r>
          </w:p>
        </w:tc>
        <w:tc>
          <w:tcPr>
            <w:tcW w:w="0" w:type="auto"/>
            <w:tcBorders>
              <w:top w:val="nil"/>
              <w:left w:val="nil"/>
              <w:bottom w:val="single" w:sz="6" w:space="0" w:color="8EAADB"/>
              <w:right w:val="single" w:sz="6" w:space="0" w:color="8EAADB"/>
            </w:tcBorders>
            <w:shd w:val="clear" w:color="auto" w:fill="auto"/>
            <w:hideMark/>
          </w:tcPr>
          <w:p w14:paraId="47CD80B1"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2</w:t>
            </w:r>
            <w:r w:rsidRPr="00195091">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hideMark/>
          </w:tcPr>
          <w:p w14:paraId="31CEF3EC"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-1.5</w:t>
            </w:r>
            <w:r w:rsidRPr="00195091">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hideMark/>
          </w:tcPr>
          <w:p w14:paraId="6B70749B"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-25</w:t>
            </w:r>
            <w:r w:rsidRPr="00195091">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hideMark/>
          </w:tcPr>
          <w:p w14:paraId="54365046"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18</w:t>
            </w:r>
            <w:r w:rsidRPr="00195091">
              <w:rPr>
                <w:rFonts w:eastAsia="Times New Roman" w:cstheme="majorHAnsi"/>
                <w:color w:val="000000"/>
                <w:lang w:val="nl-NL" w:eastAsia="nl-NL"/>
              </w:rPr>
              <w:t> </w:t>
            </w:r>
          </w:p>
        </w:tc>
      </w:tr>
      <w:tr w:rsidR="005118CB" w:rsidRPr="00195091" w14:paraId="5AD6EC0A" w14:textId="77777777" w:rsidTr="00322B9D">
        <w:trPr>
          <w:trHeight w:val="300"/>
        </w:trPr>
        <w:tc>
          <w:tcPr>
            <w:tcW w:w="0" w:type="auto"/>
            <w:tcBorders>
              <w:top w:val="nil"/>
              <w:left w:val="single" w:sz="6" w:space="0" w:color="8EAADB"/>
              <w:bottom w:val="single" w:sz="6" w:space="0" w:color="8EAADB"/>
              <w:right w:val="single" w:sz="6" w:space="0" w:color="8EAADB"/>
            </w:tcBorders>
            <w:shd w:val="clear" w:color="auto" w:fill="D9E2F3"/>
            <w:hideMark/>
          </w:tcPr>
          <w:p w14:paraId="7F011856" w14:textId="77777777" w:rsidR="005118CB" w:rsidRPr="00195091" w:rsidRDefault="005118CB" w:rsidP="00056919">
            <w:pPr>
              <w:spacing w:after="0" w:line="240" w:lineRule="auto"/>
              <w:textAlignment w:val="baseline"/>
              <w:rPr>
                <w:rFonts w:eastAsia="Times New Roman" w:cstheme="majorHAnsi"/>
                <w:b/>
                <w:bCs/>
                <w:sz w:val="24"/>
                <w:szCs w:val="24"/>
                <w:lang w:val="nl-NL" w:eastAsia="nl-NL"/>
              </w:rPr>
            </w:pPr>
            <w:r w:rsidRPr="00195091">
              <w:rPr>
                <w:rFonts w:eastAsia="Times New Roman" w:cstheme="majorHAnsi"/>
                <w:b/>
                <w:bCs/>
                <w:color w:val="000000"/>
                <w:lang w:val="nl-NL" w:eastAsia="nl-NL"/>
              </w:rPr>
              <w:t>M. East </w:t>
            </w:r>
          </w:p>
        </w:tc>
        <w:tc>
          <w:tcPr>
            <w:tcW w:w="0" w:type="auto"/>
            <w:tcBorders>
              <w:top w:val="nil"/>
              <w:left w:val="nil"/>
              <w:bottom w:val="single" w:sz="6" w:space="0" w:color="8EAADB"/>
              <w:right w:val="single" w:sz="6" w:space="0" w:color="8EAADB"/>
            </w:tcBorders>
            <w:shd w:val="clear" w:color="auto" w:fill="D9E2F3"/>
            <w:hideMark/>
          </w:tcPr>
          <w:p w14:paraId="680F97B2"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13.5</w:t>
            </w:r>
            <w:r w:rsidRPr="00195091">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hideMark/>
          </w:tcPr>
          <w:p w14:paraId="393B7CA1"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-10</w:t>
            </w:r>
            <w:r w:rsidRPr="00195091">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hideMark/>
          </w:tcPr>
          <w:p w14:paraId="3A28F4B8"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-25</w:t>
            </w:r>
            <w:r w:rsidRPr="00195091">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hideMark/>
          </w:tcPr>
          <w:p w14:paraId="50411494"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18</w:t>
            </w:r>
            <w:r w:rsidRPr="00195091">
              <w:rPr>
                <w:rFonts w:eastAsia="Times New Roman" w:cstheme="majorHAnsi"/>
                <w:color w:val="000000"/>
                <w:lang w:val="nl-NL" w:eastAsia="nl-NL"/>
              </w:rPr>
              <w:t> </w:t>
            </w:r>
          </w:p>
        </w:tc>
      </w:tr>
      <w:tr w:rsidR="005118CB" w:rsidRPr="00195091" w14:paraId="61BDF585" w14:textId="77777777" w:rsidTr="00322B9D">
        <w:trPr>
          <w:trHeight w:val="300"/>
        </w:trPr>
        <w:tc>
          <w:tcPr>
            <w:tcW w:w="0" w:type="auto"/>
            <w:tcBorders>
              <w:top w:val="nil"/>
              <w:left w:val="single" w:sz="6" w:space="0" w:color="8EAADB"/>
              <w:bottom w:val="single" w:sz="6" w:space="0" w:color="8EAADB"/>
              <w:right w:val="single" w:sz="6" w:space="0" w:color="8EAADB"/>
            </w:tcBorders>
            <w:shd w:val="clear" w:color="auto" w:fill="auto"/>
            <w:hideMark/>
          </w:tcPr>
          <w:p w14:paraId="022A3193" w14:textId="77777777" w:rsidR="005118CB" w:rsidRPr="00195091" w:rsidRDefault="005118CB" w:rsidP="00056919">
            <w:pPr>
              <w:spacing w:after="0" w:line="240" w:lineRule="auto"/>
              <w:textAlignment w:val="baseline"/>
              <w:rPr>
                <w:rFonts w:eastAsia="Times New Roman" w:cstheme="majorHAnsi"/>
                <w:b/>
                <w:bCs/>
                <w:sz w:val="24"/>
                <w:szCs w:val="24"/>
                <w:lang w:val="nl-NL" w:eastAsia="nl-NL"/>
              </w:rPr>
            </w:pPr>
            <w:r w:rsidRPr="00195091">
              <w:rPr>
                <w:rFonts w:eastAsia="Times New Roman" w:cstheme="majorHAnsi"/>
                <w:b/>
                <w:bCs/>
                <w:color w:val="000000"/>
                <w:lang w:val="nl-NL" w:eastAsia="nl-NL"/>
              </w:rPr>
              <w:t>India </w:t>
            </w:r>
          </w:p>
        </w:tc>
        <w:tc>
          <w:tcPr>
            <w:tcW w:w="0" w:type="auto"/>
            <w:tcBorders>
              <w:top w:val="nil"/>
              <w:left w:val="nil"/>
              <w:bottom w:val="single" w:sz="6" w:space="0" w:color="8EAADB"/>
              <w:right w:val="single" w:sz="6" w:space="0" w:color="8EAADB"/>
            </w:tcBorders>
            <w:shd w:val="clear" w:color="auto" w:fill="auto"/>
            <w:hideMark/>
          </w:tcPr>
          <w:p w14:paraId="27BC8F99"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15</w:t>
            </w:r>
            <w:r w:rsidRPr="00195091">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hideMark/>
          </w:tcPr>
          <w:p w14:paraId="07DDA718"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-11</w:t>
            </w:r>
            <w:r w:rsidRPr="00195091">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hideMark/>
          </w:tcPr>
          <w:p w14:paraId="5D600B46"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-25</w:t>
            </w:r>
            <w:r w:rsidRPr="00195091">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hideMark/>
          </w:tcPr>
          <w:p w14:paraId="489D682D"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18</w:t>
            </w:r>
            <w:r w:rsidRPr="00195091">
              <w:rPr>
                <w:rFonts w:eastAsia="Times New Roman" w:cstheme="majorHAnsi"/>
                <w:color w:val="000000"/>
                <w:lang w:val="nl-NL" w:eastAsia="nl-NL"/>
              </w:rPr>
              <w:t> </w:t>
            </w:r>
          </w:p>
        </w:tc>
      </w:tr>
      <w:tr w:rsidR="005118CB" w:rsidRPr="00195091" w14:paraId="6437F409" w14:textId="77777777" w:rsidTr="00322B9D">
        <w:trPr>
          <w:trHeight w:val="300"/>
        </w:trPr>
        <w:tc>
          <w:tcPr>
            <w:tcW w:w="0" w:type="auto"/>
            <w:tcBorders>
              <w:top w:val="nil"/>
              <w:left w:val="single" w:sz="6" w:space="0" w:color="8EAADB"/>
              <w:bottom w:val="single" w:sz="6" w:space="0" w:color="8EAADB"/>
              <w:right w:val="single" w:sz="6" w:space="0" w:color="8EAADB"/>
            </w:tcBorders>
            <w:shd w:val="clear" w:color="auto" w:fill="D9E2F3"/>
            <w:hideMark/>
          </w:tcPr>
          <w:p w14:paraId="4F80E9E6" w14:textId="77777777" w:rsidR="005118CB" w:rsidRPr="00195091" w:rsidRDefault="005118CB" w:rsidP="00056919">
            <w:pPr>
              <w:spacing w:after="0" w:line="240" w:lineRule="auto"/>
              <w:textAlignment w:val="baseline"/>
              <w:rPr>
                <w:rFonts w:eastAsia="Times New Roman" w:cstheme="majorHAnsi"/>
                <w:b/>
                <w:bCs/>
                <w:sz w:val="24"/>
                <w:szCs w:val="24"/>
                <w:lang w:val="nl-NL" w:eastAsia="nl-NL"/>
              </w:rPr>
            </w:pPr>
            <w:r w:rsidRPr="00195091">
              <w:rPr>
                <w:rFonts w:eastAsia="Times New Roman" w:cstheme="majorHAnsi"/>
                <w:b/>
                <w:bCs/>
                <w:color w:val="000000"/>
                <w:lang w:val="nl-NL" w:eastAsia="nl-NL"/>
              </w:rPr>
              <w:t>Korea </w:t>
            </w:r>
          </w:p>
        </w:tc>
        <w:tc>
          <w:tcPr>
            <w:tcW w:w="0" w:type="auto"/>
            <w:tcBorders>
              <w:top w:val="nil"/>
              <w:left w:val="nil"/>
              <w:bottom w:val="single" w:sz="6" w:space="0" w:color="8EAADB"/>
              <w:right w:val="single" w:sz="6" w:space="0" w:color="8EAADB"/>
            </w:tcBorders>
            <w:shd w:val="clear" w:color="auto" w:fill="D9E2F3"/>
            <w:hideMark/>
          </w:tcPr>
          <w:p w14:paraId="1F99FCB1"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4</w:t>
            </w:r>
            <w:r w:rsidRPr="00195091">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hideMark/>
          </w:tcPr>
          <w:p w14:paraId="717FC77F"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-3</w:t>
            </w:r>
            <w:r w:rsidRPr="00195091">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hideMark/>
          </w:tcPr>
          <w:p w14:paraId="4E1551FD"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-25</w:t>
            </w:r>
            <w:r w:rsidRPr="00195091">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hideMark/>
          </w:tcPr>
          <w:p w14:paraId="22F744AF"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18</w:t>
            </w:r>
            <w:r w:rsidRPr="00195091">
              <w:rPr>
                <w:rFonts w:eastAsia="Times New Roman" w:cstheme="majorHAnsi"/>
                <w:color w:val="000000"/>
                <w:lang w:val="nl-NL" w:eastAsia="nl-NL"/>
              </w:rPr>
              <w:t> </w:t>
            </w:r>
          </w:p>
        </w:tc>
      </w:tr>
      <w:tr w:rsidR="005118CB" w:rsidRPr="00195091" w14:paraId="56F02257" w14:textId="77777777" w:rsidTr="00322B9D">
        <w:trPr>
          <w:trHeight w:val="300"/>
        </w:trPr>
        <w:tc>
          <w:tcPr>
            <w:tcW w:w="0" w:type="auto"/>
            <w:tcBorders>
              <w:top w:val="nil"/>
              <w:left w:val="single" w:sz="6" w:space="0" w:color="8EAADB"/>
              <w:bottom w:val="single" w:sz="6" w:space="0" w:color="8EAADB"/>
              <w:right w:val="single" w:sz="6" w:space="0" w:color="8EAADB"/>
            </w:tcBorders>
            <w:shd w:val="clear" w:color="auto" w:fill="auto"/>
            <w:hideMark/>
          </w:tcPr>
          <w:p w14:paraId="5199DA68" w14:textId="77777777" w:rsidR="005118CB" w:rsidRPr="00195091" w:rsidRDefault="005118CB" w:rsidP="00056919">
            <w:pPr>
              <w:spacing w:after="0" w:line="240" w:lineRule="auto"/>
              <w:textAlignment w:val="baseline"/>
              <w:rPr>
                <w:rFonts w:eastAsia="Times New Roman" w:cstheme="majorHAnsi"/>
                <w:b/>
                <w:bCs/>
                <w:sz w:val="24"/>
                <w:szCs w:val="24"/>
                <w:lang w:val="nl-NL" w:eastAsia="nl-NL"/>
              </w:rPr>
            </w:pPr>
            <w:r w:rsidRPr="00195091">
              <w:rPr>
                <w:rFonts w:eastAsia="Times New Roman" w:cstheme="majorHAnsi"/>
                <w:b/>
                <w:bCs/>
                <w:color w:val="000000"/>
                <w:lang w:val="nl-NL" w:eastAsia="nl-NL"/>
              </w:rPr>
              <w:t>China </w:t>
            </w:r>
          </w:p>
        </w:tc>
        <w:tc>
          <w:tcPr>
            <w:tcW w:w="0" w:type="auto"/>
            <w:tcBorders>
              <w:top w:val="nil"/>
              <w:left w:val="nil"/>
              <w:bottom w:val="single" w:sz="6" w:space="0" w:color="8EAADB"/>
              <w:right w:val="single" w:sz="6" w:space="0" w:color="8EAADB"/>
            </w:tcBorders>
            <w:shd w:val="clear" w:color="auto" w:fill="auto"/>
            <w:hideMark/>
          </w:tcPr>
          <w:p w14:paraId="165C9928"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12</w:t>
            </w:r>
            <w:r w:rsidRPr="00195091">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hideMark/>
          </w:tcPr>
          <w:p w14:paraId="796C510B"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-9</w:t>
            </w:r>
            <w:r w:rsidRPr="00195091">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hideMark/>
          </w:tcPr>
          <w:p w14:paraId="4B6E1812"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-25</w:t>
            </w:r>
            <w:r w:rsidRPr="00195091">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hideMark/>
          </w:tcPr>
          <w:p w14:paraId="599E34CB"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18</w:t>
            </w:r>
            <w:r w:rsidRPr="00195091">
              <w:rPr>
                <w:rFonts w:eastAsia="Times New Roman" w:cstheme="majorHAnsi"/>
                <w:color w:val="000000"/>
                <w:lang w:val="nl-NL" w:eastAsia="nl-NL"/>
              </w:rPr>
              <w:t> </w:t>
            </w:r>
          </w:p>
        </w:tc>
      </w:tr>
      <w:tr w:rsidR="005118CB" w:rsidRPr="00195091" w14:paraId="4BD67C35" w14:textId="77777777" w:rsidTr="00322B9D">
        <w:trPr>
          <w:trHeight w:val="300"/>
        </w:trPr>
        <w:tc>
          <w:tcPr>
            <w:tcW w:w="0" w:type="auto"/>
            <w:tcBorders>
              <w:top w:val="nil"/>
              <w:left w:val="single" w:sz="6" w:space="0" w:color="8EAADB"/>
              <w:bottom w:val="single" w:sz="6" w:space="0" w:color="8EAADB"/>
              <w:right w:val="single" w:sz="6" w:space="0" w:color="8EAADB"/>
            </w:tcBorders>
            <w:shd w:val="clear" w:color="auto" w:fill="D9E2F3"/>
            <w:hideMark/>
          </w:tcPr>
          <w:p w14:paraId="55624576" w14:textId="77777777" w:rsidR="005118CB" w:rsidRPr="00195091" w:rsidRDefault="005118CB" w:rsidP="00056919">
            <w:pPr>
              <w:spacing w:after="0" w:line="240" w:lineRule="auto"/>
              <w:textAlignment w:val="baseline"/>
              <w:rPr>
                <w:rFonts w:eastAsia="Times New Roman" w:cstheme="majorHAnsi"/>
                <w:b/>
                <w:bCs/>
                <w:sz w:val="24"/>
                <w:szCs w:val="24"/>
                <w:lang w:val="nl-NL" w:eastAsia="nl-NL"/>
              </w:rPr>
            </w:pPr>
            <w:r w:rsidRPr="00195091">
              <w:rPr>
                <w:rFonts w:eastAsia="Times New Roman" w:cstheme="majorHAnsi"/>
                <w:b/>
                <w:bCs/>
                <w:color w:val="000000"/>
                <w:lang w:val="nl-NL" w:eastAsia="nl-NL"/>
              </w:rPr>
              <w:t>SE. Asia </w:t>
            </w:r>
          </w:p>
        </w:tc>
        <w:tc>
          <w:tcPr>
            <w:tcW w:w="0" w:type="auto"/>
            <w:tcBorders>
              <w:top w:val="nil"/>
              <w:left w:val="nil"/>
              <w:bottom w:val="single" w:sz="6" w:space="0" w:color="8EAADB"/>
              <w:right w:val="single" w:sz="6" w:space="0" w:color="8EAADB"/>
            </w:tcBorders>
            <w:shd w:val="clear" w:color="auto" w:fill="D9E2F3"/>
            <w:hideMark/>
          </w:tcPr>
          <w:p w14:paraId="360FA240"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13</w:t>
            </w:r>
            <w:r w:rsidRPr="00195091">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hideMark/>
          </w:tcPr>
          <w:p w14:paraId="10D037B0"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-9</w:t>
            </w:r>
            <w:r w:rsidRPr="00195091">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hideMark/>
          </w:tcPr>
          <w:p w14:paraId="1EF50486"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-25</w:t>
            </w:r>
            <w:r w:rsidRPr="00195091">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hideMark/>
          </w:tcPr>
          <w:p w14:paraId="38BB5B40"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18</w:t>
            </w:r>
            <w:r w:rsidRPr="00195091">
              <w:rPr>
                <w:rFonts w:eastAsia="Times New Roman" w:cstheme="majorHAnsi"/>
                <w:color w:val="000000"/>
                <w:lang w:val="nl-NL" w:eastAsia="nl-NL"/>
              </w:rPr>
              <w:t> </w:t>
            </w:r>
          </w:p>
        </w:tc>
      </w:tr>
      <w:tr w:rsidR="005118CB" w:rsidRPr="00195091" w14:paraId="5052F157" w14:textId="77777777" w:rsidTr="00322B9D">
        <w:trPr>
          <w:trHeight w:val="300"/>
        </w:trPr>
        <w:tc>
          <w:tcPr>
            <w:tcW w:w="0" w:type="auto"/>
            <w:tcBorders>
              <w:top w:val="nil"/>
              <w:left w:val="single" w:sz="6" w:space="0" w:color="8EAADB"/>
              <w:bottom w:val="single" w:sz="6" w:space="0" w:color="8EAADB"/>
              <w:right w:val="single" w:sz="6" w:space="0" w:color="8EAADB"/>
            </w:tcBorders>
            <w:shd w:val="clear" w:color="auto" w:fill="auto"/>
            <w:hideMark/>
          </w:tcPr>
          <w:p w14:paraId="7E67E83F" w14:textId="77777777" w:rsidR="005118CB" w:rsidRPr="00195091" w:rsidRDefault="005118CB" w:rsidP="00056919">
            <w:pPr>
              <w:spacing w:after="0" w:line="240" w:lineRule="auto"/>
              <w:textAlignment w:val="baseline"/>
              <w:rPr>
                <w:rFonts w:eastAsia="Times New Roman" w:cstheme="majorHAnsi"/>
                <w:b/>
                <w:bCs/>
                <w:sz w:val="24"/>
                <w:szCs w:val="24"/>
                <w:lang w:val="nl-NL" w:eastAsia="nl-NL"/>
              </w:rPr>
            </w:pPr>
            <w:r w:rsidRPr="00195091">
              <w:rPr>
                <w:rFonts w:eastAsia="Times New Roman" w:cstheme="majorHAnsi"/>
                <w:b/>
                <w:bCs/>
                <w:color w:val="000000"/>
                <w:lang w:val="nl-NL" w:eastAsia="nl-NL"/>
              </w:rPr>
              <w:t>Indonesia </w:t>
            </w:r>
          </w:p>
        </w:tc>
        <w:tc>
          <w:tcPr>
            <w:tcW w:w="0" w:type="auto"/>
            <w:tcBorders>
              <w:top w:val="nil"/>
              <w:left w:val="nil"/>
              <w:bottom w:val="single" w:sz="6" w:space="0" w:color="8EAADB"/>
              <w:right w:val="single" w:sz="6" w:space="0" w:color="8EAADB"/>
            </w:tcBorders>
            <w:shd w:val="clear" w:color="auto" w:fill="auto"/>
            <w:hideMark/>
          </w:tcPr>
          <w:p w14:paraId="7345C7C6"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11</w:t>
            </w:r>
            <w:r w:rsidRPr="00195091">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hideMark/>
          </w:tcPr>
          <w:p w14:paraId="570DDFC1"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-8</w:t>
            </w:r>
            <w:r w:rsidRPr="00195091">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hideMark/>
          </w:tcPr>
          <w:p w14:paraId="4A4DCD73"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-25</w:t>
            </w:r>
            <w:r w:rsidRPr="00195091">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hideMark/>
          </w:tcPr>
          <w:p w14:paraId="25CF828E"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18</w:t>
            </w:r>
            <w:r w:rsidRPr="00195091">
              <w:rPr>
                <w:rFonts w:eastAsia="Times New Roman" w:cstheme="majorHAnsi"/>
                <w:color w:val="000000"/>
                <w:lang w:val="nl-NL" w:eastAsia="nl-NL"/>
              </w:rPr>
              <w:t> </w:t>
            </w:r>
          </w:p>
        </w:tc>
      </w:tr>
      <w:tr w:rsidR="005118CB" w:rsidRPr="00195091" w14:paraId="67A6B6C8" w14:textId="77777777" w:rsidTr="00322B9D">
        <w:trPr>
          <w:trHeight w:val="300"/>
        </w:trPr>
        <w:tc>
          <w:tcPr>
            <w:tcW w:w="0" w:type="auto"/>
            <w:tcBorders>
              <w:top w:val="nil"/>
              <w:left w:val="single" w:sz="6" w:space="0" w:color="8EAADB"/>
              <w:bottom w:val="single" w:sz="6" w:space="0" w:color="8EAADB"/>
              <w:right w:val="single" w:sz="6" w:space="0" w:color="8EAADB"/>
            </w:tcBorders>
            <w:shd w:val="clear" w:color="auto" w:fill="D9E2F3"/>
            <w:hideMark/>
          </w:tcPr>
          <w:p w14:paraId="19017CCF" w14:textId="77777777" w:rsidR="005118CB" w:rsidRPr="00195091" w:rsidRDefault="005118CB" w:rsidP="00056919">
            <w:pPr>
              <w:spacing w:after="0" w:line="240" w:lineRule="auto"/>
              <w:textAlignment w:val="baseline"/>
              <w:rPr>
                <w:rFonts w:eastAsia="Times New Roman" w:cstheme="majorHAnsi"/>
                <w:b/>
                <w:bCs/>
                <w:sz w:val="24"/>
                <w:szCs w:val="24"/>
                <w:lang w:val="nl-NL" w:eastAsia="nl-NL"/>
              </w:rPr>
            </w:pPr>
            <w:r w:rsidRPr="00195091">
              <w:rPr>
                <w:rFonts w:eastAsia="Times New Roman" w:cstheme="majorHAnsi"/>
                <w:b/>
                <w:bCs/>
                <w:color w:val="000000"/>
                <w:lang w:val="nl-NL" w:eastAsia="nl-NL"/>
              </w:rPr>
              <w:t>Japan </w:t>
            </w:r>
          </w:p>
        </w:tc>
        <w:tc>
          <w:tcPr>
            <w:tcW w:w="0" w:type="auto"/>
            <w:tcBorders>
              <w:top w:val="nil"/>
              <w:left w:val="nil"/>
              <w:bottom w:val="single" w:sz="6" w:space="0" w:color="8EAADB"/>
              <w:right w:val="single" w:sz="6" w:space="0" w:color="8EAADB"/>
            </w:tcBorders>
            <w:shd w:val="clear" w:color="auto" w:fill="D9E2F3"/>
            <w:hideMark/>
          </w:tcPr>
          <w:p w14:paraId="691DE1BF"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7</w:t>
            </w:r>
            <w:r w:rsidRPr="00195091">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hideMark/>
          </w:tcPr>
          <w:p w14:paraId="3A6A4057"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-5</w:t>
            </w:r>
            <w:r w:rsidRPr="00195091">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hideMark/>
          </w:tcPr>
          <w:p w14:paraId="19332F49"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-25</w:t>
            </w:r>
            <w:r w:rsidRPr="00195091">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hideMark/>
          </w:tcPr>
          <w:p w14:paraId="5BA9C9A7"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18</w:t>
            </w:r>
            <w:r w:rsidRPr="00195091">
              <w:rPr>
                <w:rFonts w:eastAsia="Times New Roman" w:cstheme="majorHAnsi"/>
                <w:color w:val="000000"/>
                <w:lang w:val="nl-NL" w:eastAsia="nl-NL"/>
              </w:rPr>
              <w:t> </w:t>
            </w:r>
          </w:p>
        </w:tc>
      </w:tr>
      <w:tr w:rsidR="005118CB" w:rsidRPr="00195091" w14:paraId="0DA7B073" w14:textId="77777777" w:rsidTr="00322B9D">
        <w:trPr>
          <w:trHeight w:val="300"/>
        </w:trPr>
        <w:tc>
          <w:tcPr>
            <w:tcW w:w="0" w:type="auto"/>
            <w:tcBorders>
              <w:top w:val="nil"/>
              <w:left w:val="single" w:sz="6" w:space="0" w:color="8EAADB"/>
              <w:bottom w:val="single" w:sz="6" w:space="0" w:color="8EAADB"/>
              <w:right w:val="single" w:sz="6" w:space="0" w:color="8EAADB"/>
            </w:tcBorders>
            <w:shd w:val="clear" w:color="auto" w:fill="auto"/>
            <w:hideMark/>
          </w:tcPr>
          <w:p w14:paraId="01BEFDB0" w14:textId="77777777" w:rsidR="005118CB" w:rsidRPr="00195091" w:rsidRDefault="005118CB" w:rsidP="00056919">
            <w:pPr>
              <w:spacing w:after="0" w:line="240" w:lineRule="auto"/>
              <w:textAlignment w:val="baseline"/>
              <w:rPr>
                <w:rFonts w:eastAsia="Times New Roman" w:cstheme="majorHAnsi"/>
                <w:b/>
                <w:bCs/>
                <w:sz w:val="24"/>
                <w:szCs w:val="24"/>
                <w:lang w:val="nl-NL" w:eastAsia="nl-NL"/>
              </w:rPr>
            </w:pPr>
            <w:r w:rsidRPr="00195091">
              <w:rPr>
                <w:rFonts w:eastAsia="Times New Roman" w:cstheme="majorHAnsi"/>
                <w:b/>
                <w:bCs/>
                <w:color w:val="000000"/>
                <w:lang w:val="nl-NL" w:eastAsia="nl-NL"/>
              </w:rPr>
              <w:t>Oceania </w:t>
            </w:r>
          </w:p>
        </w:tc>
        <w:tc>
          <w:tcPr>
            <w:tcW w:w="0" w:type="auto"/>
            <w:tcBorders>
              <w:top w:val="nil"/>
              <w:left w:val="nil"/>
              <w:bottom w:val="single" w:sz="6" w:space="0" w:color="8EAADB"/>
              <w:right w:val="single" w:sz="6" w:space="0" w:color="8EAADB"/>
            </w:tcBorders>
            <w:shd w:val="clear" w:color="auto" w:fill="auto"/>
            <w:hideMark/>
          </w:tcPr>
          <w:p w14:paraId="1716F30D"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9</w:t>
            </w:r>
            <w:r w:rsidRPr="00195091">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hideMark/>
          </w:tcPr>
          <w:p w14:paraId="6676F059"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-7</w:t>
            </w:r>
            <w:r w:rsidRPr="00195091">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hideMark/>
          </w:tcPr>
          <w:p w14:paraId="7BEF60C4"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-25</w:t>
            </w:r>
            <w:r w:rsidRPr="00195091">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hideMark/>
          </w:tcPr>
          <w:p w14:paraId="296048A0"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18</w:t>
            </w:r>
            <w:r w:rsidRPr="00195091">
              <w:rPr>
                <w:rFonts w:eastAsia="Times New Roman" w:cstheme="majorHAnsi"/>
                <w:color w:val="000000"/>
                <w:lang w:val="nl-NL" w:eastAsia="nl-NL"/>
              </w:rPr>
              <w:t> </w:t>
            </w:r>
          </w:p>
        </w:tc>
      </w:tr>
      <w:tr w:rsidR="005118CB" w:rsidRPr="00195091" w14:paraId="2C2D4992" w14:textId="77777777" w:rsidTr="00322B9D">
        <w:trPr>
          <w:trHeight w:val="300"/>
        </w:trPr>
        <w:tc>
          <w:tcPr>
            <w:tcW w:w="0" w:type="auto"/>
            <w:tcBorders>
              <w:top w:val="nil"/>
              <w:left w:val="single" w:sz="6" w:space="0" w:color="8EAADB"/>
              <w:bottom w:val="single" w:sz="6" w:space="0" w:color="8EAADB"/>
              <w:right w:val="single" w:sz="6" w:space="0" w:color="8EAADB"/>
            </w:tcBorders>
            <w:shd w:val="clear" w:color="auto" w:fill="D9E2F3"/>
            <w:hideMark/>
          </w:tcPr>
          <w:p w14:paraId="7528F25B" w14:textId="77777777" w:rsidR="005118CB" w:rsidRPr="00195091" w:rsidRDefault="005118CB" w:rsidP="00056919">
            <w:pPr>
              <w:spacing w:after="0" w:line="240" w:lineRule="auto"/>
              <w:textAlignment w:val="baseline"/>
              <w:rPr>
                <w:rFonts w:eastAsia="Times New Roman" w:cstheme="majorHAnsi"/>
                <w:b/>
                <w:bCs/>
                <w:sz w:val="24"/>
                <w:szCs w:val="24"/>
                <w:lang w:val="nl-NL" w:eastAsia="nl-NL"/>
              </w:rPr>
            </w:pPr>
            <w:r w:rsidRPr="00195091">
              <w:rPr>
                <w:rFonts w:eastAsia="Times New Roman" w:cstheme="majorHAnsi"/>
                <w:b/>
                <w:bCs/>
                <w:color w:val="000000"/>
                <w:lang w:val="nl-NL" w:eastAsia="nl-NL"/>
              </w:rPr>
              <w:t>Rest S. Asia </w:t>
            </w:r>
          </w:p>
        </w:tc>
        <w:tc>
          <w:tcPr>
            <w:tcW w:w="0" w:type="auto"/>
            <w:tcBorders>
              <w:top w:val="nil"/>
              <w:left w:val="nil"/>
              <w:bottom w:val="single" w:sz="6" w:space="0" w:color="8EAADB"/>
              <w:right w:val="single" w:sz="6" w:space="0" w:color="8EAADB"/>
            </w:tcBorders>
            <w:shd w:val="clear" w:color="auto" w:fill="D9E2F3"/>
            <w:hideMark/>
          </w:tcPr>
          <w:p w14:paraId="3EE6914F"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10</w:t>
            </w:r>
            <w:r w:rsidRPr="00195091">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hideMark/>
          </w:tcPr>
          <w:p w14:paraId="2E614E1B"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-7</w:t>
            </w:r>
            <w:r w:rsidRPr="00195091">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hideMark/>
          </w:tcPr>
          <w:p w14:paraId="65FE2372"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-25</w:t>
            </w:r>
            <w:r w:rsidRPr="00195091">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D9E2F3"/>
            <w:hideMark/>
          </w:tcPr>
          <w:p w14:paraId="61A2AABF"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18</w:t>
            </w:r>
            <w:r w:rsidRPr="00195091">
              <w:rPr>
                <w:rFonts w:eastAsia="Times New Roman" w:cstheme="majorHAnsi"/>
                <w:color w:val="000000"/>
                <w:lang w:val="nl-NL" w:eastAsia="nl-NL"/>
              </w:rPr>
              <w:t> </w:t>
            </w:r>
          </w:p>
        </w:tc>
      </w:tr>
      <w:tr w:rsidR="005118CB" w:rsidRPr="00195091" w14:paraId="42520384" w14:textId="77777777" w:rsidTr="00322B9D">
        <w:trPr>
          <w:trHeight w:val="315"/>
        </w:trPr>
        <w:tc>
          <w:tcPr>
            <w:tcW w:w="0" w:type="auto"/>
            <w:tcBorders>
              <w:top w:val="nil"/>
              <w:left w:val="single" w:sz="6" w:space="0" w:color="8EAADB"/>
              <w:bottom w:val="single" w:sz="6" w:space="0" w:color="8EAADB"/>
              <w:right w:val="single" w:sz="6" w:space="0" w:color="8EAADB"/>
            </w:tcBorders>
            <w:shd w:val="clear" w:color="auto" w:fill="auto"/>
            <w:hideMark/>
          </w:tcPr>
          <w:p w14:paraId="606C1DDC" w14:textId="77777777" w:rsidR="005118CB" w:rsidRPr="00195091" w:rsidRDefault="005118CB" w:rsidP="00056919">
            <w:pPr>
              <w:spacing w:after="0" w:line="240" w:lineRule="auto"/>
              <w:textAlignment w:val="baseline"/>
              <w:rPr>
                <w:rFonts w:eastAsia="Times New Roman" w:cstheme="majorHAnsi"/>
                <w:b/>
                <w:bCs/>
                <w:sz w:val="24"/>
                <w:szCs w:val="24"/>
                <w:lang w:val="nl-NL" w:eastAsia="nl-NL"/>
              </w:rPr>
            </w:pPr>
            <w:r w:rsidRPr="00195091">
              <w:rPr>
                <w:rFonts w:eastAsia="Times New Roman" w:cstheme="majorHAnsi"/>
                <w:b/>
                <w:bCs/>
                <w:color w:val="000000"/>
                <w:lang w:val="nl-NL" w:eastAsia="nl-NL"/>
              </w:rPr>
              <w:t>Rest S. Africa </w:t>
            </w:r>
          </w:p>
        </w:tc>
        <w:tc>
          <w:tcPr>
            <w:tcW w:w="0" w:type="auto"/>
            <w:tcBorders>
              <w:top w:val="nil"/>
              <w:left w:val="nil"/>
              <w:bottom w:val="single" w:sz="6" w:space="0" w:color="8EAADB"/>
              <w:right w:val="single" w:sz="6" w:space="0" w:color="8EAADB"/>
            </w:tcBorders>
            <w:shd w:val="clear" w:color="auto" w:fill="auto"/>
            <w:hideMark/>
          </w:tcPr>
          <w:p w14:paraId="2EC26720"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4</w:t>
            </w:r>
            <w:r w:rsidRPr="00195091">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hideMark/>
          </w:tcPr>
          <w:p w14:paraId="72FB072C"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-3</w:t>
            </w:r>
            <w:r w:rsidRPr="00195091">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hideMark/>
          </w:tcPr>
          <w:p w14:paraId="234F06F1"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-25</w:t>
            </w:r>
            <w:r w:rsidRPr="00195091">
              <w:rPr>
                <w:rFonts w:eastAsia="Times New Roman" w:cstheme="majorHAnsi"/>
                <w:color w:val="000000"/>
                <w:lang w:val="nl-NL" w:eastAsia="nl-NL"/>
              </w:rPr>
              <w:t> </w:t>
            </w:r>
          </w:p>
        </w:tc>
        <w:tc>
          <w:tcPr>
            <w:tcW w:w="0" w:type="auto"/>
            <w:tcBorders>
              <w:top w:val="nil"/>
              <w:left w:val="nil"/>
              <w:bottom w:val="single" w:sz="6" w:space="0" w:color="8EAADB"/>
              <w:right w:val="single" w:sz="6" w:space="0" w:color="8EAADB"/>
            </w:tcBorders>
            <w:shd w:val="clear" w:color="auto" w:fill="auto"/>
            <w:hideMark/>
          </w:tcPr>
          <w:p w14:paraId="29CA0B04" w14:textId="77777777" w:rsidR="005118CB" w:rsidRPr="00195091" w:rsidRDefault="005118CB" w:rsidP="00056919">
            <w:pPr>
              <w:spacing w:after="0" w:line="240" w:lineRule="auto"/>
              <w:jc w:val="center"/>
              <w:textAlignment w:val="baseline"/>
              <w:rPr>
                <w:rFonts w:eastAsia="Times New Roman" w:cstheme="majorHAnsi"/>
                <w:sz w:val="24"/>
                <w:szCs w:val="24"/>
                <w:lang w:val="nl-NL" w:eastAsia="nl-NL"/>
              </w:rPr>
            </w:pPr>
            <w:r w:rsidRPr="00195091">
              <w:rPr>
                <w:rFonts w:eastAsia="Times New Roman" w:cstheme="majorHAnsi"/>
                <w:color w:val="000000"/>
                <w:lang w:eastAsia="nl-NL"/>
              </w:rPr>
              <w:t>18</w:t>
            </w:r>
            <w:r w:rsidRPr="00195091">
              <w:rPr>
                <w:rFonts w:eastAsia="Times New Roman" w:cstheme="majorHAnsi"/>
                <w:color w:val="000000"/>
                <w:lang w:val="nl-NL" w:eastAsia="nl-NL"/>
              </w:rPr>
              <w:t> </w:t>
            </w:r>
          </w:p>
        </w:tc>
      </w:tr>
    </w:tbl>
    <w:p w14:paraId="5F5DB8A4" w14:textId="77777777" w:rsidR="0075001B" w:rsidRPr="00195091" w:rsidRDefault="0075001B" w:rsidP="0075001B">
      <w:pPr>
        <w:rPr>
          <w:rFonts w:cstheme="majorHAnsi"/>
        </w:rPr>
      </w:pPr>
    </w:p>
    <w:p w14:paraId="144E9E27" w14:textId="55AA1230" w:rsidR="32006290" w:rsidRDefault="001B2D6D" w:rsidP="003004B4">
      <w:pPr>
        <w:pStyle w:val="Heading1"/>
        <w:numPr>
          <w:ilvl w:val="0"/>
          <w:numId w:val="0"/>
        </w:numPr>
      </w:pPr>
      <w:r>
        <w:rPr>
          <w:rFonts w:cstheme="majorHAnsi"/>
        </w:rPr>
        <w:t xml:space="preserve">Supplementary </w:t>
      </w:r>
      <w:r w:rsidR="007B55E3">
        <w:t>Data</w:t>
      </w:r>
      <w:r w:rsidR="0075001B" w:rsidRPr="32006290">
        <w:t xml:space="preserve"> </w:t>
      </w:r>
      <w:r w:rsidR="007B55E3">
        <w:t>3</w:t>
      </w:r>
      <w:r w:rsidR="00195091" w:rsidRPr="32006290">
        <w:t>:</w:t>
      </w:r>
      <w:r w:rsidR="0075001B" w:rsidRPr="32006290">
        <w:t xml:space="preserve"> Green </w:t>
      </w:r>
      <w:r w:rsidR="00195091" w:rsidRPr="32006290">
        <w:t>R</w:t>
      </w:r>
      <w:r w:rsidR="0075001B" w:rsidRPr="32006290">
        <w:t>ecovery</w:t>
      </w:r>
      <w:r w:rsidR="00B65847" w:rsidRPr="32006290">
        <w:t xml:space="preserve"> scenario</w:t>
      </w:r>
      <w:r w:rsidR="0075001B" w:rsidRPr="32006290">
        <w:t xml:space="preserve"> implementation</w:t>
      </w:r>
    </w:p>
    <w:p w14:paraId="61C0AF7A" w14:textId="1FD44449" w:rsidR="0075001B" w:rsidRPr="00195091" w:rsidRDefault="0075001B" w:rsidP="0075001B">
      <w:pPr>
        <w:rPr>
          <w:rFonts w:cstheme="majorHAnsi"/>
        </w:rPr>
      </w:pPr>
      <w:r w:rsidRPr="00195091">
        <w:rPr>
          <w:rFonts w:cstheme="majorHAnsi"/>
        </w:rPr>
        <w:t xml:space="preserve">The green stimulus as assumed in the </w:t>
      </w:r>
      <w:r w:rsidRPr="00195091">
        <w:rPr>
          <w:rFonts w:cstheme="majorHAnsi"/>
          <w:b/>
          <w:bCs/>
        </w:rPr>
        <w:t>GEM-E3-FIT</w:t>
      </w:r>
      <w:r w:rsidRPr="00195091">
        <w:rPr>
          <w:rFonts w:cstheme="majorHAnsi"/>
        </w:rPr>
        <w:t xml:space="preserve"> model is split into (i) 33% electricity (of which 80% renewable subsidies, 20% grid investment); (ii) 33% for the promotion of electric vehicles (EVs) via subsidies to consumers; (iii) 30% energy efficiency in buildings through targeted subsidies to consumers; and (iv) 4% energy efficiency in industries. The first two measures are modeled as subsidies in the electricity and transport modules of GEM-E3-FIT</w:t>
      </w:r>
      <w:r w:rsidR="005F1A9D">
        <w:rPr>
          <w:rFonts w:cstheme="majorHAnsi"/>
        </w:rPr>
        <w:fldChar w:fldCharType="begin" w:fldLock="1"/>
      </w:r>
      <w:r w:rsidR="009B25B7">
        <w:rPr>
          <w:rFonts w:cstheme="majorHAnsi"/>
        </w:rPr>
        <w:instrText>ADDIN CSL_CITATION {"citationItems":[{"id":"ITEM-1","itemData":{"DOI":"10.1038/s41558-019-0501-1","ISSN":"17586798","abstract":"The Paris agreement has provided a new framework for climate policy. Complementary forms of international collaboration, such as climate clubs, are probably necessary to foster and mainstream the process of gradual and voluntary increase in nationally determined contributions. We provide a quantitative macro-economic assessment of the costs and benefits that would be associated with different climate club architectures. We find that the key benefits that could structure the club are enhanced technological diffusion and the provision of low-cost climate finance, which reduce investment costs and also enables developing countries to take full advantage of technological diffusion. Although they face the highest absolute mitigation cost, China and India are the largest relative winners from club participation because the burden faced by these countries to finance their energy transition can be massively reduced following their participation in the club.","author":[{"dropping-particle":"","family":"Paroussos","given":"Leonidas","non-dropping-particle":"","parse-names":false,"suffix":""},{"dropping-particle":"","family":"Mandel","given":"Antoine","non-dropping-particle":"","parse-names":false,"suffix":""},{"dropping-particle":"","family":"Fragkiadakis","given":"Kostas","non-dropping-particle":"","parse-names":false,"suffix":""},{"dropping-particle":"","family":"Fragkos","given":"Panagiotis","non-dropping-particle":"","parse-names":false,"suffix":""},{"dropping-particle":"","family":"Hinkel","given":"Jochen","non-dropping-particle":"","parse-names":false,"suffix":""},{"dropping-particle":"","family":"Vrontisi","given":"Zoi","non-dropping-particle":"","parse-names":false,"suffix":""}],"container-title":"Nature Climate Change","id":"ITEM-1","issue":"7","issued":{"date-parts":[["2019","7","1"]]},"page":"542-546","publisher":"Nature Publishing Group","title":"Climate clubs and the macro-economic benefits of international cooperation on climate policy","type":"article-journal","volume":"9"},"uris":["http://www.mendeley.com/documents/?uuid=32024d50-3229-386f-915e-76c5fed4dd80"]}],"mendeley":{"formattedCitation":"&lt;sup&gt;50&lt;/sup&gt;","plainTextFormattedCitation":"50","previouslyFormattedCitation":"&lt;sup&gt;50&lt;/sup&gt;"},"properties":{"noteIndex":0},"schema":"https://github.com/citation-style-language/schema/raw/master/csl-citation.json"}</w:instrText>
      </w:r>
      <w:r w:rsidR="005F1A9D">
        <w:rPr>
          <w:rFonts w:cstheme="majorHAnsi"/>
        </w:rPr>
        <w:fldChar w:fldCharType="separate"/>
      </w:r>
      <w:r w:rsidR="005F1A9D" w:rsidRPr="005F1A9D">
        <w:rPr>
          <w:rFonts w:cstheme="majorHAnsi"/>
          <w:noProof/>
          <w:vertAlign w:val="superscript"/>
        </w:rPr>
        <w:t>50</w:t>
      </w:r>
      <w:r w:rsidR="005F1A9D">
        <w:rPr>
          <w:rFonts w:cstheme="majorHAnsi"/>
        </w:rPr>
        <w:fldChar w:fldCharType="end"/>
      </w:r>
      <w:r w:rsidRPr="00195091">
        <w:rPr>
          <w:rFonts w:cstheme="majorHAnsi"/>
        </w:rPr>
        <w:t>. Energy efficiency in buildings is represented using cost assumptions and sectoral split of expenditure from the PRIMES model</w:t>
      </w:r>
      <w:r w:rsidR="009B25B7">
        <w:rPr>
          <w:rFonts w:cstheme="majorHAnsi"/>
        </w:rPr>
        <w:fldChar w:fldCharType="begin" w:fldLock="1"/>
      </w:r>
      <w:r w:rsidR="00A03464">
        <w:rPr>
          <w:rFonts w:cstheme="majorHAnsi"/>
        </w:rPr>
        <w:instrText>ADDIN CSL_CITATION {"citationItems":[{"id":"ITEM-1","itemData":{"DOI":"10.1016/j.enpol.2019.110960","ISSN":"03014215","abstract":"We extend and use the PRIMES energy model to explore pathways towards climate-neutrality in the EU by 2050 and 2070 and analyse implications on energy demand, supply and costs. We draw on the modelling, data and scenario framework developed by the authors to support the European Commission's “Clean Planet for All” communication, released in November 2018. Based on model results for numerous scenarios and sensitivity runs, we analyse key issues to explore feasibility, uncertainties, costs and priorities for climate-neutrality strategy. We suggest that a sustainable climate-neutral energy system in the EU is feasible using known technologies. We emphasise that the EU's climate and energy package for 2030 currently in legislation is not sufficient to ensure climate neutrality by 2050. We characterise as of “no-regret” options promoting energy efficiency, renewables and electrification where cost-effective. However, carbon neutrality also necessitates alternative options of “disruptive” nature. Technologies supporting the disruptive options are not yet mature in industry. High uncertainty surrounds their learning potential. Their deployment heavily depends on policies facilitating investment. The system analysis based on the model illustrates the importance of sectoral integration. We argue that hydrogen, and at a certain extent synthetic carbon-neutral hydrocarbons, are critical elements among the disruptive options.","author":[{"dropping-particle":"","family":"Capros","given":"Pantelis","non-dropping-particle":"","parse-names":false,"suffix":""},{"dropping-particle":"","family":"Zazias","given":"Georgios","non-dropping-particle":"","parse-names":false,"suffix":""},{"dropping-particle":"","family":"Evangelopoulou","given":"Stavroula","non-dropping-particle":"","parse-names":false,"suffix":""},{"dropping-particle":"","family":"Kannavou","given":"Maria","non-dropping-particle":"","parse-names":false,"suffix":""},{"dropping-particle":"","family":"Fotiou","given":"Theofano","non-dropping-particle":"","parse-names":false,"suffix":""},{"dropping-particle":"","family":"Siskos","given":"Pelopidas","non-dropping-particle":"","parse-names":false,"suffix":""},{"dropping-particle":"","family":"Vita","given":"Alessia","non-dropping-particle":"De","parse-names":false,"suffix":""},{"dropping-particle":"","family":"Sakellaris","given":"Konstantinos","non-dropping-particle":"","parse-names":false,"suffix":""}],"container-title":"Energy Policy","id":"ITEM-1","issued":{"date-parts":[["2019","11","1"]]},"page":"110960","publisher":"Elsevier Ltd","title":"Energy-system modelling of the EU strategy towards climate-neutrality","type":"article-journal","volume":"134"},"uris":["http://www.mendeley.com/documents/?uuid=46b3b166-6852-3e94-ac8d-6b73affc011a"]}],"mendeley":{"formattedCitation":"&lt;sup&gt;51&lt;/sup&gt;","plainTextFormattedCitation":"51","previouslyFormattedCitation":"&lt;sup&gt;51&lt;/sup&gt;"},"properties":{"noteIndex":0},"schema":"https://github.com/citation-style-language/schema/raw/master/csl-citation.json"}</w:instrText>
      </w:r>
      <w:r w:rsidR="009B25B7">
        <w:rPr>
          <w:rFonts w:cstheme="majorHAnsi"/>
        </w:rPr>
        <w:fldChar w:fldCharType="separate"/>
      </w:r>
      <w:r w:rsidR="009B25B7" w:rsidRPr="009B25B7">
        <w:rPr>
          <w:rFonts w:cstheme="majorHAnsi"/>
          <w:noProof/>
          <w:vertAlign w:val="superscript"/>
        </w:rPr>
        <w:t>51</w:t>
      </w:r>
      <w:r w:rsidR="009B25B7">
        <w:rPr>
          <w:rFonts w:cstheme="majorHAnsi"/>
        </w:rPr>
        <w:fldChar w:fldCharType="end"/>
      </w:r>
      <w:r w:rsidRPr="00195091">
        <w:rPr>
          <w:rFonts w:cstheme="majorHAnsi"/>
        </w:rPr>
        <w:t>. To reflect the current market situation with available low-cost financial resources in the system, we assume that the recovery measures do not crowd out investment from other sectors</w:t>
      </w:r>
      <w:r w:rsidR="00A03464">
        <w:rPr>
          <w:rFonts w:cstheme="majorHAnsi"/>
        </w:rPr>
        <w:fldChar w:fldCharType="begin" w:fldLock="1"/>
      </w:r>
      <w:r w:rsidR="00A03464">
        <w:rPr>
          <w:rFonts w:cstheme="majorHAnsi"/>
        </w:rPr>
        <w:instrText>ADDIN CSL_CITATION {"citationItems":[{"id":"ITEM-1","itemData":{"DOI":"10.1016/j.apenergy.2018.09.032","ISSN":"03062619","abstract":"Expansion of renewable energy is a key element in the EU Energy and Climate policy framework, as is contributes to Greenhouse Gas reduction and improved energy security, while they can also create employment opportunities. There has been an intense debate on the quantification of these employment effects. Most studies have focused on estimating gross employment impacts and ignored the effects between different sectors, while they commonly use aggregate data and sectoral classification. This paper investigates the net employment impacts from the projected transformation of the EU energy sector towards Renewable Energy Sources (RES), by combining the employment factor approach and general equilibrium analysis. Detailed, up-to-date data at a very disaggregated level are used to compare the labour intensities of RES relative to fossil fuels and assess the employment impacts of the recent Clean Energy Package proposals. RES technologies are estimated to be on average more labour intensive and have a higher domestic job content relative to fossil fuels. The low-carbon transition would lead to the net creation of 200,000 direct jobs in energy sectors. Direct RES jobs represent about 1% of the EU workforce in 2050 and are mostly created in the construction of solar photovoltaics, the supply and production of advanced biofuels and in the manufacturing and installation of wind turbines. In contrast, employment would be eliminated in conventional energy supply sectors, especially in coal mining (which is a labour intensive activity), refineries and refuelling stations. The economy-wide general equilibrium modelling confirms the positive employment impacts of RES expansion and shows that the low-carbon transition would lead to the reallocation of 1.3% of the EU's workforce across sectors by 2050.","author":[{"dropping-particle":"","family":"Fragkos","given":"Panagiotis","non-dropping-particle":"","parse-names":false,"suffix":""},{"dropping-particle":"","family":"Paroussos","given":"Leonidas","non-dropping-particle":"","parse-names":false,"suffix":""}],"container-title":"Applied Energy","id":"ITEM-1","issued":{"date-parts":[["2018","11","15"]]},"page":"935-945","publisher":"Elsevier Ltd","title":"Employment creation in EU related to renewables expansion","type":"article-journal","volume":"230"},"uris":["http://www.mendeley.com/documents/?uuid=423525f2-5b2c-3ff7-abc4-cd3cf58147c6"]}],"mendeley":{"formattedCitation":"&lt;sup&gt;52&lt;/sup&gt;","plainTextFormattedCitation":"52","previouslyFormattedCitation":"&lt;sup&gt;52&lt;/sup&gt;"},"properties":{"noteIndex":0},"schema":"https://github.com/citation-style-language/schema/raw/master/csl-citation.json"}</w:instrText>
      </w:r>
      <w:r w:rsidR="00A03464">
        <w:rPr>
          <w:rFonts w:cstheme="majorHAnsi"/>
        </w:rPr>
        <w:fldChar w:fldCharType="separate"/>
      </w:r>
      <w:r w:rsidR="00A03464" w:rsidRPr="00A03464">
        <w:rPr>
          <w:rFonts w:cstheme="majorHAnsi"/>
          <w:noProof/>
          <w:vertAlign w:val="superscript"/>
        </w:rPr>
        <w:t>52</w:t>
      </w:r>
      <w:r w:rsidR="00A03464">
        <w:rPr>
          <w:rFonts w:cstheme="majorHAnsi"/>
        </w:rPr>
        <w:fldChar w:fldCharType="end"/>
      </w:r>
      <w:r w:rsidRPr="00195091">
        <w:rPr>
          <w:rFonts w:cstheme="majorHAnsi"/>
        </w:rPr>
        <w:t xml:space="preserve"> with loans to finance these measures paid back after 2030. </w:t>
      </w:r>
    </w:p>
    <w:p w14:paraId="3818CF29" w14:textId="1D45A35B" w:rsidR="0075001B" w:rsidRPr="00195091" w:rsidRDefault="0075001B" w:rsidP="0075001B">
      <w:pPr>
        <w:rPr>
          <w:rFonts w:cstheme="majorHAnsi"/>
          <w:iCs/>
        </w:rPr>
      </w:pPr>
      <w:r w:rsidRPr="00195091">
        <w:rPr>
          <w:rFonts w:cstheme="majorHAnsi"/>
          <w:iCs/>
        </w:rPr>
        <w:t>The green stimulus as assumed in the</w:t>
      </w:r>
      <w:r w:rsidRPr="00195091">
        <w:rPr>
          <w:rFonts w:cstheme="majorHAnsi"/>
        </w:rPr>
        <w:t xml:space="preserve"> </w:t>
      </w:r>
      <w:r w:rsidRPr="00195091">
        <w:rPr>
          <w:rFonts w:cstheme="majorHAnsi"/>
          <w:b/>
          <w:iCs/>
        </w:rPr>
        <w:t xml:space="preserve">E3ME </w:t>
      </w:r>
      <w:r w:rsidRPr="00195091">
        <w:rPr>
          <w:rFonts w:cstheme="majorHAnsi"/>
          <w:iCs/>
        </w:rPr>
        <w:t>model is split into (i) 33% electricity (of which 90% renewable subsidies, 10% grid investment); (ii) 30% EVs promotion via scrappage scheme; (iii) 30% energy efficiency in buildings; and (iv) 7% energy efficiency in industries.</w:t>
      </w:r>
      <w:r w:rsidRPr="00195091">
        <w:rPr>
          <w:rFonts w:cstheme="majorHAnsi"/>
        </w:rPr>
        <w:t xml:space="preserve"> The first two measures are modelled in the technology diffusion sub-models in E3ME</w:t>
      </w:r>
      <w:r w:rsidR="00A03464">
        <w:rPr>
          <w:rFonts w:cstheme="majorHAnsi"/>
        </w:rPr>
        <w:fldChar w:fldCharType="begin" w:fldLock="1"/>
      </w:r>
      <w:r w:rsidR="00A458EC">
        <w:rPr>
          <w:rFonts w:cstheme="majorHAnsi"/>
        </w:rPr>
        <w:instrText>ADDIN CSL_CITATION {"citationItems":[{"id":"ITEM-1","itemData":{"DOI":"10.1016/j.enpol.2012.06.025","ISSN":"03014215","abstract":"This work introduces a model of Future Technology Transformations for the power sector (FTT:Power), a representation of global power systems based on market competition, induced technological change (ITC) and natural resource use and depletion. It is the first component of a family of sectoral bottom-up models of technology, designed for integration into the global macroeconometric model E3MG. ITC occurs as a result of technological learning produced by cumulative investment and leads to highly nonlinear, irreversible and path dependent technological transitions. The model uses a dynamic coupled set of logistic differential equations. As opposed to traditional bottom-up energy models based on systems optimisation, such differential equations offer an appropriate treatment of the times and structure of change involved in sectoral technology transformations, as well as a much reduced computational load. Resource use and depletion are represented by local cost-supply curves, which give rise to different regional energy landscapes. The model is explored for a single global region using two simple scenarios, a baseline and a mitigation case where the price of carbon is gradually increased. While a constant price of carbon leads to a stagnant system, mitigation produces successive technology transitions leading towards the gradual decarbonisation of the global power sector. © 2012 Elsevier Ltd.","author":[{"dropping-particle":"","family":"Mercure","given":"Jean François","non-dropping-particle":"","parse-names":false,"suffix":""}],"container-title":"Energy Policy","id":"ITEM-1","issued":{"date-parts":[["2012","9","1"]]},"page":"799-811","publisher":"Elsevier","title":"FTT:Power A global model of the power sector with induced technological change and natural resource depletion","type":"article-journal","volume":"48"},"uris":["http://www.mendeley.com/documents/?uuid=0beeb593-e496-3c44-ad5d-5ab449cba7f6"]}],"mendeley":{"formattedCitation":"&lt;sup&gt;12&lt;/sup&gt;","plainTextFormattedCitation":"12","previouslyFormattedCitation":"&lt;sup&gt;12&lt;/sup&gt;"},"properties":{"noteIndex":0},"schema":"https://github.com/citation-style-language/schema/raw/master/csl-citation.json"}</w:instrText>
      </w:r>
      <w:r w:rsidR="00A03464">
        <w:rPr>
          <w:rFonts w:cstheme="majorHAnsi"/>
        </w:rPr>
        <w:fldChar w:fldCharType="separate"/>
      </w:r>
      <w:r w:rsidR="00A03464" w:rsidRPr="00A03464">
        <w:rPr>
          <w:rFonts w:cstheme="majorHAnsi"/>
          <w:noProof/>
          <w:vertAlign w:val="superscript"/>
        </w:rPr>
        <w:t>12</w:t>
      </w:r>
      <w:r w:rsidR="00A03464">
        <w:rPr>
          <w:rFonts w:cstheme="majorHAnsi"/>
        </w:rPr>
        <w:fldChar w:fldCharType="end"/>
      </w:r>
      <w:r w:rsidRPr="00195091">
        <w:rPr>
          <w:rFonts w:cstheme="majorHAnsi"/>
        </w:rPr>
        <w:t>. Despite the short-term nature of stimulus measures, due to technology path dependency, it is expected to have long-lasting impacts on renewables diffusion and take-up of EVs. Energy efficiency is modelled using cost assumptions per unit of energy savings</w:t>
      </w:r>
      <w:r w:rsidR="00A458EC">
        <w:rPr>
          <w:rFonts w:cstheme="majorHAnsi"/>
        </w:rPr>
        <w:fldChar w:fldCharType="begin" w:fldLock="1"/>
      </w:r>
      <w:r w:rsidR="00A458EC">
        <w:rPr>
          <w:rFonts w:cstheme="majorHAnsi"/>
        </w:rPr>
        <w:instrText>ADDIN CSL_CITATION {"citationItems":[{"id":"ITEM-1","itemData":{"author":[{"dropping-particle":"","family":"International Energy Agency","given":"","non-dropping-particle":"","parse-names":false,"suffix":""}],"id":"ITEM-1","issued":{"date-parts":[["2017"]]},"title":"Energy efficiency 2017 – Analysis","type":"report"},"uris":["http://www.mendeley.com/documents/?uuid=a8bb646a-9455-3d91-bbdb-b1f896266899"]}],"mendeley":{"formattedCitation":"&lt;sup&gt;53&lt;/sup&gt;","plainTextFormattedCitation":"53","previouslyFormattedCitation":"&lt;sup&gt;53&lt;/sup&gt;"},"properties":{"noteIndex":0},"schema":"https://github.com/citation-style-language/schema/raw/master/csl-citation.json"}</w:instrText>
      </w:r>
      <w:r w:rsidR="00A458EC">
        <w:rPr>
          <w:rFonts w:cstheme="majorHAnsi"/>
        </w:rPr>
        <w:fldChar w:fldCharType="separate"/>
      </w:r>
      <w:r w:rsidR="00A458EC" w:rsidRPr="00A458EC">
        <w:rPr>
          <w:rFonts w:cstheme="majorHAnsi"/>
          <w:noProof/>
          <w:vertAlign w:val="superscript"/>
        </w:rPr>
        <w:t>53</w:t>
      </w:r>
      <w:r w:rsidR="00A458EC">
        <w:rPr>
          <w:rFonts w:cstheme="majorHAnsi"/>
        </w:rPr>
        <w:fldChar w:fldCharType="end"/>
      </w:r>
      <w:r w:rsidRPr="00195091">
        <w:rPr>
          <w:rFonts w:cstheme="majorHAnsi"/>
        </w:rPr>
        <w:t>. As a non-equilibrium and non-optimized model, E3ME’s energy efficiency modelling does not automatically assume crowding out of other investments</w:t>
      </w:r>
      <w:r w:rsidR="00A458EC">
        <w:rPr>
          <w:rFonts w:cstheme="majorHAnsi"/>
        </w:rPr>
        <w:fldChar w:fldCharType="begin" w:fldLock="1"/>
      </w:r>
      <w:r w:rsidR="006136EA">
        <w:rPr>
          <w:rFonts w:cstheme="majorHAnsi"/>
        </w:rPr>
        <w:instrText>ADDIN CSL_CITATION {"citationItems":[{"id":"ITEM-1","itemData":{"author":[{"dropping-particle":"","family":"Pollitt","given":"Hector","non-dropping-particle":"","parse-names":false,"suffix":""},{"dropping-particle":"","family":"Alexandri","given":"Eva","non-dropping-particle":"","parse-names":false,"suffix":""},{"dropping-particle":"","family":"Anagnostopoulos","given":"Filippos","non-dropping-particle":"","parse-names":false,"suffix":""},{"dropping-particle":"","family":"Rose","given":"Antonio","non-dropping-particle":"de","parse-names":false,"suffix":""},{"dropping-particle":"","family":"Farhangi","given":"Cyrus","non-dropping-particle":"","parse-names":false,"suffix":""},{"dropping-particle":"","family":"Hoste","given":"Thijs","non-dropping-particle":"","parse-names":false,"suffix":""},{"dropping-particle":"","family":"Markkanen","given":"Sanna","non-dropping-particle":"","parse-names":false,"suffix":""},{"dropping-particle":"","family":"Theillard","given":"Perrine","non-dropping-particle":"","parse-names":false,"suffix":""},{"dropping-particle":"","family":"Vergez","given":"Coraile","non-dropping-particle":"","parse-names":false,"suffix":""},{"dropping-particle":"","family":"Voogt","given":"Monique","non-dropping-particle":"","parse-names":false,"suffix":""}],"id":"ITEM-1","issued":{"date-parts":[["2017"]]},"title":"The macro-level and sectoral impacts of Energy Efficiency policies","type":"report"},"uris":["http://www.mendeley.com/documents/?uuid=be30ea90-8bc5-35b1-ae3a-d22dd85f4b54"]}],"mendeley":{"formattedCitation":"&lt;sup&gt;54&lt;/sup&gt;","plainTextFormattedCitation":"54","previouslyFormattedCitation":"&lt;sup&gt;54&lt;/sup&gt;"},"properties":{"noteIndex":0},"schema":"https://github.com/citation-style-language/schema/raw/master/csl-citation.json"}</w:instrText>
      </w:r>
      <w:r w:rsidR="00A458EC">
        <w:rPr>
          <w:rFonts w:cstheme="majorHAnsi"/>
        </w:rPr>
        <w:fldChar w:fldCharType="separate"/>
      </w:r>
      <w:r w:rsidR="00A458EC" w:rsidRPr="00A458EC">
        <w:rPr>
          <w:rFonts w:cstheme="majorHAnsi"/>
          <w:noProof/>
          <w:vertAlign w:val="superscript"/>
        </w:rPr>
        <w:t>54</w:t>
      </w:r>
      <w:r w:rsidR="00A458EC">
        <w:rPr>
          <w:rFonts w:cstheme="majorHAnsi"/>
        </w:rPr>
        <w:fldChar w:fldCharType="end"/>
      </w:r>
      <w:r w:rsidRPr="00195091">
        <w:rPr>
          <w:rFonts w:cstheme="majorHAnsi"/>
        </w:rPr>
        <w:t xml:space="preserve">. Instead, it can tap into existing spare and additional capacity created during the pandemic to achieve economic stimulus from energy efficiency investment. </w:t>
      </w:r>
    </w:p>
    <w:p w14:paraId="2AD02AB1" w14:textId="0DC316AD" w:rsidR="0075001B" w:rsidRDefault="0075001B" w:rsidP="0075001B">
      <w:pPr>
        <w:rPr>
          <w:rFonts w:cstheme="majorHAnsi"/>
        </w:rPr>
      </w:pPr>
      <w:r w:rsidRPr="00195091">
        <w:rPr>
          <w:rFonts w:cstheme="majorHAnsi"/>
        </w:rPr>
        <w:t xml:space="preserve">The green stimulus as assumed in the </w:t>
      </w:r>
      <w:r w:rsidRPr="00195091">
        <w:rPr>
          <w:rFonts w:cstheme="majorHAnsi"/>
          <w:b/>
          <w:bCs/>
        </w:rPr>
        <w:t xml:space="preserve">IMAGE </w:t>
      </w:r>
      <w:r w:rsidRPr="00195091">
        <w:rPr>
          <w:rFonts w:cstheme="majorHAnsi"/>
        </w:rPr>
        <w:t>model is split into (i) 32% electricity (of which 80% renewable subsidies, 20% grid investment); (ii) 30% transport via promotion of EV sales and efficient ICEs; (iii) 30% energy efficiency in buildings via promotion of renovation of existing buildings, construction of new efficient buildings, and installation of sustainable appliances and infrastructure (residential PV systems, heat pumps and biomass boilers); and (iv) 8% energy efficiency in the industrial sector by targeting steel and cement production. The slightly higher amount allocated to industry in the IMAGE model is aimed at reducing methane leakages from oil and gas production, which was straightforward to implement in IMAGE. Even measures that incur high costs are a very effective way to reduce GHG emissions, as methane is a very potent greenhouse gas</w:t>
      </w:r>
      <w:r w:rsidR="006136EA">
        <w:rPr>
          <w:rFonts w:cstheme="majorHAnsi"/>
        </w:rPr>
        <w:fldChar w:fldCharType="begin" w:fldLock="1"/>
      </w:r>
      <w:r w:rsidR="006136EA">
        <w:rPr>
          <w:rFonts w:cstheme="majorHAnsi"/>
        </w:rPr>
        <w:instrText>ADDIN CSL_CITATION {"citationItems":[{"id":"ITEM-1","itemData":{"author":[{"dropping-particle":"","family":"International Energy Agency","given":"","non-dropping-particle":"","parse-names":false,"suffix":""}],"id":"ITEM-1","issued":{"date-parts":[["2020"]]},"title":"A sustainable recovery plan for the energy sector","type":"report"},"uris":["http://www.mendeley.com/documents/?uuid=573cb81b-13d9-368b-9131-b2b4100890ca"]}],"mendeley":{"formattedCitation":"&lt;sup&gt;55&lt;/sup&gt;","plainTextFormattedCitation":"55","previouslyFormattedCitation":"&lt;sup&gt;55&lt;/sup&gt;"},"properties":{"noteIndex":0},"schema":"https://github.com/citation-style-language/schema/raw/master/csl-citation.json"}</w:instrText>
      </w:r>
      <w:r w:rsidR="006136EA">
        <w:rPr>
          <w:rFonts w:cstheme="majorHAnsi"/>
        </w:rPr>
        <w:fldChar w:fldCharType="separate"/>
      </w:r>
      <w:r w:rsidR="006136EA" w:rsidRPr="006136EA">
        <w:rPr>
          <w:rFonts w:cstheme="majorHAnsi"/>
          <w:noProof/>
          <w:vertAlign w:val="superscript"/>
        </w:rPr>
        <w:t>55</w:t>
      </w:r>
      <w:r w:rsidR="006136EA">
        <w:rPr>
          <w:rFonts w:cstheme="majorHAnsi"/>
        </w:rPr>
        <w:fldChar w:fldCharType="end"/>
      </w:r>
      <w:r w:rsidRPr="00195091">
        <w:rPr>
          <w:rFonts w:cstheme="majorHAnsi"/>
        </w:rPr>
        <w:t>.</w:t>
      </w:r>
    </w:p>
    <w:p w14:paraId="497AF933" w14:textId="538DEC06" w:rsidR="00007990" w:rsidRPr="00195091" w:rsidRDefault="001B2D6D" w:rsidP="231A94F9">
      <w:pPr>
        <w:pStyle w:val="Heading1"/>
        <w:numPr>
          <w:ilvl w:val="0"/>
          <w:numId w:val="0"/>
        </w:numPr>
      </w:pPr>
      <w:r>
        <w:rPr>
          <w:rFonts w:cstheme="majorHAnsi"/>
        </w:rPr>
        <w:t xml:space="preserve">Supplementary </w:t>
      </w:r>
      <w:bookmarkStart w:id="1" w:name="_GoBack"/>
      <w:bookmarkEnd w:id="1"/>
      <w:r w:rsidR="007B55E3">
        <w:t>Data</w:t>
      </w:r>
      <w:r w:rsidR="00007990" w:rsidRPr="231A94F9">
        <w:t xml:space="preserve"> </w:t>
      </w:r>
      <w:r w:rsidR="007B55E3">
        <w:t>4</w:t>
      </w:r>
      <w:r w:rsidR="00007990" w:rsidRPr="231A94F9">
        <w:t xml:space="preserve">: </w:t>
      </w:r>
      <w:r w:rsidR="0021789E" w:rsidRPr="231A94F9">
        <w:t>Comparison</w:t>
      </w:r>
      <w:r w:rsidR="00007990" w:rsidRPr="231A94F9">
        <w:t xml:space="preserve"> </w:t>
      </w:r>
      <w:r w:rsidR="3866263A" w:rsidRPr="231A94F9">
        <w:t xml:space="preserve">of the </w:t>
      </w:r>
      <w:r w:rsidR="0021789E" w:rsidRPr="231A94F9">
        <w:t>results of this study with IEA</w:t>
      </w:r>
    </w:p>
    <w:p w14:paraId="5F2234F4" w14:textId="1C121B4F" w:rsidR="00007990" w:rsidRDefault="00162D3C" w:rsidP="5C8B0AF3">
      <w:pPr>
        <w:rPr>
          <w:rFonts w:cstheme="majorBidi"/>
        </w:rPr>
      </w:pPr>
      <w:r>
        <w:t>Comparing the three models' results to the IEA’s Sustainable Recovery report</w:t>
      </w:r>
      <w:r>
        <w:fldChar w:fldCharType="begin" w:fldLock="1"/>
      </w:r>
      <w:r>
        <w:instrText>ADDIN CSL_CITATION {"citationItems":[{"id":"ITEM-1","itemData":{"author":[{"dropping-particle":"","family":"International Energy Agency","given":"","non-dropping-particle":"","parse-names":false,"suffix":""}],"id":"ITEM-1","issued":{"date-parts":[["2020"]]},"title":"A sustainable recovery plan for the energy sector","type":"report"},"uris":["http://www.mendeley.com/documents/?uuid=573cb81b-13d9-368b-9131-b2b4100890ca"]}],"mendeley":{"formattedCitation":"&lt;sup&gt;55&lt;/sup&gt;","plainTextFormattedCitation":"55","previouslyFormattedCitation":"&lt;sup&gt;55&lt;/sup&gt;"},"properties":{"noteIndex":0},"schema":"https://github.com/citation-style-language/schema/raw/master/csl-citation.json"}</w:instrText>
      </w:r>
      <w:r>
        <w:fldChar w:fldCharType="separate"/>
      </w:r>
      <w:r w:rsidR="006136EA" w:rsidRPr="5C8B0AF3">
        <w:rPr>
          <w:noProof/>
          <w:vertAlign w:val="superscript"/>
        </w:rPr>
        <w:t>55</w:t>
      </w:r>
      <w:r>
        <w:fldChar w:fldCharType="end"/>
      </w:r>
      <w:r>
        <w:t>, our models show lower reductions by 2025 than IEA’s sustainable recovery plan. More specifically, IEA projects that the Green Recovery scenario will result in 3.5 Gt CO</w:t>
      </w:r>
      <w:r w:rsidRPr="5C8B0AF3">
        <w:rPr>
          <w:vertAlign w:val="subscript"/>
        </w:rPr>
        <w:t>2</w:t>
      </w:r>
      <w:r>
        <w:t xml:space="preserve"> reduction, relative to an IEA’s COVID baseline that has no increase in investments by 2025, and 1 Gt CO</w:t>
      </w:r>
      <w:r w:rsidRPr="5C8B0AF3">
        <w:rPr>
          <w:vertAlign w:val="subscript"/>
        </w:rPr>
        <w:t>2</w:t>
      </w:r>
      <w:r>
        <w:t xml:space="preserve"> reduction relative to 2020 levels. The E3ME and IMAGE Green Recovery scenarios show a relative decrease of 2 Gt CO</w:t>
      </w:r>
      <w:r w:rsidRPr="5C8B0AF3">
        <w:rPr>
          <w:vertAlign w:val="subscript"/>
        </w:rPr>
        <w:t>2</w:t>
      </w:r>
      <w:r>
        <w:t xml:space="preserve"> and 1 Gt CO</w:t>
      </w:r>
      <w:r w:rsidRPr="5C8B0AF3">
        <w:rPr>
          <w:vertAlign w:val="subscript"/>
        </w:rPr>
        <w:t>2</w:t>
      </w:r>
      <w:r>
        <w:t xml:space="preserve"> in 2025 compared with the </w:t>
      </w:r>
      <w:r w:rsidR="18730FB0" w:rsidRPr="5C8B0AF3">
        <w:rPr>
          <w:rFonts w:ascii="Calibri Light" w:eastAsia="Calibri Light" w:hAnsi="Calibri Light" w:cs="Calibri Light"/>
          <w:lang w:val="en-GB"/>
        </w:rPr>
        <w:t>COVID scenario</w:t>
      </w:r>
      <w:r>
        <w:t>. In contrast, GEM-E3 achieves a higher level of reductions in 2025, at 3.2 Gt CO</w:t>
      </w:r>
      <w:r w:rsidRPr="5C8B0AF3">
        <w:rPr>
          <w:vertAlign w:val="subscript"/>
        </w:rPr>
        <w:t>2</w:t>
      </w:r>
      <w:r>
        <w:t xml:space="preserve">. There are different factors that explain the higher reductions by IEA. First, IEA’s COVID baseline projects higher emission growth rates due to rebound effects after 2020 (return to 2019 levels by 2023) than the </w:t>
      </w:r>
      <w:r w:rsidR="55007A49" w:rsidRPr="5C8B0AF3">
        <w:rPr>
          <w:rFonts w:ascii="Calibri Light" w:eastAsia="Calibri Light" w:hAnsi="Calibri Light" w:cs="Calibri Light"/>
          <w:lang w:val="en-GB"/>
        </w:rPr>
        <w:t xml:space="preserve">COVID </w:t>
      </w:r>
      <w:r>
        <w:t>scenarios of the three models used in this study (return to 2019 levels by 2024-2026), which leads to a higher reduction for IEA. Second, the IEA recovery scenario assumes today’s announced policy intentions and targets</w:t>
      </w:r>
      <w:r>
        <w:fldChar w:fldCharType="begin" w:fldLock="1"/>
      </w:r>
      <w:r>
        <w:instrText>ADDIN CSL_CITATION {"citationItems":[{"id":"ITEM-1","itemData":{"author":[{"dropping-particle":"","family":"International Energy Agency","given":"","non-dropping-particle":"","parse-names":false,"suffix":""}],"id":"ITEM-1","issued":{"date-parts":[["2020"]]},"title":"World Energy Outlook 2020 – Analysis - IEA","type":"report"},"uris":["http://www.mendeley.com/documents/?uuid=a11c3f6d-7b52-3da6-8343-b6857cb890a7"]}],"mendeley":{"formattedCitation":"&lt;sup&gt;56&lt;/sup&gt;","plainTextFormattedCitation":"56","previouslyFormattedCitation":"&lt;sup&gt;56&lt;/sup&gt;"},"properties":{"noteIndex":0},"schema":"https://github.com/citation-style-language/schema/raw/master/csl-citation.json"}</w:instrText>
      </w:r>
      <w:r>
        <w:fldChar w:fldCharType="separate"/>
      </w:r>
      <w:r w:rsidR="006136EA" w:rsidRPr="5C8B0AF3">
        <w:rPr>
          <w:noProof/>
          <w:vertAlign w:val="superscript"/>
        </w:rPr>
        <w:t>56</w:t>
      </w:r>
      <w:r>
        <w:fldChar w:fldCharType="end"/>
      </w:r>
      <w:r>
        <w:t>, which goes beyond the current policies, as assumed in this study. Third, IMAGE eventually achieves a reduction similar to IEA’s in 2030 instead of 2025, mainly due to the assumed inertia in the energy system in the model. Fourth, in GEM-E3-FIT and E3ME, a larger CO</w:t>
      </w:r>
      <w:r w:rsidRPr="5C8B0AF3">
        <w:rPr>
          <w:vertAlign w:val="subscript"/>
        </w:rPr>
        <w:t xml:space="preserve">2 </w:t>
      </w:r>
      <w:r>
        <w:t>reduction can be expected if the socio-economic impacts of Green Recovery that boost GDP growth and thus increase emissions in the absence of strong climate policies are not considered.</w:t>
      </w:r>
    </w:p>
    <w:p w14:paraId="00DCEA94" w14:textId="77777777" w:rsidR="00B65847" w:rsidRPr="006136EA" w:rsidRDefault="00B65847" w:rsidP="3F60D73E">
      <w:pPr>
        <w:pStyle w:val="Heading1"/>
        <w:numPr>
          <w:ilvl w:val="0"/>
          <w:numId w:val="0"/>
        </w:numPr>
        <w:ind w:left="432" w:hanging="432"/>
        <w:rPr>
          <w:rFonts w:asciiTheme="minorHAnsi" w:hAnsiTheme="minorHAnsi"/>
        </w:rPr>
      </w:pPr>
      <w:r>
        <w:t>Supplementary Figures and Tables</w:t>
      </w:r>
    </w:p>
    <w:p w14:paraId="79E11D67" w14:textId="6765ED67" w:rsidR="57CE143B" w:rsidRDefault="57CE143B" w:rsidP="525F22B9">
      <w:pPr>
        <w:spacing w:line="288" w:lineRule="auto"/>
        <w:rPr>
          <w:rFonts w:ascii="Calibri Light" w:eastAsia="Calibri" w:hAnsi="Calibri Light"/>
        </w:rPr>
      </w:pPr>
      <w:r>
        <w:rPr>
          <w:noProof/>
        </w:rPr>
        <w:drawing>
          <wp:inline distT="0" distB="0" distL="0" distR="0" wp14:anchorId="70F9C426" wp14:editId="5DF969C8">
            <wp:extent cx="5955632" cy="2841332"/>
            <wp:effectExtent l="0" t="0" r="0" b="0"/>
            <wp:docPr id="1362289960" name="Picture 1362289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55632" cy="2841332"/>
                    </a:xfrm>
                    <a:prstGeom prst="rect">
                      <a:avLst/>
                    </a:prstGeom>
                  </pic:spPr>
                </pic:pic>
              </a:graphicData>
            </a:graphic>
          </wp:inline>
        </w:drawing>
      </w:r>
    </w:p>
    <w:p w14:paraId="59E3EF35" w14:textId="22E6D744" w:rsidR="067BC98B" w:rsidRDefault="067BC98B" w:rsidP="525F22B9">
      <w:pPr>
        <w:spacing w:line="288" w:lineRule="auto"/>
        <w:rPr>
          <w:rFonts w:ascii="Calibri Light" w:eastAsia="Calibri Light" w:hAnsi="Calibri Light" w:cs="Calibri Light"/>
          <w:color w:val="000000" w:themeColor="text1"/>
          <w:lang w:val="en-GB"/>
        </w:rPr>
      </w:pPr>
      <w:r w:rsidRPr="525F22B9">
        <w:rPr>
          <w:rStyle w:val="CaptionChar"/>
          <w:i w:val="0"/>
          <w:iCs w:val="0"/>
        </w:rPr>
        <w:t xml:space="preserve">Supplementary Figure 1: </w:t>
      </w:r>
      <w:r w:rsidR="4CE635E2" w:rsidRPr="525F22B9">
        <w:rPr>
          <w:rFonts w:ascii="Calibri Light" w:eastAsia="Calibri Light" w:hAnsi="Calibri Light" w:cs="Calibri Light"/>
          <w:color w:val="000000" w:themeColor="text1"/>
          <w:lang w:val="en-GB"/>
        </w:rPr>
        <w:t>Global GDP and CO</w:t>
      </w:r>
      <w:r w:rsidR="4CE635E2" w:rsidRPr="525F22B9">
        <w:rPr>
          <w:rFonts w:ascii="Calibri Light" w:eastAsia="Calibri Light" w:hAnsi="Calibri Light" w:cs="Calibri Light"/>
          <w:color w:val="000000" w:themeColor="text1"/>
          <w:vertAlign w:val="subscript"/>
          <w:lang w:val="en-GB"/>
        </w:rPr>
        <w:t>2</w:t>
      </w:r>
      <w:r w:rsidR="4CE635E2" w:rsidRPr="525F22B9">
        <w:rPr>
          <w:rFonts w:ascii="Calibri Light" w:eastAsia="Calibri Light" w:hAnsi="Calibri Light" w:cs="Calibri Light"/>
          <w:color w:val="000000" w:themeColor="text1"/>
          <w:lang w:val="en-GB"/>
        </w:rPr>
        <w:t xml:space="preserve"> emission projections.</w:t>
      </w:r>
      <w:r w:rsidR="4CE635E2" w:rsidRPr="525F22B9">
        <w:rPr>
          <w:rFonts w:ascii="Calibri Light" w:eastAsia="Calibri Light" w:hAnsi="Calibri Light" w:cs="Calibri Light"/>
          <w:b/>
          <w:bCs/>
          <w:color w:val="000000" w:themeColor="text1"/>
          <w:lang w:val="en-GB"/>
        </w:rPr>
        <w:t xml:space="preserve"> </w:t>
      </w:r>
      <w:r w:rsidRPr="525F22B9">
        <w:rPr>
          <w:rFonts w:ascii="Calibri Light" w:eastAsia="Calibri Light" w:hAnsi="Calibri Light" w:cs="Calibri Light"/>
          <w:b/>
          <w:bCs/>
          <w:color w:val="000000" w:themeColor="text1"/>
          <w:lang w:val="en-GB"/>
        </w:rPr>
        <w:t>a,</w:t>
      </w:r>
      <w:r w:rsidRPr="525F22B9">
        <w:rPr>
          <w:rFonts w:ascii="Calibri Light" w:eastAsia="Calibri Light" w:hAnsi="Calibri Light" w:cs="Calibri Light"/>
          <w:color w:val="000000" w:themeColor="text1"/>
          <w:lang w:val="en-GB"/>
        </w:rPr>
        <w:t xml:space="preserve"> Global GDP (expressed in MER US$) between 201</w:t>
      </w:r>
      <w:r w:rsidR="2EB5FA68" w:rsidRPr="525F22B9">
        <w:rPr>
          <w:rFonts w:ascii="Calibri Light" w:eastAsia="Calibri Light" w:hAnsi="Calibri Light" w:cs="Calibri Light"/>
          <w:color w:val="000000" w:themeColor="text1"/>
          <w:lang w:val="en-GB"/>
        </w:rPr>
        <w:t>9</w:t>
      </w:r>
      <w:r w:rsidRPr="525F22B9">
        <w:rPr>
          <w:rFonts w:ascii="Calibri Light" w:eastAsia="Calibri Light" w:hAnsi="Calibri Light" w:cs="Calibri Light"/>
          <w:color w:val="000000" w:themeColor="text1"/>
          <w:lang w:val="en-GB"/>
        </w:rPr>
        <w:t xml:space="preserve"> and 2030 (normalised to </w:t>
      </w:r>
      <w:r w:rsidR="3C4CCE28" w:rsidRPr="525F22B9">
        <w:rPr>
          <w:rFonts w:ascii="Calibri Light" w:eastAsia="Calibri Light" w:hAnsi="Calibri Light" w:cs="Calibri Light"/>
          <w:color w:val="000000" w:themeColor="text1"/>
          <w:lang w:val="en-GB"/>
        </w:rPr>
        <w:t xml:space="preserve">the </w:t>
      </w:r>
      <w:r w:rsidRPr="525F22B9">
        <w:rPr>
          <w:rFonts w:ascii="Calibri Light" w:eastAsia="Calibri Light" w:hAnsi="Calibri Light" w:cs="Calibri Light"/>
          <w:color w:val="000000" w:themeColor="text1"/>
          <w:lang w:val="en-GB"/>
        </w:rPr>
        <w:t>201</w:t>
      </w:r>
      <w:r w:rsidR="0C913FB3" w:rsidRPr="525F22B9">
        <w:rPr>
          <w:rFonts w:ascii="Calibri Light" w:eastAsia="Calibri Light" w:hAnsi="Calibri Light" w:cs="Calibri Light"/>
          <w:color w:val="000000" w:themeColor="text1"/>
          <w:lang w:val="en-GB"/>
        </w:rPr>
        <w:t>9</w:t>
      </w:r>
      <w:r w:rsidR="3422CE7E" w:rsidRPr="525F22B9">
        <w:rPr>
          <w:rFonts w:ascii="Calibri Light" w:eastAsia="Calibri Light" w:hAnsi="Calibri Light" w:cs="Calibri Light"/>
          <w:color w:val="000000" w:themeColor="text1"/>
          <w:lang w:val="en-GB"/>
        </w:rPr>
        <w:t xml:space="preserve"> model</w:t>
      </w:r>
      <w:r w:rsidRPr="525F22B9">
        <w:rPr>
          <w:rFonts w:ascii="Calibri Light" w:eastAsia="Calibri Light" w:hAnsi="Calibri Light" w:cs="Calibri Light"/>
          <w:color w:val="000000" w:themeColor="text1"/>
          <w:lang w:val="en-GB"/>
        </w:rPr>
        <w:t xml:space="preserve"> levels</w:t>
      </w:r>
      <w:r w:rsidR="430CC3BE" w:rsidRPr="525F22B9">
        <w:rPr>
          <w:rFonts w:ascii="Calibri Light" w:eastAsia="Calibri Light" w:hAnsi="Calibri Light" w:cs="Calibri Light"/>
          <w:color w:val="000000" w:themeColor="text1"/>
          <w:lang w:val="en-GB"/>
        </w:rPr>
        <w:t>, taking 2019 levels as 100</w:t>
      </w:r>
      <w:r w:rsidRPr="525F22B9">
        <w:rPr>
          <w:rFonts w:ascii="Calibri Light" w:eastAsia="Calibri Light" w:hAnsi="Calibri Light" w:cs="Calibri Light"/>
          <w:color w:val="000000" w:themeColor="text1"/>
          <w:lang w:val="en-GB"/>
        </w:rPr>
        <w:t xml:space="preserve">), for all scenarios, as projected by the three global models. </w:t>
      </w:r>
      <w:r w:rsidRPr="525F22B9">
        <w:rPr>
          <w:rFonts w:ascii="Calibri Light" w:eastAsia="Calibri Light" w:hAnsi="Calibri Light" w:cs="Calibri Light"/>
          <w:b/>
          <w:bCs/>
          <w:color w:val="000000" w:themeColor="text1"/>
          <w:lang w:val="en-GB"/>
        </w:rPr>
        <w:t>b,</w:t>
      </w:r>
      <w:r w:rsidRPr="525F22B9">
        <w:rPr>
          <w:rFonts w:ascii="Calibri Light" w:eastAsia="Calibri Light" w:hAnsi="Calibri Light" w:cs="Calibri Light"/>
          <w:color w:val="000000" w:themeColor="text1"/>
          <w:lang w:val="en-GB"/>
        </w:rPr>
        <w:t xml:space="preserve"> Global CO</w:t>
      </w:r>
      <w:r w:rsidRPr="525F22B9">
        <w:rPr>
          <w:rFonts w:ascii="Calibri Light" w:eastAsia="Calibri Light" w:hAnsi="Calibri Light" w:cs="Calibri Light"/>
          <w:color w:val="000000" w:themeColor="text1"/>
          <w:vertAlign w:val="subscript"/>
          <w:lang w:val="en-GB"/>
        </w:rPr>
        <w:t>2</w:t>
      </w:r>
      <w:r w:rsidRPr="525F22B9">
        <w:rPr>
          <w:rFonts w:ascii="Calibri Light" w:eastAsia="Calibri Light" w:hAnsi="Calibri Light" w:cs="Calibri Light"/>
          <w:color w:val="000000" w:themeColor="text1"/>
          <w:lang w:val="en-GB"/>
        </w:rPr>
        <w:t xml:space="preserve"> emission projections from energy and industrial processes between 201</w:t>
      </w:r>
      <w:r w:rsidR="57BF33F8" w:rsidRPr="525F22B9">
        <w:rPr>
          <w:rFonts w:ascii="Calibri Light" w:eastAsia="Calibri Light" w:hAnsi="Calibri Light" w:cs="Calibri Light"/>
          <w:color w:val="000000" w:themeColor="text1"/>
          <w:lang w:val="en-GB"/>
        </w:rPr>
        <w:t>9</w:t>
      </w:r>
      <w:r w:rsidRPr="525F22B9">
        <w:rPr>
          <w:rFonts w:ascii="Calibri Light" w:eastAsia="Calibri Light" w:hAnsi="Calibri Light" w:cs="Calibri Light"/>
          <w:color w:val="000000" w:themeColor="text1"/>
          <w:lang w:val="en-GB"/>
        </w:rPr>
        <w:t xml:space="preserve"> and 2030, </w:t>
      </w:r>
      <w:r w:rsidR="3E13B4F9" w:rsidRPr="525F22B9">
        <w:rPr>
          <w:rFonts w:ascii="Calibri Light" w:eastAsia="Calibri Light" w:hAnsi="Calibri Light" w:cs="Calibri Light"/>
          <w:color w:val="000000" w:themeColor="text1"/>
          <w:lang w:val="en-GB"/>
        </w:rPr>
        <w:t xml:space="preserve">normalised to the 2019 </w:t>
      </w:r>
      <w:r w:rsidR="35292A5E" w:rsidRPr="525F22B9">
        <w:rPr>
          <w:rFonts w:ascii="Calibri Light" w:eastAsia="Calibri Light" w:hAnsi="Calibri Light" w:cs="Calibri Light"/>
          <w:color w:val="000000" w:themeColor="text1"/>
          <w:lang w:val="en-GB"/>
        </w:rPr>
        <w:t xml:space="preserve">model </w:t>
      </w:r>
      <w:r w:rsidR="3E13B4F9" w:rsidRPr="525F22B9">
        <w:rPr>
          <w:rFonts w:ascii="Calibri Light" w:eastAsia="Calibri Light" w:hAnsi="Calibri Light" w:cs="Calibri Light"/>
          <w:color w:val="000000" w:themeColor="text1"/>
          <w:lang w:val="en-GB"/>
        </w:rPr>
        <w:t>levels then multipli</w:t>
      </w:r>
      <w:r w:rsidR="14F697E0" w:rsidRPr="525F22B9">
        <w:rPr>
          <w:rFonts w:ascii="Calibri Light" w:eastAsia="Calibri Light" w:hAnsi="Calibri Light" w:cs="Calibri Light"/>
          <w:color w:val="000000" w:themeColor="text1"/>
          <w:lang w:val="en-GB"/>
        </w:rPr>
        <w:t>e</w:t>
      </w:r>
      <w:r w:rsidR="3E13B4F9" w:rsidRPr="525F22B9">
        <w:rPr>
          <w:rFonts w:ascii="Calibri Light" w:eastAsia="Calibri Light" w:hAnsi="Calibri Light" w:cs="Calibri Light"/>
          <w:color w:val="000000" w:themeColor="text1"/>
          <w:lang w:val="en-GB"/>
        </w:rPr>
        <w:t>d with 2019 emission</w:t>
      </w:r>
      <w:r w:rsidR="23CCBDF6" w:rsidRPr="525F22B9">
        <w:rPr>
          <w:rFonts w:ascii="Calibri Light" w:eastAsia="Calibri Light" w:hAnsi="Calibri Light" w:cs="Calibri Light"/>
          <w:color w:val="000000" w:themeColor="text1"/>
          <w:lang w:val="en-GB"/>
        </w:rPr>
        <w:t xml:space="preserve"> from GCP</w:t>
      </w:r>
      <w:r w:rsidR="00B72301">
        <w:rPr>
          <w:rFonts w:ascii="Calibri Light" w:eastAsia="Calibri Light" w:hAnsi="Calibri Light" w:cs="Calibri Light"/>
          <w:color w:val="000000" w:themeColor="text1"/>
          <w:lang w:val="en-GB"/>
        </w:rPr>
        <w:fldChar w:fldCharType="begin" w:fldLock="1"/>
      </w:r>
      <w:r w:rsidR="00B72301">
        <w:rPr>
          <w:rFonts w:ascii="Calibri Light" w:eastAsia="Calibri Light" w:hAnsi="Calibri Light" w:cs="Calibri Light"/>
          <w:color w:val="000000" w:themeColor="text1"/>
          <w:lang w:val="en-GB"/>
        </w:rPr>
        <w:instrText>ADDIN CSL_CITATION {"citationItems":[{"id":"ITEM-1","itemData":{"DOI":"10.1038/s41558-021-01001-0","ISSN":"17586798","abstract":"Five years after the adoption of the Paris Climate Agreement, growth in global CO2 emissions has begun to falter. The pervasive disruptions from the COVID-19 pandemic have radically altered the trajectory of global CO2 emissions. Contradictory effects of the post-COVID-19 investments in fossil fuel-based infrastructure and the recent strengthening of climate targets must be addressed with new policy choices to sustain a decline in global emissions in the post-COVID-19 era.","author":[{"dropping-particle":"","family":"Quéré","given":"Corinne","non-dropping-particle":"Le","parse-names":false,"suffix":""},{"dropping-particle":"","family":"Peters","given":"Glen P.","non-dropping-particle":"","parse-names":false,"suffix":""},{"dropping-particle":"","family":"Friedlingstein","given":"Pierre","non-dropping-particle":"","parse-names":false,"suffix":""},{"dropping-particle":"","family":"Andrew","given":"Robbie M.","non-dropping-particle":"","parse-names":false,"suffix":""},{"dropping-particle":"","family":"Canadell","given":"Josep G.","non-dropping-particle":"","parse-names":false,"suffix":""},{"dropping-particle":"","family":"Davis","given":"Steven J.","non-dropping-particle":"","parse-names":false,"suffix":""},{"dropping-particle":"","family":"Jackson","given":"Robert B.","non-dropping-particle":"","parse-names":false,"suffix":""},{"dropping-particle":"","family":"Jones","given":"Matthew W.","non-dropping-particle":"","parse-names":false,"suffix":""}],"container-title":"Nature Climate Change","id":"ITEM-1","issue":"3","issued":{"date-parts":[["2021","3","1"]]},"page":"197-199","publisher":"Nature Research","title":"Fossil CO2 emissions in the post-COVID-19 era","type":"article-journal","volume":"11"},"uris":["http://www.mendeley.com/documents/?uuid=0db66e40-cf30-34ce-b83a-bef2d669cd94"]}],"mendeley":{"formattedCitation":"&lt;sup&gt;57&lt;/sup&gt;","plainTextFormattedCitation":"57"},"properties":{"noteIndex":0},"schema":"https://github.com/citation-style-language/schema/raw/master/csl-citation.json"}</w:instrText>
      </w:r>
      <w:r w:rsidR="00B72301">
        <w:rPr>
          <w:rFonts w:ascii="Calibri Light" w:eastAsia="Calibri Light" w:hAnsi="Calibri Light" w:cs="Calibri Light"/>
          <w:color w:val="000000" w:themeColor="text1"/>
          <w:lang w:val="en-GB"/>
        </w:rPr>
        <w:fldChar w:fldCharType="separate"/>
      </w:r>
      <w:r w:rsidR="00B72301" w:rsidRPr="00B72301">
        <w:rPr>
          <w:rFonts w:ascii="Calibri Light" w:eastAsia="Calibri Light" w:hAnsi="Calibri Light" w:cs="Calibri Light"/>
          <w:noProof/>
          <w:color w:val="000000" w:themeColor="text1"/>
          <w:vertAlign w:val="superscript"/>
          <w:lang w:val="en-GB"/>
        </w:rPr>
        <w:t>57</w:t>
      </w:r>
      <w:r w:rsidR="00B72301">
        <w:rPr>
          <w:rFonts w:ascii="Calibri Light" w:eastAsia="Calibri Light" w:hAnsi="Calibri Light" w:cs="Calibri Light"/>
          <w:color w:val="000000" w:themeColor="text1"/>
          <w:lang w:val="en-GB"/>
        </w:rPr>
        <w:fldChar w:fldCharType="end"/>
      </w:r>
      <w:r w:rsidR="3E13B4F9" w:rsidRPr="525F22B9">
        <w:rPr>
          <w:rFonts w:ascii="Calibri Light" w:eastAsia="Calibri Light" w:hAnsi="Calibri Light" w:cs="Calibri Light"/>
          <w:color w:val="000000" w:themeColor="text1"/>
          <w:lang w:val="en-GB"/>
        </w:rPr>
        <w:t xml:space="preserve">, </w:t>
      </w:r>
      <w:r w:rsidRPr="525F22B9">
        <w:rPr>
          <w:rFonts w:ascii="Calibri Light" w:eastAsia="Calibri Light" w:hAnsi="Calibri Light" w:cs="Calibri Light"/>
          <w:color w:val="000000" w:themeColor="text1"/>
          <w:lang w:val="en-GB"/>
        </w:rPr>
        <w:t>for all scenarios. The 2 °C scenario range shows the global CO</w:t>
      </w:r>
      <w:r w:rsidRPr="525F22B9">
        <w:rPr>
          <w:rFonts w:ascii="Calibri Light" w:eastAsia="Calibri Light" w:hAnsi="Calibri Light" w:cs="Calibri Light"/>
          <w:color w:val="000000" w:themeColor="text1"/>
          <w:vertAlign w:val="subscript"/>
          <w:lang w:val="en-GB"/>
        </w:rPr>
        <w:t xml:space="preserve">2 </w:t>
      </w:r>
      <w:r w:rsidRPr="525F22B9">
        <w:rPr>
          <w:rFonts w:ascii="Calibri Light" w:eastAsia="Calibri Light" w:hAnsi="Calibri Light" w:cs="Calibri Light"/>
          <w:color w:val="000000" w:themeColor="text1"/>
          <w:lang w:val="en-GB"/>
        </w:rPr>
        <w:t xml:space="preserve">emissions </w:t>
      </w:r>
      <w:r w:rsidRPr="525F22B9">
        <w:rPr>
          <w:rFonts w:eastAsiaTheme="minorEastAsia"/>
          <w:color w:val="000000" w:themeColor="text1"/>
          <w:lang w:val="en-GB"/>
        </w:rPr>
        <w:t>from energy and industrial processes consistent with a least cost-pathway towards limiting global average temperature increase below 2 °C by 2100 with about 66% probability.</w:t>
      </w:r>
      <w:r w:rsidRPr="525F22B9">
        <w:rPr>
          <w:rFonts w:ascii="Calibri Light" w:eastAsia="Calibri Light" w:hAnsi="Calibri Light" w:cs="Calibri Light"/>
          <w:color w:val="000000" w:themeColor="text1"/>
          <w:lang w:val="en-GB"/>
        </w:rPr>
        <w:t xml:space="preserve"> </w:t>
      </w:r>
    </w:p>
    <w:p w14:paraId="022BBE09" w14:textId="77777777" w:rsidR="00542F30" w:rsidRDefault="00542F30" w:rsidP="00542F30">
      <w:pPr>
        <w:rPr>
          <w:rStyle w:val="CaptionChar"/>
          <w:i w:val="0"/>
          <w:iCs w:val="0"/>
        </w:rPr>
      </w:pPr>
      <w:r>
        <w:rPr>
          <w:noProof/>
        </w:rPr>
        <w:drawing>
          <wp:inline distT="0" distB="0" distL="0" distR="0" wp14:anchorId="46B57A8B" wp14:editId="2C5D587E">
            <wp:extent cx="5731510" cy="2547620"/>
            <wp:effectExtent l="0" t="0" r="254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2">
                      <a:extLst>
                        <a:ext uri="{28A0092B-C50C-407E-A947-70E740481C1C}">
                          <a14:useLocalDpi xmlns:a14="http://schemas.microsoft.com/office/drawing/2010/main" val="0"/>
                        </a:ext>
                      </a:extLst>
                    </a:blip>
                    <a:stretch>
                      <a:fillRect/>
                    </a:stretch>
                  </pic:blipFill>
                  <pic:spPr>
                    <a:xfrm>
                      <a:off x="0" y="0"/>
                      <a:ext cx="5731510" cy="2547620"/>
                    </a:xfrm>
                    <a:prstGeom prst="rect">
                      <a:avLst/>
                    </a:prstGeom>
                  </pic:spPr>
                </pic:pic>
              </a:graphicData>
            </a:graphic>
          </wp:inline>
        </w:drawing>
      </w:r>
    </w:p>
    <w:p w14:paraId="6326130B" w14:textId="6C9A425F" w:rsidR="00542F30" w:rsidRPr="00542F30" w:rsidRDefault="00542F30" w:rsidP="525F22B9">
      <w:pPr>
        <w:rPr>
          <w:rStyle w:val="CaptionChar"/>
          <w:i w:val="0"/>
          <w:iCs w:val="0"/>
        </w:rPr>
      </w:pPr>
      <w:r w:rsidRPr="525F22B9">
        <w:rPr>
          <w:rStyle w:val="CaptionChar"/>
          <w:i w:val="0"/>
          <w:iCs w:val="0"/>
        </w:rPr>
        <w:t xml:space="preserve">Supplementary Figure </w:t>
      </w:r>
      <w:r w:rsidR="4AE2338C" w:rsidRPr="525F22B9">
        <w:rPr>
          <w:rStyle w:val="CaptionChar"/>
          <w:i w:val="0"/>
          <w:iCs w:val="0"/>
        </w:rPr>
        <w:t>2</w:t>
      </w:r>
      <w:r w:rsidRPr="525F22B9">
        <w:rPr>
          <w:rStyle w:val="CaptionChar"/>
          <w:i w:val="0"/>
          <w:iCs w:val="0"/>
        </w:rPr>
        <w:t xml:space="preserve">: </w:t>
      </w:r>
      <w:r w:rsidR="63FDFDF0" w:rsidRPr="525F22B9">
        <w:rPr>
          <w:rStyle w:val="CaptionChar"/>
          <w:i w:val="0"/>
          <w:iCs w:val="0"/>
        </w:rPr>
        <w:t>Sectoral CO</w:t>
      </w:r>
      <w:r w:rsidR="63FDFDF0" w:rsidRPr="525F22B9">
        <w:rPr>
          <w:rStyle w:val="CaptionChar"/>
          <w:i w:val="0"/>
          <w:iCs w:val="0"/>
          <w:vertAlign w:val="subscript"/>
        </w:rPr>
        <w:t>2</w:t>
      </w:r>
      <w:r w:rsidR="63FDFDF0" w:rsidRPr="525F22B9">
        <w:rPr>
          <w:rStyle w:val="CaptionChar"/>
          <w:i w:val="0"/>
          <w:iCs w:val="0"/>
        </w:rPr>
        <w:t xml:space="preserve"> emissions. </w:t>
      </w:r>
      <w:r w:rsidRPr="525F22B9">
        <w:rPr>
          <w:rStyle w:val="CaptionChar"/>
          <w:i w:val="0"/>
          <w:iCs w:val="0"/>
        </w:rPr>
        <w:t>Contribution of each sector to CO</w:t>
      </w:r>
      <w:r w:rsidRPr="525F22B9">
        <w:rPr>
          <w:rStyle w:val="CaptionChar"/>
          <w:i w:val="0"/>
          <w:iCs w:val="0"/>
          <w:vertAlign w:val="subscript"/>
        </w:rPr>
        <w:t>2</w:t>
      </w:r>
      <w:r w:rsidRPr="525F22B9">
        <w:rPr>
          <w:rStyle w:val="CaptionChar"/>
          <w:i w:val="0"/>
          <w:iCs w:val="0"/>
        </w:rPr>
        <w:t xml:space="preserve"> emissions from energy and industr</w:t>
      </w:r>
      <w:r w:rsidR="5E6D14C6" w:rsidRPr="525F22B9">
        <w:rPr>
          <w:rStyle w:val="CaptionChar"/>
          <w:i w:val="0"/>
          <w:iCs w:val="0"/>
        </w:rPr>
        <w:t>ial processes</w:t>
      </w:r>
      <w:r w:rsidRPr="525F22B9">
        <w:rPr>
          <w:rStyle w:val="CaptionChar"/>
          <w:i w:val="0"/>
          <w:iCs w:val="0"/>
        </w:rPr>
        <w:t xml:space="preserve">, for 2020, 2025 and 2030 (x-axis), for all scenarios (colour). Symbols indicate individual model results. The bars indicate model mean and were added for reporting reasons. </w:t>
      </w:r>
    </w:p>
    <w:p w14:paraId="11E2D95B" w14:textId="2E0EF78B" w:rsidR="0BDBC2C3" w:rsidRDefault="0BDBC2C3" w:rsidP="0BDBC2C3">
      <w:pPr>
        <w:spacing w:line="288" w:lineRule="auto"/>
      </w:pPr>
    </w:p>
    <w:p w14:paraId="361FDB86" w14:textId="301E2D52" w:rsidR="00B65847" w:rsidRDefault="00B65847" w:rsidP="00B65847">
      <w:pPr>
        <w:spacing w:line="288" w:lineRule="auto"/>
        <w:rPr>
          <w:rFonts w:ascii="Calibri Light" w:eastAsia="Calibri Light" w:hAnsi="Calibri Light" w:cs="Calibri Light"/>
          <w:color w:val="000000" w:themeColor="text1"/>
          <w:lang w:val="en-GB"/>
        </w:rPr>
      </w:pPr>
      <w:r w:rsidRPr="00542F30">
        <w:rPr>
          <w:rFonts w:ascii="Calibri Light" w:eastAsia="Calibri Light" w:hAnsi="Calibri Light" w:cs="Calibri Light"/>
          <w:color w:val="000000" w:themeColor="text1"/>
          <w:lang w:val="en-GB"/>
        </w:rPr>
        <w:t>Supplementary Table 1:</w:t>
      </w:r>
      <w:r w:rsidRPr="34FE8BB6">
        <w:rPr>
          <w:rFonts w:ascii="Calibri Light" w:eastAsia="Calibri Light" w:hAnsi="Calibri Light" w:cs="Calibri Light"/>
          <w:i/>
          <w:iCs/>
          <w:color w:val="000000" w:themeColor="text1"/>
          <w:lang w:val="en-GB"/>
        </w:rPr>
        <w:t xml:space="preserve"> </w:t>
      </w:r>
      <w:r w:rsidRPr="34FE8BB6">
        <w:rPr>
          <w:rFonts w:ascii="Calibri Light" w:eastAsia="Calibri Light" w:hAnsi="Calibri Light" w:cs="Calibri Light"/>
          <w:color w:val="000000" w:themeColor="text1"/>
          <w:lang w:val="en-GB"/>
        </w:rPr>
        <w:t>Global GDP growth rates for all scenarios, for all models.</w:t>
      </w:r>
    </w:p>
    <w:tbl>
      <w:tblPr>
        <w:tblStyle w:val="PlainTable1"/>
        <w:tblW w:w="0" w:type="auto"/>
        <w:tblLayout w:type="fixed"/>
        <w:tblLook w:val="04A0" w:firstRow="1" w:lastRow="0" w:firstColumn="1" w:lastColumn="0" w:noHBand="0" w:noVBand="1"/>
      </w:tblPr>
      <w:tblGrid>
        <w:gridCol w:w="2130"/>
        <w:gridCol w:w="1350"/>
        <w:gridCol w:w="1350"/>
        <w:gridCol w:w="1350"/>
        <w:gridCol w:w="1425"/>
        <w:gridCol w:w="1425"/>
      </w:tblGrid>
      <w:tr w:rsidR="00B65847" w14:paraId="74CAEE5E" w14:textId="77777777" w:rsidTr="5C8B0A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F358083" w14:textId="77777777" w:rsidR="00B65847" w:rsidRDefault="00B65847" w:rsidP="00B72301">
            <w:pPr>
              <w:spacing w:line="288" w:lineRule="auto"/>
            </w:pPr>
            <w:r w:rsidRPr="419D1AAB">
              <w:rPr>
                <w:rFonts w:ascii="Calibri Light" w:eastAsia="Calibri Light" w:hAnsi="Calibri Light" w:cs="Calibri Light"/>
                <w:lang w:val="en-GB"/>
              </w:rPr>
              <w:t>Scenario</w:t>
            </w:r>
          </w:p>
        </w:tc>
        <w:tc>
          <w:tcPr>
            <w:tcW w:w="13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2902F48" w14:textId="77777777" w:rsidR="00B65847" w:rsidRDefault="00B65847" w:rsidP="00B72301">
            <w:pPr>
              <w:spacing w:line="288" w:lineRule="auto"/>
              <w:cnfStyle w:val="100000000000" w:firstRow="1" w:lastRow="0" w:firstColumn="0" w:lastColumn="0" w:oddVBand="0" w:evenVBand="0" w:oddHBand="0" w:evenHBand="0" w:firstRowFirstColumn="0" w:firstRowLastColumn="0" w:lastRowFirstColumn="0" w:lastRowLastColumn="0"/>
            </w:pPr>
            <w:r w:rsidRPr="419D1AAB">
              <w:rPr>
                <w:rFonts w:ascii="Calibri Light" w:eastAsia="Calibri Light" w:hAnsi="Calibri Light" w:cs="Calibri Light"/>
                <w:lang w:val="en-GB"/>
              </w:rPr>
              <w:t>2020</w:t>
            </w:r>
          </w:p>
        </w:tc>
        <w:tc>
          <w:tcPr>
            <w:tcW w:w="13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072A337" w14:textId="77777777" w:rsidR="00B65847" w:rsidRDefault="00B65847" w:rsidP="00B72301">
            <w:pPr>
              <w:spacing w:line="288" w:lineRule="auto"/>
              <w:cnfStyle w:val="100000000000" w:firstRow="1" w:lastRow="0" w:firstColumn="0" w:lastColumn="0" w:oddVBand="0" w:evenVBand="0" w:oddHBand="0" w:evenHBand="0" w:firstRowFirstColumn="0" w:firstRowLastColumn="0" w:lastRowFirstColumn="0" w:lastRowLastColumn="0"/>
            </w:pPr>
            <w:r w:rsidRPr="419D1AAB">
              <w:rPr>
                <w:rFonts w:ascii="Calibri Light" w:eastAsia="Calibri Light" w:hAnsi="Calibri Light" w:cs="Calibri Light"/>
                <w:lang w:val="en-GB"/>
              </w:rPr>
              <w:t>2021</w:t>
            </w:r>
          </w:p>
        </w:tc>
        <w:tc>
          <w:tcPr>
            <w:tcW w:w="13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8EC4874" w14:textId="77777777" w:rsidR="00B65847" w:rsidRDefault="00B65847" w:rsidP="00B72301">
            <w:pPr>
              <w:spacing w:line="288" w:lineRule="auto"/>
              <w:cnfStyle w:val="100000000000" w:firstRow="1" w:lastRow="0" w:firstColumn="0" w:lastColumn="0" w:oddVBand="0" w:evenVBand="0" w:oddHBand="0" w:evenHBand="0" w:firstRowFirstColumn="0" w:firstRowLastColumn="0" w:lastRowFirstColumn="0" w:lastRowLastColumn="0"/>
            </w:pPr>
            <w:r w:rsidRPr="419D1AAB">
              <w:rPr>
                <w:rFonts w:ascii="Calibri Light" w:eastAsia="Calibri Light" w:hAnsi="Calibri Light" w:cs="Calibri Light"/>
                <w:lang w:val="en-GB"/>
              </w:rPr>
              <w:t>2022</w:t>
            </w:r>
          </w:p>
        </w:tc>
        <w:tc>
          <w:tcPr>
            <w:tcW w:w="142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BA44AF4" w14:textId="77777777" w:rsidR="00B65847" w:rsidRDefault="00B65847" w:rsidP="00B72301">
            <w:pPr>
              <w:spacing w:line="288" w:lineRule="auto"/>
              <w:cnfStyle w:val="100000000000" w:firstRow="1" w:lastRow="0" w:firstColumn="0" w:lastColumn="0" w:oddVBand="0" w:evenVBand="0" w:oddHBand="0" w:evenHBand="0" w:firstRowFirstColumn="0" w:firstRowLastColumn="0" w:lastRowFirstColumn="0" w:lastRowLastColumn="0"/>
            </w:pPr>
            <w:r w:rsidRPr="419D1AAB">
              <w:rPr>
                <w:rFonts w:ascii="Calibri Light" w:eastAsia="Calibri Light" w:hAnsi="Calibri Light" w:cs="Calibri Light"/>
                <w:lang w:val="en-GB"/>
              </w:rPr>
              <w:t>2023-2025</w:t>
            </w:r>
          </w:p>
          <w:p w14:paraId="48DC510D" w14:textId="77777777" w:rsidR="00B65847" w:rsidRDefault="00B65847" w:rsidP="00B72301">
            <w:pPr>
              <w:spacing w:line="288" w:lineRule="auto"/>
              <w:cnfStyle w:val="100000000000" w:firstRow="1" w:lastRow="0" w:firstColumn="0" w:lastColumn="0" w:oddVBand="0" w:evenVBand="0" w:oddHBand="0" w:evenHBand="0" w:firstRowFirstColumn="0" w:firstRowLastColumn="0" w:lastRowFirstColumn="0" w:lastRowLastColumn="0"/>
            </w:pPr>
            <w:r w:rsidRPr="419D1AAB">
              <w:rPr>
                <w:rFonts w:ascii="Calibri Light" w:eastAsia="Calibri Light" w:hAnsi="Calibri Light" w:cs="Calibri Light"/>
                <w:lang w:val="en-GB"/>
              </w:rPr>
              <w:t>(average)</w:t>
            </w:r>
          </w:p>
        </w:tc>
        <w:tc>
          <w:tcPr>
            <w:tcW w:w="142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71E3477" w14:textId="77777777" w:rsidR="00B65847" w:rsidRDefault="00B65847" w:rsidP="00B72301">
            <w:pPr>
              <w:spacing w:line="288" w:lineRule="auto"/>
              <w:cnfStyle w:val="100000000000" w:firstRow="1" w:lastRow="0" w:firstColumn="0" w:lastColumn="0" w:oddVBand="0" w:evenVBand="0" w:oddHBand="0" w:evenHBand="0" w:firstRowFirstColumn="0" w:firstRowLastColumn="0" w:lastRowFirstColumn="0" w:lastRowLastColumn="0"/>
            </w:pPr>
            <w:r w:rsidRPr="419D1AAB">
              <w:rPr>
                <w:rFonts w:ascii="Calibri Light" w:eastAsia="Calibri Light" w:hAnsi="Calibri Light" w:cs="Calibri Light"/>
                <w:lang w:val="en-GB"/>
              </w:rPr>
              <w:t>2026-2030</w:t>
            </w:r>
          </w:p>
          <w:p w14:paraId="6CCFA3C7" w14:textId="77777777" w:rsidR="00B65847" w:rsidRDefault="00B65847" w:rsidP="00B72301">
            <w:pPr>
              <w:spacing w:line="288" w:lineRule="auto"/>
              <w:cnfStyle w:val="100000000000" w:firstRow="1" w:lastRow="0" w:firstColumn="0" w:lastColumn="0" w:oddVBand="0" w:evenVBand="0" w:oddHBand="0" w:evenHBand="0" w:firstRowFirstColumn="0" w:firstRowLastColumn="0" w:lastRowFirstColumn="0" w:lastRowLastColumn="0"/>
            </w:pPr>
            <w:r w:rsidRPr="419D1AAB">
              <w:rPr>
                <w:rFonts w:ascii="Calibri Light" w:eastAsia="Calibri Light" w:hAnsi="Calibri Light" w:cs="Calibri Light"/>
                <w:lang w:val="en-GB"/>
              </w:rPr>
              <w:t>(average)</w:t>
            </w:r>
          </w:p>
        </w:tc>
      </w:tr>
      <w:tr w:rsidR="00B65847" w14:paraId="4C56A2CC" w14:textId="77777777" w:rsidTr="5C8B0A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8278DB4" w14:textId="77777777" w:rsidR="00B65847" w:rsidRPr="00956524" w:rsidRDefault="00B65847" w:rsidP="00B72301">
            <w:pPr>
              <w:spacing w:line="288" w:lineRule="auto"/>
              <w:rPr>
                <w:u w:val="single"/>
              </w:rPr>
            </w:pPr>
            <w:r w:rsidRPr="00956524">
              <w:rPr>
                <w:rFonts w:ascii="Calibri Light" w:eastAsia="Calibri Light" w:hAnsi="Calibri Light" w:cs="Calibri Light"/>
                <w:i/>
                <w:iCs/>
                <w:color w:val="000000" w:themeColor="text1"/>
                <w:u w:val="single"/>
                <w:lang w:val="en-GB"/>
              </w:rPr>
              <w:t xml:space="preserve">Reference </w:t>
            </w:r>
          </w:p>
        </w:tc>
        <w:tc>
          <w:tcPr>
            <w:tcW w:w="13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073E81E" w14:textId="77777777" w:rsidR="00B65847" w:rsidRDefault="00B65847" w:rsidP="00B72301">
            <w:pPr>
              <w:spacing w:line="288" w:lineRule="auto"/>
              <w:cnfStyle w:val="000000100000" w:firstRow="0" w:lastRow="0" w:firstColumn="0" w:lastColumn="0" w:oddVBand="0" w:evenVBand="0" w:oddHBand="1" w:evenHBand="0" w:firstRowFirstColumn="0" w:firstRowLastColumn="0" w:lastRowFirstColumn="0" w:lastRowLastColumn="0"/>
            </w:pPr>
            <w:r w:rsidRPr="419D1AAB">
              <w:rPr>
                <w:rFonts w:ascii="Calibri Light" w:eastAsia="Calibri Light" w:hAnsi="Calibri Light" w:cs="Calibri Light"/>
                <w:color w:val="000000" w:themeColor="text1"/>
                <w:lang w:val="en-GB"/>
              </w:rPr>
              <w:t xml:space="preserve"> </w:t>
            </w:r>
          </w:p>
        </w:tc>
        <w:tc>
          <w:tcPr>
            <w:tcW w:w="13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99C8371" w14:textId="77777777" w:rsidR="00B65847" w:rsidRDefault="00B65847" w:rsidP="00B72301">
            <w:pPr>
              <w:spacing w:line="288" w:lineRule="auto"/>
              <w:cnfStyle w:val="000000100000" w:firstRow="0" w:lastRow="0" w:firstColumn="0" w:lastColumn="0" w:oddVBand="0" w:evenVBand="0" w:oddHBand="1" w:evenHBand="0" w:firstRowFirstColumn="0" w:firstRowLastColumn="0" w:lastRowFirstColumn="0" w:lastRowLastColumn="0"/>
            </w:pPr>
            <w:r w:rsidRPr="419D1AAB">
              <w:rPr>
                <w:rFonts w:ascii="Calibri Light" w:eastAsia="Calibri Light" w:hAnsi="Calibri Light" w:cs="Calibri Light"/>
                <w:color w:val="000000" w:themeColor="text1"/>
                <w:lang w:val="en-GB"/>
              </w:rPr>
              <w:t xml:space="preserve"> </w:t>
            </w:r>
          </w:p>
        </w:tc>
        <w:tc>
          <w:tcPr>
            <w:tcW w:w="13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46B56E7" w14:textId="77777777" w:rsidR="00B65847" w:rsidRDefault="00B65847" w:rsidP="00B72301">
            <w:pPr>
              <w:spacing w:line="288" w:lineRule="auto"/>
              <w:cnfStyle w:val="000000100000" w:firstRow="0" w:lastRow="0" w:firstColumn="0" w:lastColumn="0" w:oddVBand="0" w:evenVBand="0" w:oddHBand="1" w:evenHBand="0" w:firstRowFirstColumn="0" w:firstRowLastColumn="0" w:lastRowFirstColumn="0" w:lastRowLastColumn="0"/>
            </w:pPr>
            <w:r w:rsidRPr="419D1AAB">
              <w:rPr>
                <w:rFonts w:ascii="Calibri Light" w:eastAsia="Calibri Light" w:hAnsi="Calibri Light" w:cs="Calibri Light"/>
                <w:color w:val="000000" w:themeColor="text1"/>
                <w:lang w:val="en-GB"/>
              </w:rPr>
              <w:t xml:space="preserve"> </w:t>
            </w:r>
          </w:p>
        </w:tc>
        <w:tc>
          <w:tcPr>
            <w:tcW w:w="142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4F18F04" w14:textId="77777777" w:rsidR="00B65847" w:rsidRDefault="00B65847" w:rsidP="00B72301">
            <w:pPr>
              <w:spacing w:line="288" w:lineRule="auto"/>
              <w:cnfStyle w:val="000000100000" w:firstRow="0" w:lastRow="0" w:firstColumn="0" w:lastColumn="0" w:oddVBand="0" w:evenVBand="0" w:oddHBand="1" w:evenHBand="0" w:firstRowFirstColumn="0" w:firstRowLastColumn="0" w:lastRowFirstColumn="0" w:lastRowLastColumn="0"/>
            </w:pPr>
            <w:r w:rsidRPr="419D1AAB">
              <w:rPr>
                <w:rFonts w:ascii="Calibri Light" w:eastAsia="Calibri Light" w:hAnsi="Calibri Light" w:cs="Calibri Light"/>
                <w:color w:val="000000" w:themeColor="text1"/>
                <w:lang w:val="en-GB"/>
              </w:rPr>
              <w:t xml:space="preserve"> </w:t>
            </w:r>
          </w:p>
        </w:tc>
        <w:tc>
          <w:tcPr>
            <w:tcW w:w="142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2088802" w14:textId="77777777" w:rsidR="00B65847" w:rsidRDefault="00B65847" w:rsidP="00B72301">
            <w:pPr>
              <w:spacing w:line="288" w:lineRule="auto"/>
              <w:cnfStyle w:val="000000100000" w:firstRow="0" w:lastRow="0" w:firstColumn="0" w:lastColumn="0" w:oddVBand="0" w:evenVBand="0" w:oddHBand="1" w:evenHBand="0" w:firstRowFirstColumn="0" w:firstRowLastColumn="0" w:lastRowFirstColumn="0" w:lastRowLastColumn="0"/>
            </w:pPr>
            <w:r w:rsidRPr="419D1AAB">
              <w:rPr>
                <w:rFonts w:ascii="Calibri Light" w:eastAsia="Calibri Light" w:hAnsi="Calibri Light" w:cs="Calibri Light"/>
                <w:color w:val="000000" w:themeColor="text1"/>
                <w:lang w:val="en-GB"/>
              </w:rPr>
              <w:t xml:space="preserve"> </w:t>
            </w:r>
          </w:p>
        </w:tc>
      </w:tr>
      <w:tr w:rsidR="00B65847" w14:paraId="7A289F8F" w14:textId="77777777" w:rsidTr="5C8B0AF3">
        <w:tc>
          <w:tcPr>
            <w:cnfStyle w:val="001000000000" w:firstRow="0" w:lastRow="0" w:firstColumn="1" w:lastColumn="0" w:oddVBand="0" w:evenVBand="0" w:oddHBand="0" w:evenHBand="0" w:firstRowFirstColumn="0" w:firstRowLastColumn="0" w:lastRowFirstColumn="0" w:lastRowLastColumn="0"/>
            <w:tcW w:w="21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2B03F81" w14:textId="77777777" w:rsidR="00B65847" w:rsidRDefault="00B65847" w:rsidP="00B72301">
            <w:pPr>
              <w:spacing w:line="288" w:lineRule="auto"/>
            </w:pPr>
            <w:r w:rsidRPr="419D1AAB">
              <w:rPr>
                <w:rFonts w:ascii="Calibri Light" w:eastAsia="Calibri Light" w:hAnsi="Calibri Light" w:cs="Calibri Light"/>
                <w:lang w:val="en-GB"/>
              </w:rPr>
              <w:t>IMAGE</w:t>
            </w:r>
          </w:p>
        </w:tc>
        <w:tc>
          <w:tcPr>
            <w:tcW w:w="13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E811813" w14:textId="77777777" w:rsidR="00B65847" w:rsidRDefault="00B65847" w:rsidP="00B72301">
            <w:pPr>
              <w:spacing w:line="288" w:lineRule="auto"/>
              <w:cnfStyle w:val="000000000000" w:firstRow="0" w:lastRow="0" w:firstColumn="0" w:lastColumn="0" w:oddVBand="0" w:evenVBand="0" w:oddHBand="0" w:evenHBand="0" w:firstRowFirstColumn="0" w:firstRowLastColumn="0" w:lastRowFirstColumn="0" w:lastRowLastColumn="0"/>
            </w:pPr>
            <w:r w:rsidRPr="419D1AAB">
              <w:rPr>
                <w:rFonts w:ascii="Calibri Light" w:eastAsia="Calibri Light" w:hAnsi="Calibri Light" w:cs="Calibri Light"/>
                <w:color w:val="000000" w:themeColor="text1"/>
                <w:lang w:val="en-GB"/>
              </w:rPr>
              <w:t>3.7%</w:t>
            </w:r>
          </w:p>
        </w:tc>
        <w:tc>
          <w:tcPr>
            <w:tcW w:w="13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9854D12" w14:textId="77777777" w:rsidR="00B65847" w:rsidRDefault="00B65847" w:rsidP="00B72301">
            <w:pPr>
              <w:spacing w:line="288" w:lineRule="auto"/>
              <w:cnfStyle w:val="000000000000" w:firstRow="0" w:lastRow="0" w:firstColumn="0" w:lastColumn="0" w:oddVBand="0" w:evenVBand="0" w:oddHBand="0" w:evenHBand="0" w:firstRowFirstColumn="0" w:firstRowLastColumn="0" w:lastRowFirstColumn="0" w:lastRowLastColumn="0"/>
            </w:pPr>
            <w:r w:rsidRPr="419D1AAB">
              <w:rPr>
                <w:rFonts w:ascii="Calibri Light" w:eastAsia="Calibri Light" w:hAnsi="Calibri Light" w:cs="Calibri Light"/>
                <w:color w:val="000000" w:themeColor="text1"/>
                <w:lang w:val="en-GB"/>
              </w:rPr>
              <w:t>3.4%</w:t>
            </w:r>
          </w:p>
        </w:tc>
        <w:tc>
          <w:tcPr>
            <w:tcW w:w="13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9EA7FE8" w14:textId="77777777" w:rsidR="00B65847" w:rsidRDefault="00B65847" w:rsidP="00B72301">
            <w:pPr>
              <w:spacing w:line="288" w:lineRule="auto"/>
              <w:cnfStyle w:val="000000000000" w:firstRow="0" w:lastRow="0" w:firstColumn="0" w:lastColumn="0" w:oddVBand="0" w:evenVBand="0" w:oddHBand="0" w:evenHBand="0" w:firstRowFirstColumn="0" w:firstRowLastColumn="0" w:lastRowFirstColumn="0" w:lastRowLastColumn="0"/>
            </w:pPr>
            <w:r w:rsidRPr="419D1AAB">
              <w:rPr>
                <w:rFonts w:ascii="Calibri Light" w:eastAsia="Calibri Light" w:hAnsi="Calibri Light" w:cs="Calibri Light"/>
                <w:color w:val="000000" w:themeColor="text1"/>
                <w:lang w:val="en-GB"/>
              </w:rPr>
              <w:t>3.5%</w:t>
            </w:r>
          </w:p>
        </w:tc>
        <w:tc>
          <w:tcPr>
            <w:tcW w:w="142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439D55A" w14:textId="77777777" w:rsidR="00B65847" w:rsidRDefault="00B65847" w:rsidP="00B72301">
            <w:pPr>
              <w:spacing w:line="288" w:lineRule="auto"/>
              <w:cnfStyle w:val="000000000000" w:firstRow="0" w:lastRow="0" w:firstColumn="0" w:lastColumn="0" w:oddVBand="0" w:evenVBand="0" w:oddHBand="0" w:evenHBand="0" w:firstRowFirstColumn="0" w:firstRowLastColumn="0" w:lastRowFirstColumn="0" w:lastRowLastColumn="0"/>
            </w:pPr>
            <w:r w:rsidRPr="419D1AAB">
              <w:rPr>
                <w:rFonts w:ascii="Calibri Light" w:eastAsia="Calibri Light" w:hAnsi="Calibri Light" w:cs="Calibri Light"/>
                <w:color w:val="000000" w:themeColor="text1"/>
                <w:lang w:val="en-GB"/>
              </w:rPr>
              <w:t>3.6%</w:t>
            </w:r>
          </w:p>
        </w:tc>
        <w:tc>
          <w:tcPr>
            <w:tcW w:w="142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9BAB118" w14:textId="77777777" w:rsidR="00B65847" w:rsidRDefault="00B65847" w:rsidP="00B72301">
            <w:pPr>
              <w:spacing w:line="288" w:lineRule="auto"/>
              <w:cnfStyle w:val="000000000000" w:firstRow="0" w:lastRow="0" w:firstColumn="0" w:lastColumn="0" w:oddVBand="0" w:evenVBand="0" w:oddHBand="0" w:evenHBand="0" w:firstRowFirstColumn="0" w:firstRowLastColumn="0" w:lastRowFirstColumn="0" w:lastRowLastColumn="0"/>
            </w:pPr>
            <w:r w:rsidRPr="419D1AAB">
              <w:rPr>
                <w:rFonts w:ascii="Calibri Light" w:eastAsia="Calibri Light" w:hAnsi="Calibri Light" w:cs="Calibri Light"/>
                <w:color w:val="000000" w:themeColor="text1"/>
                <w:lang w:val="en-GB"/>
              </w:rPr>
              <w:t>3.1%</w:t>
            </w:r>
          </w:p>
        </w:tc>
      </w:tr>
      <w:tr w:rsidR="00B65847" w14:paraId="3625D9E1" w14:textId="77777777" w:rsidTr="5C8B0A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37E39D9" w14:textId="77777777" w:rsidR="00B65847" w:rsidRDefault="00B65847" w:rsidP="00B72301">
            <w:pPr>
              <w:spacing w:line="288" w:lineRule="auto"/>
            </w:pPr>
            <w:r w:rsidRPr="419D1AAB">
              <w:rPr>
                <w:rFonts w:ascii="Calibri Light" w:eastAsia="Calibri Light" w:hAnsi="Calibri Light" w:cs="Calibri Light"/>
                <w:color w:val="000000" w:themeColor="text1"/>
                <w:lang w:val="en-GB"/>
              </w:rPr>
              <w:t>E3ME</w:t>
            </w:r>
          </w:p>
        </w:tc>
        <w:tc>
          <w:tcPr>
            <w:tcW w:w="13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C7DE7EA" w14:textId="77777777" w:rsidR="00B65847" w:rsidRDefault="00B65847" w:rsidP="00B72301">
            <w:pPr>
              <w:spacing w:line="288" w:lineRule="auto"/>
              <w:cnfStyle w:val="000000100000" w:firstRow="0" w:lastRow="0" w:firstColumn="0" w:lastColumn="0" w:oddVBand="0" w:evenVBand="0" w:oddHBand="1" w:evenHBand="0" w:firstRowFirstColumn="0" w:firstRowLastColumn="0" w:lastRowFirstColumn="0" w:lastRowLastColumn="0"/>
            </w:pPr>
            <w:r w:rsidRPr="419D1AAB">
              <w:rPr>
                <w:rFonts w:ascii="Calibri Light" w:eastAsia="Calibri Light" w:hAnsi="Calibri Light" w:cs="Calibri Light"/>
                <w:color w:val="000000" w:themeColor="text1"/>
                <w:lang w:val="en-GB"/>
              </w:rPr>
              <w:t>2.7%</w:t>
            </w:r>
          </w:p>
        </w:tc>
        <w:tc>
          <w:tcPr>
            <w:tcW w:w="13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536CAAF" w14:textId="77777777" w:rsidR="00B65847" w:rsidRDefault="00B65847" w:rsidP="00B72301">
            <w:pPr>
              <w:spacing w:line="288" w:lineRule="auto"/>
              <w:cnfStyle w:val="000000100000" w:firstRow="0" w:lastRow="0" w:firstColumn="0" w:lastColumn="0" w:oddVBand="0" w:evenVBand="0" w:oddHBand="1" w:evenHBand="0" w:firstRowFirstColumn="0" w:firstRowLastColumn="0" w:lastRowFirstColumn="0" w:lastRowLastColumn="0"/>
            </w:pPr>
            <w:r w:rsidRPr="419D1AAB">
              <w:rPr>
                <w:rFonts w:ascii="Calibri Light" w:eastAsia="Calibri Light" w:hAnsi="Calibri Light" w:cs="Calibri Light"/>
                <w:color w:val="000000" w:themeColor="text1"/>
                <w:lang w:val="en-GB"/>
              </w:rPr>
              <w:t>2.7%</w:t>
            </w:r>
          </w:p>
        </w:tc>
        <w:tc>
          <w:tcPr>
            <w:tcW w:w="13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20A6AC6" w14:textId="77777777" w:rsidR="00B65847" w:rsidRDefault="00B65847" w:rsidP="00B72301">
            <w:pPr>
              <w:spacing w:line="288" w:lineRule="auto"/>
              <w:cnfStyle w:val="000000100000" w:firstRow="0" w:lastRow="0" w:firstColumn="0" w:lastColumn="0" w:oddVBand="0" w:evenVBand="0" w:oddHBand="1" w:evenHBand="0" w:firstRowFirstColumn="0" w:firstRowLastColumn="0" w:lastRowFirstColumn="0" w:lastRowLastColumn="0"/>
            </w:pPr>
            <w:r w:rsidRPr="419D1AAB">
              <w:rPr>
                <w:rFonts w:ascii="Calibri Light" w:eastAsia="Calibri Light" w:hAnsi="Calibri Light" w:cs="Calibri Light"/>
                <w:color w:val="000000" w:themeColor="text1"/>
                <w:lang w:val="en-GB"/>
              </w:rPr>
              <w:t>2.8%</w:t>
            </w:r>
          </w:p>
        </w:tc>
        <w:tc>
          <w:tcPr>
            <w:tcW w:w="142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4AF078C" w14:textId="77777777" w:rsidR="00B65847" w:rsidRDefault="00B65847" w:rsidP="00B72301">
            <w:pPr>
              <w:spacing w:line="288" w:lineRule="auto"/>
              <w:cnfStyle w:val="000000100000" w:firstRow="0" w:lastRow="0" w:firstColumn="0" w:lastColumn="0" w:oddVBand="0" w:evenVBand="0" w:oddHBand="1" w:evenHBand="0" w:firstRowFirstColumn="0" w:firstRowLastColumn="0" w:lastRowFirstColumn="0" w:lastRowLastColumn="0"/>
            </w:pPr>
            <w:r w:rsidRPr="419D1AAB">
              <w:rPr>
                <w:rFonts w:ascii="Calibri Light" w:eastAsia="Calibri Light" w:hAnsi="Calibri Light" w:cs="Calibri Light"/>
                <w:color w:val="000000" w:themeColor="text1"/>
                <w:lang w:val="en-GB"/>
              </w:rPr>
              <w:t>2.7%</w:t>
            </w:r>
          </w:p>
        </w:tc>
        <w:tc>
          <w:tcPr>
            <w:tcW w:w="142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9C142A0" w14:textId="77777777" w:rsidR="00B65847" w:rsidRDefault="00B65847" w:rsidP="00B72301">
            <w:pPr>
              <w:spacing w:line="288" w:lineRule="auto"/>
              <w:cnfStyle w:val="000000100000" w:firstRow="0" w:lastRow="0" w:firstColumn="0" w:lastColumn="0" w:oddVBand="0" w:evenVBand="0" w:oddHBand="1" w:evenHBand="0" w:firstRowFirstColumn="0" w:firstRowLastColumn="0" w:lastRowFirstColumn="0" w:lastRowLastColumn="0"/>
            </w:pPr>
            <w:r w:rsidRPr="419D1AAB">
              <w:rPr>
                <w:rFonts w:ascii="Calibri Light" w:eastAsia="Calibri Light" w:hAnsi="Calibri Light" w:cs="Calibri Light"/>
                <w:color w:val="000000" w:themeColor="text1"/>
                <w:lang w:val="en-GB"/>
              </w:rPr>
              <w:t>2.7%</w:t>
            </w:r>
          </w:p>
        </w:tc>
      </w:tr>
      <w:tr w:rsidR="00B65847" w14:paraId="1ED5B271" w14:textId="77777777" w:rsidTr="5C8B0AF3">
        <w:tc>
          <w:tcPr>
            <w:cnfStyle w:val="001000000000" w:firstRow="0" w:lastRow="0" w:firstColumn="1" w:lastColumn="0" w:oddVBand="0" w:evenVBand="0" w:oddHBand="0" w:evenHBand="0" w:firstRowFirstColumn="0" w:firstRowLastColumn="0" w:lastRowFirstColumn="0" w:lastRowLastColumn="0"/>
            <w:tcW w:w="21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52459D6" w14:textId="77777777" w:rsidR="00B65847" w:rsidRDefault="00B65847" w:rsidP="00B72301">
            <w:pPr>
              <w:spacing w:line="288" w:lineRule="auto"/>
              <w:rPr>
                <w:rFonts w:ascii="Calibri Light" w:eastAsia="Calibri Light" w:hAnsi="Calibri Light" w:cs="Calibri Light"/>
                <w:lang w:val="en-GB"/>
              </w:rPr>
            </w:pPr>
            <w:r w:rsidRPr="419D1AAB">
              <w:rPr>
                <w:rFonts w:ascii="Calibri Light" w:eastAsia="Calibri Light" w:hAnsi="Calibri Light" w:cs="Calibri Light"/>
                <w:lang w:val="en-GB"/>
              </w:rPr>
              <w:t>GEM-E3-FIT</w:t>
            </w:r>
          </w:p>
        </w:tc>
        <w:tc>
          <w:tcPr>
            <w:tcW w:w="13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E97636C" w14:textId="77777777" w:rsidR="00B65847" w:rsidRDefault="00B65847" w:rsidP="00B72301">
            <w:pPr>
              <w:spacing w:line="288" w:lineRule="auto"/>
              <w:cnfStyle w:val="000000000000" w:firstRow="0" w:lastRow="0" w:firstColumn="0" w:lastColumn="0" w:oddVBand="0" w:evenVBand="0" w:oddHBand="0" w:evenHBand="0" w:firstRowFirstColumn="0" w:firstRowLastColumn="0" w:lastRowFirstColumn="0" w:lastRowLastColumn="0"/>
            </w:pPr>
            <w:r w:rsidRPr="419D1AAB">
              <w:rPr>
                <w:rFonts w:ascii="Calibri Light" w:eastAsia="Calibri Light" w:hAnsi="Calibri Light" w:cs="Calibri Light"/>
                <w:lang w:val="en-GB"/>
              </w:rPr>
              <w:t>3.1%</w:t>
            </w:r>
          </w:p>
        </w:tc>
        <w:tc>
          <w:tcPr>
            <w:tcW w:w="13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0CE09AA" w14:textId="77777777" w:rsidR="00B65847" w:rsidRDefault="00B65847" w:rsidP="00B72301">
            <w:pPr>
              <w:spacing w:line="288" w:lineRule="auto"/>
              <w:cnfStyle w:val="000000000000" w:firstRow="0" w:lastRow="0" w:firstColumn="0" w:lastColumn="0" w:oddVBand="0" w:evenVBand="0" w:oddHBand="0" w:evenHBand="0" w:firstRowFirstColumn="0" w:firstRowLastColumn="0" w:lastRowFirstColumn="0" w:lastRowLastColumn="0"/>
            </w:pPr>
            <w:r w:rsidRPr="419D1AAB">
              <w:rPr>
                <w:rFonts w:ascii="Calibri Light" w:eastAsia="Calibri Light" w:hAnsi="Calibri Light" w:cs="Calibri Light"/>
                <w:lang w:val="en-GB"/>
              </w:rPr>
              <w:t>3.4%</w:t>
            </w:r>
          </w:p>
        </w:tc>
        <w:tc>
          <w:tcPr>
            <w:tcW w:w="13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B559A06" w14:textId="77777777" w:rsidR="00B65847" w:rsidRDefault="00B65847" w:rsidP="00B72301">
            <w:pPr>
              <w:spacing w:line="288" w:lineRule="auto"/>
              <w:cnfStyle w:val="000000000000" w:firstRow="0" w:lastRow="0" w:firstColumn="0" w:lastColumn="0" w:oddVBand="0" w:evenVBand="0" w:oddHBand="0" w:evenHBand="0" w:firstRowFirstColumn="0" w:firstRowLastColumn="0" w:lastRowFirstColumn="0" w:lastRowLastColumn="0"/>
            </w:pPr>
            <w:r w:rsidRPr="419D1AAB">
              <w:rPr>
                <w:rFonts w:ascii="Calibri Light" w:eastAsia="Calibri Light" w:hAnsi="Calibri Light" w:cs="Calibri Light"/>
                <w:lang w:val="en-GB"/>
              </w:rPr>
              <w:t>3.3%</w:t>
            </w:r>
          </w:p>
        </w:tc>
        <w:tc>
          <w:tcPr>
            <w:tcW w:w="142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E0294CB" w14:textId="77777777" w:rsidR="00B65847" w:rsidRDefault="00B65847" w:rsidP="00B72301">
            <w:pPr>
              <w:spacing w:line="288" w:lineRule="auto"/>
              <w:cnfStyle w:val="000000000000" w:firstRow="0" w:lastRow="0" w:firstColumn="0" w:lastColumn="0" w:oddVBand="0" w:evenVBand="0" w:oddHBand="0" w:evenHBand="0" w:firstRowFirstColumn="0" w:firstRowLastColumn="0" w:lastRowFirstColumn="0" w:lastRowLastColumn="0"/>
            </w:pPr>
            <w:r w:rsidRPr="419D1AAB">
              <w:rPr>
                <w:rFonts w:ascii="Calibri Light" w:eastAsia="Calibri Light" w:hAnsi="Calibri Light" w:cs="Calibri Light"/>
                <w:lang w:val="en-GB"/>
              </w:rPr>
              <w:t>3.1%</w:t>
            </w:r>
          </w:p>
        </w:tc>
        <w:tc>
          <w:tcPr>
            <w:tcW w:w="142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4132DEC" w14:textId="77777777" w:rsidR="00B65847" w:rsidRDefault="00B65847" w:rsidP="00B72301">
            <w:pPr>
              <w:spacing w:line="288" w:lineRule="auto"/>
              <w:cnfStyle w:val="000000000000" w:firstRow="0" w:lastRow="0" w:firstColumn="0" w:lastColumn="0" w:oddVBand="0" w:evenVBand="0" w:oddHBand="0" w:evenHBand="0" w:firstRowFirstColumn="0" w:firstRowLastColumn="0" w:lastRowFirstColumn="0" w:lastRowLastColumn="0"/>
            </w:pPr>
            <w:r w:rsidRPr="419D1AAB">
              <w:rPr>
                <w:rFonts w:ascii="Calibri Light" w:eastAsia="Calibri Light" w:hAnsi="Calibri Light" w:cs="Calibri Light"/>
                <w:lang w:val="en-GB"/>
              </w:rPr>
              <w:t>2.9%</w:t>
            </w:r>
          </w:p>
        </w:tc>
      </w:tr>
      <w:tr w:rsidR="00B65847" w14:paraId="205477DD" w14:textId="77777777" w:rsidTr="5C8B0A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72B6EB3" w14:textId="67426731" w:rsidR="00B65847" w:rsidRPr="00956524" w:rsidRDefault="57F57B35" w:rsidP="00B72301">
            <w:pPr>
              <w:spacing w:line="288" w:lineRule="auto"/>
              <w:rPr>
                <w:u w:val="single"/>
              </w:rPr>
            </w:pPr>
            <w:r w:rsidRPr="5C8B0AF3">
              <w:rPr>
                <w:rFonts w:ascii="Calibri Light" w:eastAsia="Calibri Light" w:hAnsi="Calibri Light" w:cs="Calibri Light"/>
                <w:i/>
                <w:iCs/>
                <w:color w:val="000000" w:themeColor="text1"/>
                <w:u w:val="single"/>
                <w:lang w:val="en-GB"/>
              </w:rPr>
              <w:t>COVID</w:t>
            </w:r>
          </w:p>
        </w:tc>
        <w:tc>
          <w:tcPr>
            <w:tcW w:w="13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8426DBE" w14:textId="77777777" w:rsidR="00B65847" w:rsidRDefault="00B65847" w:rsidP="00B72301">
            <w:pPr>
              <w:spacing w:line="288" w:lineRule="auto"/>
              <w:cnfStyle w:val="000000100000" w:firstRow="0" w:lastRow="0" w:firstColumn="0" w:lastColumn="0" w:oddVBand="0" w:evenVBand="0" w:oddHBand="1" w:evenHBand="0" w:firstRowFirstColumn="0" w:firstRowLastColumn="0" w:lastRowFirstColumn="0" w:lastRowLastColumn="0"/>
            </w:pPr>
            <w:r w:rsidRPr="419D1AAB">
              <w:rPr>
                <w:rFonts w:ascii="Calibri Light" w:eastAsia="Calibri Light" w:hAnsi="Calibri Light" w:cs="Calibri Light"/>
                <w:color w:val="000000" w:themeColor="text1"/>
                <w:lang w:val="en-GB"/>
              </w:rPr>
              <w:t xml:space="preserve"> </w:t>
            </w:r>
          </w:p>
        </w:tc>
        <w:tc>
          <w:tcPr>
            <w:tcW w:w="13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778EC04" w14:textId="77777777" w:rsidR="00B65847" w:rsidRDefault="00B65847" w:rsidP="00B72301">
            <w:pPr>
              <w:spacing w:line="288" w:lineRule="auto"/>
              <w:cnfStyle w:val="000000100000" w:firstRow="0" w:lastRow="0" w:firstColumn="0" w:lastColumn="0" w:oddVBand="0" w:evenVBand="0" w:oddHBand="1" w:evenHBand="0" w:firstRowFirstColumn="0" w:firstRowLastColumn="0" w:lastRowFirstColumn="0" w:lastRowLastColumn="0"/>
            </w:pPr>
            <w:r w:rsidRPr="419D1AAB">
              <w:rPr>
                <w:rFonts w:ascii="Calibri Light" w:eastAsia="Calibri Light" w:hAnsi="Calibri Light" w:cs="Calibri Light"/>
                <w:color w:val="000000" w:themeColor="text1"/>
                <w:lang w:val="en-GB"/>
              </w:rPr>
              <w:t xml:space="preserve"> </w:t>
            </w:r>
          </w:p>
        </w:tc>
        <w:tc>
          <w:tcPr>
            <w:tcW w:w="13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5030EB4" w14:textId="77777777" w:rsidR="00B65847" w:rsidRDefault="00B65847" w:rsidP="00B72301">
            <w:pPr>
              <w:spacing w:line="288" w:lineRule="auto"/>
              <w:cnfStyle w:val="000000100000" w:firstRow="0" w:lastRow="0" w:firstColumn="0" w:lastColumn="0" w:oddVBand="0" w:evenVBand="0" w:oddHBand="1" w:evenHBand="0" w:firstRowFirstColumn="0" w:firstRowLastColumn="0" w:lastRowFirstColumn="0" w:lastRowLastColumn="0"/>
            </w:pPr>
            <w:r w:rsidRPr="419D1AAB">
              <w:rPr>
                <w:rFonts w:ascii="Calibri Light" w:eastAsia="Calibri Light" w:hAnsi="Calibri Light" w:cs="Calibri Light"/>
                <w:color w:val="000000" w:themeColor="text1"/>
                <w:lang w:val="en-GB"/>
              </w:rPr>
              <w:t xml:space="preserve"> </w:t>
            </w:r>
          </w:p>
        </w:tc>
        <w:tc>
          <w:tcPr>
            <w:tcW w:w="142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157BA2D" w14:textId="77777777" w:rsidR="00B65847" w:rsidRDefault="00B65847" w:rsidP="00B72301">
            <w:pPr>
              <w:spacing w:line="288" w:lineRule="auto"/>
              <w:cnfStyle w:val="000000100000" w:firstRow="0" w:lastRow="0" w:firstColumn="0" w:lastColumn="0" w:oddVBand="0" w:evenVBand="0" w:oddHBand="1" w:evenHBand="0" w:firstRowFirstColumn="0" w:firstRowLastColumn="0" w:lastRowFirstColumn="0" w:lastRowLastColumn="0"/>
            </w:pPr>
            <w:r w:rsidRPr="419D1AAB">
              <w:rPr>
                <w:rFonts w:ascii="Calibri Light" w:eastAsia="Calibri Light" w:hAnsi="Calibri Light" w:cs="Calibri Light"/>
                <w:color w:val="000000" w:themeColor="text1"/>
                <w:lang w:val="en-GB"/>
              </w:rPr>
              <w:t xml:space="preserve"> </w:t>
            </w:r>
          </w:p>
        </w:tc>
        <w:tc>
          <w:tcPr>
            <w:tcW w:w="142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D8E1F53" w14:textId="77777777" w:rsidR="00B65847" w:rsidRDefault="00B65847" w:rsidP="00B72301">
            <w:pPr>
              <w:spacing w:line="288" w:lineRule="auto"/>
              <w:cnfStyle w:val="000000100000" w:firstRow="0" w:lastRow="0" w:firstColumn="0" w:lastColumn="0" w:oddVBand="0" w:evenVBand="0" w:oddHBand="1" w:evenHBand="0" w:firstRowFirstColumn="0" w:firstRowLastColumn="0" w:lastRowFirstColumn="0" w:lastRowLastColumn="0"/>
            </w:pPr>
            <w:r w:rsidRPr="419D1AAB">
              <w:rPr>
                <w:rFonts w:ascii="Calibri Light" w:eastAsia="Calibri Light" w:hAnsi="Calibri Light" w:cs="Calibri Light"/>
                <w:color w:val="000000" w:themeColor="text1"/>
                <w:lang w:val="en-GB"/>
              </w:rPr>
              <w:t xml:space="preserve"> </w:t>
            </w:r>
          </w:p>
        </w:tc>
      </w:tr>
      <w:tr w:rsidR="00B65847" w14:paraId="17D6E031" w14:textId="77777777" w:rsidTr="5C8B0AF3">
        <w:tc>
          <w:tcPr>
            <w:cnfStyle w:val="001000000000" w:firstRow="0" w:lastRow="0" w:firstColumn="1" w:lastColumn="0" w:oddVBand="0" w:evenVBand="0" w:oddHBand="0" w:evenHBand="0" w:firstRowFirstColumn="0" w:firstRowLastColumn="0" w:lastRowFirstColumn="0" w:lastRowLastColumn="0"/>
            <w:tcW w:w="21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387226A" w14:textId="77777777" w:rsidR="00B65847" w:rsidRDefault="00B65847" w:rsidP="00B72301">
            <w:pPr>
              <w:spacing w:line="288" w:lineRule="auto"/>
            </w:pPr>
            <w:r w:rsidRPr="419D1AAB">
              <w:rPr>
                <w:rFonts w:ascii="Calibri Light" w:eastAsia="Calibri Light" w:hAnsi="Calibri Light" w:cs="Calibri Light"/>
                <w:lang w:val="en-GB"/>
              </w:rPr>
              <w:t>IMAGE</w:t>
            </w:r>
          </w:p>
        </w:tc>
        <w:tc>
          <w:tcPr>
            <w:tcW w:w="13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2402123" w14:textId="77777777" w:rsidR="00B65847" w:rsidRDefault="00B65847" w:rsidP="00B72301">
            <w:pPr>
              <w:spacing w:line="288" w:lineRule="auto"/>
              <w:cnfStyle w:val="000000000000" w:firstRow="0" w:lastRow="0" w:firstColumn="0" w:lastColumn="0" w:oddVBand="0" w:evenVBand="0" w:oddHBand="0" w:evenHBand="0" w:firstRowFirstColumn="0" w:firstRowLastColumn="0" w:lastRowFirstColumn="0" w:lastRowLastColumn="0"/>
            </w:pPr>
            <w:r w:rsidRPr="419D1AAB">
              <w:rPr>
                <w:rFonts w:ascii="Calibri Light" w:eastAsia="Calibri Light" w:hAnsi="Calibri Light" w:cs="Calibri Light"/>
                <w:color w:val="000000" w:themeColor="text1"/>
                <w:lang w:val="en-GB"/>
              </w:rPr>
              <w:t>-4.9%</w:t>
            </w:r>
          </w:p>
        </w:tc>
        <w:tc>
          <w:tcPr>
            <w:tcW w:w="13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1441363" w14:textId="77777777" w:rsidR="00B65847" w:rsidRDefault="00B65847" w:rsidP="00B72301">
            <w:pPr>
              <w:spacing w:line="288" w:lineRule="auto"/>
              <w:cnfStyle w:val="000000000000" w:firstRow="0" w:lastRow="0" w:firstColumn="0" w:lastColumn="0" w:oddVBand="0" w:evenVBand="0" w:oddHBand="0" w:evenHBand="0" w:firstRowFirstColumn="0" w:firstRowLastColumn="0" w:lastRowFirstColumn="0" w:lastRowLastColumn="0"/>
            </w:pPr>
            <w:r w:rsidRPr="419D1AAB">
              <w:rPr>
                <w:rFonts w:ascii="Calibri Light" w:eastAsia="Calibri Light" w:hAnsi="Calibri Light" w:cs="Calibri Light"/>
                <w:color w:val="000000" w:themeColor="text1"/>
                <w:lang w:val="en-GB"/>
              </w:rPr>
              <w:t>5.6%</w:t>
            </w:r>
          </w:p>
        </w:tc>
        <w:tc>
          <w:tcPr>
            <w:tcW w:w="13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BA85E03" w14:textId="77777777" w:rsidR="00B65847" w:rsidRDefault="00B65847" w:rsidP="00B72301">
            <w:pPr>
              <w:spacing w:line="288" w:lineRule="auto"/>
              <w:cnfStyle w:val="000000000000" w:firstRow="0" w:lastRow="0" w:firstColumn="0" w:lastColumn="0" w:oddVBand="0" w:evenVBand="0" w:oddHBand="0" w:evenHBand="0" w:firstRowFirstColumn="0" w:firstRowLastColumn="0" w:lastRowFirstColumn="0" w:lastRowLastColumn="0"/>
            </w:pPr>
            <w:r w:rsidRPr="419D1AAB">
              <w:rPr>
                <w:rFonts w:ascii="Calibri Light" w:eastAsia="Calibri Light" w:hAnsi="Calibri Light" w:cs="Calibri Light"/>
                <w:color w:val="000000" w:themeColor="text1"/>
                <w:lang w:val="en-GB"/>
              </w:rPr>
              <w:t>3.1%</w:t>
            </w:r>
          </w:p>
        </w:tc>
        <w:tc>
          <w:tcPr>
            <w:tcW w:w="142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52B5089" w14:textId="77777777" w:rsidR="00B65847" w:rsidRDefault="00B65847" w:rsidP="00B72301">
            <w:pPr>
              <w:spacing w:line="288" w:lineRule="auto"/>
              <w:cnfStyle w:val="000000000000" w:firstRow="0" w:lastRow="0" w:firstColumn="0" w:lastColumn="0" w:oddVBand="0" w:evenVBand="0" w:oddHBand="0" w:evenHBand="0" w:firstRowFirstColumn="0" w:firstRowLastColumn="0" w:lastRowFirstColumn="0" w:lastRowLastColumn="0"/>
            </w:pPr>
            <w:r w:rsidRPr="419D1AAB">
              <w:rPr>
                <w:rFonts w:ascii="Calibri Light" w:eastAsia="Calibri Light" w:hAnsi="Calibri Light" w:cs="Calibri Light"/>
                <w:color w:val="000000" w:themeColor="text1"/>
                <w:lang w:val="en-GB"/>
              </w:rPr>
              <w:t>3.0%</w:t>
            </w:r>
          </w:p>
        </w:tc>
        <w:tc>
          <w:tcPr>
            <w:tcW w:w="142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9BD8CFF" w14:textId="77777777" w:rsidR="00B65847" w:rsidRDefault="00B65847" w:rsidP="00B72301">
            <w:pPr>
              <w:spacing w:line="288" w:lineRule="auto"/>
              <w:cnfStyle w:val="000000000000" w:firstRow="0" w:lastRow="0" w:firstColumn="0" w:lastColumn="0" w:oddVBand="0" w:evenVBand="0" w:oddHBand="0" w:evenHBand="0" w:firstRowFirstColumn="0" w:firstRowLastColumn="0" w:lastRowFirstColumn="0" w:lastRowLastColumn="0"/>
            </w:pPr>
            <w:r w:rsidRPr="419D1AAB">
              <w:rPr>
                <w:rFonts w:ascii="Calibri Light" w:eastAsia="Calibri Light" w:hAnsi="Calibri Light" w:cs="Calibri Light"/>
                <w:color w:val="000000" w:themeColor="text1"/>
                <w:lang w:val="en-GB"/>
              </w:rPr>
              <w:t>3.1%</w:t>
            </w:r>
          </w:p>
        </w:tc>
      </w:tr>
      <w:tr w:rsidR="00B65847" w14:paraId="52807206" w14:textId="77777777" w:rsidTr="5C8B0A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9636B34" w14:textId="77777777" w:rsidR="00B65847" w:rsidRDefault="00B65847" w:rsidP="00B72301">
            <w:pPr>
              <w:spacing w:line="288" w:lineRule="auto"/>
            </w:pPr>
            <w:r w:rsidRPr="419D1AAB">
              <w:rPr>
                <w:rFonts w:ascii="Calibri Light" w:eastAsia="Calibri Light" w:hAnsi="Calibri Light" w:cs="Calibri Light"/>
                <w:color w:val="000000" w:themeColor="text1"/>
                <w:lang w:val="en-GB"/>
              </w:rPr>
              <w:t>E3ME</w:t>
            </w:r>
          </w:p>
        </w:tc>
        <w:tc>
          <w:tcPr>
            <w:tcW w:w="13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6147498" w14:textId="77777777" w:rsidR="00B65847" w:rsidRDefault="00B65847" w:rsidP="00B72301">
            <w:pPr>
              <w:spacing w:line="288" w:lineRule="auto"/>
              <w:cnfStyle w:val="000000100000" w:firstRow="0" w:lastRow="0" w:firstColumn="0" w:lastColumn="0" w:oddVBand="0" w:evenVBand="0" w:oddHBand="1" w:evenHBand="0" w:firstRowFirstColumn="0" w:firstRowLastColumn="0" w:lastRowFirstColumn="0" w:lastRowLastColumn="0"/>
            </w:pPr>
            <w:r w:rsidRPr="419D1AAB">
              <w:rPr>
                <w:rFonts w:ascii="Calibri Light" w:eastAsia="Calibri Light" w:hAnsi="Calibri Light" w:cs="Calibri Light"/>
                <w:color w:val="000000" w:themeColor="text1"/>
                <w:lang w:val="en-GB"/>
              </w:rPr>
              <w:t>-4.9%</w:t>
            </w:r>
          </w:p>
        </w:tc>
        <w:tc>
          <w:tcPr>
            <w:tcW w:w="13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9C9C8BB" w14:textId="77777777" w:rsidR="00B65847" w:rsidRDefault="00B65847" w:rsidP="00B72301">
            <w:pPr>
              <w:spacing w:line="288" w:lineRule="auto"/>
              <w:cnfStyle w:val="000000100000" w:firstRow="0" w:lastRow="0" w:firstColumn="0" w:lastColumn="0" w:oddVBand="0" w:evenVBand="0" w:oddHBand="1" w:evenHBand="0" w:firstRowFirstColumn="0" w:firstRowLastColumn="0" w:lastRowFirstColumn="0" w:lastRowLastColumn="0"/>
            </w:pPr>
            <w:r w:rsidRPr="419D1AAB">
              <w:rPr>
                <w:rFonts w:ascii="Calibri Light" w:eastAsia="Calibri Light" w:hAnsi="Calibri Light" w:cs="Calibri Light"/>
                <w:color w:val="000000" w:themeColor="text1"/>
                <w:lang w:val="en-GB"/>
              </w:rPr>
              <w:t>5.3%</w:t>
            </w:r>
          </w:p>
        </w:tc>
        <w:tc>
          <w:tcPr>
            <w:tcW w:w="13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D267BCA" w14:textId="77777777" w:rsidR="00B65847" w:rsidRDefault="00B65847" w:rsidP="00B72301">
            <w:pPr>
              <w:spacing w:line="288" w:lineRule="auto"/>
              <w:cnfStyle w:val="000000100000" w:firstRow="0" w:lastRow="0" w:firstColumn="0" w:lastColumn="0" w:oddVBand="0" w:evenVBand="0" w:oddHBand="1" w:evenHBand="0" w:firstRowFirstColumn="0" w:firstRowLastColumn="0" w:lastRowFirstColumn="0" w:lastRowLastColumn="0"/>
            </w:pPr>
            <w:r w:rsidRPr="419D1AAB">
              <w:rPr>
                <w:rFonts w:ascii="Calibri Light" w:eastAsia="Calibri Light" w:hAnsi="Calibri Light" w:cs="Calibri Light"/>
                <w:color w:val="000000" w:themeColor="text1"/>
                <w:lang w:val="en-GB"/>
              </w:rPr>
              <w:t>2.8%</w:t>
            </w:r>
          </w:p>
        </w:tc>
        <w:tc>
          <w:tcPr>
            <w:tcW w:w="142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8679D4C" w14:textId="77777777" w:rsidR="00B65847" w:rsidRDefault="00B65847" w:rsidP="00B72301">
            <w:pPr>
              <w:spacing w:line="288" w:lineRule="auto"/>
              <w:cnfStyle w:val="000000100000" w:firstRow="0" w:lastRow="0" w:firstColumn="0" w:lastColumn="0" w:oddVBand="0" w:evenVBand="0" w:oddHBand="1" w:evenHBand="0" w:firstRowFirstColumn="0" w:firstRowLastColumn="0" w:lastRowFirstColumn="0" w:lastRowLastColumn="0"/>
            </w:pPr>
            <w:r w:rsidRPr="419D1AAB">
              <w:rPr>
                <w:rFonts w:ascii="Calibri Light" w:eastAsia="Calibri Light" w:hAnsi="Calibri Light" w:cs="Calibri Light"/>
                <w:color w:val="000000" w:themeColor="text1"/>
                <w:lang w:val="en-GB"/>
              </w:rPr>
              <w:t>2.7%</w:t>
            </w:r>
          </w:p>
        </w:tc>
        <w:tc>
          <w:tcPr>
            <w:tcW w:w="142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A0A26D4" w14:textId="77777777" w:rsidR="00B65847" w:rsidRDefault="00B65847" w:rsidP="00B72301">
            <w:pPr>
              <w:spacing w:line="288" w:lineRule="auto"/>
              <w:cnfStyle w:val="000000100000" w:firstRow="0" w:lastRow="0" w:firstColumn="0" w:lastColumn="0" w:oddVBand="0" w:evenVBand="0" w:oddHBand="1" w:evenHBand="0" w:firstRowFirstColumn="0" w:firstRowLastColumn="0" w:lastRowFirstColumn="0" w:lastRowLastColumn="0"/>
            </w:pPr>
            <w:r w:rsidRPr="419D1AAB">
              <w:rPr>
                <w:rFonts w:ascii="Calibri Light" w:eastAsia="Calibri Light" w:hAnsi="Calibri Light" w:cs="Calibri Light"/>
                <w:color w:val="000000" w:themeColor="text1"/>
                <w:lang w:val="en-GB"/>
              </w:rPr>
              <w:t>2.7%</w:t>
            </w:r>
          </w:p>
        </w:tc>
      </w:tr>
      <w:tr w:rsidR="00B65847" w14:paraId="7BCA5790" w14:textId="77777777" w:rsidTr="5C8B0AF3">
        <w:tc>
          <w:tcPr>
            <w:cnfStyle w:val="001000000000" w:firstRow="0" w:lastRow="0" w:firstColumn="1" w:lastColumn="0" w:oddVBand="0" w:evenVBand="0" w:oddHBand="0" w:evenHBand="0" w:firstRowFirstColumn="0" w:firstRowLastColumn="0" w:lastRowFirstColumn="0" w:lastRowLastColumn="0"/>
            <w:tcW w:w="21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4A3364F" w14:textId="77777777" w:rsidR="00B65847" w:rsidRDefault="00B65847" w:rsidP="00B72301">
            <w:pPr>
              <w:spacing w:line="288" w:lineRule="auto"/>
            </w:pPr>
            <w:r w:rsidRPr="419D1AAB">
              <w:rPr>
                <w:rFonts w:ascii="Calibri Light" w:eastAsia="Calibri Light" w:hAnsi="Calibri Light" w:cs="Calibri Light"/>
                <w:lang w:val="en-GB"/>
              </w:rPr>
              <w:t>GEM-E3-FIT</w:t>
            </w:r>
          </w:p>
        </w:tc>
        <w:tc>
          <w:tcPr>
            <w:tcW w:w="13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4673E48" w14:textId="77777777" w:rsidR="00B65847" w:rsidRDefault="00B65847" w:rsidP="00B72301">
            <w:pPr>
              <w:spacing w:line="288" w:lineRule="auto"/>
              <w:cnfStyle w:val="000000000000" w:firstRow="0" w:lastRow="0" w:firstColumn="0" w:lastColumn="0" w:oddVBand="0" w:evenVBand="0" w:oddHBand="0" w:evenHBand="0" w:firstRowFirstColumn="0" w:firstRowLastColumn="0" w:lastRowFirstColumn="0" w:lastRowLastColumn="0"/>
            </w:pPr>
            <w:r w:rsidRPr="419D1AAB">
              <w:rPr>
                <w:rFonts w:ascii="Calibri Light" w:eastAsia="Calibri Light" w:hAnsi="Calibri Light" w:cs="Calibri Light"/>
                <w:lang w:val="en-GB"/>
              </w:rPr>
              <w:t>-5.0%</w:t>
            </w:r>
          </w:p>
        </w:tc>
        <w:tc>
          <w:tcPr>
            <w:tcW w:w="13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7CD11DF" w14:textId="77777777" w:rsidR="00B65847" w:rsidRDefault="00B65847" w:rsidP="00B72301">
            <w:pPr>
              <w:spacing w:line="288" w:lineRule="auto"/>
              <w:cnfStyle w:val="000000000000" w:firstRow="0" w:lastRow="0" w:firstColumn="0" w:lastColumn="0" w:oddVBand="0" w:evenVBand="0" w:oddHBand="0" w:evenHBand="0" w:firstRowFirstColumn="0" w:firstRowLastColumn="0" w:lastRowFirstColumn="0" w:lastRowLastColumn="0"/>
            </w:pPr>
            <w:r w:rsidRPr="419D1AAB">
              <w:rPr>
                <w:rFonts w:ascii="Calibri Light" w:eastAsia="Calibri Light" w:hAnsi="Calibri Light" w:cs="Calibri Light"/>
                <w:lang w:val="en-GB"/>
              </w:rPr>
              <w:t>4.6%</w:t>
            </w:r>
          </w:p>
        </w:tc>
        <w:tc>
          <w:tcPr>
            <w:tcW w:w="13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13356F5" w14:textId="77777777" w:rsidR="00B65847" w:rsidRDefault="00B65847" w:rsidP="00B72301">
            <w:pPr>
              <w:spacing w:line="288" w:lineRule="auto"/>
              <w:cnfStyle w:val="000000000000" w:firstRow="0" w:lastRow="0" w:firstColumn="0" w:lastColumn="0" w:oddVBand="0" w:evenVBand="0" w:oddHBand="0" w:evenHBand="0" w:firstRowFirstColumn="0" w:firstRowLastColumn="0" w:lastRowFirstColumn="0" w:lastRowLastColumn="0"/>
            </w:pPr>
            <w:r w:rsidRPr="419D1AAB">
              <w:rPr>
                <w:rFonts w:ascii="Calibri Light" w:eastAsia="Calibri Light" w:hAnsi="Calibri Light" w:cs="Calibri Light"/>
                <w:lang w:val="en-GB"/>
              </w:rPr>
              <w:t>3.9%</w:t>
            </w:r>
          </w:p>
        </w:tc>
        <w:tc>
          <w:tcPr>
            <w:tcW w:w="142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99B984C" w14:textId="77777777" w:rsidR="00B65847" w:rsidRDefault="00B65847" w:rsidP="00B72301">
            <w:pPr>
              <w:spacing w:line="288" w:lineRule="auto"/>
              <w:cnfStyle w:val="000000000000" w:firstRow="0" w:lastRow="0" w:firstColumn="0" w:lastColumn="0" w:oddVBand="0" w:evenVBand="0" w:oddHBand="0" w:evenHBand="0" w:firstRowFirstColumn="0" w:firstRowLastColumn="0" w:lastRowFirstColumn="0" w:lastRowLastColumn="0"/>
            </w:pPr>
            <w:r w:rsidRPr="419D1AAB">
              <w:rPr>
                <w:rFonts w:ascii="Calibri Light" w:eastAsia="Calibri Light" w:hAnsi="Calibri Light" w:cs="Calibri Light"/>
                <w:lang w:val="en-GB"/>
              </w:rPr>
              <w:t>3.5%</w:t>
            </w:r>
          </w:p>
        </w:tc>
        <w:tc>
          <w:tcPr>
            <w:tcW w:w="142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12E644A" w14:textId="77777777" w:rsidR="00B65847" w:rsidRDefault="00B65847" w:rsidP="00B72301">
            <w:pPr>
              <w:spacing w:line="288" w:lineRule="auto"/>
              <w:cnfStyle w:val="000000000000" w:firstRow="0" w:lastRow="0" w:firstColumn="0" w:lastColumn="0" w:oddVBand="0" w:evenVBand="0" w:oddHBand="0" w:evenHBand="0" w:firstRowFirstColumn="0" w:firstRowLastColumn="0" w:lastRowFirstColumn="0" w:lastRowLastColumn="0"/>
            </w:pPr>
            <w:r w:rsidRPr="419D1AAB">
              <w:rPr>
                <w:rFonts w:ascii="Calibri Light" w:eastAsia="Calibri Light" w:hAnsi="Calibri Light" w:cs="Calibri Light"/>
                <w:lang w:val="en-GB"/>
              </w:rPr>
              <w:t>2.9%</w:t>
            </w:r>
          </w:p>
        </w:tc>
      </w:tr>
      <w:tr w:rsidR="00B65847" w14:paraId="25ADA9D2" w14:textId="77777777" w:rsidTr="5C8B0A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C8E2E65" w14:textId="77777777" w:rsidR="00B65847" w:rsidRPr="00956524" w:rsidRDefault="00B65847" w:rsidP="00B72301">
            <w:pPr>
              <w:spacing w:line="288" w:lineRule="auto"/>
              <w:rPr>
                <w:u w:val="single"/>
              </w:rPr>
            </w:pPr>
            <w:r w:rsidRPr="00956524">
              <w:rPr>
                <w:rFonts w:ascii="Calibri Light" w:eastAsia="Calibri Light" w:hAnsi="Calibri Light" w:cs="Calibri Light"/>
                <w:i/>
                <w:iCs/>
                <w:color w:val="000000" w:themeColor="text1"/>
                <w:u w:val="single"/>
                <w:lang w:val="en-GB"/>
              </w:rPr>
              <w:t xml:space="preserve">Green Recovery </w:t>
            </w:r>
          </w:p>
        </w:tc>
        <w:tc>
          <w:tcPr>
            <w:tcW w:w="13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5968E91" w14:textId="77777777" w:rsidR="00B65847" w:rsidRDefault="00B65847" w:rsidP="00B72301">
            <w:pPr>
              <w:spacing w:line="288" w:lineRule="auto"/>
              <w:cnfStyle w:val="000000100000" w:firstRow="0" w:lastRow="0" w:firstColumn="0" w:lastColumn="0" w:oddVBand="0" w:evenVBand="0" w:oddHBand="1" w:evenHBand="0" w:firstRowFirstColumn="0" w:firstRowLastColumn="0" w:lastRowFirstColumn="0" w:lastRowLastColumn="0"/>
            </w:pPr>
            <w:r w:rsidRPr="419D1AAB">
              <w:rPr>
                <w:rFonts w:ascii="Calibri Light" w:eastAsia="Calibri Light" w:hAnsi="Calibri Light" w:cs="Calibri Light"/>
                <w:lang w:val="en-GB"/>
              </w:rPr>
              <w:t xml:space="preserve"> </w:t>
            </w:r>
          </w:p>
        </w:tc>
        <w:tc>
          <w:tcPr>
            <w:tcW w:w="13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BE81B27" w14:textId="77777777" w:rsidR="00B65847" w:rsidRDefault="00B65847" w:rsidP="00B72301">
            <w:pPr>
              <w:spacing w:line="288" w:lineRule="auto"/>
              <w:cnfStyle w:val="000000100000" w:firstRow="0" w:lastRow="0" w:firstColumn="0" w:lastColumn="0" w:oddVBand="0" w:evenVBand="0" w:oddHBand="1" w:evenHBand="0" w:firstRowFirstColumn="0" w:firstRowLastColumn="0" w:lastRowFirstColumn="0" w:lastRowLastColumn="0"/>
            </w:pPr>
            <w:r w:rsidRPr="419D1AAB">
              <w:rPr>
                <w:rFonts w:ascii="Calibri Light" w:eastAsia="Calibri Light" w:hAnsi="Calibri Light" w:cs="Calibri Light"/>
                <w:lang w:val="en-GB"/>
              </w:rPr>
              <w:t xml:space="preserve"> </w:t>
            </w:r>
          </w:p>
        </w:tc>
        <w:tc>
          <w:tcPr>
            <w:tcW w:w="13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2669624" w14:textId="77777777" w:rsidR="00B65847" w:rsidRDefault="00B65847" w:rsidP="00B72301">
            <w:pPr>
              <w:spacing w:line="288" w:lineRule="auto"/>
              <w:cnfStyle w:val="000000100000" w:firstRow="0" w:lastRow="0" w:firstColumn="0" w:lastColumn="0" w:oddVBand="0" w:evenVBand="0" w:oddHBand="1" w:evenHBand="0" w:firstRowFirstColumn="0" w:firstRowLastColumn="0" w:lastRowFirstColumn="0" w:lastRowLastColumn="0"/>
            </w:pPr>
            <w:r w:rsidRPr="419D1AAB">
              <w:rPr>
                <w:rFonts w:ascii="Calibri Light" w:eastAsia="Calibri Light" w:hAnsi="Calibri Light" w:cs="Calibri Light"/>
                <w:lang w:val="en-GB"/>
              </w:rPr>
              <w:t xml:space="preserve"> </w:t>
            </w:r>
          </w:p>
        </w:tc>
        <w:tc>
          <w:tcPr>
            <w:tcW w:w="142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49A96ED" w14:textId="77777777" w:rsidR="00B65847" w:rsidRDefault="00B65847" w:rsidP="00B72301">
            <w:pPr>
              <w:spacing w:line="288" w:lineRule="auto"/>
              <w:cnfStyle w:val="000000100000" w:firstRow="0" w:lastRow="0" w:firstColumn="0" w:lastColumn="0" w:oddVBand="0" w:evenVBand="0" w:oddHBand="1" w:evenHBand="0" w:firstRowFirstColumn="0" w:firstRowLastColumn="0" w:lastRowFirstColumn="0" w:lastRowLastColumn="0"/>
            </w:pPr>
            <w:r w:rsidRPr="419D1AAB">
              <w:rPr>
                <w:rFonts w:ascii="Calibri Light" w:eastAsia="Calibri Light" w:hAnsi="Calibri Light" w:cs="Calibri Light"/>
                <w:lang w:val="en-GB"/>
              </w:rPr>
              <w:t xml:space="preserve"> </w:t>
            </w:r>
          </w:p>
        </w:tc>
        <w:tc>
          <w:tcPr>
            <w:tcW w:w="142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99CF69C" w14:textId="77777777" w:rsidR="00B65847" w:rsidRDefault="00B65847" w:rsidP="00B72301">
            <w:pPr>
              <w:spacing w:line="288" w:lineRule="auto"/>
              <w:cnfStyle w:val="000000100000" w:firstRow="0" w:lastRow="0" w:firstColumn="0" w:lastColumn="0" w:oddVBand="0" w:evenVBand="0" w:oddHBand="1" w:evenHBand="0" w:firstRowFirstColumn="0" w:firstRowLastColumn="0" w:lastRowFirstColumn="0" w:lastRowLastColumn="0"/>
            </w:pPr>
            <w:r w:rsidRPr="419D1AAB">
              <w:rPr>
                <w:rFonts w:ascii="Calibri Light" w:eastAsia="Calibri Light" w:hAnsi="Calibri Light" w:cs="Calibri Light"/>
                <w:lang w:val="en-GB"/>
              </w:rPr>
              <w:t xml:space="preserve"> </w:t>
            </w:r>
          </w:p>
        </w:tc>
      </w:tr>
      <w:tr w:rsidR="00B65847" w14:paraId="7E2F76AA" w14:textId="77777777" w:rsidTr="5C8B0AF3">
        <w:tc>
          <w:tcPr>
            <w:cnfStyle w:val="001000000000" w:firstRow="0" w:lastRow="0" w:firstColumn="1" w:lastColumn="0" w:oddVBand="0" w:evenVBand="0" w:oddHBand="0" w:evenHBand="0" w:firstRowFirstColumn="0" w:firstRowLastColumn="0" w:lastRowFirstColumn="0" w:lastRowLastColumn="0"/>
            <w:tcW w:w="21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258AD64" w14:textId="77777777" w:rsidR="00B65847" w:rsidRDefault="00B65847" w:rsidP="00B72301">
            <w:pPr>
              <w:spacing w:line="288" w:lineRule="auto"/>
            </w:pPr>
            <w:r w:rsidRPr="419D1AAB">
              <w:rPr>
                <w:rFonts w:ascii="Calibri Light" w:eastAsia="Calibri Light" w:hAnsi="Calibri Light" w:cs="Calibri Light"/>
                <w:lang w:val="en-GB"/>
              </w:rPr>
              <w:t>IMAGE</w:t>
            </w:r>
          </w:p>
        </w:tc>
        <w:tc>
          <w:tcPr>
            <w:tcW w:w="13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F008F78" w14:textId="77777777" w:rsidR="00B65847" w:rsidRDefault="00B65847" w:rsidP="00B72301">
            <w:pPr>
              <w:spacing w:line="288" w:lineRule="auto"/>
              <w:cnfStyle w:val="000000000000" w:firstRow="0" w:lastRow="0" w:firstColumn="0" w:lastColumn="0" w:oddVBand="0" w:evenVBand="0" w:oddHBand="0" w:evenHBand="0" w:firstRowFirstColumn="0" w:firstRowLastColumn="0" w:lastRowFirstColumn="0" w:lastRowLastColumn="0"/>
            </w:pPr>
            <w:r w:rsidRPr="419D1AAB">
              <w:rPr>
                <w:rFonts w:ascii="Calibri Light" w:eastAsia="Calibri Light" w:hAnsi="Calibri Light" w:cs="Calibri Light"/>
                <w:color w:val="000000" w:themeColor="text1"/>
                <w:lang w:val="en-GB"/>
              </w:rPr>
              <w:t>-4.9%</w:t>
            </w:r>
          </w:p>
        </w:tc>
        <w:tc>
          <w:tcPr>
            <w:tcW w:w="13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38CED00" w14:textId="77777777" w:rsidR="00B65847" w:rsidRDefault="00B65847" w:rsidP="00B72301">
            <w:pPr>
              <w:spacing w:line="288" w:lineRule="auto"/>
              <w:cnfStyle w:val="000000000000" w:firstRow="0" w:lastRow="0" w:firstColumn="0" w:lastColumn="0" w:oddVBand="0" w:evenVBand="0" w:oddHBand="0" w:evenHBand="0" w:firstRowFirstColumn="0" w:firstRowLastColumn="0" w:lastRowFirstColumn="0" w:lastRowLastColumn="0"/>
            </w:pPr>
            <w:r w:rsidRPr="419D1AAB">
              <w:rPr>
                <w:rFonts w:ascii="Calibri Light" w:eastAsia="Calibri Light" w:hAnsi="Calibri Light" w:cs="Calibri Light"/>
                <w:color w:val="000000" w:themeColor="text1"/>
                <w:lang w:val="en-GB"/>
              </w:rPr>
              <w:t>6.7%*</w:t>
            </w:r>
          </w:p>
        </w:tc>
        <w:tc>
          <w:tcPr>
            <w:tcW w:w="13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06CDCF6" w14:textId="77777777" w:rsidR="00B65847" w:rsidRDefault="00B65847" w:rsidP="00B72301">
            <w:pPr>
              <w:spacing w:line="288" w:lineRule="auto"/>
              <w:cnfStyle w:val="000000000000" w:firstRow="0" w:lastRow="0" w:firstColumn="0" w:lastColumn="0" w:oddVBand="0" w:evenVBand="0" w:oddHBand="0" w:evenHBand="0" w:firstRowFirstColumn="0" w:firstRowLastColumn="0" w:lastRowFirstColumn="0" w:lastRowLastColumn="0"/>
            </w:pPr>
            <w:r w:rsidRPr="419D1AAB">
              <w:rPr>
                <w:rFonts w:ascii="Calibri Light" w:eastAsia="Calibri Light" w:hAnsi="Calibri Light" w:cs="Calibri Light"/>
                <w:color w:val="000000" w:themeColor="text1"/>
                <w:lang w:val="en-GB"/>
              </w:rPr>
              <w:t>3.0%</w:t>
            </w:r>
          </w:p>
        </w:tc>
        <w:tc>
          <w:tcPr>
            <w:tcW w:w="142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B65998A" w14:textId="77777777" w:rsidR="00B65847" w:rsidRDefault="00B65847" w:rsidP="00B72301">
            <w:pPr>
              <w:spacing w:line="288" w:lineRule="auto"/>
              <w:cnfStyle w:val="000000000000" w:firstRow="0" w:lastRow="0" w:firstColumn="0" w:lastColumn="0" w:oddVBand="0" w:evenVBand="0" w:oddHBand="0" w:evenHBand="0" w:firstRowFirstColumn="0" w:firstRowLastColumn="0" w:lastRowFirstColumn="0" w:lastRowLastColumn="0"/>
            </w:pPr>
            <w:r w:rsidRPr="419D1AAB">
              <w:rPr>
                <w:rFonts w:ascii="Calibri Light" w:eastAsia="Calibri Light" w:hAnsi="Calibri Light" w:cs="Calibri Light"/>
                <w:color w:val="000000" w:themeColor="text1"/>
                <w:lang w:val="en-GB"/>
              </w:rPr>
              <w:t>3.0%</w:t>
            </w:r>
          </w:p>
        </w:tc>
        <w:tc>
          <w:tcPr>
            <w:tcW w:w="142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3C02A9D" w14:textId="77777777" w:rsidR="00B65847" w:rsidRDefault="00B65847" w:rsidP="00B72301">
            <w:pPr>
              <w:spacing w:line="288" w:lineRule="auto"/>
              <w:cnfStyle w:val="000000000000" w:firstRow="0" w:lastRow="0" w:firstColumn="0" w:lastColumn="0" w:oddVBand="0" w:evenVBand="0" w:oddHBand="0" w:evenHBand="0" w:firstRowFirstColumn="0" w:firstRowLastColumn="0" w:lastRowFirstColumn="0" w:lastRowLastColumn="0"/>
            </w:pPr>
            <w:r w:rsidRPr="419D1AAB">
              <w:rPr>
                <w:rFonts w:ascii="Calibri Light" w:eastAsia="Calibri Light" w:hAnsi="Calibri Light" w:cs="Calibri Light"/>
                <w:color w:val="000000" w:themeColor="text1"/>
                <w:lang w:val="en-GB"/>
              </w:rPr>
              <w:t>3.1%</w:t>
            </w:r>
          </w:p>
        </w:tc>
      </w:tr>
      <w:tr w:rsidR="00B65847" w14:paraId="3F9BF885" w14:textId="77777777" w:rsidTr="5C8B0A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DE84958" w14:textId="77777777" w:rsidR="00B65847" w:rsidRDefault="00B65847" w:rsidP="00B72301">
            <w:pPr>
              <w:spacing w:line="288" w:lineRule="auto"/>
            </w:pPr>
            <w:r w:rsidRPr="419D1AAB">
              <w:rPr>
                <w:rFonts w:ascii="Calibri Light" w:eastAsia="Calibri Light" w:hAnsi="Calibri Light" w:cs="Calibri Light"/>
                <w:color w:val="000000" w:themeColor="text1"/>
                <w:lang w:val="en-GB"/>
              </w:rPr>
              <w:t>E3ME</w:t>
            </w:r>
          </w:p>
        </w:tc>
        <w:tc>
          <w:tcPr>
            <w:tcW w:w="13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352C342" w14:textId="77777777" w:rsidR="00B65847" w:rsidRDefault="00B65847" w:rsidP="00B72301">
            <w:pPr>
              <w:spacing w:line="288" w:lineRule="auto"/>
              <w:cnfStyle w:val="000000100000" w:firstRow="0" w:lastRow="0" w:firstColumn="0" w:lastColumn="0" w:oddVBand="0" w:evenVBand="0" w:oddHBand="1" w:evenHBand="0" w:firstRowFirstColumn="0" w:firstRowLastColumn="0" w:lastRowFirstColumn="0" w:lastRowLastColumn="0"/>
            </w:pPr>
            <w:r w:rsidRPr="419D1AAB">
              <w:rPr>
                <w:rFonts w:ascii="Calibri Light" w:eastAsia="Calibri Light" w:hAnsi="Calibri Light" w:cs="Calibri Light"/>
                <w:color w:val="000000" w:themeColor="text1"/>
                <w:lang w:val="en-GB"/>
              </w:rPr>
              <w:t>-4.9%</w:t>
            </w:r>
          </w:p>
        </w:tc>
        <w:tc>
          <w:tcPr>
            <w:tcW w:w="13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919926B" w14:textId="77777777" w:rsidR="00B65847" w:rsidRDefault="00B65847" w:rsidP="00B72301">
            <w:pPr>
              <w:spacing w:line="288" w:lineRule="auto"/>
              <w:cnfStyle w:val="000000100000" w:firstRow="0" w:lastRow="0" w:firstColumn="0" w:lastColumn="0" w:oddVBand="0" w:evenVBand="0" w:oddHBand="1" w:evenHBand="0" w:firstRowFirstColumn="0" w:firstRowLastColumn="0" w:lastRowFirstColumn="0" w:lastRowLastColumn="0"/>
            </w:pPr>
            <w:r w:rsidRPr="419D1AAB">
              <w:rPr>
                <w:rFonts w:ascii="Calibri Light" w:eastAsia="Calibri Light" w:hAnsi="Calibri Light" w:cs="Calibri Light"/>
                <w:color w:val="000000" w:themeColor="text1"/>
                <w:lang w:val="en-GB"/>
              </w:rPr>
              <w:t>6.3%</w:t>
            </w:r>
          </w:p>
        </w:tc>
        <w:tc>
          <w:tcPr>
            <w:tcW w:w="13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512EBBC" w14:textId="77777777" w:rsidR="00B65847" w:rsidRDefault="00B65847" w:rsidP="00B72301">
            <w:pPr>
              <w:spacing w:line="288" w:lineRule="auto"/>
              <w:cnfStyle w:val="000000100000" w:firstRow="0" w:lastRow="0" w:firstColumn="0" w:lastColumn="0" w:oddVBand="0" w:evenVBand="0" w:oddHBand="1" w:evenHBand="0" w:firstRowFirstColumn="0" w:firstRowLastColumn="0" w:lastRowFirstColumn="0" w:lastRowLastColumn="0"/>
            </w:pPr>
            <w:r w:rsidRPr="419D1AAB">
              <w:rPr>
                <w:rFonts w:ascii="Calibri Light" w:eastAsia="Calibri Light" w:hAnsi="Calibri Light" w:cs="Calibri Light"/>
                <w:color w:val="000000" w:themeColor="text1"/>
                <w:lang w:val="en-GB"/>
              </w:rPr>
              <w:t>2.7%</w:t>
            </w:r>
          </w:p>
        </w:tc>
        <w:tc>
          <w:tcPr>
            <w:tcW w:w="142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1EA7578" w14:textId="77777777" w:rsidR="00B65847" w:rsidRDefault="00B65847" w:rsidP="00B72301">
            <w:pPr>
              <w:spacing w:line="288" w:lineRule="auto"/>
              <w:cnfStyle w:val="000000100000" w:firstRow="0" w:lastRow="0" w:firstColumn="0" w:lastColumn="0" w:oddVBand="0" w:evenVBand="0" w:oddHBand="1" w:evenHBand="0" w:firstRowFirstColumn="0" w:firstRowLastColumn="0" w:lastRowFirstColumn="0" w:lastRowLastColumn="0"/>
            </w:pPr>
            <w:r w:rsidRPr="419D1AAB">
              <w:rPr>
                <w:rFonts w:ascii="Calibri Light" w:eastAsia="Calibri Light" w:hAnsi="Calibri Light" w:cs="Calibri Light"/>
                <w:color w:val="000000" w:themeColor="text1"/>
                <w:lang w:val="en-GB"/>
              </w:rPr>
              <w:t>2.5%</w:t>
            </w:r>
          </w:p>
        </w:tc>
        <w:tc>
          <w:tcPr>
            <w:tcW w:w="142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AA96532" w14:textId="77777777" w:rsidR="00B65847" w:rsidRDefault="00B65847" w:rsidP="00B72301">
            <w:pPr>
              <w:spacing w:line="288" w:lineRule="auto"/>
              <w:cnfStyle w:val="000000100000" w:firstRow="0" w:lastRow="0" w:firstColumn="0" w:lastColumn="0" w:oddVBand="0" w:evenVBand="0" w:oddHBand="1" w:evenHBand="0" w:firstRowFirstColumn="0" w:firstRowLastColumn="0" w:lastRowFirstColumn="0" w:lastRowLastColumn="0"/>
            </w:pPr>
            <w:r w:rsidRPr="419D1AAB">
              <w:rPr>
                <w:rFonts w:ascii="Calibri Light" w:eastAsia="Calibri Light" w:hAnsi="Calibri Light" w:cs="Calibri Light"/>
                <w:color w:val="000000" w:themeColor="text1"/>
                <w:lang w:val="en-GB"/>
              </w:rPr>
              <w:t>2.7%</w:t>
            </w:r>
          </w:p>
        </w:tc>
      </w:tr>
      <w:tr w:rsidR="00B65847" w14:paraId="608B9E7A" w14:textId="77777777" w:rsidTr="5C8B0AF3">
        <w:tc>
          <w:tcPr>
            <w:cnfStyle w:val="001000000000" w:firstRow="0" w:lastRow="0" w:firstColumn="1" w:lastColumn="0" w:oddVBand="0" w:evenVBand="0" w:oddHBand="0" w:evenHBand="0" w:firstRowFirstColumn="0" w:firstRowLastColumn="0" w:lastRowFirstColumn="0" w:lastRowLastColumn="0"/>
            <w:tcW w:w="21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D99D97C" w14:textId="77777777" w:rsidR="00B65847" w:rsidRDefault="00B65847" w:rsidP="00B72301">
            <w:pPr>
              <w:spacing w:line="288" w:lineRule="auto"/>
              <w:rPr>
                <w:rFonts w:ascii="Calibri Light" w:eastAsia="Calibri Light" w:hAnsi="Calibri Light" w:cs="Calibri Light"/>
                <w:lang w:val="en-GB"/>
              </w:rPr>
            </w:pPr>
            <w:r w:rsidRPr="419D1AAB">
              <w:rPr>
                <w:rFonts w:ascii="Calibri Light" w:eastAsia="Calibri Light" w:hAnsi="Calibri Light" w:cs="Calibri Light"/>
                <w:lang w:val="en-GB"/>
              </w:rPr>
              <w:t>GEM-E3-FIT</w:t>
            </w:r>
          </w:p>
        </w:tc>
        <w:tc>
          <w:tcPr>
            <w:tcW w:w="13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2395BB6" w14:textId="77777777" w:rsidR="00B65847" w:rsidRDefault="00B65847" w:rsidP="00B72301">
            <w:pPr>
              <w:spacing w:line="288" w:lineRule="auto"/>
              <w:cnfStyle w:val="000000000000" w:firstRow="0" w:lastRow="0" w:firstColumn="0" w:lastColumn="0" w:oddVBand="0" w:evenVBand="0" w:oddHBand="0" w:evenHBand="0" w:firstRowFirstColumn="0" w:firstRowLastColumn="0" w:lastRowFirstColumn="0" w:lastRowLastColumn="0"/>
            </w:pPr>
            <w:r w:rsidRPr="419D1AAB">
              <w:rPr>
                <w:rFonts w:ascii="Calibri Light" w:eastAsia="Calibri Light" w:hAnsi="Calibri Light" w:cs="Calibri Light"/>
                <w:lang w:val="en-GB"/>
              </w:rPr>
              <w:t>-5.0%</w:t>
            </w:r>
          </w:p>
        </w:tc>
        <w:tc>
          <w:tcPr>
            <w:tcW w:w="13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D804403" w14:textId="77777777" w:rsidR="00B65847" w:rsidRDefault="00B65847" w:rsidP="00B72301">
            <w:pPr>
              <w:spacing w:line="288" w:lineRule="auto"/>
              <w:cnfStyle w:val="000000000000" w:firstRow="0" w:lastRow="0" w:firstColumn="0" w:lastColumn="0" w:oddVBand="0" w:evenVBand="0" w:oddHBand="0" w:evenHBand="0" w:firstRowFirstColumn="0" w:firstRowLastColumn="0" w:lastRowFirstColumn="0" w:lastRowLastColumn="0"/>
            </w:pPr>
            <w:r w:rsidRPr="419D1AAB">
              <w:rPr>
                <w:rFonts w:ascii="Calibri Light" w:eastAsia="Calibri Light" w:hAnsi="Calibri Light" w:cs="Calibri Light"/>
                <w:lang w:val="en-GB"/>
              </w:rPr>
              <w:t>4.9%</w:t>
            </w:r>
          </w:p>
        </w:tc>
        <w:tc>
          <w:tcPr>
            <w:tcW w:w="13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CBDFA55" w14:textId="77777777" w:rsidR="00B65847" w:rsidRDefault="00B65847" w:rsidP="00B72301">
            <w:pPr>
              <w:spacing w:line="288" w:lineRule="auto"/>
              <w:cnfStyle w:val="000000000000" w:firstRow="0" w:lastRow="0" w:firstColumn="0" w:lastColumn="0" w:oddVBand="0" w:evenVBand="0" w:oddHBand="0" w:evenHBand="0" w:firstRowFirstColumn="0" w:firstRowLastColumn="0" w:lastRowFirstColumn="0" w:lastRowLastColumn="0"/>
            </w:pPr>
            <w:r w:rsidRPr="419D1AAB">
              <w:rPr>
                <w:rFonts w:ascii="Calibri Light" w:eastAsia="Calibri Light" w:hAnsi="Calibri Light" w:cs="Calibri Light"/>
                <w:lang w:val="en-GB"/>
              </w:rPr>
              <w:t>4.3%</w:t>
            </w:r>
          </w:p>
        </w:tc>
        <w:tc>
          <w:tcPr>
            <w:tcW w:w="142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F398783" w14:textId="77777777" w:rsidR="00B65847" w:rsidRDefault="00B65847" w:rsidP="00B72301">
            <w:pPr>
              <w:spacing w:line="288" w:lineRule="auto"/>
              <w:cnfStyle w:val="000000000000" w:firstRow="0" w:lastRow="0" w:firstColumn="0" w:lastColumn="0" w:oddVBand="0" w:evenVBand="0" w:oddHBand="0" w:evenHBand="0" w:firstRowFirstColumn="0" w:firstRowLastColumn="0" w:lastRowFirstColumn="0" w:lastRowLastColumn="0"/>
            </w:pPr>
            <w:r w:rsidRPr="419D1AAB">
              <w:rPr>
                <w:rFonts w:ascii="Calibri Light" w:eastAsia="Calibri Light" w:hAnsi="Calibri Light" w:cs="Calibri Light"/>
                <w:lang w:val="en-GB"/>
              </w:rPr>
              <w:t>3.6%</w:t>
            </w:r>
          </w:p>
        </w:tc>
        <w:tc>
          <w:tcPr>
            <w:tcW w:w="142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D10975C" w14:textId="77777777" w:rsidR="00B65847" w:rsidRDefault="00B65847" w:rsidP="00B72301">
            <w:pPr>
              <w:spacing w:line="288" w:lineRule="auto"/>
              <w:cnfStyle w:val="000000000000" w:firstRow="0" w:lastRow="0" w:firstColumn="0" w:lastColumn="0" w:oddVBand="0" w:evenVBand="0" w:oddHBand="0" w:evenHBand="0" w:firstRowFirstColumn="0" w:firstRowLastColumn="0" w:lastRowFirstColumn="0" w:lastRowLastColumn="0"/>
            </w:pPr>
            <w:r w:rsidRPr="419D1AAB">
              <w:rPr>
                <w:rFonts w:ascii="Calibri Light" w:eastAsia="Calibri Light" w:hAnsi="Calibri Light" w:cs="Calibri Light"/>
                <w:lang w:val="en-GB"/>
              </w:rPr>
              <w:t>2.9%</w:t>
            </w:r>
          </w:p>
        </w:tc>
      </w:tr>
    </w:tbl>
    <w:p w14:paraId="674BAA66" w14:textId="44E52F82" w:rsidR="00B65847" w:rsidRDefault="00B65847" w:rsidP="5C8B0AF3">
      <w:pPr>
        <w:spacing w:line="288" w:lineRule="auto"/>
        <w:rPr>
          <w:rFonts w:ascii="Calibri Light" w:eastAsia="Calibri Light" w:hAnsi="Calibri Light" w:cs="Calibri Light"/>
          <w:color w:val="000000" w:themeColor="text1"/>
          <w:sz w:val="20"/>
          <w:szCs w:val="20"/>
          <w:lang w:val="en-GB"/>
        </w:rPr>
      </w:pPr>
      <w:r w:rsidRPr="5C8B0AF3">
        <w:rPr>
          <w:rFonts w:ascii="Calibri Light" w:eastAsia="Calibri Light" w:hAnsi="Calibri Light" w:cs="Calibri Light"/>
          <w:i/>
          <w:iCs/>
          <w:color w:val="000000" w:themeColor="text1"/>
          <w:sz w:val="20"/>
          <w:szCs w:val="20"/>
          <w:lang w:val="en-GB"/>
        </w:rPr>
        <w:t xml:space="preserve">* </w:t>
      </w:r>
      <w:r w:rsidRPr="5C8B0AF3">
        <w:rPr>
          <w:rFonts w:ascii="Calibri Light" w:eastAsia="Calibri Light" w:hAnsi="Calibri Light" w:cs="Calibri Light"/>
          <w:color w:val="000000" w:themeColor="text1"/>
          <w:sz w:val="20"/>
          <w:szCs w:val="20"/>
          <w:lang w:val="en-GB"/>
        </w:rPr>
        <w:t xml:space="preserve">IMAGE used the E3ME GDP data, which shows a similar increase between the </w:t>
      </w:r>
      <w:r w:rsidR="02ED105B" w:rsidRPr="5C8B0AF3">
        <w:rPr>
          <w:rFonts w:ascii="Calibri Light" w:eastAsia="Calibri Light" w:hAnsi="Calibri Light" w:cs="Calibri Light"/>
          <w:lang w:val="en-GB"/>
        </w:rPr>
        <w:t xml:space="preserve">COVID </w:t>
      </w:r>
      <w:r w:rsidRPr="5C8B0AF3">
        <w:rPr>
          <w:rFonts w:ascii="Calibri Light" w:eastAsia="Calibri Light" w:hAnsi="Calibri Light" w:cs="Calibri Light"/>
          <w:color w:val="000000" w:themeColor="text1"/>
          <w:sz w:val="20"/>
          <w:szCs w:val="20"/>
          <w:lang w:val="en-GB"/>
        </w:rPr>
        <w:t>and Green Recovery scenario</w:t>
      </w:r>
    </w:p>
    <w:p w14:paraId="3036BB2B" w14:textId="77777777" w:rsidR="00B65847" w:rsidRDefault="00B65847" w:rsidP="00B65847">
      <w:pPr>
        <w:spacing w:line="288" w:lineRule="auto"/>
        <w:rPr>
          <w:rFonts w:ascii="Calibri Light" w:eastAsia="Calibri Light" w:hAnsi="Calibri Light" w:cs="Calibri Light"/>
          <w:i/>
          <w:iCs/>
          <w:lang w:val="en-GB"/>
        </w:rPr>
      </w:pPr>
    </w:p>
    <w:p w14:paraId="5CD50377" w14:textId="4DE75DA6" w:rsidR="00B65847" w:rsidRDefault="00B65847" w:rsidP="00B65847">
      <w:pPr>
        <w:spacing w:line="288" w:lineRule="auto"/>
        <w:rPr>
          <w:rFonts w:ascii="Calibri Light" w:eastAsia="Calibri Light" w:hAnsi="Calibri Light" w:cs="Calibri Light"/>
          <w:lang w:val="en-GB"/>
        </w:rPr>
      </w:pPr>
      <w:r w:rsidRPr="525F22B9">
        <w:rPr>
          <w:rFonts w:ascii="Calibri Light" w:eastAsia="Calibri Light" w:hAnsi="Calibri Light" w:cs="Calibri Light"/>
          <w:lang w:val="en-GB"/>
        </w:rPr>
        <w:t>Supplementary Table 2:</w:t>
      </w:r>
      <w:r w:rsidRPr="525F22B9">
        <w:rPr>
          <w:rFonts w:ascii="Calibri Light" w:eastAsia="Calibri Light" w:hAnsi="Calibri Light" w:cs="Calibri Light"/>
          <w:i/>
          <w:iCs/>
          <w:lang w:val="en-GB"/>
        </w:rPr>
        <w:t xml:space="preserve"> </w:t>
      </w:r>
      <w:r w:rsidRPr="525F22B9">
        <w:rPr>
          <w:rFonts w:ascii="Calibri Light" w:eastAsia="Calibri Light" w:hAnsi="Calibri Light" w:cs="Calibri Light"/>
          <w:lang w:val="en-GB"/>
        </w:rPr>
        <w:t>Projected changes in GDP and employment for 2025 and 2030 between the</w:t>
      </w:r>
      <w:r w:rsidRPr="525F22B9">
        <w:rPr>
          <w:rFonts w:ascii="Calibri Light" w:eastAsia="Calibri Light" w:hAnsi="Calibri Light" w:cs="Calibri Light"/>
          <w:color w:val="000000" w:themeColor="text1"/>
          <w:lang w:val="en-GB"/>
        </w:rPr>
        <w:t xml:space="preserve"> </w:t>
      </w:r>
      <w:r w:rsidR="7FEF31B8" w:rsidRPr="525F22B9">
        <w:rPr>
          <w:rFonts w:ascii="Calibri Light" w:eastAsia="Calibri Light" w:hAnsi="Calibri Light" w:cs="Calibri Light"/>
          <w:color w:val="000000" w:themeColor="text1"/>
          <w:lang w:val="en-GB"/>
        </w:rPr>
        <w:t>COVID</w:t>
      </w:r>
      <w:r w:rsidR="44744A1E" w:rsidRPr="525F22B9">
        <w:rPr>
          <w:rFonts w:ascii="Calibri Light" w:eastAsia="Calibri Light" w:hAnsi="Calibri Light" w:cs="Calibri Light"/>
          <w:color w:val="000000" w:themeColor="text1"/>
          <w:lang w:val="en-GB"/>
        </w:rPr>
        <w:t xml:space="preserve"> </w:t>
      </w:r>
      <w:r w:rsidRPr="525F22B9">
        <w:rPr>
          <w:rFonts w:ascii="Calibri Light" w:eastAsia="Calibri Light" w:hAnsi="Calibri Light" w:cs="Calibri Light"/>
          <w:color w:val="000000" w:themeColor="text1"/>
          <w:lang w:val="en-GB"/>
        </w:rPr>
        <w:t>and Green Recovery</w:t>
      </w:r>
      <w:r w:rsidRPr="525F22B9">
        <w:rPr>
          <w:rFonts w:ascii="Calibri Light" w:eastAsia="Calibri Light" w:hAnsi="Calibri Light" w:cs="Calibri Light"/>
          <w:lang w:val="en-GB"/>
        </w:rPr>
        <w:t xml:space="preserve"> scenarios, as projected by E3ME and GEM-E3-FIT models</w:t>
      </w:r>
    </w:p>
    <w:tbl>
      <w:tblPr>
        <w:tblStyle w:val="PlainTable1"/>
        <w:tblW w:w="0" w:type="auto"/>
        <w:tblLayout w:type="fixed"/>
        <w:tblLook w:val="04A0" w:firstRow="1" w:lastRow="0" w:firstColumn="1" w:lastColumn="0" w:noHBand="0" w:noVBand="1"/>
      </w:tblPr>
      <w:tblGrid>
        <w:gridCol w:w="2070"/>
        <w:gridCol w:w="1560"/>
        <w:gridCol w:w="1800"/>
        <w:gridCol w:w="1800"/>
        <w:gridCol w:w="1800"/>
      </w:tblGrid>
      <w:tr w:rsidR="00B65847" w14:paraId="29B56F14" w14:textId="77777777" w:rsidTr="00B723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2F2C218" w14:textId="77777777" w:rsidR="00B65847" w:rsidRDefault="00B65847" w:rsidP="00B72301">
            <w:pPr>
              <w:spacing w:line="288" w:lineRule="auto"/>
            </w:pPr>
            <w:r w:rsidRPr="7F37420B">
              <w:rPr>
                <w:rFonts w:ascii="Calibri Light" w:eastAsia="Calibri Light" w:hAnsi="Calibri Light" w:cs="Calibri Light"/>
                <w:lang w:val="en-GB"/>
              </w:rPr>
              <w:t xml:space="preserve"> </w:t>
            </w:r>
          </w:p>
        </w:tc>
        <w:tc>
          <w:tcPr>
            <w:tcW w:w="336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60D1910" w14:textId="77777777" w:rsidR="00B65847" w:rsidRDefault="00B65847" w:rsidP="00B72301">
            <w:pPr>
              <w:spacing w:line="288" w:lineRule="auto"/>
              <w:jc w:val="center"/>
              <w:cnfStyle w:val="100000000000" w:firstRow="1" w:lastRow="0" w:firstColumn="0" w:lastColumn="0" w:oddVBand="0" w:evenVBand="0" w:oddHBand="0" w:evenHBand="0" w:firstRowFirstColumn="0" w:firstRowLastColumn="0" w:lastRowFirstColumn="0" w:lastRowLastColumn="0"/>
            </w:pPr>
            <w:r w:rsidRPr="7F37420B">
              <w:rPr>
                <w:rFonts w:ascii="Calibri Light" w:eastAsia="Calibri Light" w:hAnsi="Calibri Light" w:cs="Calibri Light"/>
                <w:lang w:val="en-GB"/>
              </w:rPr>
              <w:t>GEM-E3-FIT</w:t>
            </w:r>
          </w:p>
        </w:tc>
        <w:tc>
          <w:tcPr>
            <w:tcW w:w="3600" w:type="dxa"/>
            <w:gridSpan w:val="2"/>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Pr>
          <w:p w14:paraId="1F876EE1" w14:textId="77777777" w:rsidR="00B65847" w:rsidRDefault="00B65847" w:rsidP="00B72301">
            <w:pPr>
              <w:spacing w:line="288" w:lineRule="auto"/>
              <w:jc w:val="center"/>
              <w:cnfStyle w:val="100000000000" w:firstRow="1" w:lastRow="0" w:firstColumn="0" w:lastColumn="0" w:oddVBand="0" w:evenVBand="0" w:oddHBand="0" w:evenHBand="0" w:firstRowFirstColumn="0" w:firstRowLastColumn="0" w:lastRowFirstColumn="0" w:lastRowLastColumn="0"/>
            </w:pPr>
            <w:r w:rsidRPr="7F37420B">
              <w:rPr>
                <w:rFonts w:ascii="Calibri Light" w:eastAsia="Calibri Light" w:hAnsi="Calibri Light" w:cs="Calibri Light"/>
                <w:lang w:val="en-GB"/>
              </w:rPr>
              <w:t>E3ME</w:t>
            </w:r>
          </w:p>
        </w:tc>
      </w:tr>
      <w:tr w:rsidR="00B65847" w14:paraId="65181330" w14:textId="77777777" w:rsidTr="00B723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07314BA" w14:textId="77777777" w:rsidR="00B65847" w:rsidRDefault="00B65847" w:rsidP="00B72301">
            <w:pPr>
              <w:spacing w:line="288" w:lineRule="auto"/>
            </w:pPr>
            <w:r w:rsidRPr="7F37420B">
              <w:rPr>
                <w:rFonts w:ascii="Calibri Light" w:eastAsia="Calibri Light" w:hAnsi="Calibri Light" w:cs="Calibri Light"/>
                <w:lang w:val="en-GB"/>
              </w:rPr>
              <w:t xml:space="preserve"> </w:t>
            </w:r>
          </w:p>
        </w:tc>
        <w:tc>
          <w:tcPr>
            <w:tcW w:w="15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9EF01D4" w14:textId="77777777" w:rsidR="00B65847" w:rsidRDefault="00B65847" w:rsidP="00B72301">
            <w:pPr>
              <w:spacing w:line="288" w:lineRule="auto"/>
              <w:jc w:val="center"/>
              <w:cnfStyle w:val="000000100000" w:firstRow="0" w:lastRow="0" w:firstColumn="0" w:lastColumn="0" w:oddVBand="0" w:evenVBand="0" w:oddHBand="1" w:evenHBand="0" w:firstRowFirstColumn="0" w:firstRowLastColumn="0" w:lastRowFirstColumn="0" w:lastRowLastColumn="0"/>
            </w:pPr>
            <w:r w:rsidRPr="7F37420B">
              <w:rPr>
                <w:rFonts w:ascii="Calibri Light" w:eastAsia="Calibri Light" w:hAnsi="Calibri Light" w:cs="Calibri Light"/>
                <w:color w:val="000000" w:themeColor="text1"/>
                <w:lang w:val="en-GB"/>
              </w:rPr>
              <w:t>2025</w:t>
            </w:r>
          </w:p>
        </w:tc>
        <w:tc>
          <w:tcPr>
            <w:tcW w:w="1800"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1260F2F" w14:textId="77777777" w:rsidR="00B65847" w:rsidRDefault="00B65847" w:rsidP="00B72301">
            <w:pPr>
              <w:spacing w:line="288" w:lineRule="auto"/>
              <w:jc w:val="center"/>
              <w:cnfStyle w:val="000000100000" w:firstRow="0" w:lastRow="0" w:firstColumn="0" w:lastColumn="0" w:oddVBand="0" w:evenVBand="0" w:oddHBand="1" w:evenHBand="0" w:firstRowFirstColumn="0" w:firstRowLastColumn="0" w:lastRowFirstColumn="0" w:lastRowLastColumn="0"/>
            </w:pPr>
            <w:r w:rsidRPr="7F37420B">
              <w:rPr>
                <w:rFonts w:ascii="Calibri Light" w:eastAsia="Calibri Light" w:hAnsi="Calibri Light" w:cs="Calibri Light"/>
                <w:color w:val="000000" w:themeColor="text1"/>
                <w:lang w:val="en-GB"/>
              </w:rPr>
              <w:t>2030</w:t>
            </w: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C2170DD" w14:textId="77777777" w:rsidR="00B65847" w:rsidRDefault="00B65847" w:rsidP="00B72301">
            <w:pPr>
              <w:spacing w:line="288" w:lineRule="auto"/>
              <w:jc w:val="center"/>
              <w:cnfStyle w:val="000000100000" w:firstRow="0" w:lastRow="0" w:firstColumn="0" w:lastColumn="0" w:oddVBand="0" w:evenVBand="0" w:oddHBand="1" w:evenHBand="0" w:firstRowFirstColumn="0" w:firstRowLastColumn="0" w:lastRowFirstColumn="0" w:lastRowLastColumn="0"/>
            </w:pPr>
            <w:r w:rsidRPr="7F37420B">
              <w:rPr>
                <w:rFonts w:ascii="Calibri Light" w:eastAsia="Calibri Light" w:hAnsi="Calibri Light" w:cs="Calibri Light"/>
                <w:color w:val="000000" w:themeColor="text1"/>
                <w:lang w:val="en-GB"/>
              </w:rPr>
              <w:t>2025</w:t>
            </w:r>
          </w:p>
        </w:tc>
        <w:tc>
          <w:tcPr>
            <w:tcW w:w="1800"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9F3B29E" w14:textId="77777777" w:rsidR="00B65847" w:rsidRDefault="00B65847" w:rsidP="00B72301">
            <w:pPr>
              <w:spacing w:line="288" w:lineRule="auto"/>
              <w:jc w:val="center"/>
              <w:cnfStyle w:val="000000100000" w:firstRow="0" w:lastRow="0" w:firstColumn="0" w:lastColumn="0" w:oddVBand="0" w:evenVBand="0" w:oddHBand="1" w:evenHBand="0" w:firstRowFirstColumn="0" w:firstRowLastColumn="0" w:lastRowFirstColumn="0" w:lastRowLastColumn="0"/>
            </w:pPr>
            <w:r w:rsidRPr="7F37420B">
              <w:rPr>
                <w:rFonts w:ascii="Calibri Light" w:eastAsia="Calibri Light" w:hAnsi="Calibri Light" w:cs="Calibri Light"/>
                <w:color w:val="000000" w:themeColor="text1"/>
                <w:lang w:val="en-GB"/>
              </w:rPr>
              <w:t>2030</w:t>
            </w:r>
          </w:p>
        </w:tc>
      </w:tr>
      <w:tr w:rsidR="00B65847" w14:paraId="18672903" w14:textId="77777777" w:rsidTr="00B72301">
        <w:tc>
          <w:tcPr>
            <w:cnfStyle w:val="001000000000" w:firstRow="0" w:lastRow="0" w:firstColumn="1" w:lastColumn="0" w:oddVBand="0" w:evenVBand="0" w:oddHBand="0" w:evenHBand="0" w:firstRowFirstColumn="0" w:firstRowLastColumn="0" w:lastRowFirstColumn="0" w:lastRowLastColumn="0"/>
            <w:tcW w:w="20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7A516B1" w14:textId="77777777" w:rsidR="00B65847" w:rsidRDefault="00B65847" w:rsidP="00B72301">
            <w:pPr>
              <w:spacing w:line="288" w:lineRule="auto"/>
            </w:pPr>
            <w:r w:rsidRPr="7F37420B">
              <w:rPr>
                <w:rFonts w:ascii="Calibri Light" w:eastAsia="Calibri Light" w:hAnsi="Calibri Light" w:cs="Calibri Light"/>
                <w:lang w:val="en-GB"/>
              </w:rPr>
              <w:t>Global GDP</w:t>
            </w:r>
          </w:p>
        </w:tc>
        <w:tc>
          <w:tcPr>
            <w:tcW w:w="15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364609D" w14:textId="77777777" w:rsidR="00B65847" w:rsidRDefault="00B65847" w:rsidP="00B72301">
            <w:pPr>
              <w:spacing w:line="288" w:lineRule="auto"/>
              <w:jc w:val="center"/>
              <w:cnfStyle w:val="000000000000" w:firstRow="0" w:lastRow="0" w:firstColumn="0" w:lastColumn="0" w:oddVBand="0" w:evenVBand="0" w:oddHBand="0" w:evenHBand="0" w:firstRowFirstColumn="0" w:firstRowLastColumn="0" w:lastRowFirstColumn="0" w:lastRowLastColumn="0"/>
            </w:pPr>
            <w:r w:rsidRPr="7F37420B">
              <w:rPr>
                <w:rFonts w:ascii="Calibri Light" w:eastAsia="Calibri Light" w:hAnsi="Calibri Light" w:cs="Calibri Light"/>
                <w:lang w:val="en-GB"/>
              </w:rPr>
              <w:t>0.5%</w:t>
            </w: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CDB387B" w14:textId="77777777" w:rsidR="00B65847" w:rsidRDefault="00B65847" w:rsidP="00B72301">
            <w:pPr>
              <w:spacing w:line="288" w:lineRule="auto"/>
              <w:jc w:val="center"/>
              <w:cnfStyle w:val="000000000000" w:firstRow="0" w:lastRow="0" w:firstColumn="0" w:lastColumn="0" w:oddVBand="0" w:evenVBand="0" w:oddHBand="0" w:evenHBand="0" w:firstRowFirstColumn="0" w:firstRowLastColumn="0" w:lastRowFirstColumn="0" w:lastRowLastColumn="0"/>
            </w:pPr>
            <w:r w:rsidRPr="7F37420B">
              <w:rPr>
                <w:rFonts w:ascii="Calibri Light" w:eastAsia="Calibri Light" w:hAnsi="Calibri Light" w:cs="Calibri Light"/>
                <w:lang w:val="en-GB"/>
              </w:rPr>
              <w:t>0.5%</w:t>
            </w: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112B189" w14:textId="77777777" w:rsidR="00B65847" w:rsidRDefault="00B65847" w:rsidP="00B72301">
            <w:pPr>
              <w:spacing w:line="288" w:lineRule="auto"/>
              <w:jc w:val="center"/>
              <w:cnfStyle w:val="000000000000" w:firstRow="0" w:lastRow="0" w:firstColumn="0" w:lastColumn="0" w:oddVBand="0" w:evenVBand="0" w:oddHBand="0" w:evenHBand="0" w:firstRowFirstColumn="0" w:firstRowLastColumn="0" w:lastRowFirstColumn="0" w:lastRowLastColumn="0"/>
            </w:pPr>
            <w:r w:rsidRPr="7F37420B">
              <w:rPr>
                <w:rFonts w:ascii="Calibri Light" w:eastAsia="Calibri Light" w:hAnsi="Calibri Light" w:cs="Calibri Light"/>
                <w:lang w:val="en-GB"/>
              </w:rPr>
              <w:t>0.2%</w:t>
            </w: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5318925" w14:textId="77777777" w:rsidR="00B65847" w:rsidRDefault="00B65847" w:rsidP="00B72301">
            <w:pPr>
              <w:spacing w:line="288" w:lineRule="auto"/>
              <w:jc w:val="center"/>
              <w:cnfStyle w:val="000000000000" w:firstRow="0" w:lastRow="0" w:firstColumn="0" w:lastColumn="0" w:oddVBand="0" w:evenVBand="0" w:oddHBand="0" w:evenHBand="0" w:firstRowFirstColumn="0" w:firstRowLastColumn="0" w:lastRowFirstColumn="0" w:lastRowLastColumn="0"/>
            </w:pPr>
            <w:r w:rsidRPr="7F37420B">
              <w:rPr>
                <w:rFonts w:ascii="Calibri Light" w:eastAsia="Calibri Light" w:hAnsi="Calibri Light" w:cs="Calibri Light"/>
                <w:lang w:val="en-GB"/>
              </w:rPr>
              <w:t>0.2%</w:t>
            </w:r>
          </w:p>
        </w:tc>
      </w:tr>
      <w:tr w:rsidR="00B65847" w14:paraId="5065E356" w14:textId="77777777" w:rsidTr="00B723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89D0B7E" w14:textId="77777777" w:rsidR="00B65847" w:rsidRDefault="00B65847" w:rsidP="00B72301">
            <w:pPr>
              <w:spacing w:line="288" w:lineRule="auto"/>
            </w:pPr>
            <w:r w:rsidRPr="7F37420B">
              <w:rPr>
                <w:rFonts w:ascii="Calibri Light" w:eastAsia="Calibri Light" w:hAnsi="Calibri Light" w:cs="Calibri Light"/>
                <w:color w:val="000000" w:themeColor="text1"/>
                <w:lang w:val="en-GB"/>
              </w:rPr>
              <w:t>Global Employment</w:t>
            </w:r>
          </w:p>
        </w:tc>
        <w:tc>
          <w:tcPr>
            <w:tcW w:w="15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BCEAB7A" w14:textId="77777777" w:rsidR="00B65847" w:rsidRDefault="00B65847" w:rsidP="00B72301">
            <w:pPr>
              <w:spacing w:line="288" w:lineRule="auto"/>
              <w:jc w:val="center"/>
              <w:cnfStyle w:val="000000100000" w:firstRow="0" w:lastRow="0" w:firstColumn="0" w:lastColumn="0" w:oddVBand="0" w:evenVBand="0" w:oddHBand="1" w:evenHBand="0" w:firstRowFirstColumn="0" w:firstRowLastColumn="0" w:lastRowFirstColumn="0" w:lastRowLastColumn="0"/>
            </w:pPr>
            <w:r w:rsidRPr="7F37420B">
              <w:rPr>
                <w:rFonts w:ascii="Calibri Light" w:eastAsia="Calibri Light" w:hAnsi="Calibri Light" w:cs="Calibri Light"/>
                <w:color w:val="000000" w:themeColor="text1"/>
                <w:lang w:val="en-GB"/>
              </w:rPr>
              <w:t>0.4%</w:t>
            </w: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29544D4" w14:textId="77777777" w:rsidR="00B65847" w:rsidRDefault="00B65847" w:rsidP="00B72301">
            <w:pPr>
              <w:spacing w:line="288" w:lineRule="auto"/>
              <w:jc w:val="center"/>
              <w:cnfStyle w:val="000000100000" w:firstRow="0" w:lastRow="0" w:firstColumn="0" w:lastColumn="0" w:oddVBand="0" w:evenVBand="0" w:oddHBand="1" w:evenHBand="0" w:firstRowFirstColumn="0" w:firstRowLastColumn="0" w:lastRowFirstColumn="0" w:lastRowLastColumn="0"/>
            </w:pPr>
            <w:r w:rsidRPr="7F37420B">
              <w:rPr>
                <w:rFonts w:ascii="Calibri Light" w:eastAsia="Calibri Light" w:hAnsi="Calibri Light" w:cs="Calibri Light"/>
                <w:color w:val="000000" w:themeColor="text1"/>
                <w:lang w:val="en-GB"/>
              </w:rPr>
              <w:t>0.4%</w:t>
            </w: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37E6D3B" w14:textId="77777777" w:rsidR="00B65847" w:rsidRDefault="00B65847" w:rsidP="00B72301">
            <w:pPr>
              <w:spacing w:line="288" w:lineRule="auto"/>
              <w:jc w:val="center"/>
              <w:cnfStyle w:val="000000100000" w:firstRow="0" w:lastRow="0" w:firstColumn="0" w:lastColumn="0" w:oddVBand="0" w:evenVBand="0" w:oddHBand="1" w:evenHBand="0" w:firstRowFirstColumn="0" w:firstRowLastColumn="0" w:lastRowFirstColumn="0" w:lastRowLastColumn="0"/>
            </w:pPr>
            <w:r w:rsidRPr="7F37420B">
              <w:rPr>
                <w:rFonts w:ascii="Calibri Light" w:eastAsia="Calibri Light" w:hAnsi="Calibri Light" w:cs="Calibri Light"/>
                <w:color w:val="000000" w:themeColor="text1"/>
                <w:lang w:val="en-GB"/>
              </w:rPr>
              <w:t>0.0%</w:t>
            </w: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4313FB5" w14:textId="77777777" w:rsidR="00B65847" w:rsidRDefault="00B65847" w:rsidP="00B72301">
            <w:pPr>
              <w:spacing w:line="288" w:lineRule="auto"/>
              <w:jc w:val="center"/>
              <w:cnfStyle w:val="000000100000" w:firstRow="0" w:lastRow="0" w:firstColumn="0" w:lastColumn="0" w:oddVBand="0" w:evenVBand="0" w:oddHBand="1" w:evenHBand="0" w:firstRowFirstColumn="0" w:firstRowLastColumn="0" w:lastRowFirstColumn="0" w:lastRowLastColumn="0"/>
            </w:pPr>
            <w:r w:rsidRPr="7F37420B">
              <w:rPr>
                <w:rFonts w:ascii="Calibri Light" w:eastAsia="Calibri Light" w:hAnsi="Calibri Light" w:cs="Calibri Light"/>
                <w:color w:val="000000" w:themeColor="text1"/>
                <w:lang w:val="en-GB"/>
              </w:rPr>
              <w:t>0.0%</w:t>
            </w:r>
          </w:p>
        </w:tc>
      </w:tr>
      <w:tr w:rsidR="00B65847" w14:paraId="3AD75B16" w14:textId="77777777" w:rsidTr="00B72301">
        <w:tc>
          <w:tcPr>
            <w:cnfStyle w:val="001000000000" w:firstRow="0" w:lastRow="0" w:firstColumn="1" w:lastColumn="0" w:oddVBand="0" w:evenVBand="0" w:oddHBand="0" w:evenHBand="0" w:firstRowFirstColumn="0" w:firstRowLastColumn="0" w:lastRowFirstColumn="0" w:lastRowLastColumn="0"/>
            <w:tcW w:w="20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FCF3940" w14:textId="77777777" w:rsidR="00B65847" w:rsidRDefault="00B65847" w:rsidP="00B72301">
            <w:pPr>
              <w:spacing w:line="288" w:lineRule="auto"/>
            </w:pPr>
            <w:r w:rsidRPr="7F37420B">
              <w:rPr>
                <w:rFonts w:ascii="Calibri Light" w:eastAsia="Calibri Light" w:hAnsi="Calibri Light" w:cs="Calibri Light"/>
                <w:lang w:val="en-GB"/>
              </w:rPr>
              <w:t>EU GDP</w:t>
            </w:r>
          </w:p>
        </w:tc>
        <w:tc>
          <w:tcPr>
            <w:tcW w:w="15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BD43260" w14:textId="77777777" w:rsidR="00B65847" w:rsidRDefault="00B65847" w:rsidP="00B72301">
            <w:pPr>
              <w:spacing w:line="288" w:lineRule="auto"/>
              <w:jc w:val="center"/>
              <w:cnfStyle w:val="000000000000" w:firstRow="0" w:lastRow="0" w:firstColumn="0" w:lastColumn="0" w:oddVBand="0" w:evenVBand="0" w:oddHBand="0" w:evenHBand="0" w:firstRowFirstColumn="0" w:firstRowLastColumn="0" w:lastRowFirstColumn="0" w:lastRowLastColumn="0"/>
            </w:pPr>
            <w:r w:rsidRPr="7F37420B">
              <w:rPr>
                <w:rFonts w:ascii="Calibri Light" w:eastAsia="Calibri Light" w:hAnsi="Calibri Light" w:cs="Calibri Light"/>
                <w:lang w:val="en-GB"/>
              </w:rPr>
              <w:t>1.0%</w:t>
            </w: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69D7CE5" w14:textId="77777777" w:rsidR="00B65847" w:rsidRDefault="00B65847" w:rsidP="00B72301">
            <w:pPr>
              <w:spacing w:line="288" w:lineRule="auto"/>
              <w:jc w:val="center"/>
              <w:cnfStyle w:val="000000000000" w:firstRow="0" w:lastRow="0" w:firstColumn="0" w:lastColumn="0" w:oddVBand="0" w:evenVBand="0" w:oddHBand="0" w:evenHBand="0" w:firstRowFirstColumn="0" w:firstRowLastColumn="0" w:lastRowFirstColumn="0" w:lastRowLastColumn="0"/>
            </w:pPr>
            <w:r w:rsidRPr="7F37420B">
              <w:rPr>
                <w:rFonts w:ascii="Calibri Light" w:eastAsia="Calibri Light" w:hAnsi="Calibri Light" w:cs="Calibri Light"/>
                <w:lang w:val="en-GB"/>
              </w:rPr>
              <w:t>0.9%</w:t>
            </w: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2CD25F3" w14:textId="77777777" w:rsidR="00B65847" w:rsidRDefault="00B65847" w:rsidP="00B72301">
            <w:pPr>
              <w:spacing w:line="288" w:lineRule="auto"/>
              <w:jc w:val="center"/>
              <w:cnfStyle w:val="000000000000" w:firstRow="0" w:lastRow="0" w:firstColumn="0" w:lastColumn="0" w:oddVBand="0" w:evenVBand="0" w:oddHBand="0" w:evenHBand="0" w:firstRowFirstColumn="0" w:firstRowLastColumn="0" w:lastRowFirstColumn="0" w:lastRowLastColumn="0"/>
            </w:pPr>
            <w:r w:rsidRPr="7F37420B">
              <w:rPr>
                <w:rFonts w:ascii="Calibri Light" w:eastAsia="Calibri Light" w:hAnsi="Calibri Light" w:cs="Calibri Light"/>
                <w:lang w:val="en-GB"/>
              </w:rPr>
              <w:t>0.8%</w:t>
            </w: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3359D12" w14:textId="77777777" w:rsidR="00B65847" w:rsidRDefault="00B65847" w:rsidP="00B72301">
            <w:pPr>
              <w:spacing w:line="288" w:lineRule="auto"/>
              <w:jc w:val="center"/>
              <w:cnfStyle w:val="000000000000" w:firstRow="0" w:lastRow="0" w:firstColumn="0" w:lastColumn="0" w:oddVBand="0" w:evenVBand="0" w:oddHBand="0" w:evenHBand="0" w:firstRowFirstColumn="0" w:firstRowLastColumn="0" w:lastRowFirstColumn="0" w:lastRowLastColumn="0"/>
            </w:pPr>
            <w:r w:rsidRPr="7F37420B">
              <w:rPr>
                <w:rFonts w:ascii="Calibri Light" w:eastAsia="Calibri Light" w:hAnsi="Calibri Light" w:cs="Calibri Light"/>
                <w:lang w:val="en-GB"/>
              </w:rPr>
              <w:t>0.5%</w:t>
            </w:r>
          </w:p>
        </w:tc>
      </w:tr>
      <w:tr w:rsidR="00B65847" w14:paraId="680F5D50" w14:textId="77777777" w:rsidTr="00B723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2CE2086" w14:textId="77777777" w:rsidR="00B65847" w:rsidRDefault="00B65847" w:rsidP="00B72301">
            <w:pPr>
              <w:spacing w:line="288" w:lineRule="auto"/>
            </w:pPr>
            <w:r w:rsidRPr="7F37420B">
              <w:rPr>
                <w:rFonts w:ascii="Calibri Light" w:eastAsia="Calibri Light" w:hAnsi="Calibri Light" w:cs="Calibri Light"/>
                <w:color w:val="000000" w:themeColor="text1"/>
                <w:lang w:val="en-GB"/>
              </w:rPr>
              <w:t>EU Employment</w:t>
            </w:r>
          </w:p>
        </w:tc>
        <w:tc>
          <w:tcPr>
            <w:tcW w:w="15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8C2BB19" w14:textId="77777777" w:rsidR="00B65847" w:rsidRDefault="00B65847" w:rsidP="00B72301">
            <w:pPr>
              <w:spacing w:line="288" w:lineRule="auto"/>
              <w:jc w:val="center"/>
              <w:cnfStyle w:val="000000100000" w:firstRow="0" w:lastRow="0" w:firstColumn="0" w:lastColumn="0" w:oddVBand="0" w:evenVBand="0" w:oddHBand="1" w:evenHBand="0" w:firstRowFirstColumn="0" w:firstRowLastColumn="0" w:lastRowFirstColumn="0" w:lastRowLastColumn="0"/>
            </w:pPr>
            <w:r w:rsidRPr="7F37420B">
              <w:rPr>
                <w:rFonts w:ascii="Calibri Light" w:eastAsia="Calibri Light" w:hAnsi="Calibri Light" w:cs="Calibri Light"/>
                <w:color w:val="000000" w:themeColor="text1"/>
                <w:lang w:val="en-GB"/>
              </w:rPr>
              <w:t>1.0%</w:t>
            </w: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190A931" w14:textId="77777777" w:rsidR="00B65847" w:rsidRDefault="00B65847" w:rsidP="00B72301">
            <w:pPr>
              <w:spacing w:line="288" w:lineRule="auto"/>
              <w:jc w:val="center"/>
              <w:cnfStyle w:val="000000100000" w:firstRow="0" w:lastRow="0" w:firstColumn="0" w:lastColumn="0" w:oddVBand="0" w:evenVBand="0" w:oddHBand="1" w:evenHBand="0" w:firstRowFirstColumn="0" w:firstRowLastColumn="0" w:lastRowFirstColumn="0" w:lastRowLastColumn="0"/>
            </w:pPr>
            <w:r w:rsidRPr="7F37420B">
              <w:rPr>
                <w:rFonts w:ascii="Calibri Light" w:eastAsia="Calibri Light" w:hAnsi="Calibri Light" w:cs="Calibri Light"/>
                <w:color w:val="000000" w:themeColor="text1"/>
                <w:lang w:val="en-GB"/>
              </w:rPr>
              <w:t>0.6%</w:t>
            </w: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5B780FC" w14:textId="77777777" w:rsidR="00B65847" w:rsidRDefault="00B65847" w:rsidP="00B72301">
            <w:pPr>
              <w:spacing w:line="288" w:lineRule="auto"/>
              <w:jc w:val="center"/>
              <w:cnfStyle w:val="000000100000" w:firstRow="0" w:lastRow="0" w:firstColumn="0" w:lastColumn="0" w:oddVBand="0" w:evenVBand="0" w:oddHBand="1" w:evenHBand="0" w:firstRowFirstColumn="0" w:firstRowLastColumn="0" w:lastRowFirstColumn="0" w:lastRowLastColumn="0"/>
            </w:pPr>
            <w:r w:rsidRPr="7F37420B">
              <w:rPr>
                <w:rFonts w:ascii="Calibri Light" w:eastAsia="Calibri Light" w:hAnsi="Calibri Light" w:cs="Calibri Light"/>
                <w:color w:val="000000" w:themeColor="text1"/>
                <w:lang w:val="en-GB"/>
              </w:rPr>
              <w:t>0.4%</w:t>
            </w: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BDC28A1" w14:textId="77777777" w:rsidR="00B65847" w:rsidRDefault="00B65847" w:rsidP="00B72301">
            <w:pPr>
              <w:spacing w:line="288" w:lineRule="auto"/>
              <w:jc w:val="center"/>
              <w:cnfStyle w:val="000000100000" w:firstRow="0" w:lastRow="0" w:firstColumn="0" w:lastColumn="0" w:oddVBand="0" w:evenVBand="0" w:oddHBand="1" w:evenHBand="0" w:firstRowFirstColumn="0" w:firstRowLastColumn="0" w:lastRowFirstColumn="0" w:lastRowLastColumn="0"/>
            </w:pPr>
            <w:r w:rsidRPr="7F37420B">
              <w:rPr>
                <w:rFonts w:ascii="Calibri Light" w:eastAsia="Calibri Light" w:hAnsi="Calibri Light" w:cs="Calibri Light"/>
                <w:color w:val="000000" w:themeColor="text1"/>
                <w:lang w:val="en-GB"/>
              </w:rPr>
              <w:t>0.3%</w:t>
            </w:r>
          </w:p>
        </w:tc>
      </w:tr>
      <w:tr w:rsidR="00B65847" w14:paraId="12D71605" w14:textId="77777777" w:rsidTr="00B72301">
        <w:tc>
          <w:tcPr>
            <w:cnfStyle w:val="001000000000" w:firstRow="0" w:lastRow="0" w:firstColumn="1" w:lastColumn="0" w:oddVBand="0" w:evenVBand="0" w:oddHBand="0" w:evenHBand="0" w:firstRowFirstColumn="0" w:firstRowLastColumn="0" w:lastRowFirstColumn="0" w:lastRowLastColumn="0"/>
            <w:tcW w:w="20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07BA213" w14:textId="77777777" w:rsidR="00B65847" w:rsidRDefault="00B65847" w:rsidP="00B72301">
            <w:pPr>
              <w:spacing w:line="288" w:lineRule="auto"/>
            </w:pPr>
            <w:r w:rsidRPr="7F37420B">
              <w:rPr>
                <w:rFonts w:ascii="Calibri Light" w:eastAsia="Calibri Light" w:hAnsi="Calibri Light" w:cs="Calibri Light"/>
                <w:lang w:val="en-GB"/>
              </w:rPr>
              <w:t>China GDP</w:t>
            </w:r>
          </w:p>
        </w:tc>
        <w:tc>
          <w:tcPr>
            <w:tcW w:w="15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2058ED8" w14:textId="77777777" w:rsidR="00B65847" w:rsidRDefault="00B65847" w:rsidP="00B72301">
            <w:pPr>
              <w:spacing w:line="288" w:lineRule="auto"/>
              <w:jc w:val="center"/>
              <w:cnfStyle w:val="000000000000" w:firstRow="0" w:lastRow="0" w:firstColumn="0" w:lastColumn="0" w:oddVBand="0" w:evenVBand="0" w:oddHBand="0" w:evenHBand="0" w:firstRowFirstColumn="0" w:firstRowLastColumn="0" w:lastRowFirstColumn="0" w:lastRowLastColumn="0"/>
            </w:pPr>
            <w:r w:rsidRPr="7F37420B">
              <w:rPr>
                <w:rFonts w:ascii="Calibri Light" w:eastAsia="Calibri Light" w:hAnsi="Calibri Light" w:cs="Calibri Light"/>
                <w:lang w:val="en-GB"/>
              </w:rPr>
              <w:t>0.5%</w:t>
            </w: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A45A312" w14:textId="77777777" w:rsidR="00B65847" w:rsidRDefault="00B65847" w:rsidP="00B72301">
            <w:pPr>
              <w:spacing w:line="288" w:lineRule="auto"/>
              <w:jc w:val="center"/>
              <w:cnfStyle w:val="000000000000" w:firstRow="0" w:lastRow="0" w:firstColumn="0" w:lastColumn="0" w:oddVBand="0" w:evenVBand="0" w:oddHBand="0" w:evenHBand="0" w:firstRowFirstColumn="0" w:firstRowLastColumn="0" w:lastRowFirstColumn="0" w:lastRowLastColumn="0"/>
            </w:pPr>
            <w:r w:rsidRPr="7F37420B">
              <w:rPr>
                <w:rFonts w:ascii="Calibri Light" w:eastAsia="Calibri Light" w:hAnsi="Calibri Light" w:cs="Calibri Light"/>
                <w:lang w:val="en-GB"/>
              </w:rPr>
              <w:t>0.4%</w:t>
            </w: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C8DE8FE" w14:textId="77777777" w:rsidR="00B65847" w:rsidRDefault="00B65847" w:rsidP="00B72301">
            <w:pPr>
              <w:spacing w:line="288" w:lineRule="auto"/>
              <w:jc w:val="center"/>
              <w:cnfStyle w:val="000000000000" w:firstRow="0" w:lastRow="0" w:firstColumn="0" w:lastColumn="0" w:oddVBand="0" w:evenVBand="0" w:oddHBand="0" w:evenHBand="0" w:firstRowFirstColumn="0" w:firstRowLastColumn="0" w:lastRowFirstColumn="0" w:lastRowLastColumn="0"/>
            </w:pPr>
            <w:r w:rsidRPr="7F37420B">
              <w:rPr>
                <w:rFonts w:ascii="Calibri Light" w:eastAsia="Calibri Light" w:hAnsi="Calibri Light" w:cs="Calibri Light"/>
                <w:lang w:val="en-GB"/>
              </w:rPr>
              <w:t>0.4%</w:t>
            </w: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B303110" w14:textId="77777777" w:rsidR="00B65847" w:rsidRDefault="00B65847" w:rsidP="00B72301">
            <w:pPr>
              <w:spacing w:line="288" w:lineRule="auto"/>
              <w:jc w:val="center"/>
              <w:cnfStyle w:val="000000000000" w:firstRow="0" w:lastRow="0" w:firstColumn="0" w:lastColumn="0" w:oddVBand="0" w:evenVBand="0" w:oddHBand="0" w:evenHBand="0" w:firstRowFirstColumn="0" w:firstRowLastColumn="0" w:lastRowFirstColumn="0" w:lastRowLastColumn="0"/>
            </w:pPr>
            <w:r w:rsidRPr="7F37420B">
              <w:rPr>
                <w:rFonts w:ascii="Calibri Light" w:eastAsia="Calibri Light" w:hAnsi="Calibri Light" w:cs="Calibri Light"/>
                <w:lang w:val="en-GB"/>
              </w:rPr>
              <w:t>0.6%</w:t>
            </w:r>
          </w:p>
        </w:tc>
      </w:tr>
      <w:tr w:rsidR="00B65847" w14:paraId="6B4631C0" w14:textId="77777777" w:rsidTr="00B723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074842C" w14:textId="77777777" w:rsidR="00B65847" w:rsidRDefault="00B65847" w:rsidP="00B72301">
            <w:pPr>
              <w:spacing w:line="288" w:lineRule="auto"/>
            </w:pPr>
            <w:r w:rsidRPr="7F37420B">
              <w:rPr>
                <w:rFonts w:ascii="Calibri Light" w:eastAsia="Calibri Light" w:hAnsi="Calibri Light" w:cs="Calibri Light"/>
                <w:color w:val="000000" w:themeColor="text1"/>
                <w:lang w:val="en-GB"/>
              </w:rPr>
              <w:t>China Employment</w:t>
            </w:r>
          </w:p>
        </w:tc>
        <w:tc>
          <w:tcPr>
            <w:tcW w:w="15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0FF7B53" w14:textId="77777777" w:rsidR="00B65847" w:rsidRDefault="00B65847" w:rsidP="00B72301">
            <w:pPr>
              <w:spacing w:line="288" w:lineRule="auto"/>
              <w:jc w:val="center"/>
              <w:cnfStyle w:val="000000100000" w:firstRow="0" w:lastRow="0" w:firstColumn="0" w:lastColumn="0" w:oddVBand="0" w:evenVBand="0" w:oddHBand="1" w:evenHBand="0" w:firstRowFirstColumn="0" w:firstRowLastColumn="0" w:lastRowFirstColumn="0" w:lastRowLastColumn="0"/>
            </w:pPr>
            <w:r w:rsidRPr="7F37420B">
              <w:rPr>
                <w:rFonts w:ascii="Calibri Light" w:eastAsia="Calibri Light" w:hAnsi="Calibri Light" w:cs="Calibri Light"/>
                <w:color w:val="000000" w:themeColor="text1"/>
                <w:lang w:val="en-GB"/>
              </w:rPr>
              <w:t>0.4%</w:t>
            </w: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42B1C36" w14:textId="77777777" w:rsidR="00B65847" w:rsidRDefault="00B65847" w:rsidP="00B72301">
            <w:pPr>
              <w:spacing w:line="288" w:lineRule="auto"/>
              <w:jc w:val="center"/>
              <w:cnfStyle w:val="000000100000" w:firstRow="0" w:lastRow="0" w:firstColumn="0" w:lastColumn="0" w:oddVBand="0" w:evenVBand="0" w:oddHBand="1" w:evenHBand="0" w:firstRowFirstColumn="0" w:firstRowLastColumn="0" w:lastRowFirstColumn="0" w:lastRowLastColumn="0"/>
            </w:pPr>
            <w:r w:rsidRPr="7F37420B">
              <w:rPr>
                <w:rFonts w:ascii="Calibri Light" w:eastAsia="Calibri Light" w:hAnsi="Calibri Light" w:cs="Calibri Light"/>
                <w:color w:val="000000" w:themeColor="text1"/>
                <w:lang w:val="en-GB"/>
              </w:rPr>
              <w:t>0.3%</w:t>
            </w: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4E5FD3C" w14:textId="77777777" w:rsidR="00B65847" w:rsidRDefault="00B65847" w:rsidP="00B72301">
            <w:pPr>
              <w:spacing w:line="288" w:lineRule="auto"/>
              <w:jc w:val="center"/>
              <w:cnfStyle w:val="000000100000" w:firstRow="0" w:lastRow="0" w:firstColumn="0" w:lastColumn="0" w:oddVBand="0" w:evenVBand="0" w:oddHBand="1" w:evenHBand="0" w:firstRowFirstColumn="0" w:firstRowLastColumn="0" w:lastRowFirstColumn="0" w:lastRowLastColumn="0"/>
            </w:pPr>
            <w:r w:rsidRPr="7F37420B">
              <w:rPr>
                <w:rFonts w:ascii="Calibri Light" w:eastAsia="Calibri Light" w:hAnsi="Calibri Light" w:cs="Calibri Light"/>
                <w:color w:val="000000" w:themeColor="text1"/>
                <w:lang w:val="en-GB"/>
              </w:rPr>
              <w:t>0.0%</w:t>
            </w: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630DACA" w14:textId="77777777" w:rsidR="00B65847" w:rsidRDefault="00B65847" w:rsidP="00B72301">
            <w:pPr>
              <w:spacing w:line="288" w:lineRule="auto"/>
              <w:jc w:val="center"/>
              <w:cnfStyle w:val="000000100000" w:firstRow="0" w:lastRow="0" w:firstColumn="0" w:lastColumn="0" w:oddVBand="0" w:evenVBand="0" w:oddHBand="1" w:evenHBand="0" w:firstRowFirstColumn="0" w:firstRowLastColumn="0" w:lastRowFirstColumn="0" w:lastRowLastColumn="0"/>
            </w:pPr>
            <w:r w:rsidRPr="7F37420B">
              <w:rPr>
                <w:rFonts w:ascii="Calibri Light" w:eastAsia="Calibri Light" w:hAnsi="Calibri Light" w:cs="Calibri Light"/>
                <w:color w:val="000000" w:themeColor="text1"/>
                <w:lang w:val="en-GB"/>
              </w:rPr>
              <w:t>0.0%</w:t>
            </w:r>
          </w:p>
        </w:tc>
      </w:tr>
      <w:tr w:rsidR="00B65847" w14:paraId="08CF04E2" w14:textId="77777777" w:rsidTr="00B72301">
        <w:tc>
          <w:tcPr>
            <w:cnfStyle w:val="001000000000" w:firstRow="0" w:lastRow="0" w:firstColumn="1" w:lastColumn="0" w:oddVBand="0" w:evenVBand="0" w:oddHBand="0" w:evenHBand="0" w:firstRowFirstColumn="0" w:firstRowLastColumn="0" w:lastRowFirstColumn="0" w:lastRowLastColumn="0"/>
            <w:tcW w:w="20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EEF7FB1" w14:textId="77777777" w:rsidR="00B65847" w:rsidRDefault="00B65847" w:rsidP="00B72301">
            <w:pPr>
              <w:spacing w:line="288" w:lineRule="auto"/>
            </w:pPr>
            <w:r w:rsidRPr="7F37420B">
              <w:rPr>
                <w:rFonts w:ascii="Calibri Light" w:eastAsia="Calibri Light" w:hAnsi="Calibri Light" w:cs="Calibri Light"/>
                <w:lang w:val="en-GB"/>
              </w:rPr>
              <w:t>India GDP</w:t>
            </w:r>
          </w:p>
        </w:tc>
        <w:tc>
          <w:tcPr>
            <w:tcW w:w="15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502ADB3" w14:textId="77777777" w:rsidR="00B65847" w:rsidRDefault="00B65847" w:rsidP="00B72301">
            <w:pPr>
              <w:spacing w:line="288" w:lineRule="auto"/>
              <w:jc w:val="center"/>
              <w:cnfStyle w:val="000000000000" w:firstRow="0" w:lastRow="0" w:firstColumn="0" w:lastColumn="0" w:oddVBand="0" w:evenVBand="0" w:oddHBand="0" w:evenHBand="0" w:firstRowFirstColumn="0" w:firstRowLastColumn="0" w:lastRowFirstColumn="0" w:lastRowLastColumn="0"/>
            </w:pPr>
            <w:r w:rsidRPr="7F37420B">
              <w:rPr>
                <w:rFonts w:ascii="Calibri Light" w:eastAsia="Calibri Light" w:hAnsi="Calibri Light" w:cs="Calibri Light"/>
                <w:lang w:val="en-GB"/>
              </w:rPr>
              <w:t>0.3%</w:t>
            </w: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2CE845F" w14:textId="77777777" w:rsidR="00B65847" w:rsidRDefault="00B65847" w:rsidP="00B72301">
            <w:pPr>
              <w:spacing w:line="288" w:lineRule="auto"/>
              <w:jc w:val="center"/>
              <w:cnfStyle w:val="000000000000" w:firstRow="0" w:lastRow="0" w:firstColumn="0" w:lastColumn="0" w:oddVBand="0" w:evenVBand="0" w:oddHBand="0" w:evenHBand="0" w:firstRowFirstColumn="0" w:firstRowLastColumn="0" w:lastRowFirstColumn="0" w:lastRowLastColumn="0"/>
            </w:pPr>
            <w:r w:rsidRPr="7F37420B">
              <w:rPr>
                <w:rFonts w:ascii="Calibri Light" w:eastAsia="Calibri Light" w:hAnsi="Calibri Light" w:cs="Calibri Light"/>
                <w:lang w:val="en-GB"/>
              </w:rPr>
              <w:t>0.4%</w:t>
            </w: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7B8E9E9" w14:textId="77777777" w:rsidR="00B65847" w:rsidRDefault="00B65847" w:rsidP="00B72301">
            <w:pPr>
              <w:spacing w:line="288" w:lineRule="auto"/>
              <w:jc w:val="center"/>
              <w:cnfStyle w:val="000000000000" w:firstRow="0" w:lastRow="0" w:firstColumn="0" w:lastColumn="0" w:oddVBand="0" w:evenVBand="0" w:oddHBand="0" w:evenHBand="0" w:firstRowFirstColumn="0" w:firstRowLastColumn="0" w:lastRowFirstColumn="0" w:lastRowLastColumn="0"/>
            </w:pPr>
            <w:r w:rsidRPr="7F37420B">
              <w:rPr>
                <w:rFonts w:ascii="Calibri Light" w:eastAsia="Calibri Light" w:hAnsi="Calibri Light" w:cs="Calibri Light"/>
                <w:lang w:val="en-GB"/>
              </w:rPr>
              <w:t>0.2%</w:t>
            </w: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BF2485E" w14:textId="77777777" w:rsidR="00B65847" w:rsidRDefault="00B65847" w:rsidP="00B72301">
            <w:pPr>
              <w:spacing w:line="288" w:lineRule="auto"/>
              <w:jc w:val="center"/>
              <w:cnfStyle w:val="000000000000" w:firstRow="0" w:lastRow="0" w:firstColumn="0" w:lastColumn="0" w:oddVBand="0" w:evenVBand="0" w:oddHBand="0" w:evenHBand="0" w:firstRowFirstColumn="0" w:firstRowLastColumn="0" w:lastRowFirstColumn="0" w:lastRowLastColumn="0"/>
            </w:pPr>
            <w:r w:rsidRPr="7F37420B">
              <w:rPr>
                <w:rFonts w:ascii="Calibri Light" w:eastAsia="Calibri Light" w:hAnsi="Calibri Light" w:cs="Calibri Light"/>
                <w:lang w:val="en-GB"/>
              </w:rPr>
              <w:t>0.2%</w:t>
            </w:r>
          </w:p>
        </w:tc>
      </w:tr>
      <w:tr w:rsidR="00B65847" w14:paraId="444F8891" w14:textId="77777777" w:rsidTr="00B723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8FB1790" w14:textId="77777777" w:rsidR="00B65847" w:rsidRDefault="00B65847" w:rsidP="00B72301">
            <w:pPr>
              <w:spacing w:line="288" w:lineRule="auto"/>
            </w:pPr>
            <w:r w:rsidRPr="7F37420B">
              <w:rPr>
                <w:rFonts w:ascii="Calibri Light" w:eastAsia="Calibri Light" w:hAnsi="Calibri Light" w:cs="Calibri Light"/>
                <w:color w:val="000000" w:themeColor="text1"/>
                <w:lang w:val="en-GB"/>
              </w:rPr>
              <w:t>India Employment</w:t>
            </w:r>
          </w:p>
        </w:tc>
        <w:tc>
          <w:tcPr>
            <w:tcW w:w="15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3C3B167" w14:textId="77777777" w:rsidR="00B65847" w:rsidRDefault="00B65847" w:rsidP="00B72301">
            <w:pPr>
              <w:spacing w:line="288" w:lineRule="auto"/>
              <w:jc w:val="center"/>
              <w:cnfStyle w:val="000000100000" w:firstRow="0" w:lastRow="0" w:firstColumn="0" w:lastColumn="0" w:oddVBand="0" w:evenVBand="0" w:oddHBand="1" w:evenHBand="0" w:firstRowFirstColumn="0" w:firstRowLastColumn="0" w:lastRowFirstColumn="0" w:lastRowLastColumn="0"/>
            </w:pPr>
            <w:r w:rsidRPr="7F37420B">
              <w:rPr>
                <w:rFonts w:ascii="Calibri Light" w:eastAsia="Calibri Light" w:hAnsi="Calibri Light" w:cs="Calibri Light"/>
                <w:color w:val="000000" w:themeColor="text1"/>
                <w:lang w:val="en-GB"/>
              </w:rPr>
              <w:t>0.3%</w:t>
            </w: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57977D7" w14:textId="77777777" w:rsidR="00B65847" w:rsidRDefault="00B65847" w:rsidP="00B72301">
            <w:pPr>
              <w:spacing w:line="288" w:lineRule="auto"/>
              <w:jc w:val="center"/>
              <w:cnfStyle w:val="000000100000" w:firstRow="0" w:lastRow="0" w:firstColumn="0" w:lastColumn="0" w:oddVBand="0" w:evenVBand="0" w:oddHBand="1" w:evenHBand="0" w:firstRowFirstColumn="0" w:firstRowLastColumn="0" w:lastRowFirstColumn="0" w:lastRowLastColumn="0"/>
            </w:pPr>
            <w:r w:rsidRPr="7F37420B">
              <w:rPr>
                <w:rFonts w:ascii="Calibri Light" w:eastAsia="Calibri Light" w:hAnsi="Calibri Light" w:cs="Calibri Light"/>
                <w:color w:val="000000" w:themeColor="text1"/>
                <w:lang w:val="en-GB"/>
              </w:rPr>
              <w:t>1.0%</w:t>
            </w: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FF72828" w14:textId="77777777" w:rsidR="00B65847" w:rsidRDefault="00B65847" w:rsidP="00B72301">
            <w:pPr>
              <w:spacing w:line="288" w:lineRule="auto"/>
              <w:jc w:val="center"/>
              <w:cnfStyle w:val="000000100000" w:firstRow="0" w:lastRow="0" w:firstColumn="0" w:lastColumn="0" w:oddVBand="0" w:evenVBand="0" w:oddHBand="1" w:evenHBand="0" w:firstRowFirstColumn="0" w:firstRowLastColumn="0" w:lastRowFirstColumn="0" w:lastRowLastColumn="0"/>
            </w:pPr>
            <w:r w:rsidRPr="7F37420B">
              <w:rPr>
                <w:rFonts w:ascii="Calibri Light" w:eastAsia="Calibri Light" w:hAnsi="Calibri Light" w:cs="Calibri Light"/>
                <w:color w:val="000000" w:themeColor="text1"/>
                <w:lang w:val="en-GB"/>
              </w:rPr>
              <w:t>-0.1%</w:t>
            </w: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7CC5117" w14:textId="77777777" w:rsidR="00B65847" w:rsidRDefault="00B65847" w:rsidP="00B72301">
            <w:pPr>
              <w:spacing w:line="288" w:lineRule="auto"/>
              <w:jc w:val="center"/>
              <w:cnfStyle w:val="000000100000" w:firstRow="0" w:lastRow="0" w:firstColumn="0" w:lastColumn="0" w:oddVBand="0" w:evenVBand="0" w:oddHBand="1" w:evenHBand="0" w:firstRowFirstColumn="0" w:firstRowLastColumn="0" w:lastRowFirstColumn="0" w:lastRowLastColumn="0"/>
            </w:pPr>
            <w:r w:rsidRPr="7F37420B">
              <w:rPr>
                <w:rFonts w:ascii="Calibri Light" w:eastAsia="Calibri Light" w:hAnsi="Calibri Light" w:cs="Calibri Light"/>
                <w:color w:val="000000" w:themeColor="text1"/>
                <w:lang w:val="en-GB"/>
              </w:rPr>
              <w:t>-0.1%</w:t>
            </w:r>
          </w:p>
        </w:tc>
      </w:tr>
      <w:tr w:rsidR="00B65847" w14:paraId="257399E3" w14:textId="77777777" w:rsidTr="00B72301">
        <w:tc>
          <w:tcPr>
            <w:cnfStyle w:val="001000000000" w:firstRow="0" w:lastRow="0" w:firstColumn="1" w:lastColumn="0" w:oddVBand="0" w:evenVBand="0" w:oddHBand="0" w:evenHBand="0" w:firstRowFirstColumn="0" w:firstRowLastColumn="0" w:lastRowFirstColumn="0" w:lastRowLastColumn="0"/>
            <w:tcW w:w="20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A36F8C5" w14:textId="77777777" w:rsidR="00B65847" w:rsidRDefault="00B65847" w:rsidP="00B72301">
            <w:pPr>
              <w:spacing w:line="288" w:lineRule="auto"/>
            </w:pPr>
            <w:r w:rsidRPr="7F37420B">
              <w:rPr>
                <w:rFonts w:ascii="Calibri Light" w:eastAsia="Calibri Light" w:hAnsi="Calibri Light" w:cs="Calibri Light"/>
                <w:lang w:val="en-GB"/>
              </w:rPr>
              <w:t>USA GDP</w:t>
            </w:r>
          </w:p>
        </w:tc>
        <w:tc>
          <w:tcPr>
            <w:tcW w:w="15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9F26C17" w14:textId="77777777" w:rsidR="00B65847" w:rsidRDefault="00B65847" w:rsidP="00B72301">
            <w:pPr>
              <w:spacing w:line="288" w:lineRule="auto"/>
              <w:jc w:val="center"/>
              <w:cnfStyle w:val="000000000000" w:firstRow="0" w:lastRow="0" w:firstColumn="0" w:lastColumn="0" w:oddVBand="0" w:evenVBand="0" w:oddHBand="0" w:evenHBand="0" w:firstRowFirstColumn="0" w:firstRowLastColumn="0" w:lastRowFirstColumn="0" w:lastRowLastColumn="0"/>
            </w:pPr>
            <w:r w:rsidRPr="7F37420B">
              <w:rPr>
                <w:rFonts w:ascii="Calibri Light" w:eastAsia="Calibri Light" w:hAnsi="Calibri Light" w:cs="Calibri Light"/>
                <w:lang w:val="en-GB"/>
              </w:rPr>
              <w:t>0.4%</w:t>
            </w: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42995FC" w14:textId="77777777" w:rsidR="00B65847" w:rsidRDefault="00B65847" w:rsidP="00B72301">
            <w:pPr>
              <w:spacing w:line="288" w:lineRule="auto"/>
              <w:jc w:val="center"/>
              <w:cnfStyle w:val="000000000000" w:firstRow="0" w:lastRow="0" w:firstColumn="0" w:lastColumn="0" w:oddVBand="0" w:evenVBand="0" w:oddHBand="0" w:evenHBand="0" w:firstRowFirstColumn="0" w:firstRowLastColumn="0" w:lastRowFirstColumn="0" w:lastRowLastColumn="0"/>
            </w:pPr>
            <w:r w:rsidRPr="7F37420B">
              <w:rPr>
                <w:rFonts w:ascii="Calibri Light" w:eastAsia="Calibri Light" w:hAnsi="Calibri Light" w:cs="Calibri Light"/>
                <w:lang w:val="en-GB"/>
              </w:rPr>
              <w:t>0.3%</w:t>
            </w: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A6BA00B" w14:textId="77777777" w:rsidR="00B65847" w:rsidRDefault="00B65847" w:rsidP="00B72301">
            <w:pPr>
              <w:spacing w:line="288" w:lineRule="auto"/>
              <w:jc w:val="center"/>
              <w:cnfStyle w:val="000000000000" w:firstRow="0" w:lastRow="0" w:firstColumn="0" w:lastColumn="0" w:oddVBand="0" w:evenVBand="0" w:oddHBand="0" w:evenHBand="0" w:firstRowFirstColumn="0" w:firstRowLastColumn="0" w:lastRowFirstColumn="0" w:lastRowLastColumn="0"/>
            </w:pPr>
            <w:r w:rsidRPr="7F37420B">
              <w:rPr>
                <w:rFonts w:ascii="Calibri Light" w:eastAsia="Calibri Light" w:hAnsi="Calibri Light" w:cs="Calibri Light"/>
                <w:lang w:val="en-GB"/>
              </w:rPr>
              <w:t>-0.2%</w:t>
            </w: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DE78204" w14:textId="77777777" w:rsidR="00B65847" w:rsidRDefault="00B65847" w:rsidP="00B72301">
            <w:pPr>
              <w:spacing w:line="288" w:lineRule="auto"/>
              <w:jc w:val="center"/>
              <w:cnfStyle w:val="000000000000" w:firstRow="0" w:lastRow="0" w:firstColumn="0" w:lastColumn="0" w:oddVBand="0" w:evenVBand="0" w:oddHBand="0" w:evenHBand="0" w:firstRowFirstColumn="0" w:firstRowLastColumn="0" w:lastRowFirstColumn="0" w:lastRowLastColumn="0"/>
            </w:pPr>
            <w:r w:rsidRPr="7F37420B">
              <w:rPr>
                <w:rFonts w:ascii="Calibri Light" w:eastAsia="Calibri Light" w:hAnsi="Calibri Light" w:cs="Calibri Light"/>
                <w:lang w:val="en-GB"/>
              </w:rPr>
              <w:t>-0.2%</w:t>
            </w:r>
          </w:p>
        </w:tc>
      </w:tr>
      <w:tr w:rsidR="00B65847" w14:paraId="16E47C91" w14:textId="77777777" w:rsidTr="00B723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EE36969" w14:textId="77777777" w:rsidR="00B65847" w:rsidRDefault="00B65847" w:rsidP="00B72301">
            <w:pPr>
              <w:spacing w:line="288" w:lineRule="auto"/>
            </w:pPr>
            <w:r w:rsidRPr="7F37420B">
              <w:rPr>
                <w:rFonts w:ascii="Calibri Light" w:eastAsia="Calibri Light" w:hAnsi="Calibri Light" w:cs="Calibri Light"/>
                <w:color w:val="000000" w:themeColor="text1"/>
                <w:lang w:val="en-GB"/>
              </w:rPr>
              <w:t>USA Employment</w:t>
            </w:r>
          </w:p>
        </w:tc>
        <w:tc>
          <w:tcPr>
            <w:tcW w:w="15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54FDA14" w14:textId="77777777" w:rsidR="00B65847" w:rsidRDefault="00B65847" w:rsidP="00B72301">
            <w:pPr>
              <w:spacing w:line="288" w:lineRule="auto"/>
              <w:jc w:val="center"/>
              <w:cnfStyle w:val="000000100000" w:firstRow="0" w:lastRow="0" w:firstColumn="0" w:lastColumn="0" w:oddVBand="0" w:evenVBand="0" w:oddHBand="1" w:evenHBand="0" w:firstRowFirstColumn="0" w:firstRowLastColumn="0" w:lastRowFirstColumn="0" w:lastRowLastColumn="0"/>
            </w:pPr>
            <w:r w:rsidRPr="7F37420B">
              <w:rPr>
                <w:rFonts w:ascii="Calibri Light" w:eastAsia="Calibri Light" w:hAnsi="Calibri Light" w:cs="Calibri Light"/>
                <w:color w:val="000000" w:themeColor="text1"/>
                <w:lang w:val="en-GB"/>
              </w:rPr>
              <w:t>0.4%</w:t>
            </w: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36E118C" w14:textId="77777777" w:rsidR="00B65847" w:rsidRDefault="00B65847" w:rsidP="00B72301">
            <w:pPr>
              <w:spacing w:line="288" w:lineRule="auto"/>
              <w:jc w:val="center"/>
              <w:cnfStyle w:val="000000100000" w:firstRow="0" w:lastRow="0" w:firstColumn="0" w:lastColumn="0" w:oddVBand="0" w:evenVBand="0" w:oddHBand="1" w:evenHBand="0" w:firstRowFirstColumn="0" w:firstRowLastColumn="0" w:lastRowFirstColumn="0" w:lastRowLastColumn="0"/>
            </w:pPr>
            <w:r w:rsidRPr="7F37420B">
              <w:rPr>
                <w:rFonts w:ascii="Calibri Light" w:eastAsia="Calibri Light" w:hAnsi="Calibri Light" w:cs="Calibri Light"/>
                <w:color w:val="000000" w:themeColor="text1"/>
                <w:lang w:val="en-GB"/>
              </w:rPr>
              <w:t>0.2%</w:t>
            </w: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0A4115B" w14:textId="77777777" w:rsidR="00B65847" w:rsidRDefault="00B65847" w:rsidP="00B72301">
            <w:pPr>
              <w:spacing w:line="288" w:lineRule="auto"/>
              <w:jc w:val="center"/>
              <w:cnfStyle w:val="000000100000" w:firstRow="0" w:lastRow="0" w:firstColumn="0" w:lastColumn="0" w:oddVBand="0" w:evenVBand="0" w:oddHBand="1" w:evenHBand="0" w:firstRowFirstColumn="0" w:firstRowLastColumn="0" w:lastRowFirstColumn="0" w:lastRowLastColumn="0"/>
            </w:pPr>
            <w:r w:rsidRPr="7F37420B">
              <w:rPr>
                <w:rFonts w:ascii="Calibri Light" w:eastAsia="Calibri Light" w:hAnsi="Calibri Light" w:cs="Calibri Light"/>
                <w:color w:val="000000" w:themeColor="text1"/>
                <w:lang w:val="en-GB"/>
              </w:rPr>
              <w:t>0.0%</w:t>
            </w: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13AC6AC" w14:textId="77777777" w:rsidR="00B65847" w:rsidRDefault="00B65847" w:rsidP="00B72301">
            <w:pPr>
              <w:spacing w:line="288" w:lineRule="auto"/>
              <w:jc w:val="center"/>
              <w:cnfStyle w:val="000000100000" w:firstRow="0" w:lastRow="0" w:firstColumn="0" w:lastColumn="0" w:oddVBand="0" w:evenVBand="0" w:oddHBand="1" w:evenHBand="0" w:firstRowFirstColumn="0" w:firstRowLastColumn="0" w:lastRowFirstColumn="0" w:lastRowLastColumn="0"/>
            </w:pPr>
            <w:r w:rsidRPr="7F37420B">
              <w:rPr>
                <w:rFonts w:ascii="Calibri Light" w:eastAsia="Calibri Light" w:hAnsi="Calibri Light" w:cs="Calibri Light"/>
                <w:color w:val="000000" w:themeColor="text1"/>
                <w:lang w:val="en-GB"/>
              </w:rPr>
              <w:t>0.0%</w:t>
            </w:r>
          </w:p>
        </w:tc>
      </w:tr>
    </w:tbl>
    <w:p w14:paraId="11AB83BC" w14:textId="77777777" w:rsidR="00007990" w:rsidRDefault="00007990" w:rsidP="0075001B">
      <w:pPr>
        <w:rPr>
          <w:rFonts w:cstheme="majorHAnsi"/>
        </w:rPr>
      </w:pPr>
    </w:p>
    <w:p w14:paraId="3149E43B" w14:textId="2C6ADFA0" w:rsidR="00491A4A" w:rsidRDefault="00491A4A" w:rsidP="00491A4A">
      <w:pPr>
        <w:pStyle w:val="Heading1"/>
        <w:numPr>
          <w:ilvl w:val="0"/>
          <w:numId w:val="0"/>
        </w:numPr>
        <w:ind w:left="432" w:hanging="432"/>
      </w:pPr>
      <w:r>
        <w:t xml:space="preserve">Supplementary </w:t>
      </w:r>
      <w:r w:rsidR="00E52A00">
        <w:t>R</w:t>
      </w:r>
      <w:r>
        <w:t>eferences</w:t>
      </w:r>
    </w:p>
    <w:p w14:paraId="627CE40A" w14:textId="435AABC5" w:rsidR="00B72301" w:rsidRPr="00B72301" w:rsidRDefault="006136EA" w:rsidP="00B72301">
      <w:pPr>
        <w:widowControl w:val="0"/>
        <w:autoSpaceDE w:val="0"/>
        <w:autoSpaceDN w:val="0"/>
        <w:adjustRightInd w:val="0"/>
        <w:spacing w:after="0" w:line="240" w:lineRule="auto"/>
        <w:ind w:left="640" w:hanging="640"/>
        <w:rPr>
          <w:rFonts w:ascii="Calibri Light" w:hAnsi="Calibri Light" w:cs="Calibri Light"/>
          <w:noProof/>
          <w:szCs w:val="24"/>
        </w:rPr>
      </w:pPr>
      <w:r>
        <w:rPr>
          <w:highlight w:val="yellow"/>
        </w:rPr>
        <w:fldChar w:fldCharType="begin" w:fldLock="1"/>
      </w:r>
      <w:r>
        <w:rPr>
          <w:highlight w:val="yellow"/>
        </w:rPr>
        <w:instrText xml:space="preserve">ADDIN Mendeley Bibliography CSL_BIBLIOGRAPHY </w:instrText>
      </w:r>
      <w:r>
        <w:rPr>
          <w:highlight w:val="yellow"/>
        </w:rPr>
        <w:fldChar w:fldCharType="separate"/>
      </w:r>
      <w:r w:rsidR="00B72301" w:rsidRPr="00B72301">
        <w:rPr>
          <w:rFonts w:ascii="Calibri Light" w:hAnsi="Calibri Light" w:cs="Calibri Light"/>
          <w:noProof/>
          <w:szCs w:val="24"/>
        </w:rPr>
        <w:t>1.</w:t>
      </w:r>
      <w:r w:rsidR="00B72301" w:rsidRPr="00B72301">
        <w:rPr>
          <w:rFonts w:ascii="Calibri Light" w:hAnsi="Calibri Light" w:cs="Calibri Light"/>
          <w:noProof/>
          <w:szCs w:val="24"/>
        </w:rPr>
        <w:tab/>
        <w:t xml:space="preserve">Stehfest, E., van Vuuren, D. P., Kram, T. &amp; Bouwman, L. </w:t>
      </w:r>
      <w:r w:rsidR="00B72301" w:rsidRPr="00B72301">
        <w:rPr>
          <w:rFonts w:ascii="Calibri Light" w:hAnsi="Calibri Light" w:cs="Calibri Light"/>
          <w:i/>
          <w:iCs/>
          <w:noProof/>
          <w:szCs w:val="24"/>
        </w:rPr>
        <w:t>Integrated Assessment of Global Environmental Change with IMAGE 3.0</w:t>
      </w:r>
      <w:r w:rsidR="00B72301" w:rsidRPr="00B72301">
        <w:rPr>
          <w:rFonts w:ascii="Calibri Light" w:hAnsi="Calibri Light" w:cs="Calibri Light"/>
          <w:noProof/>
          <w:szCs w:val="24"/>
        </w:rPr>
        <w:t>. (2014) doi:978-94-91506-71-0.</w:t>
      </w:r>
    </w:p>
    <w:p w14:paraId="6C452F6B" w14:textId="77777777" w:rsidR="00B72301" w:rsidRPr="00B72301" w:rsidRDefault="00B72301" w:rsidP="00B72301">
      <w:pPr>
        <w:widowControl w:val="0"/>
        <w:autoSpaceDE w:val="0"/>
        <w:autoSpaceDN w:val="0"/>
        <w:adjustRightInd w:val="0"/>
        <w:spacing w:after="0" w:line="240" w:lineRule="auto"/>
        <w:ind w:left="640" w:hanging="640"/>
        <w:rPr>
          <w:rFonts w:ascii="Calibri Light" w:hAnsi="Calibri Light" w:cs="Calibri Light"/>
          <w:noProof/>
          <w:szCs w:val="24"/>
        </w:rPr>
      </w:pPr>
      <w:r w:rsidRPr="00B72301">
        <w:rPr>
          <w:rFonts w:ascii="Calibri Light" w:hAnsi="Calibri Light" w:cs="Calibri Light"/>
          <w:noProof/>
          <w:szCs w:val="24"/>
        </w:rPr>
        <w:t>2.</w:t>
      </w:r>
      <w:r w:rsidRPr="00B72301">
        <w:rPr>
          <w:rFonts w:ascii="Calibri Light" w:hAnsi="Calibri Light" w:cs="Calibri Light"/>
          <w:noProof/>
          <w:szCs w:val="24"/>
        </w:rPr>
        <w:tab/>
        <w:t xml:space="preserve">van Vuuren, D. P. </w:t>
      </w:r>
      <w:r w:rsidRPr="00B72301">
        <w:rPr>
          <w:rFonts w:ascii="Calibri Light" w:hAnsi="Calibri Light" w:cs="Calibri Light"/>
          <w:i/>
          <w:iCs/>
          <w:noProof/>
          <w:szCs w:val="24"/>
        </w:rPr>
        <w:t>et al.</w:t>
      </w:r>
      <w:r w:rsidRPr="00B72301">
        <w:rPr>
          <w:rFonts w:ascii="Calibri Light" w:hAnsi="Calibri Light" w:cs="Calibri Light"/>
          <w:noProof/>
          <w:szCs w:val="24"/>
        </w:rPr>
        <w:t xml:space="preserve"> Energy, land-use and greenhouse gas emissions trajectories under a green growth paradigm. </w:t>
      </w:r>
      <w:r w:rsidRPr="00B72301">
        <w:rPr>
          <w:rFonts w:ascii="Calibri Light" w:hAnsi="Calibri Light" w:cs="Calibri Light"/>
          <w:i/>
          <w:iCs/>
          <w:noProof/>
          <w:szCs w:val="24"/>
        </w:rPr>
        <w:t>Glob. Environ. Chang.</w:t>
      </w:r>
      <w:r w:rsidRPr="00B72301">
        <w:rPr>
          <w:rFonts w:ascii="Calibri Light" w:hAnsi="Calibri Light" w:cs="Calibri Light"/>
          <w:noProof/>
          <w:szCs w:val="24"/>
        </w:rPr>
        <w:t xml:space="preserve"> </w:t>
      </w:r>
      <w:r w:rsidRPr="00B72301">
        <w:rPr>
          <w:rFonts w:ascii="Calibri Light" w:hAnsi="Calibri Light" w:cs="Calibri Light"/>
          <w:b/>
          <w:bCs/>
          <w:noProof/>
          <w:szCs w:val="24"/>
        </w:rPr>
        <w:t>42</w:t>
      </w:r>
      <w:r w:rsidRPr="00B72301">
        <w:rPr>
          <w:rFonts w:ascii="Calibri Light" w:hAnsi="Calibri Light" w:cs="Calibri Light"/>
          <w:noProof/>
          <w:szCs w:val="24"/>
        </w:rPr>
        <w:t>, 237–250 (2017).</w:t>
      </w:r>
    </w:p>
    <w:p w14:paraId="35390944" w14:textId="77777777" w:rsidR="00B72301" w:rsidRPr="00B72301" w:rsidRDefault="00B72301" w:rsidP="00B72301">
      <w:pPr>
        <w:widowControl w:val="0"/>
        <w:autoSpaceDE w:val="0"/>
        <w:autoSpaceDN w:val="0"/>
        <w:adjustRightInd w:val="0"/>
        <w:spacing w:after="0" w:line="240" w:lineRule="auto"/>
        <w:ind w:left="640" w:hanging="640"/>
        <w:rPr>
          <w:rFonts w:ascii="Calibri Light" w:hAnsi="Calibri Light" w:cs="Calibri Light"/>
          <w:noProof/>
          <w:szCs w:val="24"/>
        </w:rPr>
      </w:pPr>
      <w:r w:rsidRPr="00B72301">
        <w:rPr>
          <w:rFonts w:ascii="Calibri Light" w:hAnsi="Calibri Light" w:cs="Calibri Light"/>
          <w:noProof/>
          <w:szCs w:val="24"/>
        </w:rPr>
        <w:t>3.</w:t>
      </w:r>
      <w:r w:rsidRPr="00B72301">
        <w:rPr>
          <w:rFonts w:ascii="Calibri Light" w:hAnsi="Calibri Light" w:cs="Calibri Light"/>
          <w:noProof/>
          <w:szCs w:val="24"/>
        </w:rPr>
        <w:tab/>
        <w:t xml:space="preserve">Van Vuuren, D. P. </w:t>
      </w:r>
      <w:r w:rsidRPr="00B72301">
        <w:rPr>
          <w:rFonts w:ascii="Calibri Light" w:hAnsi="Calibri Light" w:cs="Calibri Light"/>
          <w:i/>
          <w:iCs/>
          <w:noProof/>
          <w:szCs w:val="24"/>
        </w:rPr>
        <w:t>et al.</w:t>
      </w:r>
      <w:r w:rsidRPr="00B72301">
        <w:rPr>
          <w:rFonts w:ascii="Calibri Light" w:hAnsi="Calibri Light" w:cs="Calibri Light"/>
          <w:noProof/>
          <w:szCs w:val="24"/>
        </w:rPr>
        <w:t xml:space="preserve"> Alternative pathways to the 1.5 °c target reduce the need for negative emission technologies. </w:t>
      </w:r>
      <w:r w:rsidRPr="00B72301">
        <w:rPr>
          <w:rFonts w:ascii="Calibri Light" w:hAnsi="Calibri Light" w:cs="Calibri Light"/>
          <w:i/>
          <w:iCs/>
          <w:noProof/>
          <w:szCs w:val="24"/>
        </w:rPr>
        <w:t>Nat. Clim. Chang.</w:t>
      </w:r>
      <w:r w:rsidRPr="00B72301">
        <w:rPr>
          <w:rFonts w:ascii="Calibri Light" w:hAnsi="Calibri Light" w:cs="Calibri Light"/>
          <w:noProof/>
          <w:szCs w:val="24"/>
        </w:rPr>
        <w:t xml:space="preserve"> </w:t>
      </w:r>
      <w:r w:rsidRPr="00B72301">
        <w:rPr>
          <w:rFonts w:ascii="Calibri Light" w:hAnsi="Calibri Light" w:cs="Calibri Light"/>
          <w:b/>
          <w:bCs/>
          <w:noProof/>
          <w:szCs w:val="24"/>
        </w:rPr>
        <w:t>8</w:t>
      </w:r>
      <w:r w:rsidRPr="00B72301">
        <w:rPr>
          <w:rFonts w:ascii="Calibri Light" w:hAnsi="Calibri Light" w:cs="Calibri Light"/>
          <w:noProof/>
          <w:szCs w:val="24"/>
        </w:rPr>
        <w:t>, 391–397 (2018).</w:t>
      </w:r>
    </w:p>
    <w:p w14:paraId="68255708" w14:textId="77777777" w:rsidR="00B72301" w:rsidRPr="00B72301" w:rsidRDefault="00B72301" w:rsidP="00B72301">
      <w:pPr>
        <w:widowControl w:val="0"/>
        <w:autoSpaceDE w:val="0"/>
        <w:autoSpaceDN w:val="0"/>
        <w:adjustRightInd w:val="0"/>
        <w:spacing w:after="0" w:line="240" w:lineRule="auto"/>
        <w:ind w:left="640" w:hanging="640"/>
        <w:rPr>
          <w:rFonts w:ascii="Calibri Light" w:hAnsi="Calibri Light" w:cs="Calibri Light"/>
          <w:noProof/>
          <w:szCs w:val="24"/>
        </w:rPr>
      </w:pPr>
      <w:r w:rsidRPr="00B72301">
        <w:rPr>
          <w:rFonts w:ascii="Calibri Light" w:hAnsi="Calibri Light" w:cs="Calibri Light"/>
          <w:noProof/>
          <w:szCs w:val="24"/>
        </w:rPr>
        <w:t>4.</w:t>
      </w:r>
      <w:r w:rsidRPr="00B72301">
        <w:rPr>
          <w:rFonts w:ascii="Calibri Light" w:hAnsi="Calibri Light" w:cs="Calibri Light"/>
          <w:noProof/>
          <w:szCs w:val="24"/>
        </w:rPr>
        <w:tab/>
        <w:t xml:space="preserve">Roelfsema, M. </w:t>
      </w:r>
      <w:r w:rsidRPr="00B72301">
        <w:rPr>
          <w:rFonts w:ascii="Calibri Light" w:hAnsi="Calibri Light" w:cs="Calibri Light"/>
          <w:i/>
          <w:iCs/>
          <w:noProof/>
          <w:szCs w:val="24"/>
        </w:rPr>
        <w:t>et al.</w:t>
      </w:r>
      <w:r w:rsidRPr="00B72301">
        <w:rPr>
          <w:rFonts w:ascii="Calibri Light" w:hAnsi="Calibri Light" w:cs="Calibri Light"/>
          <w:noProof/>
          <w:szCs w:val="24"/>
        </w:rPr>
        <w:t xml:space="preserve"> Taking stock of national climate policies to evaluate implementation of the Paris Agreement. </w:t>
      </w:r>
      <w:r w:rsidRPr="00B72301">
        <w:rPr>
          <w:rFonts w:ascii="Calibri Light" w:hAnsi="Calibri Light" w:cs="Calibri Light"/>
          <w:i/>
          <w:iCs/>
          <w:noProof/>
          <w:szCs w:val="24"/>
        </w:rPr>
        <w:t>Nat. Commun.</w:t>
      </w:r>
      <w:r w:rsidRPr="00B72301">
        <w:rPr>
          <w:rFonts w:ascii="Calibri Light" w:hAnsi="Calibri Light" w:cs="Calibri Light"/>
          <w:noProof/>
          <w:szCs w:val="24"/>
        </w:rPr>
        <w:t xml:space="preserve"> </w:t>
      </w:r>
      <w:r w:rsidRPr="00B72301">
        <w:rPr>
          <w:rFonts w:ascii="Calibri Light" w:hAnsi="Calibri Light" w:cs="Calibri Light"/>
          <w:b/>
          <w:bCs/>
          <w:noProof/>
          <w:szCs w:val="24"/>
        </w:rPr>
        <w:t>11</w:t>
      </w:r>
      <w:r w:rsidRPr="00B72301">
        <w:rPr>
          <w:rFonts w:ascii="Calibri Light" w:hAnsi="Calibri Light" w:cs="Calibri Light"/>
          <w:noProof/>
          <w:szCs w:val="24"/>
        </w:rPr>
        <w:t>, 1–12 (2020).</w:t>
      </w:r>
    </w:p>
    <w:p w14:paraId="7B88CC3B" w14:textId="77777777" w:rsidR="00B72301" w:rsidRPr="00B72301" w:rsidRDefault="00B72301" w:rsidP="00B72301">
      <w:pPr>
        <w:widowControl w:val="0"/>
        <w:autoSpaceDE w:val="0"/>
        <w:autoSpaceDN w:val="0"/>
        <w:adjustRightInd w:val="0"/>
        <w:spacing w:after="0" w:line="240" w:lineRule="auto"/>
        <w:ind w:left="640" w:hanging="640"/>
        <w:rPr>
          <w:rFonts w:ascii="Calibri Light" w:hAnsi="Calibri Light" w:cs="Calibri Light"/>
          <w:noProof/>
          <w:szCs w:val="24"/>
        </w:rPr>
      </w:pPr>
      <w:r w:rsidRPr="00B72301">
        <w:rPr>
          <w:rFonts w:ascii="Calibri Light" w:hAnsi="Calibri Light" w:cs="Calibri Light"/>
          <w:noProof/>
          <w:szCs w:val="24"/>
        </w:rPr>
        <w:t>5.</w:t>
      </w:r>
      <w:r w:rsidRPr="00B72301">
        <w:rPr>
          <w:rFonts w:ascii="Calibri Light" w:hAnsi="Calibri Light" w:cs="Calibri Light"/>
          <w:noProof/>
          <w:szCs w:val="24"/>
        </w:rPr>
        <w:tab/>
        <w:t xml:space="preserve">Doelman, J. C. </w:t>
      </w:r>
      <w:r w:rsidRPr="00B72301">
        <w:rPr>
          <w:rFonts w:ascii="Calibri Light" w:hAnsi="Calibri Light" w:cs="Calibri Light"/>
          <w:i/>
          <w:iCs/>
          <w:noProof/>
          <w:szCs w:val="24"/>
        </w:rPr>
        <w:t>et al.</w:t>
      </w:r>
      <w:r w:rsidRPr="00B72301">
        <w:rPr>
          <w:rFonts w:ascii="Calibri Light" w:hAnsi="Calibri Light" w:cs="Calibri Light"/>
          <w:noProof/>
          <w:szCs w:val="24"/>
        </w:rPr>
        <w:t xml:space="preserve"> Exploring SSP land-use dynamics using the IMAGE model: Regional and gridded scenarios of land-use change and land-based climate change mitigation. </w:t>
      </w:r>
      <w:r w:rsidRPr="00B72301">
        <w:rPr>
          <w:rFonts w:ascii="Calibri Light" w:hAnsi="Calibri Light" w:cs="Calibri Light"/>
          <w:i/>
          <w:iCs/>
          <w:noProof/>
          <w:szCs w:val="24"/>
        </w:rPr>
        <w:t>Glob. Environ. Chang.</w:t>
      </w:r>
      <w:r w:rsidRPr="00B72301">
        <w:rPr>
          <w:rFonts w:ascii="Calibri Light" w:hAnsi="Calibri Light" w:cs="Calibri Light"/>
          <w:noProof/>
          <w:szCs w:val="24"/>
        </w:rPr>
        <w:t xml:space="preserve"> </w:t>
      </w:r>
      <w:r w:rsidRPr="00B72301">
        <w:rPr>
          <w:rFonts w:ascii="Calibri Light" w:hAnsi="Calibri Light" w:cs="Calibri Light"/>
          <w:b/>
          <w:bCs/>
          <w:noProof/>
          <w:szCs w:val="24"/>
        </w:rPr>
        <w:t>48</w:t>
      </w:r>
      <w:r w:rsidRPr="00B72301">
        <w:rPr>
          <w:rFonts w:ascii="Calibri Light" w:hAnsi="Calibri Light" w:cs="Calibri Light"/>
          <w:noProof/>
          <w:szCs w:val="24"/>
        </w:rPr>
        <w:t>, 119–135 (2018).</w:t>
      </w:r>
    </w:p>
    <w:p w14:paraId="4A0FFD14" w14:textId="77777777" w:rsidR="00B72301" w:rsidRPr="00B72301" w:rsidRDefault="00B72301" w:rsidP="00B72301">
      <w:pPr>
        <w:widowControl w:val="0"/>
        <w:autoSpaceDE w:val="0"/>
        <w:autoSpaceDN w:val="0"/>
        <w:adjustRightInd w:val="0"/>
        <w:spacing w:after="0" w:line="240" w:lineRule="auto"/>
        <w:ind w:left="640" w:hanging="640"/>
        <w:rPr>
          <w:rFonts w:ascii="Calibri Light" w:hAnsi="Calibri Light" w:cs="Calibri Light"/>
          <w:noProof/>
          <w:szCs w:val="24"/>
        </w:rPr>
      </w:pPr>
      <w:r w:rsidRPr="00B72301">
        <w:rPr>
          <w:rFonts w:ascii="Calibri Light" w:hAnsi="Calibri Light" w:cs="Calibri Light"/>
          <w:noProof/>
          <w:szCs w:val="24"/>
        </w:rPr>
        <w:t>6.</w:t>
      </w:r>
      <w:r w:rsidRPr="00B72301">
        <w:rPr>
          <w:rFonts w:ascii="Calibri Light" w:hAnsi="Calibri Light" w:cs="Calibri Light"/>
          <w:noProof/>
          <w:szCs w:val="24"/>
        </w:rPr>
        <w:tab/>
        <w:t xml:space="preserve">Roelfsema, M. </w:t>
      </w:r>
      <w:r w:rsidRPr="00B72301">
        <w:rPr>
          <w:rFonts w:ascii="Calibri Light" w:hAnsi="Calibri Light" w:cs="Calibri Light"/>
          <w:i/>
          <w:iCs/>
          <w:noProof/>
          <w:szCs w:val="24"/>
        </w:rPr>
        <w:t>et al.</w:t>
      </w:r>
      <w:r w:rsidRPr="00B72301">
        <w:rPr>
          <w:rFonts w:ascii="Calibri Light" w:hAnsi="Calibri Light" w:cs="Calibri Light"/>
          <w:noProof/>
          <w:szCs w:val="24"/>
        </w:rPr>
        <w:t xml:space="preserve"> Reducing global GHG emissions by replicating successful sector examples: the ‘good practice policies’ scenario. </w:t>
      </w:r>
      <w:r w:rsidRPr="00B72301">
        <w:rPr>
          <w:rFonts w:ascii="Calibri Light" w:hAnsi="Calibri Light" w:cs="Calibri Light"/>
          <w:i/>
          <w:iCs/>
          <w:noProof/>
          <w:szCs w:val="24"/>
        </w:rPr>
        <w:t>Clim. Policy</w:t>
      </w:r>
      <w:r w:rsidRPr="00B72301">
        <w:rPr>
          <w:rFonts w:ascii="Calibri Light" w:hAnsi="Calibri Light" w:cs="Calibri Light"/>
          <w:noProof/>
          <w:szCs w:val="24"/>
        </w:rPr>
        <w:t xml:space="preserve"> </w:t>
      </w:r>
      <w:r w:rsidRPr="00B72301">
        <w:rPr>
          <w:rFonts w:ascii="Calibri Light" w:hAnsi="Calibri Light" w:cs="Calibri Light"/>
          <w:b/>
          <w:bCs/>
          <w:noProof/>
          <w:szCs w:val="24"/>
        </w:rPr>
        <w:t>18</w:t>
      </w:r>
      <w:r w:rsidRPr="00B72301">
        <w:rPr>
          <w:rFonts w:ascii="Calibri Light" w:hAnsi="Calibri Light" w:cs="Calibri Light"/>
          <w:noProof/>
          <w:szCs w:val="24"/>
        </w:rPr>
        <w:t>, 1103–1113 (2018).</w:t>
      </w:r>
    </w:p>
    <w:p w14:paraId="626CB5AA" w14:textId="77777777" w:rsidR="00B72301" w:rsidRPr="00B72301" w:rsidRDefault="00B72301" w:rsidP="00B72301">
      <w:pPr>
        <w:widowControl w:val="0"/>
        <w:autoSpaceDE w:val="0"/>
        <w:autoSpaceDN w:val="0"/>
        <w:adjustRightInd w:val="0"/>
        <w:spacing w:after="0" w:line="240" w:lineRule="auto"/>
        <w:ind w:left="640" w:hanging="640"/>
        <w:rPr>
          <w:rFonts w:ascii="Calibri Light" w:hAnsi="Calibri Light" w:cs="Calibri Light"/>
          <w:noProof/>
          <w:szCs w:val="24"/>
        </w:rPr>
      </w:pPr>
      <w:r w:rsidRPr="00B72301">
        <w:rPr>
          <w:rFonts w:ascii="Calibri Light" w:hAnsi="Calibri Light" w:cs="Calibri Light"/>
          <w:noProof/>
          <w:szCs w:val="24"/>
        </w:rPr>
        <w:t>7.</w:t>
      </w:r>
      <w:r w:rsidRPr="00B72301">
        <w:rPr>
          <w:rFonts w:ascii="Calibri Light" w:hAnsi="Calibri Light" w:cs="Calibri Light"/>
          <w:noProof/>
          <w:szCs w:val="24"/>
        </w:rPr>
        <w:tab/>
        <w:t xml:space="preserve">van Vuuren, D. P. </w:t>
      </w:r>
      <w:r w:rsidRPr="00B72301">
        <w:rPr>
          <w:rFonts w:ascii="Calibri Light" w:hAnsi="Calibri Light" w:cs="Calibri Light"/>
          <w:i/>
          <w:iCs/>
          <w:noProof/>
          <w:szCs w:val="24"/>
        </w:rPr>
        <w:t>et al.</w:t>
      </w:r>
      <w:r w:rsidRPr="00B72301">
        <w:rPr>
          <w:rFonts w:ascii="Calibri Light" w:hAnsi="Calibri Light" w:cs="Calibri Light"/>
          <w:noProof/>
          <w:szCs w:val="24"/>
        </w:rPr>
        <w:t xml:space="preserve"> Pathways to achieve a set of ambitious global sustainability objectives by 2050: Explorations using the IMAGE integrated assessment model. </w:t>
      </w:r>
      <w:r w:rsidRPr="00B72301">
        <w:rPr>
          <w:rFonts w:ascii="Calibri Light" w:hAnsi="Calibri Light" w:cs="Calibri Light"/>
          <w:i/>
          <w:iCs/>
          <w:noProof/>
          <w:szCs w:val="24"/>
        </w:rPr>
        <w:t>Technol. Forecast. Soc. Change</w:t>
      </w:r>
      <w:r w:rsidRPr="00B72301">
        <w:rPr>
          <w:rFonts w:ascii="Calibri Light" w:hAnsi="Calibri Light" w:cs="Calibri Light"/>
          <w:noProof/>
          <w:szCs w:val="24"/>
        </w:rPr>
        <w:t xml:space="preserve"> </w:t>
      </w:r>
      <w:r w:rsidRPr="00B72301">
        <w:rPr>
          <w:rFonts w:ascii="Calibri Light" w:hAnsi="Calibri Light" w:cs="Calibri Light"/>
          <w:b/>
          <w:bCs/>
          <w:noProof/>
          <w:szCs w:val="24"/>
        </w:rPr>
        <w:t>98</w:t>
      </w:r>
      <w:r w:rsidRPr="00B72301">
        <w:rPr>
          <w:rFonts w:ascii="Calibri Light" w:hAnsi="Calibri Light" w:cs="Calibri Light"/>
          <w:noProof/>
          <w:szCs w:val="24"/>
        </w:rPr>
        <w:t>, 303–323 (2015).</w:t>
      </w:r>
    </w:p>
    <w:p w14:paraId="7F822CF2" w14:textId="77777777" w:rsidR="00B72301" w:rsidRPr="00B72301" w:rsidRDefault="00B72301" w:rsidP="00B72301">
      <w:pPr>
        <w:widowControl w:val="0"/>
        <w:autoSpaceDE w:val="0"/>
        <w:autoSpaceDN w:val="0"/>
        <w:adjustRightInd w:val="0"/>
        <w:spacing w:after="0" w:line="240" w:lineRule="auto"/>
        <w:ind w:left="640" w:hanging="640"/>
        <w:rPr>
          <w:rFonts w:ascii="Calibri Light" w:hAnsi="Calibri Light" w:cs="Calibri Light"/>
          <w:noProof/>
          <w:szCs w:val="24"/>
        </w:rPr>
      </w:pPr>
      <w:r w:rsidRPr="00B72301">
        <w:rPr>
          <w:rFonts w:ascii="Calibri Light" w:hAnsi="Calibri Light" w:cs="Calibri Light"/>
          <w:noProof/>
          <w:szCs w:val="24"/>
        </w:rPr>
        <w:t>8.</w:t>
      </w:r>
      <w:r w:rsidRPr="00B72301">
        <w:rPr>
          <w:rFonts w:ascii="Calibri Light" w:hAnsi="Calibri Light" w:cs="Calibri Light"/>
          <w:noProof/>
          <w:szCs w:val="24"/>
        </w:rPr>
        <w:tab/>
        <w:t xml:space="preserve">van Vuuren, D. </w:t>
      </w:r>
      <w:r w:rsidRPr="00B72301">
        <w:rPr>
          <w:rFonts w:ascii="Calibri Light" w:hAnsi="Calibri Light" w:cs="Calibri Light"/>
          <w:i/>
          <w:iCs/>
          <w:noProof/>
          <w:szCs w:val="24"/>
        </w:rPr>
        <w:t>et al.</w:t>
      </w:r>
      <w:r w:rsidRPr="00B72301">
        <w:rPr>
          <w:rFonts w:ascii="Calibri Light" w:hAnsi="Calibri Light" w:cs="Calibri Light"/>
          <w:noProof/>
          <w:szCs w:val="24"/>
        </w:rPr>
        <w:t xml:space="preserve"> </w:t>
      </w:r>
      <w:r w:rsidRPr="00B72301">
        <w:rPr>
          <w:rFonts w:ascii="Calibri Light" w:hAnsi="Calibri Light" w:cs="Calibri Light"/>
          <w:i/>
          <w:iCs/>
          <w:noProof/>
          <w:szCs w:val="24"/>
        </w:rPr>
        <w:t>Pathways Toward Sustainable Development - Global Environment Outlook 6, Chapter 22</w:t>
      </w:r>
      <w:r w:rsidRPr="00B72301">
        <w:rPr>
          <w:rFonts w:ascii="Calibri Light" w:hAnsi="Calibri Light" w:cs="Calibri Light"/>
          <w:noProof/>
          <w:szCs w:val="24"/>
        </w:rPr>
        <w:t>. (2019).</w:t>
      </w:r>
    </w:p>
    <w:p w14:paraId="40033939" w14:textId="77777777" w:rsidR="00B72301" w:rsidRPr="00B72301" w:rsidRDefault="00B72301" w:rsidP="00B72301">
      <w:pPr>
        <w:widowControl w:val="0"/>
        <w:autoSpaceDE w:val="0"/>
        <w:autoSpaceDN w:val="0"/>
        <w:adjustRightInd w:val="0"/>
        <w:spacing w:after="0" w:line="240" w:lineRule="auto"/>
        <w:ind w:left="640" w:hanging="640"/>
        <w:rPr>
          <w:rFonts w:ascii="Calibri Light" w:hAnsi="Calibri Light" w:cs="Calibri Light"/>
          <w:noProof/>
          <w:szCs w:val="24"/>
        </w:rPr>
      </w:pPr>
      <w:r w:rsidRPr="00B72301">
        <w:rPr>
          <w:rFonts w:ascii="Calibri Light" w:hAnsi="Calibri Light" w:cs="Calibri Light"/>
          <w:noProof/>
          <w:szCs w:val="24"/>
        </w:rPr>
        <w:t>9.</w:t>
      </w:r>
      <w:r w:rsidRPr="00B72301">
        <w:rPr>
          <w:rFonts w:ascii="Calibri Light" w:hAnsi="Calibri Light" w:cs="Calibri Light"/>
          <w:noProof/>
          <w:szCs w:val="24"/>
        </w:rPr>
        <w:tab/>
        <w:t xml:space="preserve">Cambridge Econometrics. </w:t>
      </w:r>
      <w:r w:rsidRPr="00B72301">
        <w:rPr>
          <w:rFonts w:ascii="Calibri Light" w:hAnsi="Calibri Light" w:cs="Calibri Light"/>
          <w:i/>
          <w:iCs/>
          <w:noProof/>
          <w:szCs w:val="24"/>
        </w:rPr>
        <w:t>Model Manual (V6.1 temporary update) E3ME Technical Manual v6.1</w:t>
      </w:r>
      <w:r w:rsidRPr="00B72301">
        <w:rPr>
          <w:rFonts w:ascii="Calibri Light" w:hAnsi="Calibri Light" w:cs="Calibri Light"/>
          <w:noProof/>
          <w:szCs w:val="24"/>
        </w:rPr>
        <w:t>. www.camecon.com (2019).</w:t>
      </w:r>
    </w:p>
    <w:p w14:paraId="56B71C8B" w14:textId="77777777" w:rsidR="00B72301" w:rsidRPr="00B72301" w:rsidRDefault="00B72301" w:rsidP="00B72301">
      <w:pPr>
        <w:widowControl w:val="0"/>
        <w:autoSpaceDE w:val="0"/>
        <w:autoSpaceDN w:val="0"/>
        <w:adjustRightInd w:val="0"/>
        <w:spacing w:after="0" w:line="240" w:lineRule="auto"/>
        <w:ind w:left="640" w:hanging="640"/>
        <w:rPr>
          <w:rFonts w:ascii="Calibri Light" w:hAnsi="Calibri Light" w:cs="Calibri Light"/>
          <w:noProof/>
          <w:szCs w:val="24"/>
        </w:rPr>
      </w:pPr>
      <w:r w:rsidRPr="004835A4">
        <w:rPr>
          <w:rFonts w:ascii="Calibri Light" w:hAnsi="Calibri Light" w:cs="Calibri Light"/>
          <w:noProof/>
          <w:szCs w:val="24"/>
          <w:lang w:val="nl-NL"/>
        </w:rPr>
        <w:t>10.</w:t>
      </w:r>
      <w:r w:rsidRPr="004835A4">
        <w:rPr>
          <w:rFonts w:ascii="Calibri Light" w:hAnsi="Calibri Light" w:cs="Calibri Light"/>
          <w:noProof/>
          <w:szCs w:val="24"/>
          <w:lang w:val="nl-NL"/>
        </w:rPr>
        <w:tab/>
        <w:t xml:space="preserve">Mercure, J. F. </w:t>
      </w:r>
      <w:r w:rsidRPr="004835A4">
        <w:rPr>
          <w:rFonts w:ascii="Calibri Light" w:hAnsi="Calibri Light" w:cs="Calibri Light"/>
          <w:i/>
          <w:iCs/>
          <w:noProof/>
          <w:szCs w:val="24"/>
          <w:lang w:val="nl-NL"/>
        </w:rPr>
        <w:t>et al.</w:t>
      </w:r>
      <w:r w:rsidRPr="004835A4">
        <w:rPr>
          <w:rFonts w:ascii="Calibri Light" w:hAnsi="Calibri Light" w:cs="Calibri Light"/>
          <w:noProof/>
          <w:szCs w:val="24"/>
          <w:lang w:val="nl-NL"/>
        </w:rPr>
        <w:t xml:space="preserve"> </w:t>
      </w:r>
      <w:r w:rsidRPr="00B72301">
        <w:rPr>
          <w:rFonts w:ascii="Calibri Light" w:hAnsi="Calibri Light" w:cs="Calibri Light"/>
          <w:noProof/>
          <w:szCs w:val="24"/>
        </w:rPr>
        <w:t xml:space="preserve">Environmental impact assessment for climate change policy with the simulation-based integrated assessment model E3ME-FTT-GENIE. </w:t>
      </w:r>
      <w:r w:rsidRPr="00B72301">
        <w:rPr>
          <w:rFonts w:ascii="Calibri Light" w:hAnsi="Calibri Light" w:cs="Calibri Light"/>
          <w:i/>
          <w:iCs/>
          <w:noProof/>
          <w:szCs w:val="24"/>
        </w:rPr>
        <w:t>Energy Strateg. Rev.</w:t>
      </w:r>
      <w:r w:rsidRPr="00B72301">
        <w:rPr>
          <w:rFonts w:ascii="Calibri Light" w:hAnsi="Calibri Light" w:cs="Calibri Light"/>
          <w:noProof/>
          <w:szCs w:val="24"/>
        </w:rPr>
        <w:t xml:space="preserve"> </w:t>
      </w:r>
      <w:r w:rsidRPr="00B72301">
        <w:rPr>
          <w:rFonts w:ascii="Calibri Light" w:hAnsi="Calibri Light" w:cs="Calibri Light"/>
          <w:b/>
          <w:bCs/>
          <w:noProof/>
          <w:szCs w:val="24"/>
        </w:rPr>
        <w:t>20</w:t>
      </w:r>
      <w:r w:rsidRPr="00B72301">
        <w:rPr>
          <w:rFonts w:ascii="Calibri Light" w:hAnsi="Calibri Light" w:cs="Calibri Light"/>
          <w:noProof/>
          <w:szCs w:val="24"/>
        </w:rPr>
        <w:t>, 195–208 (2018).</w:t>
      </w:r>
    </w:p>
    <w:p w14:paraId="49CEDC5C" w14:textId="77777777" w:rsidR="00B72301" w:rsidRPr="00B72301" w:rsidRDefault="00B72301" w:rsidP="00B72301">
      <w:pPr>
        <w:widowControl w:val="0"/>
        <w:autoSpaceDE w:val="0"/>
        <w:autoSpaceDN w:val="0"/>
        <w:adjustRightInd w:val="0"/>
        <w:spacing w:after="0" w:line="240" w:lineRule="auto"/>
        <w:ind w:left="640" w:hanging="640"/>
        <w:rPr>
          <w:rFonts w:ascii="Calibri Light" w:hAnsi="Calibri Light" w:cs="Calibri Light"/>
          <w:noProof/>
          <w:szCs w:val="24"/>
        </w:rPr>
      </w:pPr>
      <w:r w:rsidRPr="00B72301">
        <w:rPr>
          <w:rFonts w:ascii="Calibri Light" w:hAnsi="Calibri Light" w:cs="Calibri Light"/>
          <w:noProof/>
          <w:szCs w:val="24"/>
        </w:rPr>
        <w:t>11.</w:t>
      </w:r>
      <w:r w:rsidRPr="00B72301">
        <w:rPr>
          <w:rFonts w:ascii="Calibri Light" w:hAnsi="Calibri Light" w:cs="Calibri Light"/>
          <w:noProof/>
          <w:szCs w:val="24"/>
        </w:rPr>
        <w:tab/>
        <w:t xml:space="preserve">Pollitt, H. &amp; Mercure, J. F. The role of money and the financial sector in energy - economy models used for assessing climate and energy policy. </w:t>
      </w:r>
      <w:r w:rsidRPr="00B72301">
        <w:rPr>
          <w:rFonts w:ascii="Calibri Light" w:hAnsi="Calibri Light" w:cs="Calibri Light"/>
          <w:i/>
          <w:iCs/>
          <w:noProof/>
          <w:szCs w:val="24"/>
        </w:rPr>
        <w:t>Clim. Policy</w:t>
      </w:r>
      <w:r w:rsidRPr="00B72301">
        <w:rPr>
          <w:rFonts w:ascii="Calibri Light" w:hAnsi="Calibri Light" w:cs="Calibri Light"/>
          <w:noProof/>
          <w:szCs w:val="24"/>
        </w:rPr>
        <w:t xml:space="preserve"> </w:t>
      </w:r>
      <w:r w:rsidRPr="00B72301">
        <w:rPr>
          <w:rFonts w:ascii="Calibri Light" w:hAnsi="Calibri Light" w:cs="Calibri Light"/>
          <w:b/>
          <w:bCs/>
          <w:noProof/>
          <w:szCs w:val="24"/>
        </w:rPr>
        <w:t>18</w:t>
      </w:r>
      <w:r w:rsidRPr="00B72301">
        <w:rPr>
          <w:rFonts w:ascii="Calibri Light" w:hAnsi="Calibri Light" w:cs="Calibri Light"/>
          <w:noProof/>
          <w:szCs w:val="24"/>
        </w:rPr>
        <w:t>, 184–197 (2018).</w:t>
      </w:r>
    </w:p>
    <w:p w14:paraId="1FE8836D" w14:textId="77777777" w:rsidR="00B72301" w:rsidRPr="00B72301" w:rsidRDefault="00B72301" w:rsidP="00B72301">
      <w:pPr>
        <w:widowControl w:val="0"/>
        <w:autoSpaceDE w:val="0"/>
        <w:autoSpaceDN w:val="0"/>
        <w:adjustRightInd w:val="0"/>
        <w:spacing w:after="0" w:line="240" w:lineRule="auto"/>
        <w:ind w:left="640" w:hanging="640"/>
        <w:rPr>
          <w:rFonts w:ascii="Calibri Light" w:hAnsi="Calibri Light" w:cs="Calibri Light"/>
          <w:noProof/>
          <w:szCs w:val="24"/>
        </w:rPr>
      </w:pPr>
      <w:r w:rsidRPr="00B72301">
        <w:rPr>
          <w:rFonts w:ascii="Calibri Light" w:hAnsi="Calibri Light" w:cs="Calibri Light"/>
          <w:noProof/>
          <w:szCs w:val="24"/>
        </w:rPr>
        <w:t>12.</w:t>
      </w:r>
      <w:r w:rsidRPr="00B72301">
        <w:rPr>
          <w:rFonts w:ascii="Calibri Light" w:hAnsi="Calibri Light" w:cs="Calibri Light"/>
          <w:noProof/>
          <w:szCs w:val="24"/>
        </w:rPr>
        <w:tab/>
        <w:t xml:space="preserve">Mercure, J. F. FTT:Power A global model of the power sector with induced technological change and natural resource depletion. </w:t>
      </w:r>
      <w:r w:rsidRPr="00B72301">
        <w:rPr>
          <w:rFonts w:ascii="Calibri Light" w:hAnsi="Calibri Light" w:cs="Calibri Light"/>
          <w:i/>
          <w:iCs/>
          <w:noProof/>
          <w:szCs w:val="24"/>
        </w:rPr>
        <w:t>Energy Policy</w:t>
      </w:r>
      <w:r w:rsidRPr="00B72301">
        <w:rPr>
          <w:rFonts w:ascii="Calibri Light" w:hAnsi="Calibri Light" w:cs="Calibri Light"/>
          <w:noProof/>
          <w:szCs w:val="24"/>
        </w:rPr>
        <w:t xml:space="preserve"> </w:t>
      </w:r>
      <w:r w:rsidRPr="00B72301">
        <w:rPr>
          <w:rFonts w:ascii="Calibri Light" w:hAnsi="Calibri Light" w:cs="Calibri Light"/>
          <w:b/>
          <w:bCs/>
          <w:noProof/>
          <w:szCs w:val="24"/>
        </w:rPr>
        <w:t>48</w:t>
      </w:r>
      <w:r w:rsidRPr="00B72301">
        <w:rPr>
          <w:rFonts w:ascii="Calibri Light" w:hAnsi="Calibri Light" w:cs="Calibri Light"/>
          <w:noProof/>
          <w:szCs w:val="24"/>
        </w:rPr>
        <w:t>, 799–811 (2012).</w:t>
      </w:r>
    </w:p>
    <w:p w14:paraId="3606A372" w14:textId="77777777" w:rsidR="00B72301" w:rsidRPr="00B72301" w:rsidRDefault="00B72301" w:rsidP="00B72301">
      <w:pPr>
        <w:widowControl w:val="0"/>
        <w:autoSpaceDE w:val="0"/>
        <w:autoSpaceDN w:val="0"/>
        <w:adjustRightInd w:val="0"/>
        <w:spacing w:after="0" w:line="240" w:lineRule="auto"/>
        <w:ind w:left="640" w:hanging="640"/>
        <w:rPr>
          <w:rFonts w:ascii="Calibri Light" w:hAnsi="Calibri Light" w:cs="Calibri Light"/>
          <w:noProof/>
          <w:szCs w:val="24"/>
        </w:rPr>
      </w:pPr>
      <w:r w:rsidRPr="00B72301">
        <w:rPr>
          <w:rFonts w:ascii="Calibri Light" w:hAnsi="Calibri Light" w:cs="Calibri Light"/>
          <w:noProof/>
          <w:szCs w:val="24"/>
        </w:rPr>
        <w:t>13.</w:t>
      </w:r>
      <w:r w:rsidRPr="00B72301">
        <w:rPr>
          <w:rFonts w:ascii="Calibri Light" w:hAnsi="Calibri Light" w:cs="Calibri Light"/>
          <w:noProof/>
          <w:szCs w:val="24"/>
        </w:rPr>
        <w:tab/>
        <w:t>Mercure, J. F., Lam, A., Billington, S. &amp; Pollitt, H. Integrated assessment modelling as a positive science: private passenger road transport policies to meet a climate target well below 2</w:t>
      </w:r>
      <w:r w:rsidRPr="00B72301">
        <w:rPr>
          <w:rFonts w:ascii="Cambria Math" w:hAnsi="Cambria Math" w:cs="Cambria Math"/>
          <w:noProof/>
          <w:szCs w:val="24"/>
        </w:rPr>
        <w:t>∘</w:t>
      </w:r>
      <w:r w:rsidRPr="00B72301">
        <w:rPr>
          <w:rFonts w:ascii="Calibri Light" w:hAnsi="Calibri Light" w:cs="Calibri Light"/>
          <w:noProof/>
          <w:szCs w:val="24"/>
        </w:rPr>
        <w:t xml:space="preserve">C. </w:t>
      </w:r>
      <w:r w:rsidRPr="00B72301">
        <w:rPr>
          <w:rFonts w:ascii="Calibri Light" w:hAnsi="Calibri Light" w:cs="Calibri Light"/>
          <w:i/>
          <w:iCs/>
          <w:noProof/>
          <w:szCs w:val="24"/>
        </w:rPr>
        <w:t>Clim. Change</w:t>
      </w:r>
      <w:r w:rsidRPr="00B72301">
        <w:rPr>
          <w:rFonts w:ascii="Calibri Light" w:hAnsi="Calibri Light" w:cs="Calibri Light"/>
          <w:noProof/>
          <w:szCs w:val="24"/>
        </w:rPr>
        <w:t xml:space="preserve"> </w:t>
      </w:r>
      <w:r w:rsidRPr="00B72301">
        <w:rPr>
          <w:rFonts w:ascii="Calibri Light" w:hAnsi="Calibri Light" w:cs="Calibri Light"/>
          <w:b/>
          <w:bCs/>
          <w:noProof/>
          <w:szCs w:val="24"/>
        </w:rPr>
        <w:t>151</w:t>
      </w:r>
      <w:r w:rsidRPr="00B72301">
        <w:rPr>
          <w:rFonts w:ascii="Calibri Light" w:hAnsi="Calibri Light" w:cs="Calibri Light"/>
          <w:noProof/>
          <w:szCs w:val="24"/>
        </w:rPr>
        <w:t>, 109–129 (2018).</w:t>
      </w:r>
    </w:p>
    <w:p w14:paraId="37B924C1" w14:textId="77777777" w:rsidR="00B72301" w:rsidRPr="00B72301" w:rsidRDefault="00B72301" w:rsidP="00B72301">
      <w:pPr>
        <w:widowControl w:val="0"/>
        <w:autoSpaceDE w:val="0"/>
        <w:autoSpaceDN w:val="0"/>
        <w:adjustRightInd w:val="0"/>
        <w:spacing w:after="0" w:line="240" w:lineRule="auto"/>
        <w:ind w:left="640" w:hanging="640"/>
        <w:rPr>
          <w:rFonts w:ascii="Calibri Light" w:hAnsi="Calibri Light" w:cs="Calibri Light"/>
          <w:noProof/>
          <w:szCs w:val="24"/>
        </w:rPr>
      </w:pPr>
      <w:r w:rsidRPr="00B72301">
        <w:rPr>
          <w:rFonts w:ascii="Calibri Light" w:hAnsi="Calibri Light" w:cs="Calibri Light"/>
          <w:noProof/>
          <w:szCs w:val="24"/>
        </w:rPr>
        <w:t>14.</w:t>
      </w:r>
      <w:r w:rsidRPr="00B72301">
        <w:rPr>
          <w:rFonts w:ascii="Calibri Light" w:hAnsi="Calibri Light" w:cs="Calibri Light"/>
          <w:noProof/>
          <w:szCs w:val="24"/>
        </w:rPr>
        <w:tab/>
        <w:t xml:space="preserve">Knobloch, F., Pollitt, H., Chewpreecha, U., Daioglou, V. &amp; Mercure, J. F. Simulating the deep decarbonisation of residential heating for limiting global warming to 1.5 °C. </w:t>
      </w:r>
      <w:r w:rsidRPr="00B72301">
        <w:rPr>
          <w:rFonts w:ascii="Calibri Light" w:hAnsi="Calibri Light" w:cs="Calibri Light"/>
          <w:i/>
          <w:iCs/>
          <w:noProof/>
          <w:szCs w:val="24"/>
        </w:rPr>
        <w:t>Energy Effic.</w:t>
      </w:r>
      <w:r w:rsidRPr="00B72301">
        <w:rPr>
          <w:rFonts w:ascii="Calibri Light" w:hAnsi="Calibri Light" w:cs="Calibri Light"/>
          <w:noProof/>
          <w:szCs w:val="24"/>
        </w:rPr>
        <w:t xml:space="preserve"> </w:t>
      </w:r>
      <w:r w:rsidRPr="00B72301">
        <w:rPr>
          <w:rFonts w:ascii="Calibri Light" w:hAnsi="Calibri Light" w:cs="Calibri Light"/>
          <w:b/>
          <w:bCs/>
          <w:noProof/>
          <w:szCs w:val="24"/>
        </w:rPr>
        <w:t>12</w:t>
      </w:r>
      <w:r w:rsidRPr="00B72301">
        <w:rPr>
          <w:rFonts w:ascii="Calibri Light" w:hAnsi="Calibri Light" w:cs="Calibri Light"/>
          <w:noProof/>
          <w:szCs w:val="24"/>
        </w:rPr>
        <w:t>, 521–550 (2019).</w:t>
      </w:r>
    </w:p>
    <w:p w14:paraId="54C3DFDF" w14:textId="77777777" w:rsidR="00B72301" w:rsidRPr="00B72301" w:rsidRDefault="00B72301" w:rsidP="00B72301">
      <w:pPr>
        <w:widowControl w:val="0"/>
        <w:autoSpaceDE w:val="0"/>
        <w:autoSpaceDN w:val="0"/>
        <w:adjustRightInd w:val="0"/>
        <w:spacing w:after="0" w:line="240" w:lineRule="auto"/>
        <w:ind w:left="640" w:hanging="640"/>
        <w:rPr>
          <w:rFonts w:ascii="Calibri Light" w:hAnsi="Calibri Light" w:cs="Calibri Light"/>
          <w:noProof/>
          <w:szCs w:val="24"/>
        </w:rPr>
      </w:pPr>
      <w:r w:rsidRPr="00B72301">
        <w:rPr>
          <w:rFonts w:ascii="Calibri Light" w:hAnsi="Calibri Light" w:cs="Calibri Light"/>
          <w:noProof/>
          <w:szCs w:val="24"/>
        </w:rPr>
        <w:t>15.</w:t>
      </w:r>
      <w:r w:rsidRPr="00B72301">
        <w:rPr>
          <w:rFonts w:ascii="Calibri Light" w:hAnsi="Calibri Light" w:cs="Calibri Light"/>
          <w:noProof/>
          <w:szCs w:val="24"/>
        </w:rPr>
        <w:tab/>
        <w:t xml:space="preserve">Dellink, R., Chateau, J., Lanzi, E. &amp; Magné, B. Long-term economic growth projections in the Shared Socioeconomic Pathways. </w:t>
      </w:r>
      <w:r w:rsidRPr="00B72301">
        <w:rPr>
          <w:rFonts w:ascii="Calibri Light" w:hAnsi="Calibri Light" w:cs="Calibri Light"/>
          <w:i/>
          <w:iCs/>
          <w:noProof/>
          <w:szCs w:val="24"/>
        </w:rPr>
        <w:t>Glob. Environ. Chang.</w:t>
      </w:r>
      <w:r w:rsidRPr="00B72301">
        <w:rPr>
          <w:rFonts w:ascii="Calibri Light" w:hAnsi="Calibri Light" w:cs="Calibri Light"/>
          <w:noProof/>
          <w:szCs w:val="24"/>
        </w:rPr>
        <w:t xml:space="preserve"> </w:t>
      </w:r>
      <w:r w:rsidRPr="00B72301">
        <w:rPr>
          <w:rFonts w:ascii="Calibri Light" w:hAnsi="Calibri Light" w:cs="Calibri Light"/>
          <w:b/>
          <w:bCs/>
          <w:noProof/>
          <w:szCs w:val="24"/>
        </w:rPr>
        <w:t>42</w:t>
      </w:r>
      <w:r w:rsidRPr="00B72301">
        <w:rPr>
          <w:rFonts w:ascii="Calibri Light" w:hAnsi="Calibri Light" w:cs="Calibri Light"/>
          <w:noProof/>
          <w:szCs w:val="24"/>
        </w:rPr>
        <w:t>, 200–214 (2017).</w:t>
      </w:r>
    </w:p>
    <w:p w14:paraId="79704D18" w14:textId="77777777" w:rsidR="00B72301" w:rsidRPr="00B72301" w:rsidRDefault="00B72301" w:rsidP="00B72301">
      <w:pPr>
        <w:widowControl w:val="0"/>
        <w:autoSpaceDE w:val="0"/>
        <w:autoSpaceDN w:val="0"/>
        <w:adjustRightInd w:val="0"/>
        <w:spacing w:after="0" w:line="240" w:lineRule="auto"/>
        <w:ind w:left="640" w:hanging="640"/>
        <w:rPr>
          <w:rFonts w:ascii="Calibri Light" w:hAnsi="Calibri Light" w:cs="Calibri Light"/>
          <w:noProof/>
          <w:szCs w:val="24"/>
        </w:rPr>
      </w:pPr>
      <w:r w:rsidRPr="00B72301">
        <w:rPr>
          <w:rFonts w:ascii="Calibri Light" w:hAnsi="Calibri Light" w:cs="Calibri Light"/>
          <w:noProof/>
          <w:szCs w:val="24"/>
        </w:rPr>
        <w:t>16.</w:t>
      </w:r>
      <w:r w:rsidRPr="00B72301">
        <w:rPr>
          <w:rFonts w:ascii="Calibri Light" w:hAnsi="Calibri Light" w:cs="Calibri Light"/>
          <w:noProof/>
          <w:szCs w:val="24"/>
        </w:rPr>
        <w:tab/>
        <w:t xml:space="preserve">Organization for Economic Co-operation and Development. </w:t>
      </w:r>
      <w:r w:rsidRPr="00B72301">
        <w:rPr>
          <w:rFonts w:ascii="Calibri Light" w:hAnsi="Calibri Light" w:cs="Calibri Light"/>
          <w:i/>
          <w:iCs/>
          <w:noProof/>
          <w:szCs w:val="24"/>
        </w:rPr>
        <w:t>OECD Economic Outlook, Interim Report Coronavirus (COVID-19): Living with uncertainty</w:t>
      </w:r>
      <w:r w:rsidRPr="00B72301">
        <w:rPr>
          <w:rFonts w:ascii="Calibri Light" w:hAnsi="Calibri Light" w:cs="Calibri Light"/>
          <w:noProof/>
          <w:szCs w:val="24"/>
        </w:rPr>
        <w:t>. (2020).</w:t>
      </w:r>
    </w:p>
    <w:p w14:paraId="644A7ED0" w14:textId="77777777" w:rsidR="00B72301" w:rsidRPr="00B72301" w:rsidRDefault="00B72301" w:rsidP="00B72301">
      <w:pPr>
        <w:widowControl w:val="0"/>
        <w:autoSpaceDE w:val="0"/>
        <w:autoSpaceDN w:val="0"/>
        <w:adjustRightInd w:val="0"/>
        <w:spacing w:after="0" w:line="240" w:lineRule="auto"/>
        <w:ind w:left="640" w:hanging="640"/>
        <w:rPr>
          <w:rFonts w:ascii="Calibri Light" w:hAnsi="Calibri Light" w:cs="Calibri Light"/>
          <w:noProof/>
          <w:szCs w:val="24"/>
        </w:rPr>
      </w:pPr>
      <w:r w:rsidRPr="00B72301">
        <w:rPr>
          <w:rFonts w:ascii="Calibri Light" w:hAnsi="Calibri Light" w:cs="Calibri Light"/>
          <w:noProof/>
          <w:szCs w:val="24"/>
        </w:rPr>
        <w:t>17.</w:t>
      </w:r>
      <w:r w:rsidRPr="00B72301">
        <w:rPr>
          <w:rFonts w:ascii="Calibri Light" w:hAnsi="Calibri Light" w:cs="Calibri Light"/>
          <w:noProof/>
          <w:szCs w:val="24"/>
        </w:rPr>
        <w:tab/>
        <w:t xml:space="preserve">International Monetary Fund. </w:t>
      </w:r>
      <w:r w:rsidRPr="00B72301">
        <w:rPr>
          <w:rFonts w:ascii="Calibri Light" w:hAnsi="Calibri Light" w:cs="Calibri Light"/>
          <w:i/>
          <w:iCs/>
          <w:noProof/>
          <w:szCs w:val="24"/>
        </w:rPr>
        <w:t>World Economic Outlook Update, June 2020: A Crisis Like No Other, An Uncertain Recovery</w:t>
      </w:r>
      <w:r w:rsidRPr="00B72301">
        <w:rPr>
          <w:rFonts w:ascii="Calibri Light" w:hAnsi="Calibri Light" w:cs="Calibri Light"/>
          <w:noProof/>
          <w:szCs w:val="24"/>
        </w:rPr>
        <w:t>. https://www.imf.org/en/Publications/WEO/Issues/2020/06/24/WEOUpdateJune2020 (2020).</w:t>
      </w:r>
    </w:p>
    <w:p w14:paraId="18EFDD63" w14:textId="77777777" w:rsidR="00B72301" w:rsidRPr="00B72301" w:rsidRDefault="00B72301" w:rsidP="00B72301">
      <w:pPr>
        <w:widowControl w:val="0"/>
        <w:autoSpaceDE w:val="0"/>
        <w:autoSpaceDN w:val="0"/>
        <w:adjustRightInd w:val="0"/>
        <w:spacing w:after="0" w:line="240" w:lineRule="auto"/>
        <w:ind w:left="640" w:hanging="640"/>
        <w:rPr>
          <w:rFonts w:ascii="Calibri Light" w:hAnsi="Calibri Light" w:cs="Calibri Light"/>
          <w:noProof/>
          <w:szCs w:val="24"/>
        </w:rPr>
      </w:pPr>
      <w:r w:rsidRPr="00B72301">
        <w:rPr>
          <w:rFonts w:ascii="Calibri Light" w:hAnsi="Calibri Light" w:cs="Calibri Light"/>
          <w:noProof/>
          <w:szCs w:val="24"/>
        </w:rPr>
        <w:t>18.</w:t>
      </w:r>
      <w:r w:rsidRPr="00B72301">
        <w:rPr>
          <w:rFonts w:ascii="Calibri Light" w:hAnsi="Calibri Light" w:cs="Calibri Light"/>
          <w:noProof/>
          <w:szCs w:val="24"/>
        </w:rPr>
        <w:tab/>
        <w:t xml:space="preserve">Strand, J. &amp; Toman, M. ''Green Stimulus," Economic Recovery, and Long-Term Sustainable Development". </w:t>
      </w:r>
      <w:r w:rsidRPr="00B72301">
        <w:rPr>
          <w:rFonts w:ascii="Calibri Light" w:hAnsi="Calibri Light" w:cs="Calibri Light"/>
          <w:i/>
          <w:iCs/>
          <w:noProof/>
          <w:szCs w:val="24"/>
        </w:rPr>
        <w:t>World Bank – Policy Res. Work. Pap. No. 5163</w:t>
      </w:r>
      <w:r w:rsidRPr="00B72301">
        <w:rPr>
          <w:rFonts w:ascii="Calibri Light" w:hAnsi="Calibri Light" w:cs="Calibri Light"/>
          <w:noProof/>
          <w:szCs w:val="24"/>
        </w:rPr>
        <w:t xml:space="preserve"> 1–30 (2010).</w:t>
      </w:r>
    </w:p>
    <w:p w14:paraId="450CE10D" w14:textId="77777777" w:rsidR="00B72301" w:rsidRPr="00B72301" w:rsidRDefault="00B72301" w:rsidP="00B72301">
      <w:pPr>
        <w:widowControl w:val="0"/>
        <w:autoSpaceDE w:val="0"/>
        <w:autoSpaceDN w:val="0"/>
        <w:adjustRightInd w:val="0"/>
        <w:spacing w:after="0" w:line="240" w:lineRule="auto"/>
        <w:ind w:left="640" w:hanging="640"/>
        <w:rPr>
          <w:rFonts w:ascii="Calibri Light" w:hAnsi="Calibri Light" w:cs="Calibri Light"/>
          <w:noProof/>
          <w:szCs w:val="24"/>
        </w:rPr>
      </w:pPr>
      <w:r w:rsidRPr="00B72301">
        <w:rPr>
          <w:rFonts w:ascii="Calibri Light" w:hAnsi="Calibri Light" w:cs="Calibri Light"/>
          <w:noProof/>
          <w:szCs w:val="24"/>
        </w:rPr>
        <w:t>19.</w:t>
      </w:r>
      <w:r w:rsidRPr="00B72301">
        <w:rPr>
          <w:rFonts w:ascii="Calibri Light" w:hAnsi="Calibri Light" w:cs="Calibri Light"/>
          <w:noProof/>
          <w:szCs w:val="24"/>
        </w:rPr>
        <w:tab/>
        <w:t xml:space="preserve">European Commission. </w:t>
      </w:r>
      <w:r w:rsidRPr="00B72301">
        <w:rPr>
          <w:rFonts w:ascii="Calibri Light" w:hAnsi="Calibri Light" w:cs="Calibri Light"/>
          <w:i/>
          <w:iCs/>
          <w:noProof/>
          <w:szCs w:val="24"/>
        </w:rPr>
        <w:t>Summer Economic forecast 2020</w:t>
      </w:r>
      <w:r w:rsidRPr="00B72301">
        <w:rPr>
          <w:rFonts w:ascii="Calibri Light" w:hAnsi="Calibri Light" w:cs="Calibri Light"/>
          <w:noProof/>
          <w:szCs w:val="24"/>
        </w:rPr>
        <w:t>. https://ec.europa.eu/info/sites/default/files/economy-finance/summer_2020_economic_forecast_-_statistical_annex.pdf (2020).</w:t>
      </w:r>
    </w:p>
    <w:p w14:paraId="1A229182" w14:textId="77777777" w:rsidR="00B72301" w:rsidRPr="00B72301" w:rsidRDefault="00B72301" w:rsidP="00B72301">
      <w:pPr>
        <w:widowControl w:val="0"/>
        <w:autoSpaceDE w:val="0"/>
        <w:autoSpaceDN w:val="0"/>
        <w:adjustRightInd w:val="0"/>
        <w:spacing w:after="0" w:line="240" w:lineRule="auto"/>
        <w:ind w:left="640" w:hanging="640"/>
        <w:rPr>
          <w:rFonts w:ascii="Calibri Light" w:hAnsi="Calibri Light" w:cs="Calibri Light"/>
          <w:noProof/>
          <w:szCs w:val="24"/>
        </w:rPr>
      </w:pPr>
      <w:r w:rsidRPr="00B72301">
        <w:rPr>
          <w:rFonts w:ascii="Calibri Light" w:hAnsi="Calibri Light" w:cs="Calibri Light"/>
          <w:noProof/>
          <w:szCs w:val="24"/>
        </w:rPr>
        <w:t>20.</w:t>
      </w:r>
      <w:r w:rsidRPr="00B72301">
        <w:rPr>
          <w:rFonts w:ascii="Calibri Light" w:hAnsi="Calibri Light" w:cs="Calibri Light"/>
          <w:noProof/>
          <w:szCs w:val="24"/>
        </w:rPr>
        <w:tab/>
        <w:t xml:space="preserve">International Air Transport Association. </w:t>
      </w:r>
      <w:r w:rsidRPr="00B72301">
        <w:rPr>
          <w:rFonts w:ascii="Calibri Light" w:hAnsi="Calibri Light" w:cs="Calibri Light"/>
          <w:i/>
          <w:iCs/>
          <w:noProof/>
          <w:szCs w:val="24"/>
        </w:rPr>
        <w:t>Industry Statistics Fact Sheet</w:t>
      </w:r>
      <w:r w:rsidRPr="00B72301">
        <w:rPr>
          <w:rFonts w:ascii="Calibri Light" w:hAnsi="Calibri Light" w:cs="Calibri Light"/>
          <w:noProof/>
          <w:szCs w:val="24"/>
        </w:rPr>
        <w:t>. (2020).</w:t>
      </w:r>
    </w:p>
    <w:p w14:paraId="3B34DD47" w14:textId="77777777" w:rsidR="00B72301" w:rsidRPr="00B72301" w:rsidRDefault="00B72301" w:rsidP="00B72301">
      <w:pPr>
        <w:widowControl w:val="0"/>
        <w:autoSpaceDE w:val="0"/>
        <w:autoSpaceDN w:val="0"/>
        <w:adjustRightInd w:val="0"/>
        <w:spacing w:after="0" w:line="240" w:lineRule="auto"/>
        <w:ind w:left="640" w:hanging="640"/>
        <w:rPr>
          <w:rFonts w:ascii="Calibri Light" w:hAnsi="Calibri Light" w:cs="Calibri Light"/>
          <w:noProof/>
          <w:szCs w:val="24"/>
        </w:rPr>
      </w:pPr>
      <w:r w:rsidRPr="00B72301">
        <w:rPr>
          <w:rFonts w:ascii="Calibri Light" w:hAnsi="Calibri Light" w:cs="Calibri Light"/>
          <w:noProof/>
          <w:szCs w:val="24"/>
        </w:rPr>
        <w:t>21.</w:t>
      </w:r>
      <w:r w:rsidRPr="00B72301">
        <w:rPr>
          <w:rFonts w:ascii="Calibri Light" w:hAnsi="Calibri Light" w:cs="Calibri Light"/>
          <w:noProof/>
          <w:szCs w:val="24"/>
        </w:rPr>
        <w:tab/>
        <w:t>International Civil Aviation Organization. COVID-19 Air Traffic Dashboard. https://www.icao.int/sustainability/Pages/COVID-19-Air-Traffic-Dashboard.aspx (2020).</w:t>
      </w:r>
    </w:p>
    <w:p w14:paraId="7619B758" w14:textId="77777777" w:rsidR="00B72301" w:rsidRPr="00B72301" w:rsidRDefault="00B72301" w:rsidP="00B72301">
      <w:pPr>
        <w:widowControl w:val="0"/>
        <w:autoSpaceDE w:val="0"/>
        <w:autoSpaceDN w:val="0"/>
        <w:adjustRightInd w:val="0"/>
        <w:spacing w:after="0" w:line="240" w:lineRule="auto"/>
        <w:ind w:left="640" w:hanging="640"/>
        <w:rPr>
          <w:rFonts w:ascii="Calibri Light" w:hAnsi="Calibri Light" w:cs="Calibri Light"/>
          <w:noProof/>
          <w:szCs w:val="24"/>
        </w:rPr>
      </w:pPr>
      <w:r w:rsidRPr="00B72301">
        <w:rPr>
          <w:rFonts w:ascii="Calibri Light" w:hAnsi="Calibri Light" w:cs="Calibri Light"/>
          <w:noProof/>
          <w:szCs w:val="24"/>
        </w:rPr>
        <w:t>22.</w:t>
      </w:r>
      <w:r w:rsidRPr="00B72301">
        <w:rPr>
          <w:rFonts w:ascii="Calibri Light" w:hAnsi="Calibri Light" w:cs="Calibri Light"/>
          <w:noProof/>
          <w:szCs w:val="24"/>
        </w:rPr>
        <w:tab/>
        <w:t>International Civil Aviation Organization. Operational Impact on Air Transport. https://data.icao.int/coVID-19/operational.htm (2020).</w:t>
      </w:r>
    </w:p>
    <w:p w14:paraId="539BA0E8" w14:textId="77777777" w:rsidR="00B72301" w:rsidRPr="00B72301" w:rsidRDefault="00B72301" w:rsidP="00B72301">
      <w:pPr>
        <w:widowControl w:val="0"/>
        <w:autoSpaceDE w:val="0"/>
        <w:autoSpaceDN w:val="0"/>
        <w:adjustRightInd w:val="0"/>
        <w:spacing w:after="0" w:line="240" w:lineRule="auto"/>
        <w:ind w:left="640" w:hanging="640"/>
        <w:rPr>
          <w:rFonts w:ascii="Calibri Light" w:hAnsi="Calibri Light" w:cs="Calibri Light"/>
          <w:noProof/>
          <w:szCs w:val="24"/>
        </w:rPr>
      </w:pPr>
      <w:r w:rsidRPr="00B72301">
        <w:rPr>
          <w:rFonts w:ascii="Calibri Light" w:hAnsi="Calibri Light" w:cs="Calibri Light"/>
          <w:noProof/>
          <w:szCs w:val="24"/>
        </w:rPr>
        <w:t>23.</w:t>
      </w:r>
      <w:r w:rsidRPr="00B72301">
        <w:rPr>
          <w:rFonts w:ascii="Calibri Light" w:hAnsi="Calibri Light" w:cs="Calibri Light"/>
          <w:noProof/>
          <w:szCs w:val="24"/>
        </w:rPr>
        <w:tab/>
        <w:t>National Bureau of Statistics China (NBS). National Bureau of Statistics China. https://data.stats.gov.cn/english/.</w:t>
      </w:r>
    </w:p>
    <w:p w14:paraId="1478BA87" w14:textId="77777777" w:rsidR="00B72301" w:rsidRPr="00B72301" w:rsidRDefault="00B72301" w:rsidP="00B72301">
      <w:pPr>
        <w:widowControl w:val="0"/>
        <w:autoSpaceDE w:val="0"/>
        <w:autoSpaceDN w:val="0"/>
        <w:adjustRightInd w:val="0"/>
        <w:spacing w:after="0" w:line="240" w:lineRule="auto"/>
        <w:ind w:left="640" w:hanging="640"/>
        <w:rPr>
          <w:rFonts w:ascii="Calibri Light" w:hAnsi="Calibri Light" w:cs="Calibri Light"/>
          <w:noProof/>
          <w:szCs w:val="24"/>
        </w:rPr>
      </w:pPr>
      <w:r w:rsidRPr="00B72301">
        <w:rPr>
          <w:rFonts w:ascii="Calibri Light" w:hAnsi="Calibri Light" w:cs="Calibri Light"/>
          <w:noProof/>
          <w:szCs w:val="24"/>
        </w:rPr>
        <w:t>24.</w:t>
      </w:r>
      <w:r w:rsidRPr="00B72301">
        <w:rPr>
          <w:rFonts w:ascii="Calibri Light" w:hAnsi="Calibri Light" w:cs="Calibri Light"/>
          <w:noProof/>
          <w:szCs w:val="24"/>
        </w:rPr>
        <w:tab/>
        <w:t>McKinsey &amp; Co. COVID-19 tourism spend recovery in numbers. https://www.mckinsey.com/industries/travel-logistics-and-infrastructure/our-insights/covid-19-tourism-spend-recovery-in-numbers# (2020).</w:t>
      </w:r>
    </w:p>
    <w:p w14:paraId="76988323" w14:textId="77777777" w:rsidR="00B72301" w:rsidRPr="00B72301" w:rsidRDefault="00B72301" w:rsidP="00B72301">
      <w:pPr>
        <w:widowControl w:val="0"/>
        <w:autoSpaceDE w:val="0"/>
        <w:autoSpaceDN w:val="0"/>
        <w:adjustRightInd w:val="0"/>
        <w:spacing w:after="0" w:line="240" w:lineRule="auto"/>
        <w:ind w:left="640" w:hanging="640"/>
        <w:rPr>
          <w:rFonts w:ascii="Calibri Light" w:hAnsi="Calibri Light" w:cs="Calibri Light"/>
          <w:noProof/>
          <w:szCs w:val="24"/>
        </w:rPr>
      </w:pPr>
      <w:r w:rsidRPr="00B72301">
        <w:rPr>
          <w:rFonts w:ascii="Calibri Light" w:hAnsi="Calibri Light" w:cs="Calibri Light"/>
          <w:noProof/>
          <w:szCs w:val="24"/>
        </w:rPr>
        <w:t>25.</w:t>
      </w:r>
      <w:r w:rsidRPr="00B72301">
        <w:rPr>
          <w:rFonts w:ascii="Calibri Light" w:hAnsi="Calibri Light" w:cs="Calibri Light"/>
          <w:noProof/>
          <w:szCs w:val="24"/>
        </w:rPr>
        <w:tab/>
        <w:t>Google LLC. COVID-19 Community Mobility Reports. https://www.google.com/covid19/mobility/ (2020).</w:t>
      </w:r>
    </w:p>
    <w:p w14:paraId="53EBDB76" w14:textId="77777777" w:rsidR="00B72301" w:rsidRPr="00B72301" w:rsidRDefault="00B72301" w:rsidP="00B72301">
      <w:pPr>
        <w:widowControl w:val="0"/>
        <w:autoSpaceDE w:val="0"/>
        <w:autoSpaceDN w:val="0"/>
        <w:adjustRightInd w:val="0"/>
        <w:spacing w:after="0" w:line="240" w:lineRule="auto"/>
        <w:ind w:left="640" w:hanging="640"/>
        <w:rPr>
          <w:rFonts w:ascii="Calibri Light" w:hAnsi="Calibri Light" w:cs="Calibri Light"/>
          <w:noProof/>
          <w:szCs w:val="24"/>
        </w:rPr>
      </w:pPr>
      <w:r w:rsidRPr="00B72301">
        <w:rPr>
          <w:rFonts w:ascii="Calibri Light" w:hAnsi="Calibri Light" w:cs="Calibri Light"/>
          <w:noProof/>
          <w:szCs w:val="24"/>
        </w:rPr>
        <w:t>26.</w:t>
      </w:r>
      <w:r w:rsidRPr="00B72301">
        <w:rPr>
          <w:rFonts w:ascii="Calibri Light" w:hAnsi="Calibri Light" w:cs="Calibri Light"/>
          <w:noProof/>
          <w:szCs w:val="24"/>
        </w:rPr>
        <w:tab/>
        <w:t>Ritchie, H. Google Mobility Trends: How has the pandemic changed the movement of people around the world? https://ourworldindata.org/covid-mobility-trends#licence (2020).</w:t>
      </w:r>
    </w:p>
    <w:p w14:paraId="1A4F208D" w14:textId="77777777" w:rsidR="00B72301" w:rsidRPr="00B72301" w:rsidRDefault="00B72301" w:rsidP="00B72301">
      <w:pPr>
        <w:widowControl w:val="0"/>
        <w:autoSpaceDE w:val="0"/>
        <w:autoSpaceDN w:val="0"/>
        <w:adjustRightInd w:val="0"/>
        <w:spacing w:after="0" w:line="240" w:lineRule="auto"/>
        <w:ind w:left="640" w:hanging="640"/>
        <w:rPr>
          <w:rFonts w:ascii="Calibri Light" w:hAnsi="Calibri Light" w:cs="Calibri Light"/>
          <w:noProof/>
          <w:szCs w:val="24"/>
        </w:rPr>
      </w:pPr>
      <w:r w:rsidRPr="00B72301">
        <w:rPr>
          <w:rFonts w:ascii="Calibri Light" w:hAnsi="Calibri Light" w:cs="Calibri Light"/>
          <w:noProof/>
          <w:szCs w:val="24"/>
        </w:rPr>
        <w:t>27.</w:t>
      </w:r>
      <w:r w:rsidRPr="00B72301">
        <w:rPr>
          <w:rFonts w:ascii="Calibri Light" w:hAnsi="Calibri Light" w:cs="Calibri Light"/>
          <w:noProof/>
          <w:szCs w:val="24"/>
        </w:rPr>
        <w:tab/>
        <w:t xml:space="preserve">Fatmi, M. R. COVID-19 impact on urban mobility. </w:t>
      </w:r>
      <w:r w:rsidRPr="00B72301">
        <w:rPr>
          <w:rFonts w:ascii="Calibri Light" w:hAnsi="Calibri Light" w:cs="Calibri Light"/>
          <w:i/>
          <w:iCs/>
          <w:noProof/>
          <w:szCs w:val="24"/>
        </w:rPr>
        <w:t>J. Urban Manag.</w:t>
      </w:r>
      <w:r w:rsidRPr="00B72301">
        <w:rPr>
          <w:rFonts w:ascii="Calibri Light" w:hAnsi="Calibri Light" w:cs="Calibri Light"/>
          <w:noProof/>
          <w:szCs w:val="24"/>
        </w:rPr>
        <w:t xml:space="preserve"> </w:t>
      </w:r>
      <w:r w:rsidRPr="00B72301">
        <w:rPr>
          <w:rFonts w:ascii="Calibri Light" w:hAnsi="Calibri Light" w:cs="Calibri Light"/>
          <w:b/>
          <w:bCs/>
          <w:noProof/>
          <w:szCs w:val="24"/>
        </w:rPr>
        <w:t>9</w:t>
      </w:r>
      <w:r w:rsidRPr="00B72301">
        <w:rPr>
          <w:rFonts w:ascii="Calibri Light" w:hAnsi="Calibri Light" w:cs="Calibri Light"/>
          <w:noProof/>
          <w:szCs w:val="24"/>
        </w:rPr>
        <w:t>, 270–275 (2020).</w:t>
      </w:r>
    </w:p>
    <w:p w14:paraId="68A07D2A" w14:textId="77777777" w:rsidR="00B72301" w:rsidRPr="00B72301" w:rsidRDefault="00B72301" w:rsidP="00B72301">
      <w:pPr>
        <w:widowControl w:val="0"/>
        <w:autoSpaceDE w:val="0"/>
        <w:autoSpaceDN w:val="0"/>
        <w:adjustRightInd w:val="0"/>
        <w:spacing w:after="0" w:line="240" w:lineRule="auto"/>
        <w:ind w:left="640" w:hanging="640"/>
        <w:rPr>
          <w:rFonts w:ascii="Calibri Light" w:hAnsi="Calibri Light" w:cs="Calibri Light"/>
          <w:noProof/>
          <w:szCs w:val="24"/>
        </w:rPr>
      </w:pPr>
      <w:r w:rsidRPr="00B72301">
        <w:rPr>
          <w:rFonts w:ascii="Calibri Light" w:hAnsi="Calibri Light" w:cs="Calibri Light"/>
          <w:noProof/>
          <w:szCs w:val="24"/>
        </w:rPr>
        <w:t>28.</w:t>
      </w:r>
      <w:r w:rsidRPr="00B72301">
        <w:rPr>
          <w:rFonts w:ascii="Calibri Light" w:hAnsi="Calibri Light" w:cs="Calibri Light"/>
          <w:noProof/>
          <w:szCs w:val="24"/>
        </w:rPr>
        <w:tab/>
        <w:t>Statista. Netherlands: modes of transport used to commute to work. https://www.statista.com/statistics/1013713/mode-of-transport-used-to-commute-to-work-in-the-netherlands/ (2020).</w:t>
      </w:r>
    </w:p>
    <w:p w14:paraId="6FEE9A15" w14:textId="77777777" w:rsidR="00B72301" w:rsidRPr="00B72301" w:rsidRDefault="00B72301" w:rsidP="00B72301">
      <w:pPr>
        <w:widowControl w:val="0"/>
        <w:autoSpaceDE w:val="0"/>
        <w:autoSpaceDN w:val="0"/>
        <w:adjustRightInd w:val="0"/>
        <w:spacing w:after="0" w:line="240" w:lineRule="auto"/>
        <w:ind w:left="640" w:hanging="640"/>
        <w:rPr>
          <w:rFonts w:ascii="Calibri Light" w:hAnsi="Calibri Light" w:cs="Calibri Light"/>
          <w:noProof/>
          <w:szCs w:val="24"/>
        </w:rPr>
      </w:pPr>
      <w:r w:rsidRPr="00B72301">
        <w:rPr>
          <w:rFonts w:ascii="Calibri Light" w:hAnsi="Calibri Light" w:cs="Calibri Light"/>
          <w:noProof/>
          <w:szCs w:val="24"/>
        </w:rPr>
        <w:t>29.</w:t>
      </w:r>
      <w:r w:rsidRPr="00B72301">
        <w:rPr>
          <w:rFonts w:ascii="Calibri Light" w:hAnsi="Calibri Light" w:cs="Calibri Light"/>
          <w:noProof/>
          <w:szCs w:val="24"/>
        </w:rPr>
        <w:tab/>
        <w:t>Statista. Distribution of transportation modes to commute to work in 2017. https://www.statista.com/statistics/183907/transportation-modes-used-to-commute-to-work-in-the-us/ (2020).</w:t>
      </w:r>
    </w:p>
    <w:p w14:paraId="2F9A1210" w14:textId="77777777" w:rsidR="00B72301" w:rsidRPr="00B72301" w:rsidRDefault="00B72301" w:rsidP="00B72301">
      <w:pPr>
        <w:widowControl w:val="0"/>
        <w:autoSpaceDE w:val="0"/>
        <w:autoSpaceDN w:val="0"/>
        <w:adjustRightInd w:val="0"/>
        <w:spacing w:after="0" w:line="240" w:lineRule="auto"/>
        <w:ind w:left="640" w:hanging="640"/>
        <w:rPr>
          <w:rFonts w:ascii="Calibri Light" w:hAnsi="Calibri Light" w:cs="Calibri Light"/>
          <w:noProof/>
          <w:szCs w:val="24"/>
        </w:rPr>
      </w:pPr>
      <w:r w:rsidRPr="00B72301">
        <w:rPr>
          <w:rFonts w:ascii="Calibri Light" w:hAnsi="Calibri Light" w:cs="Calibri Light"/>
          <w:noProof/>
          <w:szCs w:val="24"/>
        </w:rPr>
        <w:t>30.</w:t>
      </w:r>
      <w:r w:rsidRPr="00B72301">
        <w:rPr>
          <w:rFonts w:ascii="Calibri Light" w:hAnsi="Calibri Light" w:cs="Calibri Light"/>
          <w:noProof/>
          <w:szCs w:val="24"/>
        </w:rPr>
        <w:tab/>
        <w:t>Informed Decisions. Method of travel to work - Australia. https://profile.id.com.au/australia/travel-to-work (2020).</w:t>
      </w:r>
    </w:p>
    <w:p w14:paraId="44B3C229" w14:textId="77777777" w:rsidR="00B72301" w:rsidRPr="00B72301" w:rsidRDefault="00B72301" w:rsidP="00B72301">
      <w:pPr>
        <w:widowControl w:val="0"/>
        <w:autoSpaceDE w:val="0"/>
        <w:autoSpaceDN w:val="0"/>
        <w:adjustRightInd w:val="0"/>
        <w:spacing w:after="0" w:line="240" w:lineRule="auto"/>
        <w:ind w:left="640" w:hanging="640"/>
        <w:rPr>
          <w:rFonts w:ascii="Calibri Light" w:hAnsi="Calibri Light" w:cs="Calibri Light"/>
          <w:noProof/>
          <w:szCs w:val="24"/>
        </w:rPr>
      </w:pPr>
      <w:r w:rsidRPr="00B72301">
        <w:rPr>
          <w:rFonts w:ascii="Calibri Light" w:hAnsi="Calibri Light" w:cs="Calibri Light"/>
          <w:noProof/>
          <w:szCs w:val="24"/>
        </w:rPr>
        <w:t>31.</w:t>
      </w:r>
      <w:r w:rsidRPr="00B72301">
        <w:rPr>
          <w:rFonts w:ascii="Calibri Light" w:hAnsi="Calibri Light" w:cs="Calibri Light"/>
          <w:noProof/>
          <w:szCs w:val="24"/>
        </w:rPr>
        <w:tab/>
        <w:t xml:space="preserve">McKenzie, B. </w:t>
      </w:r>
      <w:r w:rsidRPr="00B72301">
        <w:rPr>
          <w:rFonts w:ascii="Calibri Light" w:hAnsi="Calibri Light" w:cs="Calibri Light"/>
          <w:i/>
          <w:iCs/>
          <w:noProof/>
          <w:szCs w:val="24"/>
        </w:rPr>
        <w:t>Who Drives to Work? Commuting by Automobile in the United States: 2013 American Community Survey Reports</w:t>
      </w:r>
      <w:r w:rsidRPr="00B72301">
        <w:rPr>
          <w:rFonts w:ascii="Calibri Light" w:hAnsi="Calibri Light" w:cs="Calibri Light"/>
          <w:noProof/>
          <w:szCs w:val="24"/>
        </w:rPr>
        <w:t>. www.census.gov/acs/www (2015).</w:t>
      </w:r>
    </w:p>
    <w:p w14:paraId="3F2C6A46" w14:textId="77777777" w:rsidR="00B72301" w:rsidRPr="00B72301" w:rsidRDefault="00B72301" w:rsidP="00B72301">
      <w:pPr>
        <w:widowControl w:val="0"/>
        <w:autoSpaceDE w:val="0"/>
        <w:autoSpaceDN w:val="0"/>
        <w:adjustRightInd w:val="0"/>
        <w:spacing w:after="0" w:line="240" w:lineRule="auto"/>
        <w:ind w:left="640" w:hanging="640"/>
        <w:rPr>
          <w:rFonts w:ascii="Calibri Light" w:hAnsi="Calibri Light" w:cs="Calibri Light"/>
          <w:noProof/>
          <w:szCs w:val="24"/>
        </w:rPr>
      </w:pPr>
      <w:r w:rsidRPr="00B72301">
        <w:rPr>
          <w:rFonts w:ascii="Calibri Light" w:hAnsi="Calibri Light" w:cs="Calibri Light"/>
          <w:noProof/>
          <w:szCs w:val="24"/>
        </w:rPr>
        <w:t>32.</w:t>
      </w:r>
      <w:r w:rsidRPr="00B72301">
        <w:rPr>
          <w:rFonts w:ascii="Calibri Light" w:hAnsi="Calibri Light" w:cs="Calibri Light"/>
          <w:noProof/>
          <w:szCs w:val="24"/>
        </w:rPr>
        <w:tab/>
        <w:t>Florida, R. The Great Divide in How Americans Commute to Work. https://www.bloomberg.com/news/articles/2019-01-22/how-americans-commute-to-work-in-maps (2020).</w:t>
      </w:r>
    </w:p>
    <w:p w14:paraId="25F5CEEE" w14:textId="77777777" w:rsidR="00B72301" w:rsidRPr="00B72301" w:rsidRDefault="00B72301" w:rsidP="00B72301">
      <w:pPr>
        <w:widowControl w:val="0"/>
        <w:autoSpaceDE w:val="0"/>
        <w:autoSpaceDN w:val="0"/>
        <w:adjustRightInd w:val="0"/>
        <w:spacing w:after="0" w:line="240" w:lineRule="auto"/>
        <w:ind w:left="640" w:hanging="640"/>
        <w:rPr>
          <w:rFonts w:ascii="Calibri Light" w:hAnsi="Calibri Light" w:cs="Calibri Light"/>
          <w:noProof/>
          <w:szCs w:val="24"/>
        </w:rPr>
      </w:pPr>
      <w:r w:rsidRPr="00B72301">
        <w:rPr>
          <w:rFonts w:ascii="Calibri Light" w:hAnsi="Calibri Light" w:cs="Calibri Light"/>
          <w:noProof/>
          <w:szCs w:val="24"/>
        </w:rPr>
        <w:t>33.</w:t>
      </w:r>
      <w:r w:rsidRPr="00B72301">
        <w:rPr>
          <w:rFonts w:ascii="Calibri Light" w:hAnsi="Calibri Light" w:cs="Calibri Light"/>
          <w:noProof/>
          <w:szCs w:val="24"/>
        </w:rPr>
        <w:tab/>
        <w:t>Michael Page. Transport and commute. https://www.michaelpage.nl/en/news-insights/studies/transport-and-commute (2020).</w:t>
      </w:r>
    </w:p>
    <w:p w14:paraId="62104F95" w14:textId="77777777" w:rsidR="00B72301" w:rsidRPr="00B72301" w:rsidRDefault="00B72301" w:rsidP="00B72301">
      <w:pPr>
        <w:widowControl w:val="0"/>
        <w:autoSpaceDE w:val="0"/>
        <w:autoSpaceDN w:val="0"/>
        <w:adjustRightInd w:val="0"/>
        <w:spacing w:after="0" w:line="240" w:lineRule="auto"/>
        <w:ind w:left="640" w:hanging="640"/>
        <w:rPr>
          <w:rFonts w:ascii="Calibri Light" w:hAnsi="Calibri Light" w:cs="Calibri Light"/>
          <w:noProof/>
          <w:szCs w:val="24"/>
        </w:rPr>
      </w:pPr>
      <w:r w:rsidRPr="00B72301">
        <w:rPr>
          <w:rFonts w:ascii="Calibri Light" w:hAnsi="Calibri Light" w:cs="Calibri Light"/>
          <w:noProof/>
          <w:szCs w:val="24"/>
        </w:rPr>
        <w:t>34.</w:t>
      </w:r>
      <w:r w:rsidRPr="00B72301">
        <w:rPr>
          <w:rFonts w:ascii="Calibri Light" w:hAnsi="Calibri Light" w:cs="Calibri Light"/>
          <w:noProof/>
          <w:szCs w:val="24"/>
        </w:rPr>
        <w:tab/>
        <w:t xml:space="preserve">Rodrigue, J. P. Urban Transportation. in </w:t>
      </w:r>
      <w:r w:rsidRPr="00B72301">
        <w:rPr>
          <w:rFonts w:ascii="Calibri Light" w:hAnsi="Calibri Light" w:cs="Calibri Light"/>
          <w:i/>
          <w:iCs/>
          <w:noProof/>
          <w:szCs w:val="24"/>
        </w:rPr>
        <w:t>The Geography of Transport Systems</w:t>
      </w:r>
      <w:r w:rsidRPr="00B72301">
        <w:rPr>
          <w:rFonts w:ascii="Calibri Light" w:hAnsi="Calibri Light" w:cs="Calibri Light"/>
          <w:noProof/>
          <w:szCs w:val="24"/>
        </w:rPr>
        <w:t xml:space="preserve"> (Routledge New York, 2020). doi:978-0-367-36463-2.</w:t>
      </w:r>
    </w:p>
    <w:p w14:paraId="26CA0024" w14:textId="77777777" w:rsidR="00B72301" w:rsidRPr="00B72301" w:rsidRDefault="00B72301" w:rsidP="00B72301">
      <w:pPr>
        <w:widowControl w:val="0"/>
        <w:autoSpaceDE w:val="0"/>
        <w:autoSpaceDN w:val="0"/>
        <w:adjustRightInd w:val="0"/>
        <w:spacing w:after="0" w:line="240" w:lineRule="auto"/>
        <w:ind w:left="640" w:hanging="640"/>
        <w:rPr>
          <w:rFonts w:ascii="Calibri Light" w:hAnsi="Calibri Light" w:cs="Calibri Light"/>
          <w:noProof/>
          <w:szCs w:val="24"/>
        </w:rPr>
      </w:pPr>
      <w:r w:rsidRPr="00B72301">
        <w:rPr>
          <w:rFonts w:ascii="Calibri Light" w:hAnsi="Calibri Light" w:cs="Calibri Light"/>
          <w:noProof/>
          <w:szCs w:val="24"/>
        </w:rPr>
        <w:t>35.</w:t>
      </w:r>
      <w:r w:rsidRPr="00B72301">
        <w:rPr>
          <w:rFonts w:ascii="Calibri Light" w:hAnsi="Calibri Light" w:cs="Calibri Light"/>
          <w:noProof/>
          <w:szCs w:val="24"/>
        </w:rPr>
        <w:tab/>
        <w:t xml:space="preserve">Salon, D. &amp; Gulyani, S. Commuting in Urban Kenya: Unpacking travel demand in large and small Kenyan cities. </w:t>
      </w:r>
      <w:r w:rsidRPr="00B72301">
        <w:rPr>
          <w:rFonts w:ascii="Calibri Light" w:hAnsi="Calibri Light" w:cs="Calibri Light"/>
          <w:i/>
          <w:iCs/>
          <w:noProof/>
          <w:szCs w:val="24"/>
        </w:rPr>
        <w:t>Sustain.</w:t>
      </w:r>
      <w:r w:rsidRPr="00B72301">
        <w:rPr>
          <w:rFonts w:ascii="Calibri Light" w:hAnsi="Calibri Light" w:cs="Calibri Light"/>
          <w:noProof/>
          <w:szCs w:val="24"/>
        </w:rPr>
        <w:t xml:space="preserve"> </w:t>
      </w:r>
      <w:r w:rsidRPr="00B72301">
        <w:rPr>
          <w:rFonts w:ascii="Calibri Light" w:hAnsi="Calibri Light" w:cs="Calibri Light"/>
          <w:b/>
          <w:bCs/>
          <w:noProof/>
          <w:szCs w:val="24"/>
        </w:rPr>
        <w:t>11</w:t>
      </w:r>
      <w:r w:rsidRPr="00B72301">
        <w:rPr>
          <w:rFonts w:ascii="Calibri Light" w:hAnsi="Calibri Light" w:cs="Calibri Light"/>
          <w:noProof/>
          <w:szCs w:val="24"/>
        </w:rPr>
        <w:t>, 3823 (2019).</w:t>
      </w:r>
    </w:p>
    <w:p w14:paraId="2E7425F8" w14:textId="77777777" w:rsidR="00B72301" w:rsidRPr="00B72301" w:rsidRDefault="00B72301" w:rsidP="00B72301">
      <w:pPr>
        <w:widowControl w:val="0"/>
        <w:autoSpaceDE w:val="0"/>
        <w:autoSpaceDN w:val="0"/>
        <w:adjustRightInd w:val="0"/>
        <w:spacing w:after="0" w:line="240" w:lineRule="auto"/>
        <w:ind w:left="640" w:hanging="640"/>
        <w:rPr>
          <w:rFonts w:ascii="Calibri Light" w:hAnsi="Calibri Light" w:cs="Calibri Light"/>
          <w:noProof/>
          <w:szCs w:val="24"/>
        </w:rPr>
      </w:pPr>
      <w:r w:rsidRPr="00B72301">
        <w:rPr>
          <w:rFonts w:ascii="Calibri Light" w:hAnsi="Calibri Light" w:cs="Calibri Light"/>
          <w:noProof/>
          <w:szCs w:val="24"/>
        </w:rPr>
        <w:t>36.</w:t>
      </w:r>
      <w:r w:rsidRPr="00B72301">
        <w:rPr>
          <w:rFonts w:ascii="Calibri Light" w:hAnsi="Calibri Light" w:cs="Calibri Light"/>
          <w:noProof/>
          <w:szCs w:val="24"/>
        </w:rPr>
        <w:tab/>
        <w:t>Demand@ASME. The African commute: city transport trends. https://medium.com/impact-engineered/the-african-commute-city-transport-trends-cf369e5106bd (2020).</w:t>
      </w:r>
    </w:p>
    <w:p w14:paraId="38E15A1C" w14:textId="77777777" w:rsidR="00B72301" w:rsidRPr="00B72301" w:rsidRDefault="00B72301" w:rsidP="00B72301">
      <w:pPr>
        <w:widowControl w:val="0"/>
        <w:autoSpaceDE w:val="0"/>
        <w:autoSpaceDN w:val="0"/>
        <w:adjustRightInd w:val="0"/>
        <w:spacing w:after="0" w:line="240" w:lineRule="auto"/>
        <w:ind w:left="640" w:hanging="640"/>
        <w:rPr>
          <w:rFonts w:ascii="Calibri Light" w:hAnsi="Calibri Light" w:cs="Calibri Light"/>
          <w:noProof/>
          <w:szCs w:val="24"/>
        </w:rPr>
      </w:pPr>
      <w:r w:rsidRPr="00B72301">
        <w:rPr>
          <w:rFonts w:ascii="Calibri Light" w:hAnsi="Calibri Light" w:cs="Calibri Light"/>
          <w:noProof/>
          <w:szCs w:val="24"/>
        </w:rPr>
        <w:t>37.</w:t>
      </w:r>
      <w:r w:rsidRPr="00B72301">
        <w:rPr>
          <w:rFonts w:ascii="Calibri Light" w:hAnsi="Calibri Light" w:cs="Calibri Light"/>
          <w:noProof/>
          <w:szCs w:val="24"/>
        </w:rPr>
        <w:tab/>
        <w:t xml:space="preserve">Deloitte Insights. </w:t>
      </w:r>
      <w:r w:rsidRPr="00B72301">
        <w:rPr>
          <w:rFonts w:ascii="Calibri Light" w:hAnsi="Calibri Light" w:cs="Calibri Light"/>
          <w:i/>
          <w:iCs/>
          <w:noProof/>
          <w:szCs w:val="24"/>
        </w:rPr>
        <w:t>Deloitte City Mobility Index 2020 - Jakarta</w:t>
      </w:r>
      <w:r w:rsidRPr="00B72301">
        <w:rPr>
          <w:rFonts w:ascii="Calibri Light" w:hAnsi="Calibri Light" w:cs="Calibri Light"/>
          <w:noProof/>
          <w:szCs w:val="24"/>
        </w:rPr>
        <w:t>. http://www.deloitte.com/insights/future-of-mobility (2020).</w:t>
      </w:r>
    </w:p>
    <w:p w14:paraId="384AB4CC" w14:textId="77777777" w:rsidR="00B72301" w:rsidRPr="00B72301" w:rsidRDefault="00B72301" w:rsidP="00B72301">
      <w:pPr>
        <w:widowControl w:val="0"/>
        <w:autoSpaceDE w:val="0"/>
        <w:autoSpaceDN w:val="0"/>
        <w:adjustRightInd w:val="0"/>
        <w:spacing w:after="0" w:line="240" w:lineRule="auto"/>
        <w:ind w:left="640" w:hanging="640"/>
        <w:rPr>
          <w:rFonts w:ascii="Calibri Light" w:hAnsi="Calibri Light" w:cs="Calibri Light"/>
          <w:noProof/>
          <w:szCs w:val="24"/>
        </w:rPr>
      </w:pPr>
      <w:r w:rsidRPr="00B72301">
        <w:rPr>
          <w:rFonts w:ascii="Calibri Light" w:hAnsi="Calibri Light" w:cs="Calibri Light"/>
          <w:noProof/>
          <w:szCs w:val="24"/>
        </w:rPr>
        <w:t>38.</w:t>
      </w:r>
      <w:r w:rsidRPr="00B72301">
        <w:rPr>
          <w:rFonts w:ascii="Calibri Light" w:hAnsi="Calibri Light" w:cs="Calibri Light"/>
          <w:noProof/>
          <w:szCs w:val="24"/>
        </w:rPr>
        <w:tab/>
        <w:t xml:space="preserve">Deloitte Insights. </w:t>
      </w:r>
      <w:r w:rsidRPr="00B72301">
        <w:rPr>
          <w:rFonts w:ascii="Calibri Light" w:hAnsi="Calibri Light" w:cs="Calibri Light"/>
          <w:i/>
          <w:iCs/>
          <w:noProof/>
          <w:szCs w:val="24"/>
        </w:rPr>
        <w:t>Deloitte City Mobility Index 2020 - Riyadh</w:t>
      </w:r>
      <w:r w:rsidRPr="00B72301">
        <w:rPr>
          <w:rFonts w:ascii="Calibri Light" w:hAnsi="Calibri Light" w:cs="Calibri Light"/>
          <w:noProof/>
          <w:szCs w:val="24"/>
        </w:rPr>
        <w:t>. http://www.deloitte.com/insights/future-of-mobility (2020).</w:t>
      </w:r>
    </w:p>
    <w:p w14:paraId="2506BAAC" w14:textId="77777777" w:rsidR="00B72301" w:rsidRPr="00B72301" w:rsidRDefault="00B72301" w:rsidP="00B72301">
      <w:pPr>
        <w:widowControl w:val="0"/>
        <w:autoSpaceDE w:val="0"/>
        <w:autoSpaceDN w:val="0"/>
        <w:adjustRightInd w:val="0"/>
        <w:spacing w:after="0" w:line="240" w:lineRule="auto"/>
        <w:ind w:left="640" w:hanging="640"/>
        <w:rPr>
          <w:rFonts w:ascii="Calibri Light" w:hAnsi="Calibri Light" w:cs="Calibri Light"/>
          <w:noProof/>
          <w:szCs w:val="24"/>
        </w:rPr>
      </w:pPr>
      <w:r w:rsidRPr="00B72301">
        <w:rPr>
          <w:rFonts w:ascii="Calibri Light" w:hAnsi="Calibri Light" w:cs="Calibri Light"/>
          <w:noProof/>
          <w:szCs w:val="24"/>
        </w:rPr>
        <w:t>39.</w:t>
      </w:r>
      <w:r w:rsidRPr="00B72301">
        <w:rPr>
          <w:rFonts w:ascii="Calibri Light" w:hAnsi="Calibri Light" w:cs="Calibri Light"/>
          <w:noProof/>
          <w:szCs w:val="24"/>
        </w:rPr>
        <w:tab/>
        <w:t xml:space="preserve">Department for Transport. </w:t>
      </w:r>
      <w:r w:rsidRPr="00B72301">
        <w:rPr>
          <w:rFonts w:ascii="Calibri Light" w:hAnsi="Calibri Light" w:cs="Calibri Light"/>
          <w:i/>
          <w:iCs/>
          <w:noProof/>
          <w:szCs w:val="24"/>
        </w:rPr>
        <w:t>Transport Statistics Great Britain: 2019</w:t>
      </w:r>
      <w:r w:rsidRPr="00B72301">
        <w:rPr>
          <w:rFonts w:ascii="Calibri Light" w:hAnsi="Calibri Light" w:cs="Calibri Light"/>
          <w:noProof/>
          <w:szCs w:val="24"/>
        </w:rPr>
        <w:t>. www.gov.uk/dft (2019).</w:t>
      </w:r>
    </w:p>
    <w:p w14:paraId="0E3413AE" w14:textId="77777777" w:rsidR="00B72301" w:rsidRPr="00B72301" w:rsidRDefault="00B72301" w:rsidP="00B72301">
      <w:pPr>
        <w:widowControl w:val="0"/>
        <w:autoSpaceDE w:val="0"/>
        <w:autoSpaceDN w:val="0"/>
        <w:adjustRightInd w:val="0"/>
        <w:spacing w:after="0" w:line="240" w:lineRule="auto"/>
        <w:ind w:left="640" w:hanging="640"/>
        <w:rPr>
          <w:rFonts w:ascii="Calibri Light" w:hAnsi="Calibri Light" w:cs="Calibri Light"/>
          <w:noProof/>
          <w:szCs w:val="24"/>
        </w:rPr>
      </w:pPr>
      <w:r w:rsidRPr="00B72301">
        <w:rPr>
          <w:rFonts w:ascii="Calibri Light" w:hAnsi="Calibri Light" w:cs="Calibri Light"/>
          <w:noProof/>
          <w:szCs w:val="24"/>
        </w:rPr>
        <w:t>40.</w:t>
      </w:r>
      <w:r w:rsidRPr="00B72301">
        <w:rPr>
          <w:rFonts w:ascii="Calibri Light" w:hAnsi="Calibri Light" w:cs="Calibri Light"/>
          <w:noProof/>
          <w:szCs w:val="24"/>
        </w:rPr>
        <w:tab/>
        <w:t xml:space="preserve">Statistics Netherlands (CBS). </w:t>
      </w:r>
      <w:r w:rsidRPr="00B72301">
        <w:rPr>
          <w:rFonts w:ascii="Calibri Light" w:hAnsi="Calibri Light" w:cs="Calibri Light"/>
          <w:i/>
          <w:iCs/>
          <w:noProof/>
          <w:szCs w:val="24"/>
        </w:rPr>
        <w:t>Transport and mobility 2015</w:t>
      </w:r>
      <w:r w:rsidRPr="00B72301">
        <w:rPr>
          <w:rFonts w:ascii="Calibri Light" w:hAnsi="Calibri Light" w:cs="Calibri Light"/>
          <w:noProof/>
          <w:szCs w:val="24"/>
        </w:rPr>
        <w:t>. (2015) doi:978-90-357-1329-1.</w:t>
      </w:r>
    </w:p>
    <w:p w14:paraId="7EE3C0B7" w14:textId="77777777" w:rsidR="00B72301" w:rsidRPr="00B72301" w:rsidRDefault="00B72301" w:rsidP="00B72301">
      <w:pPr>
        <w:widowControl w:val="0"/>
        <w:autoSpaceDE w:val="0"/>
        <w:autoSpaceDN w:val="0"/>
        <w:adjustRightInd w:val="0"/>
        <w:spacing w:after="0" w:line="240" w:lineRule="auto"/>
        <w:ind w:left="640" w:hanging="640"/>
        <w:rPr>
          <w:rFonts w:ascii="Calibri Light" w:hAnsi="Calibri Light" w:cs="Calibri Light"/>
          <w:noProof/>
          <w:szCs w:val="24"/>
        </w:rPr>
      </w:pPr>
      <w:r w:rsidRPr="00B72301">
        <w:rPr>
          <w:rFonts w:ascii="Calibri Light" w:hAnsi="Calibri Light" w:cs="Calibri Light"/>
          <w:noProof/>
          <w:szCs w:val="24"/>
        </w:rPr>
        <w:t>41.</w:t>
      </w:r>
      <w:r w:rsidRPr="00B72301">
        <w:rPr>
          <w:rFonts w:ascii="Calibri Light" w:hAnsi="Calibri Light" w:cs="Calibri Light"/>
          <w:noProof/>
          <w:szCs w:val="24"/>
        </w:rPr>
        <w:tab/>
        <w:t>World Steel Association. Steel Demand Forecasts. https://www.worldsteel.org/steel-by-topic/statistics/short-range-outlook.html (2020).</w:t>
      </w:r>
    </w:p>
    <w:p w14:paraId="026529C4" w14:textId="77777777" w:rsidR="00B72301" w:rsidRPr="00B72301" w:rsidRDefault="00B72301" w:rsidP="00B72301">
      <w:pPr>
        <w:widowControl w:val="0"/>
        <w:autoSpaceDE w:val="0"/>
        <w:autoSpaceDN w:val="0"/>
        <w:adjustRightInd w:val="0"/>
        <w:spacing w:after="0" w:line="240" w:lineRule="auto"/>
        <w:ind w:left="640" w:hanging="640"/>
        <w:rPr>
          <w:rFonts w:ascii="Calibri Light" w:hAnsi="Calibri Light" w:cs="Calibri Light"/>
          <w:noProof/>
          <w:szCs w:val="24"/>
        </w:rPr>
      </w:pPr>
      <w:r w:rsidRPr="00B72301">
        <w:rPr>
          <w:rFonts w:ascii="Calibri Light" w:hAnsi="Calibri Light" w:cs="Calibri Light"/>
          <w:noProof/>
          <w:szCs w:val="24"/>
        </w:rPr>
        <w:t>42.</w:t>
      </w:r>
      <w:r w:rsidRPr="00B72301">
        <w:rPr>
          <w:rFonts w:ascii="Calibri Light" w:hAnsi="Calibri Light" w:cs="Calibri Light"/>
          <w:noProof/>
          <w:szCs w:val="24"/>
        </w:rPr>
        <w:tab/>
        <w:t xml:space="preserve">International Finance Corporation. </w:t>
      </w:r>
      <w:r w:rsidRPr="00B72301">
        <w:rPr>
          <w:rFonts w:ascii="Calibri Light" w:hAnsi="Calibri Light" w:cs="Calibri Light"/>
          <w:i/>
          <w:iCs/>
          <w:noProof/>
          <w:szCs w:val="24"/>
        </w:rPr>
        <w:t>The Impact of COVID-19 on the Cement Industry</w:t>
      </w:r>
      <w:r w:rsidRPr="00B72301">
        <w:rPr>
          <w:rFonts w:ascii="Calibri Light" w:hAnsi="Calibri Light" w:cs="Calibri Light"/>
          <w:noProof/>
          <w:szCs w:val="24"/>
        </w:rPr>
        <w:t>. (2020).</w:t>
      </w:r>
    </w:p>
    <w:p w14:paraId="7DFFEC49" w14:textId="77777777" w:rsidR="00B72301" w:rsidRPr="00B72301" w:rsidRDefault="00B72301" w:rsidP="00B72301">
      <w:pPr>
        <w:widowControl w:val="0"/>
        <w:autoSpaceDE w:val="0"/>
        <w:autoSpaceDN w:val="0"/>
        <w:adjustRightInd w:val="0"/>
        <w:spacing w:after="0" w:line="240" w:lineRule="auto"/>
        <w:ind w:left="640" w:hanging="640"/>
        <w:rPr>
          <w:rFonts w:ascii="Calibri Light" w:hAnsi="Calibri Light" w:cs="Calibri Light"/>
          <w:noProof/>
          <w:szCs w:val="24"/>
        </w:rPr>
      </w:pPr>
      <w:r w:rsidRPr="00B72301">
        <w:rPr>
          <w:rFonts w:ascii="Calibri Light" w:hAnsi="Calibri Light" w:cs="Calibri Light"/>
          <w:noProof/>
          <w:szCs w:val="24"/>
        </w:rPr>
        <w:t>43.</w:t>
      </w:r>
      <w:r w:rsidRPr="00B72301">
        <w:rPr>
          <w:rFonts w:ascii="Calibri Light" w:hAnsi="Calibri Light" w:cs="Calibri Light"/>
          <w:noProof/>
          <w:szCs w:val="24"/>
        </w:rPr>
        <w:tab/>
        <w:t>Organization for Economic Co-operation and Development. Key Short-Term Economic Indicators : Industrial Production. https://stats.oecd.org/index.aspx?queryid=21758 (2020).</w:t>
      </w:r>
    </w:p>
    <w:p w14:paraId="5E18B38B" w14:textId="77777777" w:rsidR="00B72301" w:rsidRPr="00B72301" w:rsidRDefault="00B72301" w:rsidP="00B72301">
      <w:pPr>
        <w:widowControl w:val="0"/>
        <w:autoSpaceDE w:val="0"/>
        <w:autoSpaceDN w:val="0"/>
        <w:adjustRightInd w:val="0"/>
        <w:spacing w:after="0" w:line="240" w:lineRule="auto"/>
        <w:ind w:left="640" w:hanging="640"/>
        <w:rPr>
          <w:rFonts w:ascii="Calibri Light" w:hAnsi="Calibri Light" w:cs="Calibri Light"/>
          <w:noProof/>
          <w:szCs w:val="24"/>
        </w:rPr>
      </w:pPr>
      <w:r w:rsidRPr="00B72301">
        <w:rPr>
          <w:rFonts w:ascii="Calibri Light" w:hAnsi="Calibri Light" w:cs="Calibri Light"/>
          <w:noProof/>
          <w:szCs w:val="24"/>
        </w:rPr>
        <w:t>44.</w:t>
      </w:r>
      <w:r w:rsidRPr="00B72301">
        <w:rPr>
          <w:rFonts w:ascii="Calibri Light" w:hAnsi="Calibri Light" w:cs="Calibri Light"/>
          <w:noProof/>
          <w:szCs w:val="24"/>
        </w:rPr>
        <w:tab/>
        <w:t>PBL Netherlands Environmental Assessment Agency. Region classification map - IMAGE. https://models.pbl.nl/image/index.php/Region_classification_map (2020).</w:t>
      </w:r>
    </w:p>
    <w:p w14:paraId="74ACB22F" w14:textId="77777777" w:rsidR="00B72301" w:rsidRPr="00B72301" w:rsidRDefault="00B72301" w:rsidP="00B72301">
      <w:pPr>
        <w:widowControl w:val="0"/>
        <w:autoSpaceDE w:val="0"/>
        <w:autoSpaceDN w:val="0"/>
        <w:adjustRightInd w:val="0"/>
        <w:spacing w:after="0" w:line="240" w:lineRule="auto"/>
        <w:ind w:left="640" w:hanging="640"/>
        <w:rPr>
          <w:rFonts w:ascii="Calibri Light" w:hAnsi="Calibri Light" w:cs="Calibri Light"/>
          <w:noProof/>
          <w:szCs w:val="24"/>
        </w:rPr>
      </w:pPr>
      <w:r w:rsidRPr="00B72301">
        <w:rPr>
          <w:rFonts w:ascii="Calibri Light" w:hAnsi="Calibri Light" w:cs="Calibri Light"/>
          <w:noProof/>
          <w:szCs w:val="24"/>
        </w:rPr>
        <w:t>45.</w:t>
      </w:r>
      <w:r w:rsidRPr="00B72301">
        <w:rPr>
          <w:rFonts w:ascii="Calibri Light" w:hAnsi="Calibri Light" w:cs="Calibri Light"/>
          <w:noProof/>
          <w:szCs w:val="24"/>
        </w:rPr>
        <w:tab/>
        <w:t>Prescriptive Data. The Impact Of COVID-19 On NYC Office Buildings. https://www.prescriptivedata.io/reports/covid-nyc-march-2020 (2020).</w:t>
      </w:r>
    </w:p>
    <w:p w14:paraId="203CBB59" w14:textId="77777777" w:rsidR="00B72301" w:rsidRPr="00B72301" w:rsidRDefault="00B72301" w:rsidP="00B72301">
      <w:pPr>
        <w:widowControl w:val="0"/>
        <w:autoSpaceDE w:val="0"/>
        <w:autoSpaceDN w:val="0"/>
        <w:adjustRightInd w:val="0"/>
        <w:spacing w:after="0" w:line="240" w:lineRule="auto"/>
        <w:ind w:left="640" w:hanging="640"/>
        <w:rPr>
          <w:rFonts w:ascii="Calibri Light" w:hAnsi="Calibri Light" w:cs="Calibri Light"/>
          <w:noProof/>
          <w:szCs w:val="24"/>
        </w:rPr>
      </w:pPr>
      <w:r w:rsidRPr="00B72301">
        <w:rPr>
          <w:rFonts w:ascii="Calibri Light" w:hAnsi="Calibri Light" w:cs="Calibri Light"/>
          <w:noProof/>
          <w:szCs w:val="24"/>
        </w:rPr>
        <w:t>46.</w:t>
      </w:r>
      <w:r w:rsidRPr="00B72301">
        <w:rPr>
          <w:rFonts w:ascii="Calibri Light" w:hAnsi="Calibri Light" w:cs="Calibri Light"/>
          <w:noProof/>
          <w:szCs w:val="24"/>
        </w:rPr>
        <w:tab/>
        <w:t>Segars, R. COVID-19 and Commercial Energy: Realizing and Sustaining Savings. https://gresb.com/covid-19-and-commercial-energy-realizing-and-sustaining-savings/ (2020).</w:t>
      </w:r>
    </w:p>
    <w:p w14:paraId="54EC0BFD" w14:textId="77777777" w:rsidR="00B72301" w:rsidRPr="00B72301" w:rsidRDefault="00B72301" w:rsidP="00B72301">
      <w:pPr>
        <w:widowControl w:val="0"/>
        <w:autoSpaceDE w:val="0"/>
        <w:autoSpaceDN w:val="0"/>
        <w:adjustRightInd w:val="0"/>
        <w:spacing w:after="0" w:line="240" w:lineRule="auto"/>
        <w:ind w:left="640" w:hanging="640"/>
        <w:rPr>
          <w:rFonts w:ascii="Calibri Light" w:hAnsi="Calibri Light" w:cs="Calibri Light"/>
          <w:noProof/>
          <w:szCs w:val="24"/>
        </w:rPr>
      </w:pPr>
      <w:r w:rsidRPr="00B72301">
        <w:rPr>
          <w:rFonts w:ascii="Calibri Light" w:hAnsi="Calibri Light" w:cs="Calibri Light"/>
          <w:noProof/>
          <w:szCs w:val="24"/>
        </w:rPr>
        <w:t>47.</w:t>
      </w:r>
      <w:r w:rsidRPr="00B72301">
        <w:rPr>
          <w:rFonts w:ascii="Calibri Light" w:hAnsi="Calibri Light" w:cs="Calibri Light"/>
          <w:noProof/>
          <w:szCs w:val="24"/>
        </w:rPr>
        <w:tab/>
        <w:t>Sapient Industries. Reduced occupancy, increased savings. https://www.sapient.industries/covid-19 (2020).</w:t>
      </w:r>
    </w:p>
    <w:p w14:paraId="7E94CDC3" w14:textId="77777777" w:rsidR="00B72301" w:rsidRPr="00B72301" w:rsidRDefault="00B72301" w:rsidP="00B72301">
      <w:pPr>
        <w:widowControl w:val="0"/>
        <w:autoSpaceDE w:val="0"/>
        <w:autoSpaceDN w:val="0"/>
        <w:adjustRightInd w:val="0"/>
        <w:spacing w:after="0" w:line="240" w:lineRule="auto"/>
        <w:ind w:left="640" w:hanging="640"/>
        <w:rPr>
          <w:rFonts w:ascii="Calibri Light" w:hAnsi="Calibri Light" w:cs="Calibri Light"/>
          <w:noProof/>
          <w:szCs w:val="24"/>
        </w:rPr>
      </w:pPr>
      <w:r w:rsidRPr="00B72301">
        <w:rPr>
          <w:rFonts w:ascii="Calibri Light" w:hAnsi="Calibri Light" w:cs="Calibri Light"/>
          <w:noProof/>
          <w:szCs w:val="24"/>
        </w:rPr>
        <w:t>48.</w:t>
      </w:r>
      <w:r w:rsidRPr="00B72301">
        <w:rPr>
          <w:rFonts w:ascii="Calibri Light" w:hAnsi="Calibri Light" w:cs="Calibri Light"/>
          <w:noProof/>
          <w:szCs w:val="24"/>
        </w:rPr>
        <w:tab/>
        <w:t>John, J. S. Why Empty Office Buildings Still Consume Lots of Power During a Global Pandemic. https://www.greentechmedia.com/articles/read/how-office-buildings-power-down-during-coronavirus-lockdown (2020).</w:t>
      </w:r>
    </w:p>
    <w:p w14:paraId="2DA69E6A" w14:textId="77777777" w:rsidR="00B72301" w:rsidRPr="00B72301" w:rsidRDefault="00B72301" w:rsidP="00B72301">
      <w:pPr>
        <w:widowControl w:val="0"/>
        <w:autoSpaceDE w:val="0"/>
        <w:autoSpaceDN w:val="0"/>
        <w:adjustRightInd w:val="0"/>
        <w:spacing w:after="0" w:line="240" w:lineRule="auto"/>
        <w:ind w:left="640" w:hanging="640"/>
        <w:rPr>
          <w:rFonts w:ascii="Calibri Light" w:hAnsi="Calibri Light" w:cs="Calibri Light"/>
          <w:noProof/>
          <w:szCs w:val="24"/>
        </w:rPr>
      </w:pPr>
      <w:r w:rsidRPr="00B72301">
        <w:rPr>
          <w:rFonts w:ascii="Calibri Light" w:hAnsi="Calibri Light" w:cs="Calibri Light"/>
          <w:noProof/>
          <w:szCs w:val="24"/>
        </w:rPr>
        <w:t>49.</w:t>
      </w:r>
      <w:r w:rsidRPr="00B72301">
        <w:rPr>
          <w:rFonts w:ascii="Calibri Light" w:hAnsi="Calibri Light" w:cs="Calibri Light"/>
          <w:noProof/>
          <w:szCs w:val="24"/>
        </w:rPr>
        <w:tab/>
        <w:t>McClary, S. Commercial buildings fail in lockdown conservation. https://www.egi.co.uk/news/commercial-buildings-fail-in-lockdown-conservation/ (2020).</w:t>
      </w:r>
    </w:p>
    <w:p w14:paraId="6C1803A0" w14:textId="77777777" w:rsidR="00B72301" w:rsidRPr="00B72301" w:rsidRDefault="00B72301" w:rsidP="00B72301">
      <w:pPr>
        <w:widowControl w:val="0"/>
        <w:autoSpaceDE w:val="0"/>
        <w:autoSpaceDN w:val="0"/>
        <w:adjustRightInd w:val="0"/>
        <w:spacing w:after="0" w:line="240" w:lineRule="auto"/>
        <w:ind w:left="640" w:hanging="640"/>
        <w:rPr>
          <w:rFonts w:ascii="Calibri Light" w:hAnsi="Calibri Light" w:cs="Calibri Light"/>
          <w:noProof/>
          <w:szCs w:val="24"/>
        </w:rPr>
      </w:pPr>
      <w:r w:rsidRPr="00B72301">
        <w:rPr>
          <w:rFonts w:ascii="Calibri Light" w:hAnsi="Calibri Light" w:cs="Calibri Light"/>
          <w:noProof/>
          <w:szCs w:val="24"/>
        </w:rPr>
        <w:t>50.</w:t>
      </w:r>
      <w:r w:rsidRPr="00B72301">
        <w:rPr>
          <w:rFonts w:ascii="Calibri Light" w:hAnsi="Calibri Light" w:cs="Calibri Light"/>
          <w:noProof/>
          <w:szCs w:val="24"/>
        </w:rPr>
        <w:tab/>
        <w:t xml:space="preserve">Paroussos, L. </w:t>
      </w:r>
      <w:r w:rsidRPr="00B72301">
        <w:rPr>
          <w:rFonts w:ascii="Calibri Light" w:hAnsi="Calibri Light" w:cs="Calibri Light"/>
          <w:i/>
          <w:iCs/>
          <w:noProof/>
          <w:szCs w:val="24"/>
        </w:rPr>
        <w:t>et al.</w:t>
      </w:r>
      <w:r w:rsidRPr="00B72301">
        <w:rPr>
          <w:rFonts w:ascii="Calibri Light" w:hAnsi="Calibri Light" w:cs="Calibri Light"/>
          <w:noProof/>
          <w:szCs w:val="24"/>
        </w:rPr>
        <w:t xml:space="preserve"> Climate clubs and the macro-economic benefits of international cooperation on climate policy. </w:t>
      </w:r>
      <w:r w:rsidRPr="00B72301">
        <w:rPr>
          <w:rFonts w:ascii="Calibri Light" w:hAnsi="Calibri Light" w:cs="Calibri Light"/>
          <w:i/>
          <w:iCs/>
          <w:noProof/>
          <w:szCs w:val="24"/>
        </w:rPr>
        <w:t>Nat. Clim. Chang.</w:t>
      </w:r>
      <w:r w:rsidRPr="00B72301">
        <w:rPr>
          <w:rFonts w:ascii="Calibri Light" w:hAnsi="Calibri Light" w:cs="Calibri Light"/>
          <w:noProof/>
          <w:szCs w:val="24"/>
        </w:rPr>
        <w:t xml:space="preserve"> </w:t>
      </w:r>
      <w:r w:rsidRPr="00B72301">
        <w:rPr>
          <w:rFonts w:ascii="Calibri Light" w:hAnsi="Calibri Light" w:cs="Calibri Light"/>
          <w:b/>
          <w:bCs/>
          <w:noProof/>
          <w:szCs w:val="24"/>
        </w:rPr>
        <w:t>9</w:t>
      </w:r>
      <w:r w:rsidRPr="00B72301">
        <w:rPr>
          <w:rFonts w:ascii="Calibri Light" w:hAnsi="Calibri Light" w:cs="Calibri Light"/>
          <w:noProof/>
          <w:szCs w:val="24"/>
        </w:rPr>
        <w:t>, 542–546 (2019).</w:t>
      </w:r>
    </w:p>
    <w:p w14:paraId="704FF706" w14:textId="77777777" w:rsidR="00B72301" w:rsidRPr="00B72301" w:rsidRDefault="00B72301" w:rsidP="00B72301">
      <w:pPr>
        <w:widowControl w:val="0"/>
        <w:autoSpaceDE w:val="0"/>
        <w:autoSpaceDN w:val="0"/>
        <w:adjustRightInd w:val="0"/>
        <w:spacing w:after="0" w:line="240" w:lineRule="auto"/>
        <w:ind w:left="640" w:hanging="640"/>
        <w:rPr>
          <w:rFonts w:ascii="Calibri Light" w:hAnsi="Calibri Light" w:cs="Calibri Light"/>
          <w:noProof/>
          <w:szCs w:val="24"/>
        </w:rPr>
      </w:pPr>
      <w:r w:rsidRPr="00B72301">
        <w:rPr>
          <w:rFonts w:ascii="Calibri Light" w:hAnsi="Calibri Light" w:cs="Calibri Light"/>
          <w:noProof/>
          <w:szCs w:val="24"/>
        </w:rPr>
        <w:t>51.</w:t>
      </w:r>
      <w:r w:rsidRPr="00B72301">
        <w:rPr>
          <w:rFonts w:ascii="Calibri Light" w:hAnsi="Calibri Light" w:cs="Calibri Light"/>
          <w:noProof/>
          <w:szCs w:val="24"/>
        </w:rPr>
        <w:tab/>
        <w:t xml:space="preserve">Capros, P. </w:t>
      </w:r>
      <w:r w:rsidRPr="00B72301">
        <w:rPr>
          <w:rFonts w:ascii="Calibri Light" w:hAnsi="Calibri Light" w:cs="Calibri Light"/>
          <w:i/>
          <w:iCs/>
          <w:noProof/>
          <w:szCs w:val="24"/>
        </w:rPr>
        <w:t>et al.</w:t>
      </w:r>
      <w:r w:rsidRPr="00B72301">
        <w:rPr>
          <w:rFonts w:ascii="Calibri Light" w:hAnsi="Calibri Light" w:cs="Calibri Light"/>
          <w:noProof/>
          <w:szCs w:val="24"/>
        </w:rPr>
        <w:t xml:space="preserve"> Energy-system modelling of the EU strategy towards climate-neutrality. </w:t>
      </w:r>
      <w:r w:rsidRPr="00B72301">
        <w:rPr>
          <w:rFonts w:ascii="Calibri Light" w:hAnsi="Calibri Light" w:cs="Calibri Light"/>
          <w:i/>
          <w:iCs/>
          <w:noProof/>
          <w:szCs w:val="24"/>
        </w:rPr>
        <w:t>Energy Policy</w:t>
      </w:r>
      <w:r w:rsidRPr="00B72301">
        <w:rPr>
          <w:rFonts w:ascii="Calibri Light" w:hAnsi="Calibri Light" w:cs="Calibri Light"/>
          <w:noProof/>
          <w:szCs w:val="24"/>
        </w:rPr>
        <w:t xml:space="preserve"> </w:t>
      </w:r>
      <w:r w:rsidRPr="00B72301">
        <w:rPr>
          <w:rFonts w:ascii="Calibri Light" w:hAnsi="Calibri Light" w:cs="Calibri Light"/>
          <w:b/>
          <w:bCs/>
          <w:noProof/>
          <w:szCs w:val="24"/>
        </w:rPr>
        <w:t>134</w:t>
      </w:r>
      <w:r w:rsidRPr="00B72301">
        <w:rPr>
          <w:rFonts w:ascii="Calibri Light" w:hAnsi="Calibri Light" w:cs="Calibri Light"/>
          <w:noProof/>
          <w:szCs w:val="24"/>
        </w:rPr>
        <w:t>, 110960 (2019).</w:t>
      </w:r>
    </w:p>
    <w:p w14:paraId="46C4A295" w14:textId="77777777" w:rsidR="00B72301" w:rsidRPr="00B72301" w:rsidRDefault="00B72301" w:rsidP="00B72301">
      <w:pPr>
        <w:widowControl w:val="0"/>
        <w:autoSpaceDE w:val="0"/>
        <w:autoSpaceDN w:val="0"/>
        <w:adjustRightInd w:val="0"/>
        <w:spacing w:after="0" w:line="240" w:lineRule="auto"/>
        <w:ind w:left="640" w:hanging="640"/>
        <w:rPr>
          <w:rFonts w:ascii="Calibri Light" w:hAnsi="Calibri Light" w:cs="Calibri Light"/>
          <w:noProof/>
          <w:szCs w:val="24"/>
        </w:rPr>
      </w:pPr>
      <w:r w:rsidRPr="00B72301">
        <w:rPr>
          <w:rFonts w:ascii="Calibri Light" w:hAnsi="Calibri Light" w:cs="Calibri Light"/>
          <w:noProof/>
          <w:szCs w:val="24"/>
        </w:rPr>
        <w:t>52.</w:t>
      </w:r>
      <w:r w:rsidRPr="00B72301">
        <w:rPr>
          <w:rFonts w:ascii="Calibri Light" w:hAnsi="Calibri Light" w:cs="Calibri Light"/>
          <w:noProof/>
          <w:szCs w:val="24"/>
        </w:rPr>
        <w:tab/>
        <w:t xml:space="preserve">Fragkos, P. &amp; Paroussos, L. Employment creation in EU related to renewables expansion. </w:t>
      </w:r>
      <w:r w:rsidRPr="00B72301">
        <w:rPr>
          <w:rFonts w:ascii="Calibri Light" w:hAnsi="Calibri Light" w:cs="Calibri Light"/>
          <w:i/>
          <w:iCs/>
          <w:noProof/>
          <w:szCs w:val="24"/>
        </w:rPr>
        <w:t>Appl. Energy</w:t>
      </w:r>
      <w:r w:rsidRPr="00B72301">
        <w:rPr>
          <w:rFonts w:ascii="Calibri Light" w:hAnsi="Calibri Light" w:cs="Calibri Light"/>
          <w:noProof/>
          <w:szCs w:val="24"/>
        </w:rPr>
        <w:t xml:space="preserve"> </w:t>
      </w:r>
      <w:r w:rsidRPr="00B72301">
        <w:rPr>
          <w:rFonts w:ascii="Calibri Light" w:hAnsi="Calibri Light" w:cs="Calibri Light"/>
          <w:b/>
          <w:bCs/>
          <w:noProof/>
          <w:szCs w:val="24"/>
        </w:rPr>
        <w:t>230</w:t>
      </w:r>
      <w:r w:rsidRPr="00B72301">
        <w:rPr>
          <w:rFonts w:ascii="Calibri Light" w:hAnsi="Calibri Light" w:cs="Calibri Light"/>
          <w:noProof/>
          <w:szCs w:val="24"/>
        </w:rPr>
        <w:t>, 935–945 (2018).</w:t>
      </w:r>
    </w:p>
    <w:p w14:paraId="009DFC49" w14:textId="77777777" w:rsidR="00B72301" w:rsidRPr="00B72301" w:rsidRDefault="00B72301" w:rsidP="00B72301">
      <w:pPr>
        <w:widowControl w:val="0"/>
        <w:autoSpaceDE w:val="0"/>
        <w:autoSpaceDN w:val="0"/>
        <w:adjustRightInd w:val="0"/>
        <w:spacing w:after="0" w:line="240" w:lineRule="auto"/>
        <w:ind w:left="640" w:hanging="640"/>
        <w:rPr>
          <w:rFonts w:ascii="Calibri Light" w:hAnsi="Calibri Light" w:cs="Calibri Light"/>
          <w:noProof/>
          <w:szCs w:val="24"/>
        </w:rPr>
      </w:pPr>
      <w:r w:rsidRPr="00B72301">
        <w:rPr>
          <w:rFonts w:ascii="Calibri Light" w:hAnsi="Calibri Light" w:cs="Calibri Light"/>
          <w:noProof/>
          <w:szCs w:val="24"/>
        </w:rPr>
        <w:t>53.</w:t>
      </w:r>
      <w:r w:rsidRPr="00B72301">
        <w:rPr>
          <w:rFonts w:ascii="Calibri Light" w:hAnsi="Calibri Light" w:cs="Calibri Light"/>
          <w:noProof/>
          <w:szCs w:val="24"/>
        </w:rPr>
        <w:tab/>
        <w:t xml:space="preserve">International Energy Agency. </w:t>
      </w:r>
      <w:r w:rsidRPr="00B72301">
        <w:rPr>
          <w:rFonts w:ascii="Calibri Light" w:hAnsi="Calibri Light" w:cs="Calibri Light"/>
          <w:i/>
          <w:iCs/>
          <w:noProof/>
          <w:szCs w:val="24"/>
        </w:rPr>
        <w:t>Energy efficiency 2017 – Analysis</w:t>
      </w:r>
      <w:r w:rsidRPr="00B72301">
        <w:rPr>
          <w:rFonts w:ascii="Calibri Light" w:hAnsi="Calibri Light" w:cs="Calibri Light"/>
          <w:noProof/>
          <w:szCs w:val="24"/>
        </w:rPr>
        <w:t>. https://www.iea.org/reports/energy-efficiency-2017 (2017).</w:t>
      </w:r>
    </w:p>
    <w:p w14:paraId="47E41AF1" w14:textId="77777777" w:rsidR="00B72301" w:rsidRPr="00B72301" w:rsidRDefault="00B72301" w:rsidP="00B72301">
      <w:pPr>
        <w:widowControl w:val="0"/>
        <w:autoSpaceDE w:val="0"/>
        <w:autoSpaceDN w:val="0"/>
        <w:adjustRightInd w:val="0"/>
        <w:spacing w:after="0" w:line="240" w:lineRule="auto"/>
        <w:ind w:left="640" w:hanging="640"/>
        <w:rPr>
          <w:rFonts w:ascii="Calibri Light" w:hAnsi="Calibri Light" w:cs="Calibri Light"/>
          <w:noProof/>
          <w:szCs w:val="24"/>
        </w:rPr>
      </w:pPr>
      <w:r w:rsidRPr="00B72301">
        <w:rPr>
          <w:rFonts w:ascii="Calibri Light" w:hAnsi="Calibri Light" w:cs="Calibri Light"/>
          <w:noProof/>
          <w:szCs w:val="24"/>
        </w:rPr>
        <w:t>54.</w:t>
      </w:r>
      <w:r w:rsidRPr="00B72301">
        <w:rPr>
          <w:rFonts w:ascii="Calibri Light" w:hAnsi="Calibri Light" w:cs="Calibri Light"/>
          <w:noProof/>
          <w:szCs w:val="24"/>
        </w:rPr>
        <w:tab/>
        <w:t xml:space="preserve">Pollitt, H. </w:t>
      </w:r>
      <w:r w:rsidRPr="00B72301">
        <w:rPr>
          <w:rFonts w:ascii="Calibri Light" w:hAnsi="Calibri Light" w:cs="Calibri Light"/>
          <w:i/>
          <w:iCs/>
          <w:noProof/>
          <w:szCs w:val="24"/>
        </w:rPr>
        <w:t>et al.</w:t>
      </w:r>
      <w:r w:rsidRPr="00B72301">
        <w:rPr>
          <w:rFonts w:ascii="Calibri Light" w:hAnsi="Calibri Light" w:cs="Calibri Light"/>
          <w:noProof/>
          <w:szCs w:val="24"/>
        </w:rPr>
        <w:t xml:space="preserve"> </w:t>
      </w:r>
      <w:r w:rsidRPr="00B72301">
        <w:rPr>
          <w:rFonts w:ascii="Calibri Light" w:hAnsi="Calibri Light" w:cs="Calibri Light"/>
          <w:i/>
          <w:iCs/>
          <w:noProof/>
          <w:szCs w:val="24"/>
        </w:rPr>
        <w:t>The macro-level and sectoral impacts of Energy Efficiency policies</w:t>
      </w:r>
      <w:r w:rsidRPr="00B72301">
        <w:rPr>
          <w:rFonts w:ascii="Calibri Light" w:hAnsi="Calibri Light" w:cs="Calibri Light"/>
          <w:noProof/>
          <w:szCs w:val="24"/>
        </w:rPr>
        <w:t>. http://europa.eu. (2017).</w:t>
      </w:r>
    </w:p>
    <w:p w14:paraId="14EA5FA7" w14:textId="77777777" w:rsidR="00B72301" w:rsidRPr="00B72301" w:rsidRDefault="00B72301" w:rsidP="00B72301">
      <w:pPr>
        <w:widowControl w:val="0"/>
        <w:autoSpaceDE w:val="0"/>
        <w:autoSpaceDN w:val="0"/>
        <w:adjustRightInd w:val="0"/>
        <w:spacing w:after="0" w:line="240" w:lineRule="auto"/>
        <w:ind w:left="640" w:hanging="640"/>
        <w:rPr>
          <w:rFonts w:ascii="Calibri Light" w:hAnsi="Calibri Light" w:cs="Calibri Light"/>
          <w:noProof/>
          <w:szCs w:val="24"/>
        </w:rPr>
      </w:pPr>
      <w:r w:rsidRPr="00B72301">
        <w:rPr>
          <w:rFonts w:ascii="Calibri Light" w:hAnsi="Calibri Light" w:cs="Calibri Light"/>
          <w:noProof/>
          <w:szCs w:val="24"/>
        </w:rPr>
        <w:t>55.</w:t>
      </w:r>
      <w:r w:rsidRPr="00B72301">
        <w:rPr>
          <w:rFonts w:ascii="Calibri Light" w:hAnsi="Calibri Light" w:cs="Calibri Light"/>
          <w:noProof/>
          <w:szCs w:val="24"/>
        </w:rPr>
        <w:tab/>
        <w:t xml:space="preserve">International Energy Agency. </w:t>
      </w:r>
      <w:r w:rsidRPr="00B72301">
        <w:rPr>
          <w:rFonts w:ascii="Calibri Light" w:hAnsi="Calibri Light" w:cs="Calibri Light"/>
          <w:i/>
          <w:iCs/>
          <w:noProof/>
          <w:szCs w:val="24"/>
        </w:rPr>
        <w:t>A sustainable recovery plan for the energy sector</w:t>
      </w:r>
      <w:r w:rsidRPr="00B72301">
        <w:rPr>
          <w:rFonts w:ascii="Calibri Light" w:hAnsi="Calibri Light" w:cs="Calibri Light"/>
          <w:noProof/>
          <w:szCs w:val="24"/>
        </w:rPr>
        <w:t>. https://www.iea.org/reports/sustainable-recovery/a-sustainable-recovery-plan-for-the-energy-sector (2020).</w:t>
      </w:r>
    </w:p>
    <w:p w14:paraId="7E644F46" w14:textId="77777777" w:rsidR="00B72301" w:rsidRPr="00B72301" w:rsidRDefault="00B72301" w:rsidP="00B72301">
      <w:pPr>
        <w:widowControl w:val="0"/>
        <w:autoSpaceDE w:val="0"/>
        <w:autoSpaceDN w:val="0"/>
        <w:adjustRightInd w:val="0"/>
        <w:spacing w:after="0" w:line="240" w:lineRule="auto"/>
        <w:ind w:left="640" w:hanging="640"/>
        <w:rPr>
          <w:rFonts w:ascii="Calibri Light" w:hAnsi="Calibri Light" w:cs="Calibri Light"/>
          <w:noProof/>
          <w:szCs w:val="24"/>
        </w:rPr>
      </w:pPr>
      <w:r w:rsidRPr="00B72301">
        <w:rPr>
          <w:rFonts w:ascii="Calibri Light" w:hAnsi="Calibri Light" w:cs="Calibri Light"/>
          <w:noProof/>
          <w:szCs w:val="24"/>
        </w:rPr>
        <w:t>56.</w:t>
      </w:r>
      <w:r w:rsidRPr="00B72301">
        <w:rPr>
          <w:rFonts w:ascii="Calibri Light" w:hAnsi="Calibri Light" w:cs="Calibri Light"/>
          <w:noProof/>
          <w:szCs w:val="24"/>
        </w:rPr>
        <w:tab/>
        <w:t xml:space="preserve">International Energy Agency. </w:t>
      </w:r>
      <w:r w:rsidRPr="00B72301">
        <w:rPr>
          <w:rFonts w:ascii="Calibri Light" w:hAnsi="Calibri Light" w:cs="Calibri Light"/>
          <w:i/>
          <w:iCs/>
          <w:noProof/>
          <w:szCs w:val="24"/>
        </w:rPr>
        <w:t>World Energy Outlook 2020 – Analysis - IEA</w:t>
      </w:r>
      <w:r w:rsidRPr="00B72301">
        <w:rPr>
          <w:rFonts w:ascii="Calibri Light" w:hAnsi="Calibri Light" w:cs="Calibri Light"/>
          <w:noProof/>
          <w:szCs w:val="24"/>
        </w:rPr>
        <w:t>. https://www.iea.org/reports/world-energy-outlook-2020 (2020).</w:t>
      </w:r>
    </w:p>
    <w:p w14:paraId="694226D0" w14:textId="77777777" w:rsidR="00B72301" w:rsidRPr="00B72301" w:rsidRDefault="00B72301" w:rsidP="00B72301">
      <w:pPr>
        <w:widowControl w:val="0"/>
        <w:autoSpaceDE w:val="0"/>
        <w:autoSpaceDN w:val="0"/>
        <w:adjustRightInd w:val="0"/>
        <w:spacing w:after="0" w:line="240" w:lineRule="auto"/>
        <w:ind w:left="640" w:hanging="640"/>
        <w:rPr>
          <w:rFonts w:ascii="Calibri Light" w:hAnsi="Calibri Light" w:cs="Calibri Light"/>
          <w:noProof/>
        </w:rPr>
      </w:pPr>
      <w:r w:rsidRPr="004835A4">
        <w:rPr>
          <w:rFonts w:ascii="Calibri Light" w:hAnsi="Calibri Light" w:cs="Calibri Light"/>
          <w:noProof/>
          <w:szCs w:val="24"/>
          <w:lang w:val="nl-NL"/>
        </w:rPr>
        <w:t>57.</w:t>
      </w:r>
      <w:r w:rsidRPr="004835A4">
        <w:rPr>
          <w:rFonts w:ascii="Calibri Light" w:hAnsi="Calibri Light" w:cs="Calibri Light"/>
          <w:noProof/>
          <w:szCs w:val="24"/>
          <w:lang w:val="nl-NL"/>
        </w:rPr>
        <w:tab/>
        <w:t xml:space="preserve">Le Quéré, C. </w:t>
      </w:r>
      <w:r w:rsidRPr="004835A4">
        <w:rPr>
          <w:rFonts w:ascii="Calibri Light" w:hAnsi="Calibri Light" w:cs="Calibri Light"/>
          <w:i/>
          <w:iCs/>
          <w:noProof/>
          <w:szCs w:val="24"/>
          <w:lang w:val="nl-NL"/>
        </w:rPr>
        <w:t>et al.</w:t>
      </w:r>
      <w:r w:rsidRPr="004835A4">
        <w:rPr>
          <w:rFonts w:ascii="Calibri Light" w:hAnsi="Calibri Light" w:cs="Calibri Light"/>
          <w:noProof/>
          <w:szCs w:val="24"/>
          <w:lang w:val="nl-NL"/>
        </w:rPr>
        <w:t xml:space="preserve"> </w:t>
      </w:r>
      <w:r w:rsidRPr="00B72301">
        <w:rPr>
          <w:rFonts w:ascii="Calibri Light" w:hAnsi="Calibri Light" w:cs="Calibri Light"/>
          <w:noProof/>
          <w:szCs w:val="24"/>
        </w:rPr>
        <w:t xml:space="preserve">Fossil CO2 emissions in the post-COVID-19 era. </w:t>
      </w:r>
      <w:r w:rsidRPr="00B72301">
        <w:rPr>
          <w:rFonts w:ascii="Calibri Light" w:hAnsi="Calibri Light" w:cs="Calibri Light"/>
          <w:i/>
          <w:iCs/>
          <w:noProof/>
          <w:szCs w:val="24"/>
        </w:rPr>
        <w:t>Nat. Clim. Chang.</w:t>
      </w:r>
      <w:r w:rsidRPr="00B72301">
        <w:rPr>
          <w:rFonts w:ascii="Calibri Light" w:hAnsi="Calibri Light" w:cs="Calibri Light"/>
          <w:noProof/>
          <w:szCs w:val="24"/>
        </w:rPr>
        <w:t xml:space="preserve"> </w:t>
      </w:r>
      <w:r w:rsidRPr="00B72301">
        <w:rPr>
          <w:rFonts w:ascii="Calibri Light" w:hAnsi="Calibri Light" w:cs="Calibri Light"/>
          <w:b/>
          <w:bCs/>
          <w:noProof/>
          <w:szCs w:val="24"/>
        </w:rPr>
        <w:t>11</w:t>
      </w:r>
      <w:r w:rsidRPr="00B72301">
        <w:rPr>
          <w:rFonts w:ascii="Calibri Light" w:hAnsi="Calibri Light" w:cs="Calibri Light"/>
          <w:noProof/>
          <w:szCs w:val="24"/>
        </w:rPr>
        <w:t>, 197–199 (2021).</w:t>
      </w:r>
    </w:p>
    <w:p w14:paraId="62BC65F6" w14:textId="0AC9F587" w:rsidR="419D1AAB" w:rsidRDefault="006136EA" w:rsidP="00B65847">
      <w:pPr>
        <w:pStyle w:val="Heading1"/>
        <w:numPr>
          <w:ilvl w:val="0"/>
          <w:numId w:val="0"/>
        </w:numPr>
        <w:ind w:left="432" w:hanging="432"/>
        <w:rPr>
          <w:rFonts w:ascii="Calibri Light" w:eastAsia="Calibri" w:hAnsi="Calibri Light"/>
        </w:rPr>
      </w:pPr>
      <w:r>
        <w:rPr>
          <w:highlight w:val="yellow"/>
        </w:rPr>
        <w:fldChar w:fldCharType="end"/>
      </w:r>
      <w:r w:rsidR="00B65847">
        <w:rPr>
          <w:rFonts w:ascii="Calibri Light" w:eastAsia="Calibri" w:hAnsi="Calibri Light"/>
        </w:rPr>
        <w:t xml:space="preserve"> </w:t>
      </w:r>
    </w:p>
    <w:p w14:paraId="2C078E63" w14:textId="47CA537A" w:rsidR="003911FC" w:rsidRDefault="003911FC" w:rsidP="7A1C5170"/>
    <w:sectPr w:rsidR="003911FC" w:rsidSect="005C045B">
      <w:pgSz w:w="12240" w:h="15840"/>
      <w:pgMar w:top="1440" w:right="1440" w:bottom="1440" w:left="1440" w:header="720" w:footer="720" w:gutter="0"/>
      <w:lnNumType w:countBy="1" w:restart="continuous"/>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DA89E" w16cex:dateUtc="2021-04-11T14:55:00Z"/>
  <w16cex:commentExtensible w16cex:durableId="5CAE05DE" w16cex:dateUtc="2021-05-20T09:16: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16644"/>
    <w:multiLevelType w:val="hybridMultilevel"/>
    <w:tmpl w:val="B6EE5E5A"/>
    <w:lvl w:ilvl="0" w:tplc="3A30B560">
      <w:numFmt w:val="bullet"/>
      <w:lvlText w:val=""/>
      <w:lvlJc w:val="left"/>
      <w:pPr>
        <w:ind w:left="720" w:hanging="360"/>
      </w:pPr>
      <w:rPr>
        <w:rFonts w:ascii="Symbol" w:eastAsiaTheme="minorEastAsia"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4F2F80"/>
    <w:multiLevelType w:val="hybridMultilevel"/>
    <w:tmpl w:val="018CC6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C0381E"/>
    <w:multiLevelType w:val="hybridMultilevel"/>
    <w:tmpl w:val="3146A188"/>
    <w:lvl w:ilvl="0" w:tplc="F2569708">
      <w:start w:val="2"/>
      <w:numFmt w:val="decimal"/>
      <w:lvlText w:val="%1."/>
      <w:lvlJc w:val="left"/>
      <w:pPr>
        <w:tabs>
          <w:tab w:val="num" w:pos="720"/>
        </w:tabs>
        <w:ind w:left="720" w:hanging="360"/>
      </w:pPr>
    </w:lvl>
    <w:lvl w:ilvl="1" w:tplc="876840DC" w:tentative="1">
      <w:start w:val="1"/>
      <w:numFmt w:val="decimal"/>
      <w:lvlText w:val="%2."/>
      <w:lvlJc w:val="left"/>
      <w:pPr>
        <w:tabs>
          <w:tab w:val="num" w:pos="1440"/>
        </w:tabs>
        <w:ind w:left="1440" w:hanging="360"/>
      </w:pPr>
    </w:lvl>
    <w:lvl w:ilvl="2" w:tplc="BFE42556" w:tentative="1">
      <w:start w:val="1"/>
      <w:numFmt w:val="decimal"/>
      <w:lvlText w:val="%3."/>
      <w:lvlJc w:val="left"/>
      <w:pPr>
        <w:tabs>
          <w:tab w:val="num" w:pos="2160"/>
        </w:tabs>
        <w:ind w:left="2160" w:hanging="360"/>
      </w:pPr>
    </w:lvl>
    <w:lvl w:ilvl="3" w:tplc="AE24422C" w:tentative="1">
      <w:start w:val="1"/>
      <w:numFmt w:val="decimal"/>
      <w:lvlText w:val="%4."/>
      <w:lvlJc w:val="left"/>
      <w:pPr>
        <w:tabs>
          <w:tab w:val="num" w:pos="2880"/>
        </w:tabs>
        <w:ind w:left="2880" w:hanging="360"/>
      </w:pPr>
    </w:lvl>
    <w:lvl w:ilvl="4" w:tplc="1970540A" w:tentative="1">
      <w:start w:val="1"/>
      <w:numFmt w:val="decimal"/>
      <w:lvlText w:val="%5."/>
      <w:lvlJc w:val="left"/>
      <w:pPr>
        <w:tabs>
          <w:tab w:val="num" w:pos="3600"/>
        </w:tabs>
        <w:ind w:left="3600" w:hanging="360"/>
      </w:pPr>
    </w:lvl>
    <w:lvl w:ilvl="5" w:tplc="69EE4454" w:tentative="1">
      <w:start w:val="1"/>
      <w:numFmt w:val="decimal"/>
      <w:lvlText w:val="%6."/>
      <w:lvlJc w:val="left"/>
      <w:pPr>
        <w:tabs>
          <w:tab w:val="num" w:pos="4320"/>
        </w:tabs>
        <w:ind w:left="4320" w:hanging="360"/>
      </w:pPr>
    </w:lvl>
    <w:lvl w:ilvl="6" w:tplc="A9B8611A" w:tentative="1">
      <w:start w:val="1"/>
      <w:numFmt w:val="decimal"/>
      <w:lvlText w:val="%7."/>
      <w:lvlJc w:val="left"/>
      <w:pPr>
        <w:tabs>
          <w:tab w:val="num" w:pos="5040"/>
        </w:tabs>
        <w:ind w:left="5040" w:hanging="360"/>
      </w:pPr>
    </w:lvl>
    <w:lvl w:ilvl="7" w:tplc="92229B94" w:tentative="1">
      <w:start w:val="1"/>
      <w:numFmt w:val="decimal"/>
      <w:lvlText w:val="%8."/>
      <w:lvlJc w:val="left"/>
      <w:pPr>
        <w:tabs>
          <w:tab w:val="num" w:pos="5760"/>
        </w:tabs>
        <w:ind w:left="5760" w:hanging="360"/>
      </w:pPr>
    </w:lvl>
    <w:lvl w:ilvl="8" w:tplc="15EEBBAE" w:tentative="1">
      <w:start w:val="1"/>
      <w:numFmt w:val="decimal"/>
      <w:lvlText w:val="%9."/>
      <w:lvlJc w:val="left"/>
      <w:pPr>
        <w:tabs>
          <w:tab w:val="num" w:pos="6480"/>
        </w:tabs>
        <w:ind w:left="6480" w:hanging="360"/>
      </w:pPr>
    </w:lvl>
  </w:abstractNum>
  <w:abstractNum w:abstractNumId="3" w15:restartNumberingAfterBreak="0">
    <w:nsid w:val="0F1E149A"/>
    <w:multiLevelType w:val="hybridMultilevel"/>
    <w:tmpl w:val="3A66E61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E5A0B2F"/>
    <w:multiLevelType w:val="hybridMultilevel"/>
    <w:tmpl w:val="E7CAD63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24C65E3"/>
    <w:multiLevelType w:val="hybridMultilevel"/>
    <w:tmpl w:val="12300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C22842"/>
    <w:multiLevelType w:val="hybridMultilevel"/>
    <w:tmpl w:val="FFFFFFFF"/>
    <w:lvl w:ilvl="0" w:tplc="3AA67424">
      <w:start w:val="1"/>
      <w:numFmt w:val="bullet"/>
      <w:lvlText w:val=""/>
      <w:lvlJc w:val="left"/>
      <w:pPr>
        <w:ind w:left="720" w:hanging="360"/>
      </w:pPr>
      <w:rPr>
        <w:rFonts w:ascii="Symbol" w:hAnsi="Symbol" w:hint="default"/>
      </w:rPr>
    </w:lvl>
    <w:lvl w:ilvl="1" w:tplc="23200A80">
      <w:start w:val="1"/>
      <w:numFmt w:val="bullet"/>
      <w:lvlText w:val="o"/>
      <w:lvlJc w:val="left"/>
      <w:pPr>
        <w:ind w:left="1440" w:hanging="360"/>
      </w:pPr>
      <w:rPr>
        <w:rFonts w:ascii="Courier New" w:hAnsi="Courier New" w:hint="default"/>
      </w:rPr>
    </w:lvl>
    <w:lvl w:ilvl="2" w:tplc="1908A0EE">
      <w:start w:val="1"/>
      <w:numFmt w:val="bullet"/>
      <w:lvlText w:val=""/>
      <w:lvlJc w:val="left"/>
      <w:pPr>
        <w:ind w:left="2160" w:hanging="360"/>
      </w:pPr>
      <w:rPr>
        <w:rFonts w:ascii="Wingdings" w:hAnsi="Wingdings" w:hint="default"/>
      </w:rPr>
    </w:lvl>
    <w:lvl w:ilvl="3" w:tplc="535C50CE">
      <w:start w:val="1"/>
      <w:numFmt w:val="bullet"/>
      <w:lvlText w:val=""/>
      <w:lvlJc w:val="left"/>
      <w:pPr>
        <w:ind w:left="2880" w:hanging="360"/>
      </w:pPr>
      <w:rPr>
        <w:rFonts w:ascii="Symbol" w:hAnsi="Symbol" w:hint="default"/>
      </w:rPr>
    </w:lvl>
    <w:lvl w:ilvl="4" w:tplc="8018ACD6">
      <w:start w:val="1"/>
      <w:numFmt w:val="bullet"/>
      <w:lvlText w:val="o"/>
      <w:lvlJc w:val="left"/>
      <w:pPr>
        <w:ind w:left="3600" w:hanging="360"/>
      </w:pPr>
      <w:rPr>
        <w:rFonts w:ascii="Courier New" w:hAnsi="Courier New" w:hint="default"/>
      </w:rPr>
    </w:lvl>
    <w:lvl w:ilvl="5" w:tplc="0D7490DC">
      <w:start w:val="1"/>
      <w:numFmt w:val="bullet"/>
      <w:lvlText w:val=""/>
      <w:lvlJc w:val="left"/>
      <w:pPr>
        <w:ind w:left="4320" w:hanging="360"/>
      </w:pPr>
      <w:rPr>
        <w:rFonts w:ascii="Wingdings" w:hAnsi="Wingdings" w:hint="default"/>
      </w:rPr>
    </w:lvl>
    <w:lvl w:ilvl="6" w:tplc="C91CD832">
      <w:start w:val="1"/>
      <w:numFmt w:val="bullet"/>
      <w:lvlText w:val=""/>
      <w:lvlJc w:val="left"/>
      <w:pPr>
        <w:ind w:left="5040" w:hanging="360"/>
      </w:pPr>
      <w:rPr>
        <w:rFonts w:ascii="Symbol" w:hAnsi="Symbol" w:hint="default"/>
      </w:rPr>
    </w:lvl>
    <w:lvl w:ilvl="7" w:tplc="A2867002">
      <w:start w:val="1"/>
      <w:numFmt w:val="bullet"/>
      <w:lvlText w:val="o"/>
      <w:lvlJc w:val="left"/>
      <w:pPr>
        <w:ind w:left="5760" w:hanging="360"/>
      </w:pPr>
      <w:rPr>
        <w:rFonts w:ascii="Courier New" w:hAnsi="Courier New" w:hint="default"/>
      </w:rPr>
    </w:lvl>
    <w:lvl w:ilvl="8" w:tplc="8B6EA4F4">
      <w:start w:val="1"/>
      <w:numFmt w:val="bullet"/>
      <w:lvlText w:val=""/>
      <w:lvlJc w:val="left"/>
      <w:pPr>
        <w:ind w:left="6480" w:hanging="360"/>
      </w:pPr>
      <w:rPr>
        <w:rFonts w:ascii="Wingdings" w:hAnsi="Wingdings" w:hint="default"/>
      </w:rPr>
    </w:lvl>
  </w:abstractNum>
  <w:abstractNum w:abstractNumId="7" w15:restartNumberingAfterBreak="0">
    <w:nsid w:val="2A4A1E36"/>
    <w:multiLevelType w:val="hybridMultilevel"/>
    <w:tmpl w:val="840AFAAA"/>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8" w15:restartNumberingAfterBreak="0">
    <w:nsid w:val="3B9B66C2"/>
    <w:multiLevelType w:val="hybridMultilevel"/>
    <w:tmpl w:val="B5D65C22"/>
    <w:lvl w:ilvl="0" w:tplc="C3263868">
      <w:start w:val="1"/>
      <w:numFmt w:val="decimal"/>
      <w:lvlText w:val="%1."/>
      <w:lvlJc w:val="left"/>
      <w:pPr>
        <w:tabs>
          <w:tab w:val="num" w:pos="720"/>
        </w:tabs>
        <w:ind w:left="720" w:hanging="720"/>
      </w:pPr>
    </w:lvl>
    <w:lvl w:ilvl="1" w:tplc="6E42373E">
      <w:start w:val="1"/>
      <w:numFmt w:val="decimal"/>
      <w:lvlText w:val="%2."/>
      <w:lvlJc w:val="left"/>
      <w:pPr>
        <w:tabs>
          <w:tab w:val="num" w:pos="1440"/>
        </w:tabs>
        <w:ind w:left="1440" w:hanging="720"/>
      </w:pPr>
    </w:lvl>
    <w:lvl w:ilvl="2" w:tplc="D26AC230">
      <w:start w:val="1"/>
      <w:numFmt w:val="decimal"/>
      <w:lvlText w:val="%3."/>
      <w:lvlJc w:val="left"/>
      <w:pPr>
        <w:tabs>
          <w:tab w:val="num" w:pos="2160"/>
        </w:tabs>
        <w:ind w:left="2160" w:hanging="720"/>
      </w:pPr>
    </w:lvl>
    <w:lvl w:ilvl="3" w:tplc="2EB2D62A">
      <w:start w:val="1"/>
      <w:numFmt w:val="decimal"/>
      <w:lvlText w:val="%4."/>
      <w:lvlJc w:val="left"/>
      <w:pPr>
        <w:tabs>
          <w:tab w:val="num" w:pos="2880"/>
        </w:tabs>
        <w:ind w:left="2880" w:hanging="720"/>
      </w:pPr>
    </w:lvl>
    <w:lvl w:ilvl="4" w:tplc="BFFE25CE">
      <w:start w:val="1"/>
      <w:numFmt w:val="decimal"/>
      <w:lvlText w:val="%5."/>
      <w:lvlJc w:val="left"/>
      <w:pPr>
        <w:tabs>
          <w:tab w:val="num" w:pos="3600"/>
        </w:tabs>
        <w:ind w:left="3600" w:hanging="720"/>
      </w:pPr>
    </w:lvl>
    <w:lvl w:ilvl="5" w:tplc="A6A6AD40">
      <w:start w:val="1"/>
      <w:numFmt w:val="decimal"/>
      <w:lvlText w:val="%6."/>
      <w:lvlJc w:val="left"/>
      <w:pPr>
        <w:tabs>
          <w:tab w:val="num" w:pos="4320"/>
        </w:tabs>
        <w:ind w:left="4320" w:hanging="720"/>
      </w:pPr>
    </w:lvl>
    <w:lvl w:ilvl="6" w:tplc="E812B35E">
      <w:start w:val="1"/>
      <w:numFmt w:val="decimal"/>
      <w:lvlText w:val="%7."/>
      <w:lvlJc w:val="left"/>
      <w:pPr>
        <w:tabs>
          <w:tab w:val="num" w:pos="5040"/>
        </w:tabs>
        <w:ind w:left="5040" w:hanging="720"/>
      </w:pPr>
    </w:lvl>
    <w:lvl w:ilvl="7" w:tplc="9E0003D0">
      <w:start w:val="1"/>
      <w:numFmt w:val="decimal"/>
      <w:lvlText w:val="%8."/>
      <w:lvlJc w:val="left"/>
      <w:pPr>
        <w:tabs>
          <w:tab w:val="num" w:pos="5760"/>
        </w:tabs>
        <w:ind w:left="5760" w:hanging="720"/>
      </w:pPr>
    </w:lvl>
    <w:lvl w:ilvl="8" w:tplc="C20CC91C">
      <w:start w:val="1"/>
      <w:numFmt w:val="decimal"/>
      <w:lvlText w:val="%9."/>
      <w:lvlJc w:val="left"/>
      <w:pPr>
        <w:tabs>
          <w:tab w:val="num" w:pos="6480"/>
        </w:tabs>
        <w:ind w:left="6480" w:hanging="720"/>
      </w:pPr>
    </w:lvl>
  </w:abstractNum>
  <w:abstractNum w:abstractNumId="9" w15:restartNumberingAfterBreak="0">
    <w:nsid w:val="3F7E12F9"/>
    <w:multiLevelType w:val="hybridMultilevel"/>
    <w:tmpl w:val="FBDCF0C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41226E88"/>
    <w:multiLevelType w:val="hybridMultilevel"/>
    <w:tmpl w:val="668ED6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8DB487C"/>
    <w:multiLevelType w:val="hybridMultilevel"/>
    <w:tmpl w:val="1DB279B6"/>
    <w:lvl w:ilvl="0" w:tplc="A1129654">
      <w:start w:val="1"/>
      <w:numFmt w:val="bullet"/>
      <w:lvlText w:val=""/>
      <w:lvlJc w:val="left"/>
      <w:pPr>
        <w:ind w:left="720" w:hanging="360"/>
      </w:pPr>
      <w:rPr>
        <w:rFonts w:ascii="Symbol" w:hAnsi="Symbol" w:hint="default"/>
      </w:rPr>
    </w:lvl>
    <w:lvl w:ilvl="1" w:tplc="B7A4B852">
      <w:start w:val="1"/>
      <w:numFmt w:val="bullet"/>
      <w:lvlText w:val="o"/>
      <w:lvlJc w:val="left"/>
      <w:pPr>
        <w:ind w:left="1440" w:hanging="360"/>
      </w:pPr>
      <w:rPr>
        <w:rFonts w:ascii="Courier New" w:hAnsi="Courier New" w:hint="default"/>
      </w:rPr>
    </w:lvl>
    <w:lvl w:ilvl="2" w:tplc="ADF29F4A">
      <w:start w:val="1"/>
      <w:numFmt w:val="bullet"/>
      <w:lvlText w:val=""/>
      <w:lvlJc w:val="left"/>
      <w:pPr>
        <w:ind w:left="2160" w:hanging="360"/>
      </w:pPr>
      <w:rPr>
        <w:rFonts w:ascii="Wingdings" w:hAnsi="Wingdings" w:hint="default"/>
      </w:rPr>
    </w:lvl>
    <w:lvl w:ilvl="3" w:tplc="6AC8F7F2">
      <w:start w:val="1"/>
      <w:numFmt w:val="bullet"/>
      <w:lvlText w:val=""/>
      <w:lvlJc w:val="left"/>
      <w:pPr>
        <w:ind w:left="2880" w:hanging="360"/>
      </w:pPr>
      <w:rPr>
        <w:rFonts w:ascii="Symbol" w:hAnsi="Symbol" w:hint="default"/>
      </w:rPr>
    </w:lvl>
    <w:lvl w:ilvl="4" w:tplc="9E06CD8E">
      <w:start w:val="1"/>
      <w:numFmt w:val="bullet"/>
      <w:lvlText w:val="o"/>
      <w:lvlJc w:val="left"/>
      <w:pPr>
        <w:ind w:left="3600" w:hanging="360"/>
      </w:pPr>
      <w:rPr>
        <w:rFonts w:ascii="Courier New" w:hAnsi="Courier New" w:hint="default"/>
      </w:rPr>
    </w:lvl>
    <w:lvl w:ilvl="5" w:tplc="655016C0">
      <w:start w:val="1"/>
      <w:numFmt w:val="bullet"/>
      <w:lvlText w:val=""/>
      <w:lvlJc w:val="left"/>
      <w:pPr>
        <w:ind w:left="4320" w:hanging="360"/>
      </w:pPr>
      <w:rPr>
        <w:rFonts w:ascii="Wingdings" w:hAnsi="Wingdings" w:hint="default"/>
      </w:rPr>
    </w:lvl>
    <w:lvl w:ilvl="6" w:tplc="20B0430C">
      <w:start w:val="1"/>
      <w:numFmt w:val="bullet"/>
      <w:lvlText w:val=""/>
      <w:lvlJc w:val="left"/>
      <w:pPr>
        <w:ind w:left="5040" w:hanging="360"/>
      </w:pPr>
      <w:rPr>
        <w:rFonts w:ascii="Symbol" w:hAnsi="Symbol" w:hint="default"/>
      </w:rPr>
    </w:lvl>
    <w:lvl w:ilvl="7" w:tplc="6E5C5DE4">
      <w:start w:val="1"/>
      <w:numFmt w:val="bullet"/>
      <w:lvlText w:val="o"/>
      <w:lvlJc w:val="left"/>
      <w:pPr>
        <w:ind w:left="5760" w:hanging="360"/>
      </w:pPr>
      <w:rPr>
        <w:rFonts w:ascii="Courier New" w:hAnsi="Courier New" w:hint="default"/>
      </w:rPr>
    </w:lvl>
    <w:lvl w:ilvl="8" w:tplc="6B5410E6">
      <w:start w:val="1"/>
      <w:numFmt w:val="bullet"/>
      <w:lvlText w:val=""/>
      <w:lvlJc w:val="left"/>
      <w:pPr>
        <w:ind w:left="6480" w:hanging="360"/>
      </w:pPr>
      <w:rPr>
        <w:rFonts w:ascii="Wingdings" w:hAnsi="Wingdings" w:hint="default"/>
      </w:rPr>
    </w:lvl>
  </w:abstractNum>
  <w:abstractNum w:abstractNumId="12" w15:restartNumberingAfterBreak="0">
    <w:nsid w:val="600E37CC"/>
    <w:multiLevelType w:val="hybridMultilevel"/>
    <w:tmpl w:val="8AA203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609043D4"/>
    <w:multiLevelType w:val="multilevel"/>
    <w:tmpl w:val="873A2CAA"/>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bCs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67CF4A5C"/>
    <w:multiLevelType w:val="hybridMultilevel"/>
    <w:tmpl w:val="D2C4349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8274074"/>
    <w:multiLevelType w:val="hybridMultilevel"/>
    <w:tmpl w:val="A7002D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D492B50"/>
    <w:multiLevelType w:val="hybridMultilevel"/>
    <w:tmpl w:val="B9987AC8"/>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7FED6CC9"/>
    <w:multiLevelType w:val="hybridMultilevel"/>
    <w:tmpl w:val="62862E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2"/>
  </w:num>
  <w:num w:numId="4">
    <w:abstractNumId w:val="1"/>
  </w:num>
  <w:num w:numId="5">
    <w:abstractNumId w:val="15"/>
  </w:num>
  <w:num w:numId="6">
    <w:abstractNumId w:val="17"/>
  </w:num>
  <w:num w:numId="7">
    <w:abstractNumId w:val="3"/>
  </w:num>
  <w:num w:numId="8">
    <w:abstractNumId w:val="10"/>
  </w:num>
  <w:num w:numId="9">
    <w:abstractNumId w:val="9"/>
  </w:num>
  <w:num w:numId="10">
    <w:abstractNumId w:val="5"/>
  </w:num>
  <w:num w:numId="11">
    <w:abstractNumId w:val="14"/>
  </w:num>
  <w:num w:numId="12">
    <w:abstractNumId w:val="0"/>
  </w:num>
  <w:num w:numId="13">
    <w:abstractNumId w:val="8"/>
  </w:num>
  <w:num w:numId="14">
    <w:abstractNumId w:val="7"/>
  </w:num>
  <w:num w:numId="15">
    <w:abstractNumId w:val="16"/>
  </w:num>
  <w:num w:numId="16">
    <w:abstractNumId w:val="2"/>
  </w:num>
  <w:num w:numId="17">
    <w:abstractNumId w:val="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3E95ABF"/>
    <w:rsid w:val="00007990"/>
    <w:rsid w:val="00011AF7"/>
    <w:rsid w:val="00056919"/>
    <w:rsid w:val="00072C6A"/>
    <w:rsid w:val="000F3278"/>
    <w:rsid w:val="00100C95"/>
    <w:rsid w:val="00114051"/>
    <w:rsid w:val="00115BCC"/>
    <w:rsid w:val="001436C9"/>
    <w:rsid w:val="00162D3C"/>
    <w:rsid w:val="00167992"/>
    <w:rsid w:val="0018645C"/>
    <w:rsid w:val="001918E5"/>
    <w:rsid w:val="00195091"/>
    <w:rsid w:val="001A014F"/>
    <w:rsid w:val="001B2D6D"/>
    <w:rsid w:val="001C0C87"/>
    <w:rsid w:val="001F7CDC"/>
    <w:rsid w:val="00200579"/>
    <w:rsid w:val="0021789E"/>
    <w:rsid w:val="00230FA3"/>
    <w:rsid w:val="00236706"/>
    <w:rsid w:val="002813FE"/>
    <w:rsid w:val="002E3C96"/>
    <w:rsid w:val="003004B4"/>
    <w:rsid w:val="00322B9D"/>
    <w:rsid w:val="00335B6C"/>
    <w:rsid w:val="00363F74"/>
    <w:rsid w:val="00372612"/>
    <w:rsid w:val="00381794"/>
    <w:rsid w:val="003911FC"/>
    <w:rsid w:val="004835A4"/>
    <w:rsid w:val="00491A4A"/>
    <w:rsid w:val="00497DE2"/>
    <w:rsid w:val="004D5710"/>
    <w:rsid w:val="005118CB"/>
    <w:rsid w:val="00540684"/>
    <w:rsid w:val="00542280"/>
    <w:rsid w:val="00542F30"/>
    <w:rsid w:val="005836B6"/>
    <w:rsid w:val="005C045B"/>
    <w:rsid w:val="005C4227"/>
    <w:rsid w:val="005C71C3"/>
    <w:rsid w:val="005F1A9D"/>
    <w:rsid w:val="006136EA"/>
    <w:rsid w:val="00664C1B"/>
    <w:rsid w:val="00690CF9"/>
    <w:rsid w:val="006B6FB8"/>
    <w:rsid w:val="00731809"/>
    <w:rsid w:val="0075001B"/>
    <w:rsid w:val="00757722"/>
    <w:rsid w:val="0076151E"/>
    <w:rsid w:val="00785AF3"/>
    <w:rsid w:val="007B55E3"/>
    <w:rsid w:val="00804601"/>
    <w:rsid w:val="008113E5"/>
    <w:rsid w:val="0081188F"/>
    <w:rsid w:val="008221FC"/>
    <w:rsid w:val="0084184F"/>
    <w:rsid w:val="00896934"/>
    <w:rsid w:val="00914C15"/>
    <w:rsid w:val="00924D3E"/>
    <w:rsid w:val="009425F6"/>
    <w:rsid w:val="00956524"/>
    <w:rsid w:val="009715BB"/>
    <w:rsid w:val="00991013"/>
    <w:rsid w:val="009B25B7"/>
    <w:rsid w:val="009C0533"/>
    <w:rsid w:val="009C1D9C"/>
    <w:rsid w:val="00A03464"/>
    <w:rsid w:val="00A074A8"/>
    <w:rsid w:val="00A431D8"/>
    <w:rsid w:val="00A458EC"/>
    <w:rsid w:val="00AC7776"/>
    <w:rsid w:val="00AE66EB"/>
    <w:rsid w:val="00B10804"/>
    <w:rsid w:val="00B4158C"/>
    <w:rsid w:val="00B549F4"/>
    <w:rsid w:val="00B631D4"/>
    <w:rsid w:val="00B65847"/>
    <w:rsid w:val="00B72301"/>
    <w:rsid w:val="00B84C21"/>
    <w:rsid w:val="00BF3AE3"/>
    <w:rsid w:val="00BF6D90"/>
    <w:rsid w:val="00C11407"/>
    <w:rsid w:val="00C353D8"/>
    <w:rsid w:val="00C44FB5"/>
    <w:rsid w:val="00DB3A09"/>
    <w:rsid w:val="00DE35B5"/>
    <w:rsid w:val="00DF038F"/>
    <w:rsid w:val="00E01CD5"/>
    <w:rsid w:val="00E52A00"/>
    <w:rsid w:val="00E640BA"/>
    <w:rsid w:val="00E8607C"/>
    <w:rsid w:val="00EA454D"/>
    <w:rsid w:val="00EB619C"/>
    <w:rsid w:val="00ED3296"/>
    <w:rsid w:val="00EE02A1"/>
    <w:rsid w:val="00EF03A8"/>
    <w:rsid w:val="00F03194"/>
    <w:rsid w:val="00FA00CF"/>
    <w:rsid w:val="00FF0F07"/>
    <w:rsid w:val="01A2BC52"/>
    <w:rsid w:val="02ED105B"/>
    <w:rsid w:val="067BC98B"/>
    <w:rsid w:val="0BDBC2C3"/>
    <w:rsid w:val="0C913FB3"/>
    <w:rsid w:val="0D2719E2"/>
    <w:rsid w:val="0FD34573"/>
    <w:rsid w:val="13E95ABF"/>
    <w:rsid w:val="14F697E0"/>
    <w:rsid w:val="15770024"/>
    <w:rsid w:val="15FBA44D"/>
    <w:rsid w:val="18574FE3"/>
    <w:rsid w:val="18692232"/>
    <w:rsid w:val="18730FB0"/>
    <w:rsid w:val="19BC3485"/>
    <w:rsid w:val="1B399820"/>
    <w:rsid w:val="1DADC424"/>
    <w:rsid w:val="1E7138E2"/>
    <w:rsid w:val="204AFFD3"/>
    <w:rsid w:val="211A7623"/>
    <w:rsid w:val="214E79F9"/>
    <w:rsid w:val="22AE9A1A"/>
    <w:rsid w:val="231A94F9"/>
    <w:rsid w:val="233147CC"/>
    <w:rsid w:val="23CCBDF6"/>
    <w:rsid w:val="27211B08"/>
    <w:rsid w:val="272956F2"/>
    <w:rsid w:val="28E59DFD"/>
    <w:rsid w:val="29AFB297"/>
    <w:rsid w:val="2A82ECF8"/>
    <w:rsid w:val="2B4B82F8"/>
    <w:rsid w:val="2C3D06FE"/>
    <w:rsid w:val="2CC343E2"/>
    <w:rsid w:val="2CFEA494"/>
    <w:rsid w:val="2D3F4386"/>
    <w:rsid w:val="2EB5FA68"/>
    <w:rsid w:val="2F48FE2D"/>
    <w:rsid w:val="32006290"/>
    <w:rsid w:val="3286BEBB"/>
    <w:rsid w:val="3422CE7E"/>
    <w:rsid w:val="34FE8BB6"/>
    <w:rsid w:val="35292A5E"/>
    <w:rsid w:val="37B27066"/>
    <w:rsid w:val="37C239C1"/>
    <w:rsid w:val="3807F013"/>
    <w:rsid w:val="3866263A"/>
    <w:rsid w:val="3B95CE2E"/>
    <w:rsid w:val="3C4CCE28"/>
    <w:rsid w:val="3E13B4F9"/>
    <w:rsid w:val="3ECA3C2F"/>
    <w:rsid w:val="3F60D73E"/>
    <w:rsid w:val="4076E2C0"/>
    <w:rsid w:val="419D1AAB"/>
    <w:rsid w:val="424CC82D"/>
    <w:rsid w:val="42E00A03"/>
    <w:rsid w:val="430CC3BE"/>
    <w:rsid w:val="430D01D9"/>
    <w:rsid w:val="4348FD7D"/>
    <w:rsid w:val="43610A7C"/>
    <w:rsid w:val="44744A1E"/>
    <w:rsid w:val="463F0342"/>
    <w:rsid w:val="472FC78D"/>
    <w:rsid w:val="478B1A77"/>
    <w:rsid w:val="482EEEF3"/>
    <w:rsid w:val="4A36698A"/>
    <w:rsid w:val="4AE2338C"/>
    <w:rsid w:val="4B2AD494"/>
    <w:rsid w:val="4CE635E2"/>
    <w:rsid w:val="525F22B9"/>
    <w:rsid w:val="55007A49"/>
    <w:rsid w:val="551F2965"/>
    <w:rsid w:val="565912D8"/>
    <w:rsid w:val="57092B99"/>
    <w:rsid w:val="57BF33F8"/>
    <w:rsid w:val="57CE143B"/>
    <w:rsid w:val="57F57B35"/>
    <w:rsid w:val="5825378F"/>
    <w:rsid w:val="59A8D795"/>
    <w:rsid w:val="5B866C24"/>
    <w:rsid w:val="5C8B0AF3"/>
    <w:rsid w:val="5DA4A27F"/>
    <w:rsid w:val="5E6D14C6"/>
    <w:rsid w:val="5FC881AA"/>
    <w:rsid w:val="621CE9AE"/>
    <w:rsid w:val="63FDFDF0"/>
    <w:rsid w:val="68227D8E"/>
    <w:rsid w:val="6B11BC5C"/>
    <w:rsid w:val="6F853773"/>
    <w:rsid w:val="6F8E688D"/>
    <w:rsid w:val="7068792D"/>
    <w:rsid w:val="74127402"/>
    <w:rsid w:val="74F10EC4"/>
    <w:rsid w:val="7A1C5170"/>
    <w:rsid w:val="7F37420B"/>
    <w:rsid w:val="7FEF3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95ABF"/>
  <w15:chartTrackingRefBased/>
  <w15:docId w15:val="{05F4EAC5-81D9-4B38-A264-AD31927E6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C15"/>
    <w:rPr>
      <w:rFonts w:asciiTheme="majorHAnsi" w:hAnsiTheme="majorHAnsi"/>
    </w:rPr>
  </w:style>
  <w:style w:type="paragraph" w:styleId="Heading1">
    <w:name w:val="heading 1"/>
    <w:basedOn w:val="Normal"/>
    <w:next w:val="Normal"/>
    <w:link w:val="Heading1Char"/>
    <w:uiPriority w:val="9"/>
    <w:qFormat/>
    <w:rsid w:val="0075001B"/>
    <w:pPr>
      <w:keepNext/>
      <w:keepLines/>
      <w:numPr>
        <w:numId w:val="2"/>
      </w:numPr>
      <w:spacing w:before="240" w:after="0" w:line="288" w:lineRule="auto"/>
      <w:outlineLvl w:val="0"/>
    </w:pPr>
    <w:rPr>
      <w:rFonts w:eastAsiaTheme="majorEastAsia" w:cstheme="majorBidi"/>
      <w:b/>
      <w:color w:val="000000" w:themeColor="text1"/>
      <w:sz w:val="28"/>
      <w:szCs w:val="32"/>
      <w:lang w:val="en-GB" w:eastAsia="ja-JP"/>
    </w:rPr>
  </w:style>
  <w:style w:type="paragraph" w:styleId="Heading2">
    <w:name w:val="heading 2"/>
    <w:basedOn w:val="Normal"/>
    <w:next w:val="Normal"/>
    <w:link w:val="Heading2Char"/>
    <w:unhideWhenUsed/>
    <w:qFormat/>
    <w:rsid w:val="0075001B"/>
    <w:pPr>
      <w:keepNext/>
      <w:keepLines/>
      <w:numPr>
        <w:ilvl w:val="1"/>
        <w:numId w:val="2"/>
      </w:numPr>
      <w:spacing w:before="40" w:after="0" w:line="288" w:lineRule="auto"/>
      <w:outlineLvl w:val="1"/>
    </w:pPr>
    <w:rPr>
      <w:rFonts w:eastAsiaTheme="majorEastAsia" w:cstheme="majorBidi"/>
      <w:b/>
      <w:sz w:val="24"/>
      <w:szCs w:val="26"/>
      <w:lang w:val="en-GB" w:eastAsia="ja-JP"/>
    </w:rPr>
  </w:style>
  <w:style w:type="paragraph" w:styleId="Heading3">
    <w:name w:val="heading 3"/>
    <w:basedOn w:val="Normal"/>
    <w:next w:val="Normal"/>
    <w:link w:val="Heading3Char"/>
    <w:unhideWhenUsed/>
    <w:qFormat/>
    <w:rsid w:val="0075001B"/>
    <w:pPr>
      <w:keepNext/>
      <w:keepLines/>
      <w:numPr>
        <w:ilvl w:val="2"/>
        <w:numId w:val="2"/>
      </w:numPr>
      <w:spacing w:before="40" w:after="0" w:line="288" w:lineRule="auto"/>
      <w:outlineLvl w:val="2"/>
    </w:pPr>
    <w:rPr>
      <w:rFonts w:eastAsiaTheme="majorEastAsia" w:cstheme="majorBidi"/>
      <w:b/>
      <w:szCs w:val="24"/>
      <w:lang w:val="en-GB" w:eastAsia="ja-JP"/>
    </w:rPr>
  </w:style>
  <w:style w:type="paragraph" w:styleId="Heading4">
    <w:name w:val="heading 4"/>
    <w:basedOn w:val="Normal"/>
    <w:next w:val="Normal"/>
    <w:link w:val="Heading4Char"/>
    <w:uiPriority w:val="9"/>
    <w:unhideWhenUsed/>
    <w:qFormat/>
    <w:rsid w:val="0075001B"/>
    <w:pPr>
      <w:keepNext/>
      <w:keepLines/>
      <w:numPr>
        <w:ilvl w:val="3"/>
        <w:numId w:val="2"/>
      </w:numPr>
      <w:spacing w:before="40" w:after="0" w:line="288" w:lineRule="auto"/>
      <w:outlineLvl w:val="3"/>
    </w:pPr>
    <w:rPr>
      <w:rFonts w:eastAsiaTheme="majorEastAsia" w:cstheme="majorBidi"/>
      <w:i/>
      <w:iCs/>
      <w:color w:val="2F5496" w:themeColor="accent1" w:themeShade="BF"/>
      <w:lang w:val="en-GB" w:eastAsia="ja-JP"/>
    </w:rPr>
  </w:style>
  <w:style w:type="paragraph" w:styleId="Heading5">
    <w:name w:val="heading 5"/>
    <w:basedOn w:val="Normal"/>
    <w:next w:val="Normal"/>
    <w:link w:val="Heading5Char"/>
    <w:uiPriority w:val="9"/>
    <w:unhideWhenUsed/>
    <w:qFormat/>
    <w:rsid w:val="0075001B"/>
    <w:pPr>
      <w:keepNext/>
      <w:keepLines/>
      <w:numPr>
        <w:ilvl w:val="4"/>
        <w:numId w:val="2"/>
      </w:numPr>
      <w:spacing w:before="40" w:after="0" w:line="288" w:lineRule="auto"/>
      <w:outlineLvl w:val="4"/>
    </w:pPr>
    <w:rPr>
      <w:rFonts w:eastAsiaTheme="majorEastAsia" w:cstheme="majorBidi"/>
      <w:color w:val="2F5496" w:themeColor="accent1" w:themeShade="BF"/>
      <w:lang w:val="en-GB" w:eastAsia="ja-JP"/>
    </w:rPr>
  </w:style>
  <w:style w:type="paragraph" w:styleId="Heading6">
    <w:name w:val="heading 6"/>
    <w:aliases w:val="Heading No Number"/>
    <w:basedOn w:val="Normal"/>
    <w:next w:val="Normal"/>
    <w:link w:val="Heading6Char"/>
    <w:uiPriority w:val="9"/>
    <w:unhideWhenUsed/>
    <w:qFormat/>
    <w:rsid w:val="0075001B"/>
    <w:pPr>
      <w:keepNext/>
      <w:keepLines/>
      <w:numPr>
        <w:ilvl w:val="5"/>
        <w:numId w:val="2"/>
      </w:numPr>
      <w:spacing w:before="40" w:after="0" w:line="288" w:lineRule="auto"/>
      <w:outlineLvl w:val="5"/>
    </w:pPr>
    <w:rPr>
      <w:rFonts w:eastAsiaTheme="majorEastAsia" w:cstheme="majorBidi"/>
      <w:color w:val="1F3763" w:themeColor="accent1" w:themeShade="7F"/>
      <w:lang w:val="en-GB" w:eastAsia="ja-JP"/>
    </w:rPr>
  </w:style>
  <w:style w:type="paragraph" w:styleId="Heading7">
    <w:name w:val="heading 7"/>
    <w:aliases w:val="Heading 5_NEW"/>
    <w:basedOn w:val="Normal"/>
    <w:next w:val="Normal"/>
    <w:link w:val="Heading7Char"/>
    <w:uiPriority w:val="9"/>
    <w:unhideWhenUsed/>
    <w:qFormat/>
    <w:rsid w:val="0075001B"/>
    <w:pPr>
      <w:keepNext/>
      <w:keepLines/>
      <w:numPr>
        <w:ilvl w:val="6"/>
        <w:numId w:val="2"/>
      </w:numPr>
      <w:spacing w:before="40" w:after="0" w:line="288" w:lineRule="auto"/>
      <w:outlineLvl w:val="6"/>
    </w:pPr>
    <w:rPr>
      <w:rFonts w:eastAsiaTheme="majorEastAsia" w:cstheme="majorBidi"/>
      <w:i/>
      <w:iCs/>
      <w:color w:val="1F3763" w:themeColor="accent1" w:themeShade="7F"/>
      <w:lang w:val="en-GB" w:eastAsia="ja-JP"/>
    </w:rPr>
  </w:style>
  <w:style w:type="paragraph" w:styleId="Heading8">
    <w:name w:val="heading 8"/>
    <w:basedOn w:val="Normal"/>
    <w:next w:val="Normal"/>
    <w:link w:val="Heading8Char"/>
    <w:unhideWhenUsed/>
    <w:qFormat/>
    <w:rsid w:val="0075001B"/>
    <w:pPr>
      <w:keepNext/>
      <w:keepLines/>
      <w:numPr>
        <w:ilvl w:val="7"/>
        <w:numId w:val="2"/>
      </w:numPr>
      <w:spacing w:before="40" w:after="0" w:line="288" w:lineRule="auto"/>
      <w:outlineLvl w:val="7"/>
    </w:pPr>
    <w:rPr>
      <w:rFonts w:eastAsiaTheme="majorEastAsia" w:cstheme="majorBidi"/>
      <w:color w:val="272727" w:themeColor="text1" w:themeTint="D8"/>
      <w:szCs w:val="21"/>
      <w:lang w:val="en-GB" w:eastAsia="ja-JP"/>
    </w:rPr>
  </w:style>
  <w:style w:type="paragraph" w:styleId="Heading9">
    <w:name w:val="heading 9"/>
    <w:basedOn w:val="Normal"/>
    <w:next w:val="Normal"/>
    <w:link w:val="Heading9Char"/>
    <w:unhideWhenUsed/>
    <w:qFormat/>
    <w:rsid w:val="0075001B"/>
    <w:pPr>
      <w:keepNext/>
      <w:keepLines/>
      <w:numPr>
        <w:ilvl w:val="8"/>
        <w:numId w:val="2"/>
      </w:numPr>
      <w:spacing w:before="40" w:after="0" w:line="288" w:lineRule="auto"/>
      <w:outlineLvl w:val="8"/>
    </w:pPr>
    <w:rPr>
      <w:rFonts w:eastAsiaTheme="majorEastAsia" w:cstheme="majorBidi"/>
      <w:i/>
      <w:iCs/>
      <w:color w:val="272727" w:themeColor="text1" w:themeTint="D8"/>
      <w:szCs w:val="21"/>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00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01B"/>
    <w:rPr>
      <w:rFonts w:ascii="Segoe UI" w:hAnsi="Segoe UI" w:cs="Segoe UI"/>
      <w:sz w:val="18"/>
      <w:szCs w:val="18"/>
    </w:rPr>
  </w:style>
  <w:style w:type="character" w:customStyle="1" w:styleId="Heading1Char">
    <w:name w:val="Heading 1 Char"/>
    <w:basedOn w:val="DefaultParagraphFont"/>
    <w:link w:val="Heading1"/>
    <w:uiPriority w:val="9"/>
    <w:rsid w:val="0075001B"/>
    <w:rPr>
      <w:rFonts w:asciiTheme="majorHAnsi" w:eastAsiaTheme="majorEastAsia" w:hAnsiTheme="majorHAnsi" w:cstheme="majorBidi"/>
      <w:b/>
      <w:color w:val="000000" w:themeColor="text1"/>
      <w:sz w:val="28"/>
      <w:szCs w:val="32"/>
      <w:lang w:val="en-GB" w:eastAsia="ja-JP"/>
    </w:rPr>
  </w:style>
  <w:style w:type="character" w:customStyle="1" w:styleId="Heading2Char">
    <w:name w:val="Heading 2 Char"/>
    <w:basedOn w:val="DefaultParagraphFont"/>
    <w:link w:val="Heading2"/>
    <w:rsid w:val="0075001B"/>
    <w:rPr>
      <w:rFonts w:asciiTheme="majorHAnsi" w:eastAsiaTheme="majorEastAsia" w:hAnsiTheme="majorHAnsi" w:cstheme="majorBidi"/>
      <w:b/>
      <w:sz w:val="24"/>
      <w:szCs w:val="26"/>
      <w:lang w:val="en-GB" w:eastAsia="ja-JP"/>
    </w:rPr>
  </w:style>
  <w:style w:type="character" w:customStyle="1" w:styleId="Heading3Char">
    <w:name w:val="Heading 3 Char"/>
    <w:basedOn w:val="DefaultParagraphFont"/>
    <w:link w:val="Heading3"/>
    <w:rsid w:val="0075001B"/>
    <w:rPr>
      <w:rFonts w:asciiTheme="majorHAnsi" w:eastAsiaTheme="majorEastAsia" w:hAnsiTheme="majorHAnsi" w:cstheme="majorBidi"/>
      <w:b/>
      <w:szCs w:val="24"/>
      <w:lang w:val="en-GB" w:eastAsia="ja-JP"/>
    </w:rPr>
  </w:style>
  <w:style w:type="character" w:customStyle="1" w:styleId="Heading4Char">
    <w:name w:val="Heading 4 Char"/>
    <w:basedOn w:val="DefaultParagraphFont"/>
    <w:link w:val="Heading4"/>
    <w:uiPriority w:val="9"/>
    <w:rsid w:val="0075001B"/>
    <w:rPr>
      <w:rFonts w:asciiTheme="majorHAnsi" w:eastAsiaTheme="majorEastAsia" w:hAnsiTheme="majorHAnsi" w:cstheme="majorBidi"/>
      <w:i/>
      <w:iCs/>
      <w:color w:val="2F5496" w:themeColor="accent1" w:themeShade="BF"/>
      <w:lang w:val="en-GB" w:eastAsia="ja-JP"/>
    </w:rPr>
  </w:style>
  <w:style w:type="character" w:customStyle="1" w:styleId="Heading5Char">
    <w:name w:val="Heading 5 Char"/>
    <w:basedOn w:val="DefaultParagraphFont"/>
    <w:link w:val="Heading5"/>
    <w:uiPriority w:val="9"/>
    <w:rsid w:val="0075001B"/>
    <w:rPr>
      <w:rFonts w:asciiTheme="majorHAnsi" w:eastAsiaTheme="majorEastAsia" w:hAnsiTheme="majorHAnsi" w:cstheme="majorBidi"/>
      <w:color w:val="2F5496" w:themeColor="accent1" w:themeShade="BF"/>
      <w:lang w:val="en-GB" w:eastAsia="ja-JP"/>
    </w:rPr>
  </w:style>
  <w:style w:type="character" w:customStyle="1" w:styleId="Heading6Char">
    <w:name w:val="Heading 6 Char"/>
    <w:aliases w:val="Heading No Number Char"/>
    <w:basedOn w:val="DefaultParagraphFont"/>
    <w:link w:val="Heading6"/>
    <w:uiPriority w:val="9"/>
    <w:rsid w:val="0075001B"/>
    <w:rPr>
      <w:rFonts w:asciiTheme="majorHAnsi" w:eastAsiaTheme="majorEastAsia" w:hAnsiTheme="majorHAnsi" w:cstheme="majorBidi"/>
      <w:color w:val="1F3763" w:themeColor="accent1" w:themeShade="7F"/>
      <w:lang w:val="en-GB" w:eastAsia="ja-JP"/>
    </w:rPr>
  </w:style>
  <w:style w:type="character" w:customStyle="1" w:styleId="Heading7Char">
    <w:name w:val="Heading 7 Char"/>
    <w:aliases w:val="Heading 5_NEW Char"/>
    <w:basedOn w:val="DefaultParagraphFont"/>
    <w:link w:val="Heading7"/>
    <w:uiPriority w:val="9"/>
    <w:rsid w:val="0075001B"/>
    <w:rPr>
      <w:rFonts w:asciiTheme="majorHAnsi" w:eastAsiaTheme="majorEastAsia" w:hAnsiTheme="majorHAnsi" w:cstheme="majorBidi"/>
      <w:i/>
      <w:iCs/>
      <w:color w:val="1F3763" w:themeColor="accent1" w:themeShade="7F"/>
      <w:lang w:val="en-GB" w:eastAsia="ja-JP"/>
    </w:rPr>
  </w:style>
  <w:style w:type="character" w:customStyle="1" w:styleId="Heading8Char">
    <w:name w:val="Heading 8 Char"/>
    <w:basedOn w:val="DefaultParagraphFont"/>
    <w:link w:val="Heading8"/>
    <w:rsid w:val="0075001B"/>
    <w:rPr>
      <w:rFonts w:asciiTheme="majorHAnsi" w:eastAsiaTheme="majorEastAsia" w:hAnsiTheme="majorHAnsi" w:cstheme="majorBidi"/>
      <w:color w:val="272727" w:themeColor="text1" w:themeTint="D8"/>
      <w:szCs w:val="21"/>
      <w:lang w:val="en-GB" w:eastAsia="ja-JP"/>
    </w:rPr>
  </w:style>
  <w:style w:type="character" w:customStyle="1" w:styleId="Heading9Char">
    <w:name w:val="Heading 9 Char"/>
    <w:basedOn w:val="DefaultParagraphFont"/>
    <w:link w:val="Heading9"/>
    <w:rsid w:val="0075001B"/>
    <w:rPr>
      <w:rFonts w:asciiTheme="majorHAnsi" w:eastAsiaTheme="majorEastAsia" w:hAnsiTheme="majorHAnsi" w:cstheme="majorBidi"/>
      <w:i/>
      <w:iCs/>
      <w:color w:val="272727" w:themeColor="text1" w:themeTint="D8"/>
      <w:szCs w:val="21"/>
      <w:lang w:val="en-GB" w:eastAsia="ja-JP"/>
    </w:rPr>
  </w:style>
  <w:style w:type="paragraph" w:styleId="Title">
    <w:name w:val="Title"/>
    <w:basedOn w:val="Normal"/>
    <w:next w:val="Normal"/>
    <w:link w:val="TitleChar"/>
    <w:qFormat/>
    <w:rsid w:val="0075001B"/>
    <w:pPr>
      <w:spacing w:after="0" w:line="240" w:lineRule="auto"/>
      <w:contextualSpacing/>
    </w:pPr>
    <w:rPr>
      <w:rFonts w:eastAsiaTheme="majorEastAsia" w:cstheme="majorBidi"/>
      <w:spacing w:val="-10"/>
      <w:kern w:val="28"/>
      <w:sz w:val="56"/>
      <w:szCs w:val="56"/>
      <w:lang w:val="en-GB" w:eastAsia="ja-JP"/>
    </w:rPr>
  </w:style>
  <w:style w:type="character" w:customStyle="1" w:styleId="TitleChar">
    <w:name w:val="Title Char"/>
    <w:basedOn w:val="DefaultParagraphFont"/>
    <w:link w:val="Title"/>
    <w:rsid w:val="0075001B"/>
    <w:rPr>
      <w:rFonts w:asciiTheme="majorHAnsi" w:eastAsiaTheme="majorEastAsia" w:hAnsiTheme="majorHAnsi" w:cstheme="majorBidi"/>
      <w:spacing w:val="-10"/>
      <w:kern w:val="28"/>
      <w:sz w:val="56"/>
      <w:szCs w:val="56"/>
      <w:lang w:val="en-GB" w:eastAsia="ja-JP"/>
    </w:rPr>
  </w:style>
  <w:style w:type="character" w:styleId="CommentReference">
    <w:name w:val="annotation reference"/>
    <w:basedOn w:val="DefaultParagraphFont"/>
    <w:uiPriority w:val="99"/>
    <w:unhideWhenUsed/>
    <w:qFormat/>
    <w:rsid w:val="0075001B"/>
    <w:rPr>
      <w:sz w:val="16"/>
      <w:szCs w:val="16"/>
    </w:rPr>
  </w:style>
  <w:style w:type="paragraph" w:styleId="CommentText">
    <w:name w:val="annotation text"/>
    <w:basedOn w:val="Normal"/>
    <w:link w:val="CommentTextChar"/>
    <w:uiPriority w:val="99"/>
    <w:unhideWhenUsed/>
    <w:qFormat/>
    <w:rsid w:val="0075001B"/>
    <w:pPr>
      <w:spacing w:line="240" w:lineRule="auto"/>
    </w:pPr>
    <w:rPr>
      <w:rFonts w:ascii="Arial" w:hAnsi="Arial" w:cs="Times New Roman"/>
      <w:color w:val="000000" w:themeColor="text1"/>
      <w:sz w:val="20"/>
      <w:szCs w:val="20"/>
      <w:lang w:val="en-GB"/>
    </w:rPr>
  </w:style>
  <w:style w:type="character" w:customStyle="1" w:styleId="CommentTextChar">
    <w:name w:val="Comment Text Char"/>
    <w:basedOn w:val="DefaultParagraphFont"/>
    <w:link w:val="CommentText"/>
    <w:uiPriority w:val="99"/>
    <w:qFormat/>
    <w:rsid w:val="0075001B"/>
    <w:rPr>
      <w:rFonts w:ascii="Arial" w:hAnsi="Arial" w:cs="Times New Roman"/>
      <w:color w:val="000000" w:themeColor="text1"/>
      <w:sz w:val="20"/>
      <w:szCs w:val="20"/>
      <w:lang w:val="en-GB"/>
    </w:rPr>
  </w:style>
  <w:style w:type="paragraph" w:customStyle="1" w:styleId="HeadingNoNumbers">
    <w:name w:val="Heading_No Numbers"/>
    <w:basedOn w:val="Heading1"/>
    <w:next w:val="Normal"/>
    <w:qFormat/>
    <w:rsid w:val="0075001B"/>
    <w:pPr>
      <w:spacing w:before="360" w:after="120"/>
      <w:ind w:left="0" w:firstLine="0"/>
    </w:pPr>
    <w:rPr>
      <w:b w:val="0"/>
      <w:color w:val="auto"/>
      <w:lang w:eastAsia="en-US"/>
    </w:rPr>
  </w:style>
  <w:style w:type="character" w:styleId="Hyperlink">
    <w:name w:val="Hyperlink"/>
    <w:basedOn w:val="DefaultParagraphFont"/>
    <w:uiPriority w:val="99"/>
    <w:unhideWhenUsed/>
    <w:qFormat/>
    <w:rsid w:val="0075001B"/>
    <w:rPr>
      <w:color w:val="0563C1" w:themeColor="hyperlink"/>
      <w:u w:val="none"/>
    </w:rPr>
  </w:style>
  <w:style w:type="paragraph" w:customStyle="1" w:styleId="EndNoteBibliography">
    <w:name w:val="EndNote Bibliography"/>
    <w:basedOn w:val="Normal"/>
    <w:link w:val="EndNoteBibliographyChar"/>
    <w:rsid w:val="0075001B"/>
    <w:pPr>
      <w:spacing w:line="240" w:lineRule="auto"/>
    </w:pPr>
    <w:rPr>
      <w:rFonts w:ascii="Calibri" w:eastAsiaTheme="minorEastAsia" w:hAnsi="Calibri" w:cs="Calibri"/>
      <w:noProof/>
      <w:lang w:val="en-GB" w:eastAsia="ja-JP"/>
    </w:rPr>
  </w:style>
  <w:style w:type="character" w:customStyle="1" w:styleId="EndNoteBibliographyChar">
    <w:name w:val="EndNote Bibliography Char"/>
    <w:basedOn w:val="DefaultParagraphFont"/>
    <w:link w:val="EndNoteBibliography"/>
    <w:rsid w:val="0075001B"/>
    <w:rPr>
      <w:rFonts w:ascii="Calibri" w:eastAsiaTheme="minorEastAsia" w:hAnsi="Calibri" w:cs="Calibri"/>
      <w:noProof/>
      <w:lang w:val="en-GB" w:eastAsia="ja-JP"/>
    </w:rPr>
  </w:style>
  <w:style w:type="paragraph" w:styleId="ListParagraph">
    <w:name w:val="List Paragraph"/>
    <w:aliases w:val="Dot pt,F5 List Paragraph,List Paragraph1,No Spacing1,List Paragraph Char Char Char,Indicator Text,Numbered Para 1,Colorful List - Accent 11,Bullet 1,Bullet Points,MAIN CONTENT,List Paragraph12,List Paragraph2,Normal numbered,Recommendatio"/>
    <w:basedOn w:val="Normal"/>
    <w:link w:val="ListParagraphChar"/>
    <w:uiPriority w:val="34"/>
    <w:qFormat/>
    <w:rsid w:val="0075001B"/>
    <w:pPr>
      <w:spacing w:line="288" w:lineRule="auto"/>
      <w:ind w:left="720"/>
      <w:contextualSpacing/>
    </w:pPr>
    <w:rPr>
      <w:rFonts w:ascii="Arial" w:hAnsi="Arial" w:cs="Times New Roman"/>
      <w:color w:val="000000" w:themeColor="text1"/>
      <w:sz w:val="20"/>
      <w:lang w:val="en-GB"/>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75001B"/>
    <w:rPr>
      <w:rFonts w:ascii="Arial" w:hAnsi="Arial" w:cs="Times New Roman"/>
      <w:color w:val="000000" w:themeColor="text1"/>
      <w:sz w:val="20"/>
      <w:lang w:val="en-GB"/>
    </w:rPr>
  </w:style>
  <w:style w:type="character" w:customStyle="1" w:styleId="UnresolvedMention1">
    <w:name w:val="Unresolved Mention1"/>
    <w:basedOn w:val="DefaultParagraphFont"/>
    <w:uiPriority w:val="99"/>
    <w:semiHidden/>
    <w:unhideWhenUsed/>
    <w:rsid w:val="0075001B"/>
    <w:rPr>
      <w:color w:val="605E5C"/>
      <w:shd w:val="clear" w:color="auto" w:fill="E1DFDD"/>
    </w:rPr>
  </w:style>
  <w:style w:type="paragraph" w:styleId="Caption">
    <w:name w:val="caption"/>
    <w:aliases w:val="Caption for figures or tables,Source after Chart,Caption-tables"/>
    <w:basedOn w:val="Normal"/>
    <w:next w:val="Normal"/>
    <w:link w:val="CaptionChar"/>
    <w:uiPriority w:val="35"/>
    <w:unhideWhenUsed/>
    <w:qFormat/>
    <w:rsid w:val="0075001B"/>
    <w:pPr>
      <w:tabs>
        <w:tab w:val="left" w:pos="1418"/>
      </w:tabs>
      <w:spacing w:after="120" w:line="288" w:lineRule="auto"/>
    </w:pPr>
    <w:rPr>
      <w:rFonts w:cs="Times New Roman"/>
      <w:i/>
      <w:iCs/>
      <w:color w:val="000000" w:themeColor="text1"/>
      <w:szCs w:val="18"/>
      <w:lang w:val="en-GB"/>
    </w:rPr>
  </w:style>
  <w:style w:type="character" w:customStyle="1" w:styleId="CaptionChar">
    <w:name w:val="Caption Char"/>
    <w:aliases w:val="Caption for figures or tables Char,Source after Chart Char,Caption-tables Char"/>
    <w:basedOn w:val="DefaultParagraphFont"/>
    <w:link w:val="Caption"/>
    <w:uiPriority w:val="35"/>
    <w:locked/>
    <w:rsid w:val="0075001B"/>
    <w:rPr>
      <w:rFonts w:asciiTheme="majorHAnsi" w:hAnsiTheme="majorHAnsi" w:cs="Times New Roman"/>
      <w:i/>
      <w:iCs/>
      <w:color w:val="000000" w:themeColor="text1"/>
      <w:szCs w:val="18"/>
      <w:lang w:val="en-GB"/>
    </w:rPr>
  </w:style>
  <w:style w:type="table" w:styleId="TableGrid">
    <w:name w:val="Table Grid"/>
    <w:basedOn w:val="TableNormal"/>
    <w:uiPriority w:val="39"/>
    <w:rsid w:val="0075001B"/>
    <w:pPr>
      <w:spacing w:after="0" w:line="240" w:lineRule="auto"/>
    </w:pPr>
    <w:rPr>
      <w:rFonts w:eastAsiaTheme="minorEastAsia"/>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ClimateTableOrange">
    <w:name w:val="NewClimate_TableOrange"/>
    <w:basedOn w:val="TableNormal"/>
    <w:uiPriority w:val="99"/>
    <w:rsid w:val="0075001B"/>
    <w:pPr>
      <w:spacing w:after="0" w:line="240" w:lineRule="auto"/>
    </w:pPr>
    <w:rPr>
      <w:rFonts w:ascii="Arial" w:eastAsiaTheme="minorEastAsia" w:hAnsi="Arial"/>
      <w:sz w:val="20"/>
      <w:lang w:val="de-DE"/>
    </w:rPr>
    <w:tblPr>
      <w:tblStyleRowBandSize w:val="1"/>
      <w:tblStyleColBandSize w:val="1"/>
      <w:tblBorders>
        <w:top w:val="single" w:sz="4" w:space="0" w:color="4472C4" w:themeColor="accent1"/>
        <w:bottom w:val="single" w:sz="4" w:space="0" w:color="4472C4" w:themeColor="accent1"/>
        <w:insideV w:val="single" w:sz="4" w:space="0" w:color="4472C4" w:themeColor="accent1"/>
      </w:tblBorders>
    </w:tblPr>
    <w:tblStylePr w:type="firstRow">
      <w:rPr>
        <w:b/>
      </w:rPr>
      <w:tblPr/>
      <w:tcPr>
        <w:tcBorders>
          <w:bottom w:val="single" w:sz="4" w:space="0" w:color="4472C4" w:themeColor="accent1"/>
        </w:tcBorders>
      </w:tcPr>
    </w:tblStylePr>
    <w:tblStylePr w:type="lastRow">
      <w:rPr>
        <w:b/>
      </w:rPr>
      <w:tblPr/>
      <w:tcPr>
        <w:tcBorders>
          <w:top w:val="double" w:sz="4" w:space="0" w:color="4472C4" w:themeColor="accent1"/>
        </w:tcBorders>
      </w:tcPr>
    </w:tblStylePr>
    <w:tblStylePr w:type="firstCol">
      <w:rPr>
        <w:b/>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FootnoteReference">
    <w:name w:val="footnote reference"/>
    <w:aliases w:val="fr,(Diplomarbeit FZ),-E Fußnotenzeichen,(Diplomarbeit FZ)1,(Dipl...,(Diplomarbeit FZ)2,(Diplomarbeit FZ)3,(Diplomarbeit FZ)4,(Diplomarbeit FZ)5,(Diplomarbeit FZ)6,(Diplomarbeit FZ)7,(Diplomarbeit FZ)8,(Diplomarbeit FZ)9,oc-footnoteref"/>
    <w:basedOn w:val="DefaultParagraphFont"/>
    <w:link w:val="FootnotesymbolCarZchn"/>
    <w:uiPriority w:val="99"/>
    <w:unhideWhenUsed/>
    <w:qFormat/>
    <w:rsid w:val="0075001B"/>
    <w:rPr>
      <w:rFonts w:asciiTheme="majorHAnsi" w:hAnsiTheme="majorHAnsi"/>
      <w:vertAlign w:val="superscript"/>
    </w:rPr>
  </w:style>
  <w:style w:type="paragraph" w:styleId="FootnoteText">
    <w:name w:val="footnote text"/>
    <w:aliases w:val="fn,footnote text,Fußnotentext Char,Char Char,(Diplomarbeit),(Diplomarbeit)1,(Diplomarbeit)2,(Diplomarbeit)3,(Diplomarbeit)4,(Diplomarbeit)5,(Diplomarbeit)6,(Diplomarbeit)7,(Diplomarbeit)8,(Diplomarbeit)9,Fußnote,-E Fußnotentext,E Fußn,Car1"/>
    <w:basedOn w:val="Normal"/>
    <w:link w:val="FootnoteTextChar"/>
    <w:autoRedefine/>
    <w:uiPriority w:val="99"/>
    <w:unhideWhenUsed/>
    <w:qFormat/>
    <w:rsid w:val="0075001B"/>
    <w:pPr>
      <w:spacing w:after="0" w:line="288" w:lineRule="auto"/>
    </w:pPr>
    <w:rPr>
      <w:rFonts w:cs="Times New Roman"/>
      <w:lang w:val="en-GB"/>
    </w:rPr>
  </w:style>
  <w:style w:type="character" w:customStyle="1" w:styleId="FootnoteTextChar">
    <w:name w:val="Footnote Text Char"/>
    <w:aliases w:val="fn Char,footnote text Char,Fußnotentext Char Char,Char Char Char,(Diplomarbeit) Char,(Diplomarbeit)1 Char,(Diplomarbeit)2 Char,(Diplomarbeit)3 Char,(Diplomarbeit)4 Char,(Diplomarbeit)5 Char,(Diplomarbeit)6 Char,(Diplomarbeit)7 Char"/>
    <w:basedOn w:val="DefaultParagraphFont"/>
    <w:link w:val="FootnoteText"/>
    <w:uiPriority w:val="99"/>
    <w:rsid w:val="0075001B"/>
    <w:rPr>
      <w:rFonts w:asciiTheme="majorHAnsi" w:hAnsiTheme="majorHAnsi" w:cs="Times New Roman"/>
      <w:lang w:val="en-GB"/>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75001B"/>
    <w:pPr>
      <w:spacing w:line="240" w:lineRule="exact"/>
    </w:pPr>
    <w:rPr>
      <w:vertAlign w:val="superscript"/>
    </w:rPr>
  </w:style>
  <w:style w:type="table" w:styleId="GridTable1Light">
    <w:name w:val="Grid Table 1 Light"/>
    <w:basedOn w:val="TableNormal"/>
    <w:uiPriority w:val="46"/>
    <w:rsid w:val="0075001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sid w:val="0075001B"/>
    <w:pPr>
      <w:spacing w:after="0" w:line="240" w:lineRule="auto"/>
      <w:jc w:val="both"/>
    </w:pPr>
    <w:rPr>
      <w:rFonts w:eastAsiaTheme="minorEastAsia" w:cs="Times New Roman"/>
      <w:lang w:val="en-GB" w:eastAsia="ja-JP"/>
    </w:rPr>
  </w:style>
  <w:style w:type="paragraph" w:styleId="Header">
    <w:name w:val="header"/>
    <w:basedOn w:val="Normal"/>
    <w:link w:val="HeaderChar"/>
    <w:uiPriority w:val="99"/>
    <w:semiHidden/>
    <w:unhideWhenUsed/>
    <w:rsid w:val="0075001B"/>
    <w:pPr>
      <w:tabs>
        <w:tab w:val="center" w:pos="4513"/>
        <w:tab w:val="right" w:pos="9026"/>
      </w:tabs>
      <w:spacing w:after="0" w:line="240" w:lineRule="auto"/>
    </w:pPr>
    <w:rPr>
      <w:rFonts w:eastAsiaTheme="minorEastAsia" w:cs="Times New Roman"/>
      <w:lang w:val="en-GB" w:eastAsia="ja-JP"/>
    </w:rPr>
  </w:style>
  <w:style w:type="character" w:customStyle="1" w:styleId="HeaderChar">
    <w:name w:val="Header Char"/>
    <w:basedOn w:val="DefaultParagraphFont"/>
    <w:link w:val="Header"/>
    <w:uiPriority w:val="99"/>
    <w:semiHidden/>
    <w:rsid w:val="0075001B"/>
    <w:rPr>
      <w:rFonts w:asciiTheme="majorHAnsi" w:eastAsiaTheme="minorEastAsia" w:hAnsiTheme="majorHAnsi" w:cs="Times New Roman"/>
      <w:lang w:val="en-GB" w:eastAsia="ja-JP"/>
    </w:rPr>
  </w:style>
  <w:style w:type="paragraph" w:styleId="Footer">
    <w:name w:val="footer"/>
    <w:basedOn w:val="Normal"/>
    <w:link w:val="FooterChar"/>
    <w:uiPriority w:val="99"/>
    <w:semiHidden/>
    <w:unhideWhenUsed/>
    <w:rsid w:val="0075001B"/>
    <w:pPr>
      <w:tabs>
        <w:tab w:val="center" w:pos="4513"/>
        <w:tab w:val="right" w:pos="9026"/>
      </w:tabs>
      <w:spacing w:after="0" w:line="240" w:lineRule="auto"/>
    </w:pPr>
    <w:rPr>
      <w:rFonts w:eastAsiaTheme="minorEastAsia" w:cs="Times New Roman"/>
      <w:lang w:val="en-GB" w:eastAsia="ja-JP"/>
    </w:rPr>
  </w:style>
  <w:style w:type="character" w:customStyle="1" w:styleId="FooterChar">
    <w:name w:val="Footer Char"/>
    <w:basedOn w:val="DefaultParagraphFont"/>
    <w:link w:val="Footer"/>
    <w:uiPriority w:val="99"/>
    <w:semiHidden/>
    <w:rsid w:val="0075001B"/>
    <w:rPr>
      <w:rFonts w:asciiTheme="majorHAnsi" w:eastAsiaTheme="minorEastAsia" w:hAnsiTheme="majorHAnsi" w:cs="Times New Roman"/>
      <w:lang w:val="en-GB" w:eastAsia="ja-JP"/>
    </w:rPr>
  </w:style>
  <w:style w:type="paragraph" w:styleId="CommentSubject">
    <w:name w:val="annotation subject"/>
    <w:basedOn w:val="CommentText"/>
    <w:next w:val="CommentText"/>
    <w:link w:val="CommentSubjectChar"/>
    <w:uiPriority w:val="99"/>
    <w:semiHidden/>
    <w:unhideWhenUsed/>
    <w:rsid w:val="0075001B"/>
    <w:rPr>
      <w:rFonts w:asciiTheme="minorHAnsi" w:eastAsiaTheme="minorEastAsia" w:hAnsiTheme="minorHAnsi"/>
      <w:b/>
      <w:bCs/>
      <w:color w:val="auto"/>
      <w:lang w:eastAsia="ja-JP"/>
    </w:rPr>
  </w:style>
  <w:style w:type="character" w:customStyle="1" w:styleId="CommentSubjectChar">
    <w:name w:val="Comment Subject Char"/>
    <w:basedOn w:val="CommentTextChar"/>
    <w:link w:val="CommentSubject"/>
    <w:uiPriority w:val="99"/>
    <w:semiHidden/>
    <w:rsid w:val="0075001B"/>
    <w:rPr>
      <w:rFonts w:ascii="Arial" w:eastAsiaTheme="minorEastAsia" w:hAnsi="Arial" w:cs="Times New Roman"/>
      <w:b/>
      <w:bCs/>
      <w:color w:val="000000" w:themeColor="text1"/>
      <w:sz w:val="20"/>
      <w:szCs w:val="20"/>
      <w:lang w:val="en-GB" w:eastAsia="ja-JP"/>
    </w:rPr>
  </w:style>
  <w:style w:type="paragraph" w:styleId="Revision">
    <w:name w:val="Revision"/>
    <w:hidden/>
    <w:uiPriority w:val="99"/>
    <w:semiHidden/>
    <w:rsid w:val="0075001B"/>
    <w:pPr>
      <w:spacing w:after="0" w:line="240" w:lineRule="auto"/>
    </w:pPr>
    <w:rPr>
      <w:rFonts w:eastAsiaTheme="minorEastAsia" w:cs="Times New Roman"/>
      <w:lang w:val="en-GB" w:eastAsia="ja-JP"/>
    </w:rPr>
  </w:style>
  <w:style w:type="paragraph" w:customStyle="1" w:styleId="paragraph">
    <w:name w:val="paragraph"/>
    <w:basedOn w:val="Normal"/>
    <w:rsid w:val="0075001B"/>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normaltextrun">
    <w:name w:val="normaltextrun"/>
    <w:basedOn w:val="DefaultParagraphFont"/>
    <w:rsid w:val="0075001B"/>
  </w:style>
  <w:style w:type="character" w:customStyle="1" w:styleId="eop">
    <w:name w:val="eop"/>
    <w:basedOn w:val="DefaultParagraphFont"/>
    <w:rsid w:val="0075001B"/>
  </w:style>
  <w:style w:type="character" w:customStyle="1" w:styleId="UnresolvedMention2">
    <w:name w:val="Unresolved Mention2"/>
    <w:basedOn w:val="DefaultParagraphFont"/>
    <w:uiPriority w:val="99"/>
    <w:semiHidden/>
    <w:unhideWhenUsed/>
    <w:rsid w:val="0075001B"/>
    <w:rPr>
      <w:color w:val="605E5C"/>
      <w:shd w:val="clear" w:color="auto" w:fill="E1DFDD"/>
    </w:rPr>
  </w:style>
  <w:style w:type="table" w:styleId="PlainTable1">
    <w:name w:val="Plain Table 1"/>
    <w:basedOn w:val="TableNormal"/>
    <w:uiPriority w:val="41"/>
    <w:rsid w:val="007500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75001B"/>
    <w:rPr>
      <w:color w:val="954F72" w:themeColor="followedHyperlink"/>
      <w:u w:val="single"/>
    </w:rPr>
  </w:style>
  <w:style w:type="character" w:styleId="Strong">
    <w:name w:val="Strong"/>
    <w:basedOn w:val="DefaultParagraphFont"/>
    <w:uiPriority w:val="22"/>
    <w:qFormat/>
    <w:rsid w:val="0075001B"/>
    <w:rPr>
      <w:b/>
      <w:bCs/>
    </w:rPr>
  </w:style>
  <w:style w:type="character" w:styleId="UnresolvedMention">
    <w:name w:val="Unresolved Mention"/>
    <w:basedOn w:val="DefaultParagraphFont"/>
    <w:uiPriority w:val="99"/>
    <w:semiHidden/>
    <w:unhideWhenUsed/>
    <w:rsid w:val="0075001B"/>
    <w:rPr>
      <w:color w:val="605E5C"/>
      <w:shd w:val="clear" w:color="auto" w:fill="E1DFDD"/>
    </w:rPr>
  </w:style>
  <w:style w:type="character" w:styleId="LineNumber">
    <w:name w:val="line number"/>
    <w:basedOn w:val="DefaultParagraphFont"/>
    <w:uiPriority w:val="99"/>
    <w:semiHidden/>
    <w:unhideWhenUsed/>
    <w:rsid w:val="005C0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hyperlink" Target="http://www.e3me.com" TargetMode="External"/><Relationship Id="rId4" Type="http://schemas.openxmlformats.org/officeDocument/2006/relationships/customXml" Target="../customXml/item4.xml"/><Relationship Id="rId9" Type="http://schemas.openxmlformats.org/officeDocument/2006/relationships/hyperlink" Target="http://www.pbl.nl/imag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575E69A9FF41439CC61371AA2E8B55" ma:contentTypeVersion="8" ma:contentTypeDescription="Een nieuw document maken." ma:contentTypeScope="" ma:versionID="b459b29a4045254e6b9d9900490c1a19">
  <xsd:schema xmlns:xsd="http://www.w3.org/2001/XMLSchema" xmlns:xs="http://www.w3.org/2001/XMLSchema" xmlns:p="http://schemas.microsoft.com/office/2006/metadata/properties" xmlns:ns2="a0d80e43-376e-45a5-99a6-a0c91a92f576" targetNamespace="http://schemas.microsoft.com/office/2006/metadata/properties" ma:root="true" ma:fieldsID="50b5f821399d80aa7bebd98f37fe033f" ns2:_="">
    <xsd:import namespace="a0d80e43-376e-45a5-99a6-a0c91a92f5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80e43-376e-45a5-99a6-a0c91a92f5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E6A15-14D9-4812-BCE5-5FF2787EAE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80e43-376e-45a5-99a6-a0c91a92f5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2C8254-B604-459B-882B-852BB6E3564A}">
  <ds:schemaRefs>
    <ds:schemaRef ds:uri="http://schemas.microsoft.com/sharepoint/v3/contenttype/forms"/>
  </ds:schemaRefs>
</ds:datastoreItem>
</file>

<file path=customXml/itemProps3.xml><?xml version="1.0" encoding="utf-8"?>
<ds:datastoreItem xmlns:ds="http://schemas.openxmlformats.org/officeDocument/2006/customXml" ds:itemID="{82A465E8-75A8-4008-81A1-DFE7A561DBFC}">
  <ds:schemaRefs>
    <ds:schemaRef ds:uri="http://purl.org/dc/dcmitype/"/>
    <ds:schemaRef ds:uri="http://www.w3.org/XML/1998/namespace"/>
    <ds:schemaRef ds:uri="a0d80e43-376e-45a5-99a6-a0c91a92f576"/>
    <ds:schemaRef ds:uri="http://schemas.microsoft.com/office/2006/metadata/properties"/>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D4A0135A-57EE-4D59-8D08-1785AB806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15</Pages>
  <Words>22512</Words>
  <Characters>123817</Characters>
  <Application>Microsoft Office Word</Application>
  <DocSecurity>0</DocSecurity>
  <Lines>1031</Lines>
  <Paragraphs>292</Paragraphs>
  <ScaleCrop>false</ScaleCrop>
  <Company/>
  <LinksUpToDate>false</LinksUpToDate>
  <CharactersWithSpaces>146037</CharactersWithSpaces>
  <SharedDoc>false</SharedDoc>
  <HLinks>
    <vt:vector size="6" baseType="variant">
      <vt:variant>
        <vt:i4>8126584</vt:i4>
      </vt:variant>
      <vt:variant>
        <vt:i4>18</vt:i4>
      </vt:variant>
      <vt:variant>
        <vt:i4>0</vt:i4>
      </vt:variant>
      <vt:variant>
        <vt:i4>5</vt:i4>
      </vt:variant>
      <vt:variant>
        <vt:lpwstr>http://www.pbl.nl/image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Dafnomilis, Ioannis</dc:creator>
  <cp:keywords/>
  <dc:description/>
  <cp:lastModifiedBy>Dafnomilis, Ioannis</cp:lastModifiedBy>
  <cp:revision>112</cp:revision>
  <cp:lastPrinted>2021-06-28T15:06:00Z</cp:lastPrinted>
  <dcterms:created xsi:type="dcterms:W3CDTF">2021-04-23T15:59:00Z</dcterms:created>
  <dcterms:modified xsi:type="dcterms:W3CDTF">2021-07-08T12:25:00Z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0x010100BF575E69A9FF41439CC61371AA2E8B55</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Citation Style_1">
    <vt:lpwstr>http://www.zotero.org/styles/nature</vt:lpwstr>
  </property>
  <property fmtid="{D5CDD505-2E9C-101B-9397-08002B2CF9AE}" pid="24" name="Mendeley Document_1">
    <vt:lpwstr>True</vt:lpwstr>
  </property>
  <property fmtid="{D5CDD505-2E9C-101B-9397-08002B2CF9AE}" pid="25" name="Mendeley Unique User Id_1">
    <vt:lpwstr>dd115e28-19ef-3c76-8980-164587af38a3</vt:lpwstr>
  </property>
</Properties>
</file>