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D5" w:rsidRDefault="00BA44AF" w:rsidP="00BA44AF">
      <w:pPr>
        <w:jc w:val="center"/>
      </w:pPr>
      <w:r>
        <w:rPr>
          <w:noProof/>
        </w:rPr>
        <w:drawing>
          <wp:inline distT="0" distB="0" distL="0" distR="0" wp14:anchorId="02279D61">
            <wp:extent cx="5734298" cy="451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03" cy="4518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4AF" w:rsidRDefault="00BA44AF" w:rsidP="00BA44AF">
      <w:pPr>
        <w:jc w:val="both"/>
        <w:rPr>
          <w:rFonts w:ascii="Arial" w:hAnsi="Arial" w:cs="Arial"/>
        </w:rPr>
      </w:pPr>
      <w:r w:rsidRPr="00BA44AF">
        <w:rPr>
          <w:rFonts w:ascii="Arial" w:hAnsi="Arial" w:cs="Arial"/>
          <w:b/>
          <w:bCs/>
        </w:rPr>
        <w:t xml:space="preserve">Supplementary Figure 1. Body weight recovery after </w:t>
      </w:r>
      <w:proofErr w:type="spellStart"/>
      <w:r w:rsidRPr="00BA44AF">
        <w:rPr>
          <w:rFonts w:ascii="Arial" w:hAnsi="Arial" w:cs="Arial"/>
          <w:b/>
          <w:bCs/>
        </w:rPr>
        <w:t>soman</w:t>
      </w:r>
      <w:proofErr w:type="spellEnd"/>
      <w:r w:rsidRPr="00BA44AF">
        <w:rPr>
          <w:rFonts w:ascii="Arial" w:hAnsi="Arial" w:cs="Arial"/>
          <w:b/>
          <w:bCs/>
        </w:rPr>
        <w:t xml:space="preserve"> exposure and trends in SAR-incorporated diet intake. </w:t>
      </w:r>
      <w:r w:rsidRPr="00BA44AF">
        <w:rPr>
          <w:rFonts w:ascii="Arial" w:hAnsi="Arial" w:cs="Arial"/>
        </w:rPr>
        <w:t xml:space="preserve">Body weight progression in rats following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exposure (day 0) fed with regular or SAR-in diet is shown (a-b</w:t>
      </w:r>
      <w:r w:rsidR="006933C2">
        <w:rPr>
          <w:rFonts w:ascii="Arial" w:hAnsi="Arial" w:cs="Arial"/>
        </w:rPr>
        <w:t>). SAR incorporated diet intake</w:t>
      </w:r>
      <w:r w:rsidRPr="00BA44AF">
        <w:rPr>
          <w:rFonts w:ascii="Arial" w:hAnsi="Arial" w:cs="Arial"/>
        </w:rPr>
        <w:t xml:space="preserve"> at different concentrations and the corresponding body changes </w:t>
      </w:r>
      <w:proofErr w:type="gramStart"/>
      <w:r w:rsidRPr="00BA44AF">
        <w:rPr>
          <w:rFonts w:ascii="Arial" w:hAnsi="Arial" w:cs="Arial"/>
        </w:rPr>
        <w:t>are shown</w:t>
      </w:r>
      <w:proofErr w:type="gramEnd"/>
      <w:r w:rsidRPr="00BA44AF">
        <w:rPr>
          <w:rFonts w:ascii="Arial" w:hAnsi="Arial" w:cs="Arial"/>
        </w:rPr>
        <w:t xml:space="preserve"> in rats with and without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exposure (c-d). Normality </w:t>
      </w:r>
      <w:proofErr w:type="gramStart"/>
      <w:r w:rsidRPr="00BA44AF">
        <w:rPr>
          <w:rFonts w:ascii="Arial" w:hAnsi="Arial" w:cs="Arial"/>
        </w:rPr>
        <w:t>was assessed</w:t>
      </w:r>
      <w:proofErr w:type="gramEnd"/>
      <w:r w:rsidRPr="00BA44AF">
        <w:rPr>
          <w:rFonts w:ascii="Arial" w:hAnsi="Arial" w:cs="Arial"/>
        </w:rPr>
        <w:t xml:space="preserve"> with the Shapiro-Wilk test. *indicates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effect (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vs </w:t>
      </w:r>
      <w:proofErr w:type="spellStart"/>
      <w:r w:rsidRPr="00BA44AF">
        <w:rPr>
          <w:rFonts w:ascii="Arial" w:hAnsi="Arial" w:cs="Arial"/>
        </w:rPr>
        <w:t>veh+SAR</w:t>
      </w:r>
      <w:proofErr w:type="spellEnd"/>
      <w:r w:rsidRPr="00BA44AF">
        <w:rPr>
          <w:rFonts w:ascii="Arial" w:hAnsi="Arial" w:cs="Arial"/>
        </w:rPr>
        <w:t>). Bars represent mean ± SEM, n = 23-24 (11-12/sex). *p&lt;0.05, **p&lt;0.01 ***p&lt;0.001, and ****p&lt;0.0001 by two</w:t>
      </w:r>
      <w:r w:rsidRPr="00BA44AF">
        <w:rPr>
          <w:rFonts w:ascii="Cambria Math" w:hAnsi="Cambria Math" w:cs="Cambria Math"/>
        </w:rPr>
        <w:t>‐</w:t>
      </w:r>
      <w:r w:rsidRPr="00BA44AF">
        <w:rPr>
          <w:rFonts w:ascii="Arial" w:hAnsi="Arial" w:cs="Arial"/>
        </w:rPr>
        <w:t xml:space="preserve">way ANOVA with </w:t>
      </w:r>
      <w:proofErr w:type="spellStart"/>
      <w:r w:rsidRPr="00BA44AF">
        <w:rPr>
          <w:rFonts w:ascii="Arial" w:hAnsi="Arial" w:cs="Arial"/>
        </w:rPr>
        <w:t>Sidak’s</w:t>
      </w:r>
      <w:proofErr w:type="spellEnd"/>
      <w:r w:rsidRPr="00BA44AF">
        <w:rPr>
          <w:rFonts w:ascii="Arial" w:hAnsi="Arial" w:cs="Arial"/>
        </w:rPr>
        <w:t xml:space="preserve"> multiple comparisons (C-D). No sex differences </w:t>
      </w:r>
      <w:proofErr w:type="gramStart"/>
      <w:r w:rsidRPr="00BA44AF">
        <w:rPr>
          <w:rFonts w:ascii="Arial" w:hAnsi="Arial" w:cs="Arial"/>
        </w:rPr>
        <w:t>were observed</w:t>
      </w:r>
      <w:proofErr w:type="gramEnd"/>
      <w:r w:rsidRPr="00BA44AF">
        <w:rPr>
          <w:rFonts w:ascii="Arial" w:hAnsi="Arial" w:cs="Arial"/>
        </w:rPr>
        <w:t>, and data was pooled together</w:t>
      </w:r>
      <w:r>
        <w:rPr>
          <w:rFonts w:ascii="Arial" w:hAnsi="Arial" w:cs="Arial"/>
        </w:rPr>
        <w:t>.</w:t>
      </w:r>
    </w:p>
    <w:p w:rsidR="00BA44AF" w:rsidRDefault="00BA44AF" w:rsidP="00BA44AF">
      <w:pPr>
        <w:jc w:val="both"/>
        <w:rPr>
          <w:rFonts w:ascii="Arial" w:hAnsi="Arial" w:cs="Arial"/>
        </w:rPr>
      </w:pPr>
      <w:bookmarkStart w:id="0" w:name="_GoBack"/>
      <w:bookmarkEnd w:id="0"/>
    </w:p>
    <w:p w:rsidR="00BA44AF" w:rsidRDefault="00BA44AF" w:rsidP="00BA44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BA0418F">
            <wp:extent cx="5883275" cy="496252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4AF" w:rsidRPr="00BA44AF" w:rsidRDefault="00BA44AF" w:rsidP="00BA44AF">
      <w:pPr>
        <w:jc w:val="both"/>
        <w:rPr>
          <w:rFonts w:ascii="Arial" w:hAnsi="Arial" w:cs="Arial"/>
        </w:rPr>
      </w:pPr>
      <w:r w:rsidRPr="00BA44AF">
        <w:rPr>
          <w:rFonts w:ascii="Arial" w:hAnsi="Arial" w:cs="Arial"/>
          <w:b/>
          <w:bCs/>
        </w:rPr>
        <w:t xml:space="preserve">Supplementary Figure 2. Targeted SAR dose and serum SAR concentration following SAR-in diet consumption. </w:t>
      </w:r>
      <w:r w:rsidRPr="00BA44AF">
        <w:rPr>
          <w:rFonts w:ascii="Arial" w:hAnsi="Arial" w:cs="Arial"/>
        </w:rPr>
        <w:t xml:space="preserve">A comparative analysis of the SAR dose (mg/kg) received following SAR-incorporated diet consumption is shown in different groups as mixed-sex cohorts and individual sexes (a-c). Normality </w:t>
      </w:r>
      <w:proofErr w:type="gramStart"/>
      <w:r w:rsidRPr="00BA44AF">
        <w:rPr>
          <w:rFonts w:ascii="Arial" w:hAnsi="Arial" w:cs="Arial"/>
        </w:rPr>
        <w:t>was assessed</w:t>
      </w:r>
      <w:proofErr w:type="gramEnd"/>
      <w:r w:rsidRPr="00BA44AF">
        <w:rPr>
          <w:rFonts w:ascii="Arial" w:hAnsi="Arial" w:cs="Arial"/>
        </w:rPr>
        <w:t xml:space="preserve"> with the Shapiro-Wilk test. *indicates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effect (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vs </w:t>
      </w:r>
      <w:proofErr w:type="spellStart"/>
      <w:r w:rsidRPr="00BA44AF">
        <w:rPr>
          <w:rFonts w:ascii="Arial" w:hAnsi="Arial" w:cs="Arial"/>
        </w:rPr>
        <w:t>veh+SAR</w:t>
      </w:r>
      <w:proofErr w:type="spellEnd"/>
      <w:r w:rsidRPr="00BA44AF">
        <w:rPr>
          <w:rFonts w:ascii="Arial" w:hAnsi="Arial" w:cs="Arial"/>
        </w:rPr>
        <w:t>). Bars represent mean ± SEM, n = 9-10 (4-5/sex). *p&lt;0.05, **p&lt;0.01 ***p&lt;0.001, and ****p&lt;0.0001 by two</w:t>
      </w:r>
      <w:r w:rsidRPr="00BA44AF">
        <w:rPr>
          <w:rFonts w:ascii="Cambria Math" w:hAnsi="Cambria Math" w:cs="Cambria Math"/>
        </w:rPr>
        <w:t>‐</w:t>
      </w:r>
      <w:r w:rsidRPr="00BA44AF">
        <w:rPr>
          <w:rFonts w:ascii="Arial" w:hAnsi="Arial" w:cs="Arial"/>
        </w:rPr>
        <w:t xml:space="preserve">way ANOVA with </w:t>
      </w:r>
      <w:proofErr w:type="spellStart"/>
      <w:r w:rsidRPr="00BA44AF">
        <w:rPr>
          <w:rFonts w:ascii="Arial" w:hAnsi="Arial" w:cs="Arial"/>
        </w:rPr>
        <w:t>Sidak’s</w:t>
      </w:r>
      <w:proofErr w:type="spellEnd"/>
      <w:r w:rsidRPr="00BA44AF">
        <w:rPr>
          <w:rFonts w:ascii="Arial" w:hAnsi="Arial" w:cs="Arial"/>
        </w:rPr>
        <w:t xml:space="preserve"> multiple comparisons (a). No sex differences </w:t>
      </w:r>
      <w:proofErr w:type="gramStart"/>
      <w:r w:rsidRPr="00BA44AF">
        <w:rPr>
          <w:rFonts w:ascii="Arial" w:hAnsi="Arial" w:cs="Arial"/>
        </w:rPr>
        <w:t>were observed</w:t>
      </w:r>
      <w:proofErr w:type="gramEnd"/>
      <w:r w:rsidRPr="00BA44AF">
        <w:rPr>
          <w:rFonts w:ascii="Arial" w:hAnsi="Arial" w:cs="Arial"/>
        </w:rPr>
        <w:t xml:space="preserve">, and data was pooled together. </w:t>
      </w:r>
    </w:p>
    <w:p w:rsidR="00BA44AF" w:rsidRDefault="008C4E6E" w:rsidP="00BA44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3787647">
            <wp:extent cx="6010910" cy="2950845"/>
            <wp:effectExtent l="0" t="0" r="8890" b="190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4AF" w:rsidRPr="00BA44AF" w:rsidRDefault="00BA44AF" w:rsidP="00BA44AF">
      <w:pPr>
        <w:jc w:val="both"/>
        <w:rPr>
          <w:rFonts w:ascii="Arial" w:hAnsi="Arial" w:cs="Arial"/>
        </w:rPr>
      </w:pPr>
      <w:r w:rsidRPr="00BA44AF">
        <w:rPr>
          <w:rFonts w:ascii="Arial" w:hAnsi="Arial" w:cs="Arial"/>
          <w:b/>
          <w:bCs/>
        </w:rPr>
        <w:t xml:space="preserve">Supplementary Figure 3. Neurodegeneration following </w:t>
      </w:r>
      <w:proofErr w:type="spellStart"/>
      <w:r w:rsidRPr="00BA44AF">
        <w:rPr>
          <w:rFonts w:ascii="Arial" w:hAnsi="Arial" w:cs="Arial"/>
          <w:b/>
          <w:bCs/>
        </w:rPr>
        <w:t>soman</w:t>
      </w:r>
      <w:proofErr w:type="spellEnd"/>
      <w:r w:rsidRPr="00BA44AF">
        <w:rPr>
          <w:rFonts w:ascii="Arial" w:hAnsi="Arial" w:cs="Arial"/>
          <w:b/>
          <w:bCs/>
        </w:rPr>
        <w:t xml:space="preserve"> exposure. </w:t>
      </w:r>
      <w:r w:rsidRPr="00BA44AF">
        <w:rPr>
          <w:rFonts w:ascii="Arial" w:hAnsi="Arial" w:cs="Arial"/>
          <w:lang w:val="en-GB"/>
        </w:rPr>
        <w:t>Analysis of cell counts for FJB</w:t>
      </w:r>
      <w:r w:rsidRPr="00BA44AF">
        <w:rPr>
          <w:rFonts w:ascii="Arial" w:hAnsi="Arial" w:cs="Arial"/>
          <w:vertAlign w:val="superscript"/>
          <w:lang w:val="en-GB"/>
        </w:rPr>
        <w:t xml:space="preserve">+ </w:t>
      </w:r>
      <w:r w:rsidRPr="00BA44AF">
        <w:rPr>
          <w:rFonts w:ascii="Arial" w:hAnsi="Arial" w:cs="Arial"/>
          <w:lang w:val="en-GB"/>
        </w:rPr>
        <w:t xml:space="preserve">&amp; </w:t>
      </w:r>
      <w:proofErr w:type="spellStart"/>
      <w:r w:rsidRPr="00BA44AF">
        <w:rPr>
          <w:rFonts w:ascii="Arial" w:hAnsi="Arial" w:cs="Arial"/>
          <w:lang w:val="en-GB"/>
        </w:rPr>
        <w:t>NeuN</w:t>
      </w:r>
      <w:proofErr w:type="spellEnd"/>
      <w:r w:rsidRPr="00BA44AF">
        <w:rPr>
          <w:rFonts w:ascii="Arial" w:hAnsi="Arial" w:cs="Arial"/>
          <w:vertAlign w:val="superscript"/>
          <w:lang w:val="en-GB"/>
        </w:rPr>
        <w:t>+</w:t>
      </w:r>
      <w:r w:rsidRPr="00BA44AF">
        <w:rPr>
          <w:rFonts w:ascii="Arial" w:hAnsi="Arial" w:cs="Arial"/>
          <w:lang w:val="en-GB"/>
        </w:rPr>
        <w:t xml:space="preserve"> </w:t>
      </w:r>
      <w:proofErr w:type="spellStart"/>
      <w:r w:rsidRPr="00BA44AF">
        <w:rPr>
          <w:rFonts w:ascii="Arial" w:hAnsi="Arial" w:cs="Arial"/>
          <w:lang w:val="en-GB"/>
        </w:rPr>
        <w:t>colocalized</w:t>
      </w:r>
      <w:proofErr w:type="spellEnd"/>
      <w:r w:rsidRPr="00BA44AF">
        <w:rPr>
          <w:rFonts w:ascii="Arial" w:hAnsi="Arial" w:cs="Arial"/>
          <w:lang w:val="en-GB"/>
        </w:rPr>
        <w:t xml:space="preserve"> cells from </w:t>
      </w:r>
      <w:r w:rsidRPr="00BA44AF">
        <w:rPr>
          <w:rFonts w:ascii="Arial" w:hAnsi="Arial" w:cs="Arial"/>
        </w:rPr>
        <w:t xml:space="preserve">dentate gyrus+ </w:t>
      </w:r>
      <w:proofErr w:type="spellStart"/>
      <w:r w:rsidRPr="00BA44AF">
        <w:rPr>
          <w:rFonts w:ascii="Arial" w:hAnsi="Arial" w:cs="Arial"/>
        </w:rPr>
        <w:t>Hilus</w:t>
      </w:r>
      <w:proofErr w:type="spellEnd"/>
      <w:r w:rsidRPr="00BA44AF">
        <w:rPr>
          <w:rFonts w:ascii="Arial" w:hAnsi="Arial" w:cs="Arial"/>
        </w:rPr>
        <w:t xml:space="preserve"> (DG+H)</w:t>
      </w:r>
      <w:r w:rsidRPr="00BA44AF">
        <w:rPr>
          <w:rFonts w:ascii="Arial" w:hAnsi="Arial" w:cs="Arial"/>
          <w:lang w:val="en-GB"/>
        </w:rPr>
        <w:t xml:space="preserve">, CA1, CA3, Subiculum (SUB), medial dorsal thalamus (MDT), motor cortex (MC), Somatosensory cortex (SSC), Piriform Cortex (PC), and amygdala (AMY) are shown. </w:t>
      </w:r>
      <w:r w:rsidRPr="00BA44AF">
        <w:rPr>
          <w:rFonts w:ascii="Arial" w:hAnsi="Arial" w:cs="Arial"/>
        </w:rPr>
        <w:t xml:space="preserve">Normality </w:t>
      </w:r>
      <w:proofErr w:type="gramStart"/>
      <w:r w:rsidRPr="00BA44AF">
        <w:rPr>
          <w:rFonts w:ascii="Arial" w:hAnsi="Arial" w:cs="Arial"/>
        </w:rPr>
        <w:t>was assessed</w:t>
      </w:r>
      <w:proofErr w:type="gramEnd"/>
      <w:r w:rsidRPr="00BA44AF">
        <w:rPr>
          <w:rFonts w:ascii="Arial" w:hAnsi="Arial" w:cs="Arial"/>
        </w:rPr>
        <w:t xml:space="preserve"> with the Shapiro-Wilk test. *indicates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effect (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vs control) and # represents SAR effect (</w:t>
      </w:r>
      <w:proofErr w:type="spellStart"/>
      <w:r w:rsidRPr="00BA44AF">
        <w:rPr>
          <w:rFonts w:ascii="Arial" w:hAnsi="Arial" w:cs="Arial"/>
        </w:rPr>
        <w:t>soman+SAR</w:t>
      </w:r>
      <w:proofErr w:type="spellEnd"/>
      <w:r w:rsidRPr="00BA44AF">
        <w:rPr>
          <w:rFonts w:ascii="Arial" w:hAnsi="Arial" w:cs="Arial"/>
        </w:rPr>
        <w:t xml:space="preserve"> vs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>). Bars represent mean ± SEM, n = 10 (5/sex). */</w:t>
      </w:r>
      <w:r w:rsidRPr="00BA44AF">
        <w:rPr>
          <w:rFonts w:ascii="Arial" w:hAnsi="Arial" w:cs="Arial"/>
          <w:vertAlign w:val="superscript"/>
        </w:rPr>
        <w:t>#</w:t>
      </w:r>
      <w:r w:rsidRPr="00BA44AF">
        <w:rPr>
          <w:rFonts w:ascii="Arial" w:hAnsi="Arial" w:cs="Arial"/>
        </w:rPr>
        <w:t>p &lt; 0.05, **/</w:t>
      </w:r>
      <w:r w:rsidRPr="00BA44AF">
        <w:rPr>
          <w:rFonts w:ascii="Arial" w:hAnsi="Arial" w:cs="Arial"/>
          <w:vertAlign w:val="superscript"/>
        </w:rPr>
        <w:t>##</w:t>
      </w:r>
      <w:r w:rsidRPr="00BA44AF">
        <w:rPr>
          <w:rFonts w:ascii="Arial" w:hAnsi="Arial" w:cs="Arial"/>
        </w:rPr>
        <w:t>p &lt; 0.01, ***/</w:t>
      </w:r>
      <w:r w:rsidRPr="00BA44AF">
        <w:rPr>
          <w:rFonts w:ascii="Arial" w:hAnsi="Arial" w:cs="Arial"/>
          <w:vertAlign w:val="superscript"/>
        </w:rPr>
        <w:t>###</w:t>
      </w:r>
      <w:r w:rsidRPr="00BA44AF">
        <w:rPr>
          <w:rFonts w:ascii="Arial" w:hAnsi="Arial" w:cs="Arial"/>
        </w:rPr>
        <w:t>p &lt; 0.001, ****/</w:t>
      </w:r>
      <w:r w:rsidRPr="00BA44AF">
        <w:rPr>
          <w:rFonts w:ascii="Arial" w:hAnsi="Arial" w:cs="Arial"/>
          <w:vertAlign w:val="superscript"/>
        </w:rPr>
        <w:t>####</w:t>
      </w:r>
      <w:r w:rsidRPr="00BA44AF">
        <w:rPr>
          <w:rFonts w:ascii="Arial" w:hAnsi="Arial" w:cs="Arial"/>
        </w:rPr>
        <w:t xml:space="preserve">p &lt; 0.0001 by two way ANOVA (mixed effects model) with Tukey’s multiple comparisons. No sex differences </w:t>
      </w:r>
      <w:proofErr w:type="gramStart"/>
      <w:r w:rsidRPr="00BA44AF">
        <w:rPr>
          <w:rFonts w:ascii="Arial" w:hAnsi="Arial" w:cs="Arial"/>
        </w:rPr>
        <w:t>were observed</w:t>
      </w:r>
      <w:proofErr w:type="gramEnd"/>
      <w:r w:rsidRPr="00BA44AF">
        <w:rPr>
          <w:rFonts w:ascii="Arial" w:hAnsi="Arial" w:cs="Arial"/>
        </w:rPr>
        <w:t xml:space="preserve">. </w:t>
      </w:r>
    </w:p>
    <w:p w:rsidR="00BA44AF" w:rsidRDefault="00BA44AF" w:rsidP="00BA44A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D4D277A">
            <wp:extent cx="4999355" cy="44627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446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4AF" w:rsidRPr="00BA44AF" w:rsidRDefault="00BA44AF" w:rsidP="00BA44AF">
      <w:pPr>
        <w:jc w:val="both"/>
        <w:rPr>
          <w:rFonts w:ascii="Arial" w:hAnsi="Arial" w:cs="Arial"/>
        </w:rPr>
      </w:pPr>
      <w:r w:rsidRPr="00BA44AF">
        <w:rPr>
          <w:rFonts w:ascii="Arial" w:hAnsi="Arial" w:cs="Arial"/>
          <w:b/>
          <w:bCs/>
        </w:rPr>
        <w:t xml:space="preserve">Supplementary Figure 4 </w:t>
      </w:r>
      <w:proofErr w:type="spellStart"/>
      <w:r w:rsidRPr="00BA44AF">
        <w:rPr>
          <w:rFonts w:ascii="Arial" w:hAnsi="Arial" w:cs="Arial"/>
          <w:b/>
          <w:bCs/>
        </w:rPr>
        <w:t>Parvalbumin</w:t>
      </w:r>
      <w:proofErr w:type="spellEnd"/>
      <w:r w:rsidRPr="00BA44AF">
        <w:rPr>
          <w:rFonts w:ascii="Arial" w:hAnsi="Arial" w:cs="Arial"/>
          <w:b/>
          <w:bCs/>
        </w:rPr>
        <w:t xml:space="preserve"> and somatostatin positive inhibitory neuronal expression following </w:t>
      </w:r>
      <w:proofErr w:type="spellStart"/>
      <w:r w:rsidRPr="00BA44AF">
        <w:rPr>
          <w:rFonts w:ascii="Arial" w:hAnsi="Arial" w:cs="Arial"/>
          <w:b/>
          <w:bCs/>
        </w:rPr>
        <w:t>soman</w:t>
      </w:r>
      <w:proofErr w:type="spellEnd"/>
      <w:r w:rsidRPr="00BA44AF">
        <w:rPr>
          <w:rFonts w:ascii="Arial" w:hAnsi="Arial" w:cs="Arial"/>
          <w:b/>
          <w:bCs/>
        </w:rPr>
        <w:t xml:space="preserve"> exposure</w:t>
      </w:r>
      <w:r w:rsidRPr="00BA44AF">
        <w:rPr>
          <w:rFonts w:ascii="Arial" w:hAnsi="Arial" w:cs="Arial"/>
        </w:rPr>
        <w:t>. (</w:t>
      </w:r>
      <w:proofErr w:type="gramStart"/>
      <w:r w:rsidRPr="00BA44AF">
        <w:rPr>
          <w:rFonts w:ascii="Arial" w:hAnsi="Arial" w:cs="Arial"/>
        </w:rPr>
        <w:t>a</w:t>
      </w:r>
      <w:proofErr w:type="gramEnd"/>
      <w:r w:rsidRPr="00BA44AF">
        <w:rPr>
          <w:rFonts w:ascii="Arial" w:hAnsi="Arial" w:cs="Arial"/>
        </w:rPr>
        <w:t xml:space="preserve">) Analysis of cell counts of </w:t>
      </w:r>
      <w:proofErr w:type="spellStart"/>
      <w:r w:rsidRPr="00BA44AF">
        <w:rPr>
          <w:rFonts w:ascii="Arial" w:hAnsi="Arial" w:cs="Arial"/>
        </w:rPr>
        <w:t>parvalbumin</w:t>
      </w:r>
      <w:proofErr w:type="spellEnd"/>
      <w:r w:rsidRPr="00BA44AF">
        <w:rPr>
          <w:rFonts w:ascii="Arial" w:hAnsi="Arial" w:cs="Arial"/>
        </w:rPr>
        <w:t xml:space="preserve">+ cells from dentate gyrus+ </w:t>
      </w:r>
      <w:proofErr w:type="spellStart"/>
      <w:r w:rsidRPr="00BA44AF">
        <w:rPr>
          <w:rFonts w:ascii="Arial" w:hAnsi="Arial" w:cs="Arial"/>
        </w:rPr>
        <w:t>Hilus</w:t>
      </w:r>
      <w:proofErr w:type="spellEnd"/>
      <w:r w:rsidRPr="00BA44AF">
        <w:rPr>
          <w:rFonts w:ascii="Arial" w:hAnsi="Arial" w:cs="Arial"/>
        </w:rPr>
        <w:t xml:space="preserve"> (DG+H), CA1, CA3, Subiculum (SUB), motor cortex (MC), Piriform Cortex (PC), and amygdala (AMY),) are shown. (b) Analysis of cell counts for somatostatin+ cells from </w:t>
      </w:r>
      <w:proofErr w:type="spellStart"/>
      <w:r w:rsidRPr="00BA44AF">
        <w:rPr>
          <w:rFonts w:ascii="Arial" w:hAnsi="Arial" w:cs="Arial"/>
        </w:rPr>
        <w:t>Hilus</w:t>
      </w:r>
      <w:proofErr w:type="spellEnd"/>
      <w:r w:rsidRPr="00BA44AF">
        <w:rPr>
          <w:rFonts w:ascii="Arial" w:hAnsi="Arial" w:cs="Arial"/>
        </w:rPr>
        <w:t xml:space="preserve"> (H), CA1, CA3, Subiculum (SUB), motor cortex (MC), Piriform Cortex (PC), and amygdala (AMY),) </w:t>
      </w:r>
      <w:proofErr w:type="gramStart"/>
      <w:r w:rsidRPr="00BA44AF">
        <w:rPr>
          <w:rFonts w:ascii="Arial" w:hAnsi="Arial" w:cs="Arial"/>
        </w:rPr>
        <w:t>is shown</w:t>
      </w:r>
      <w:proofErr w:type="gramEnd"/>
      <w:r w:rsidRPr="00BA44AF">
        <w:rPr>
          <w:rFonts w:ascii="Arial" w:hAnsi="Arial" w:cs="Arial"/>
        </w:rPr>
        <w:t xml:space="preserve">. Normality </w:t>
      </w:r>
      <w:proofErr w:type="gramStart"/>
      <w:r w:rsidRPr="00BA44AF">
        <w:rPr>
          <w:rFonts w:ascii="Arial" w:hAnsi="Arial" w:cs="Arial"/>
        </w:rPr>
        <w:t>was assessed</w:t>
      </w:r>
      <w:proofErr w:type="gramEnd"/>
      <w:r w:rsidRPr="00BA44AF">
        <w:rPr>
          <w:rFonts w:ascii="Arial" w:hAnsi="Arial" w:cs="Arial"/>
        </w:rPr>
        <w:t xml:space="preserve"> with the Shapiro-Wilk test. *indicates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effect (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vs control) and # represents SAR effect (</w:t>
      </w:r>
      <w:proofErr w:type="spellStart"/>
      <w:r w:rsidRPr="00BA44AF">
        <w:rPr>
          <w:rFonts w:ascii="Arial" w:hAnsi="Arial" w:cs="Arial"/>
        </w:rPr>
        <w:t>soman+SAR</w:t>
      </w:r>
      <w:proofErr w:type="spellEnd"/>
      <w:r w:rsidRPr="00BA44AF">
        <w:rPr>
          <w:rFonts w:ascii="Arial" w:hAnsi="Arial" w:cs="Arial"/>
        </w:rPr>
        <w:t xml:space="preserve"> vs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). Bars represent mean ± SEM, n = 10 (5/sex). */#p &lt; 0.05, **/##p &lt; 0.01, ***/###p &lt; 0.001, ****/####p &lt; 0.0001 by two way ANOVA (mixed effects model) with Tukey’s multiple comparisons. No sex differences </w:t>
      </w:r>
      <w:proofErr w:type="gramStart"/>
      <w:r w:rsidRPr="00BA44AF">
        <w:rPr>
          <w:rFonts w:ascii="Arial" w:hAnsi="Arial" w:cs="Arial"/>
        </w:rPr>
        <w:t>were observed</w:t>
      </w:r>
      <w:proofErr w:type="gramEnd"/>
      <w:r w:rsidRPr="00BA44AF">
        <w:rPr>
          <w:rFonts w:ascii="Arial" w:hAnsi="Arial" w:cs="Arial"/>
        </w:rPr>
        <w:t xml:space="preserve">. </w:t>
      </w:r>
    </w:p>
    <w:p w:rsidR="00BA44AF" w:rsidRDefault="00BA44AF" w:rsidP="00BA44A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A21E693">
            <wp:extent cx="5182235" cy="46088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460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4AF" w:rsidRPr="00BA44AF" w:rsidRDefault="00BA44AF" w:rsidP="00BA44AF">
      <w:pPr>
        <w:jc w:val="both"/>
        <w:rPr>
          <w:rFonts w:ascii="Arial" w:hAnsi="Arial" w:cs="Arial"/>
        </w:rPr>
      </w:pPr>
      <w:r w:rsidRPr="00BA44AF">
        <w:rPr>
          <w:rFonts w:ascii="Arial" w:hAnsi="Arial" w:cs="Arial"/>
          <w:b/>
          <w:bCs/>
        </w:rPr>
        <w:t xml:space="preserve">Supplementary Figure 5. (a) </w:t>
      </w:r>
      <w:proofErr w:type="spellStart"/>
      <w:r w:rsidRPr="00BA44AF">
        <w:rPr>
          <w:rFonts w:ascii="Arial" w:hAnsi="Arial" w:cs="Arial"/>
          <w:b/>
          <w:bCs/>
        </w:rPr>
        <w:t>Microgliosis</w:t>
      </w:r>
      <w:proofErr w:type="spellEnd"/>
      <w:r w:rsidRPr="00BA44AF">
        <w:rPr>
          <w:rFonts w:ascii="Arial" w:hAnsi="Arial" w:cs="Arial"/>
          <w:b/>
          <w:bCs/>
        </w:rPr>
        <w:t xml:space="preserve"> and CD68 expression following </w:t>
      </w:r>
      <w:proofErr w:type="spellStart"/>
      <w:r w:rsidRPr="00BA44AF">
        <w:rPr>
          <w:rFonts w:ascii="Arial" w:hAnsi="Arial" w:cs="Arial"/>
          <w:b/>
          <w:bCs/>
        </w:rPr>
        <w:t>soman</w:t>
      </w:r>
      <w:proofErr w:type="spellEnd"/>
      <w:r w:rsidRPr="00BA44AF">
        <w:rPr>
          <w:rFonts w:ascii="Arial" w:hAnsi="Arial" w:cs="Arial"/>
          <w:b/>
          <w:bCs/>
        </w:rPr>
        <w:t xml:space="preserve"> exposure</w:t>
      </w:r>
      <w:r w:rsidRPr="00BA44AF">
        <w:rPr>
          <w:rFonts w:ascii="Arial" w:hAnsi="Arial" w:cs="Arial"/>
          <w:lang w:val="en-GB"/>
        </w:rPr>
        <w:t>. Analysis of cell counts for IBA1</w:t>
      </w:r>
      <w:r w:rsidRPr="00BA44AF">
        <w:rPr>
          <w:rFonts w:ascii="Arial" w:hAnsi="Arial" w:cs="Arial"/>
          <w:vertAlign w:val="superscript"/>
          <w:lang w:val="en-GB"/>
        </w:rPr>
        <w:t xml:space="preserve">+ </w:t>
      </w:r>
      <w:r w:rsidRPr="00BA44AF">
        <w:rPr>
          <w:rFonts w:ascii="Arial" w:hAnsi="Arial" w:cs="Arial"/>
          <w:lang w:val="en-GB"/>
        </w:rPr>
        <w:t xml:space="preserve"> &amp; CD68</w:t>
      </w:r>
      <w:r w:rsidRPr="00BA44AF">
        <w:rPr>
          <w:rFonts w:ascii="Arial" w:hAnsi="Arial" w:cs="Arial"/>
          <w:vertAlign w:val="superscript"/>
          <w:lang w:val="en-GB"/>
        </w:rPr>
        <w:t xml:space="preserve">+ </w:t>
      </w:r>
      <w:proofErr w:type="spellStart"/>
      <w:r w:rsidRPr="00BA44AF">
        <w:rPr>
          <w:rFonts w:ascii="Arial" w:hAnsi="Arial" w:cs="Arial"/>
          <w:lang w:val="en-GB"/>
        </w:rPr>
        <w:t>colocalized</w:t>
      </w:r>
      <w:proofErr w:type="spellEnd"/>
      <w:r w:rsidRPr="00BA44AF">
        <w:rPr>
          <w:rFonts w:ascii="Arial" w:hAnsi="Arial" w:cs="Arial"/>
          <w:lang w:val="en-GB"/>
        </w:rPr>
        <w:t xml:space="preserve"> cells from </w:t>
      </w:r>
      <w:proofErr w:type="spellStart"/>
      <w:r w:rsidRPr="00BA44AF">
        <w:rPr>
          <w:rFonts w:ascii="Arial" w:hAnsi="Arial" w:cs="Arial"/>
          <w:lang w:val="en-GB"/>
        </w:rPr>
        <w:t>Hilus</w:t>
      </w:r>
      <w:proofErr w:type="spellEnd"/>
      <w:r w:rsidRPr="00BA44AF">
        <w:rPr>
          <w:rFonts w:ascii="Arial" w:hAnsi="Arial" w:cs="Arial"/>
          <w:lang w:val="en-GB"/>
        </w:rPr>
        <w:t xml:space="preserve"> (H), CA1, CA3, Subiculum (SUB), lateral dorsal thalamus (LDT), medial dorsal thalamus (MDT), Ventral posteromedial thalamus (VPM) motor cortex (MC), Somatosensory cortex (SSC), Piriform Cortex (PC), and amygdala (AMY) is shown. </w:t>
      </w:r>
      <w:r w:rsidRPr="00BA44AF">
        <w:rPr>
          <w:rFonts w:ascii="Arial" w:hAnsi="Arial" w:cs="Arial"/>
          <w:b/>
          <w:bCs/>
        </w:rPr>
        <w:t xml:space="preserve">(b) </w:t>
      </w:r>
      <w:proofErr w:type="spellStart"/>
      <w:r w:rsidRPr="00BA44AF">
        <w:rPr>
          <w:rFonts w:ascii="Arial" w:hAnsi="Arial" w:cs="Arial"/>
          <w:b/>
          <w:bCs/>
        </w:rPr>
        <w:t>Astrogliosis</w:t>
      </w:r>
      <w:proofErr w:type="spellEnd"/>
      <w:r w:rsidRPr="00BA44AF">
        <w:rPr>
          <w:rFonts w:ascii="Arial" w:hAnsi="Arial" w:cs="Arial"/>
          <w:b/>
          <w:bCs/>
        </w:rPr>
        <w:t xml:space="preserve"> and C3 expression following </w:t>
      </w:r>
      <w:proofErr w:type="spellStart"/>
      <w:r w:rsidRPr="00BA44AF">
        <w:rPr>
          <w:rFonts w:ascii="Arial" w:hAnsi="Arial" w:cs="Arial"/>
          <w:b/>
          <w:bCs/>
        </w:rPr>
        <w:t>soman</w:t>
      </w:r>
      <w:proofErr w:type="spellEnd"/>
      <w:r w:rsidRPr="00BA44AF">
        <w:rPr>
          <w:rFonts w:ascii="Arial" w:hAnsi="Arial" w:cs="Arial"/>
          <w:b/>
          <w:bCs/>
        </w:rPr>
        <w:t xml:space="preserve"> exposure.</w:t>
      </w:r>
      <w:r w:rsidRPr="00BA44AF">
        <w:rPr>
          <w:rFonts w:ascii="Arial" w:hAnsi="Arial" w:cs="Arial"/>
          <w:lang w:val="en-GB"/>
        </w:rPr>
        <w:t xml:space="preserve"> Analysis of cell counts for GFAP</w:t>
      </w:r>
      <w:r w:rsidRPr="00BA44AF">
        <w:rPr>
          <w:rFonts w:ascii="Arial" w:hAnsi="Arial" w:cs="Arial"/>
          <w:vertAlign w:val="superscript"/>
          <w:lang w:val="en-GB"/>
        </w:rPr>
        <w:t xml:space="preserve">+ </w:t>
      </w:r>
      <w:r w:rsidRPr="00BA44AF">
        <w:rPr>
          <w:rFonts w:ascii="Arial" w:hAnsi="Arial" w:cs="Arial"/>
          <w:lang w:val="en-GB"/>
        </w:rPr>
        <w:t xml:space="preserve"> &amp; C3</w:t>
      </w:r>
      <w:r w:rsidRPr="00BA44AF">
        <w:rPr>
          <w:rFonts w:ascii="Arial" w:hAnsi="Arial" w:cs="Arial"/>
          <w:vertAlign w:val="superscript"/>
          <w:lang w:val="en-GB"/>
        </w:rPr>
        <w:t xml:space="preserve">+ </w:t>
      </w:r>
      <w:proofErr w:type="spellStart"/>
      <w:r w:rsidRPr="00BA44AF">
        <w:rPr>
          <w:rFonts w:ascii="Arial" w:hAnsi="Arial" w:cs="Arial"/>
          <w:lang w:val="en-GB"/>
        </w:rPr>
        <w:t>colocalized</w:t>
      </w:r>
      <w:proofErr w:type="spellEnd"/>
      <w:r w:rsidRPr="00BA44AF">
        <w:rPr>
          <w:rFonts w:ascii="Arial" w:hAnsi="Arial" w:cs="Arial"/>
          <w:lang w:val="en-GB"/>
        </w:rPr>
        <w:t xml:space="preserve"> cells from </w:t>
      </w:r>
      <w:proofErr w:type="spellStart"/>
      <w:r w:rsidRPr="00BA44AF">
        <w:rPr>
          <w:rFonts w:ascii="Arial" w:hAnsi="Arial" w:cs="Arial"/>
          <w:lang w:val="en-GB"/>
        </w:rPr>
        <w:t>Hilus</w:t>
      </w:r>
      <w:proofErr w:type="spellEnd"/>
      <w:r w:rsidRPr="00BA44AF">
        <w:rPr>
          <w:rFonts w:ascii="Arial" w:hAnsi="Arial" w:cs="Arial"/>
          <w:lang w:val="en-GB"/>
        </w:rPr>
        <w:t xml:space="preserve"> (H), CA1, CA3, Subiculum (SUB), lateral dorsal thalamus (LDT), medial dorsal thalamus (MDT), Ventral posteromedial thalamus (VPM) motor cortex (MC), Somatosensory cortex (SSC), Piriform Cortex (PC), and amygdala (AMY) is shown. </w:t>
      </w:r>
      <w:r w:rsidRPr="00BA44AF">
        <w:rPr>
          <w:rFonts w:ascii="Arial" w:hAnsi="Arial" w:cs="Arial"/>
        </w:rPr>
        <w:t xml:space="preserve">Normality </w:t>
      </w:r>
      <w:proofErr w:type="gramStart"/>
      <w:r w:rsidRPr="00BA44AF">
        <w:rPr>
          <w:rFonts w:ascii="Arial" w:hAnsi="Arial" w:cs="Arial"/>
        </w:rPr>
        <w:t>was assessed</w:t>
      </w:r>
      <w:proofErr w:type="gramEnd"/>
      <w:r w:rsidRPr="00BA44AF">
        <w:rPr>
          <w:rFonts w:ascii="Arial" w:hAnsi="Arial" w:cs="Arial"/>
        </w:rPr>
        <w:t xml:space="preserve"> with the Shapiro-Wilk test. *indicates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effect (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 xml:space="preserve"> vs control) and # represents SAR effect (</w:t>
      </w:r>
      <w:proofErr w:type="spellStart"/>
      <w:r w:rsidRPr="00BA44AF">
        <w:rPr>
          <w:rFonts w:ascii="Arial" w:hAnsi="Arial" w:cs="Arial"/>
        </w:rPr>
        <w:t>soman+SAR</w:t>
      </w:r>
      <w:proofErr w:type="spellEnd"/>
      <w:r w:rsidRPr="00BA44AF">
        <w:rPr>
          <w:rFonts w:ascii="Arial" w:hAnsi="Arial" w:cs="Arial"/>
        </w:rPr>
        <w:t xml:space="preserve"> vs </w:t>
      </w:r>
      <w:proofErr w:type="spellStart"/>
      <w:r w:rsidRPr="00BA44AF">
        <w:rPr>
          <w:rFonts w:ascii="Arial" w:hAnsi="Arial" w:cs="Arial"/>
        </w:rPr>
        <w:t>Soman</w:t>
      </w:r>
      <w:proofErr w:type="spellEnd"/>
      <w:r w:rsidRPr="00BA44AF">
        <w:rPr>
          <w:rFonts w:ascii="Arial" w:hAnsi="Arial" w:cs="Arial"/>
        </w:rPr>
        <w:t>). Bars represent mean ± SEM, n = 10 (5/sex). */</w:t>
      </w:r>
      <w:r w:rsidRPr="00BA44AF">
        <w:rPr>
          <w:rFonts w:ascii="Arial" w:hAnsi="Arial" w:cs="Arial"/>
          <w:vertAlign w:val="superscript"/>
        </w:rPr>
        <w:t>#</w:t>
      </w:r>
      <w:r w:rsidRPr="00BA44AF">
        <w:rPr>
          <w:rFonts w:ascii="Arial" w:hAnsi="Arial" w:cs="Arial"/>
        </w:rPr>
        <w:t>p &lt; 0.05, **/</w:t>
      </w:r>
      <w:r w:rsidRPr="00BA44AF">
        <w:rPr>
          <w:rFonts w:ascii="Arial" w:hAnsi="Arial" w:cs="Arial"/>
          <w:vertAlign w:val="superscript"/>
        </w:rPr>
        <w:t>##</w:t>
      </w:r>
      <w:r w:rsidRPr="00BA44AF">
        <w:rPr>
          <w:rFonts w:ascii="Arial" w:hAnsi="Arial" w:cs="Arial"/>
        </w:rPr>
        <w:t>p &lt; 0.01, ***/</w:t>
      </w:r>
      <w:r w:rsidRPr="00BA44AF">
        <w:rPr>
          <w:rFonts w:ascii="Arial" w:hAnsi="Arial" w:cs="Arial"/>
          <w:vertAlign w:val="superscript"/>
        </w:rPr>
        <w:t>###</w:t>
      </w:r>
      <w:r w:rsidRPr="00BA44AF">
        <w:rPr>
          <w:rFonts w:ascii="Arial" w:hAnsi="Arial" w:cs="Arial"/>
        </w:rPr>
        <w:t>p &lt; 0.001, ****/</w:t>
      </w:r>
      <w:r w:rsidRPr="00BA44AF">
        <w:rPr>
          <w:rFonts w:ascii="Arial" w:hAnsi="Arial" w:cs="Arial"/>
          <w:vertAlign w:val="superscript"/>
        </w:rPr>
        <w:t>####</w:t>
      </w:r>
      <w:r w:rsidRPr="00BA44AF">
        <w:rPr>
          <w:rFonts w:ascii="Arial" w:hAnsi="Arial" w:cs="Arial"/>
        </w:rPr>
        <w:t xml:space="preserve">p &lt; 0.0001 by two way ANOVA (mixed effects model) with Tukey’s multiple comparisons. No sex differences </w:t>
      </w:r>
      <w:proofErr w:type="gramStart"/>
      <w:r w:rsidRPr="00BA44AF">
        <w:rPr>
          <w:rFonts w:ascii="Arial" w:hAnsi="Arial" w:cs="Arial"/>
        </w:rPr>
        <w:t>were observed</w:t>
      </w:r>
      <w:proofErr w:type="gramEnd"/>
      <w:r w:rsidRPr="00BA44AF">
        <w:rPr>
          <w:rFonts w:ascii="Arial" w:hAnsi="Arial" w:cs="Arial"/>
        </w:rPr>
        <w:t xml:space="preserve">. </w:t>
      </w:r>
    </w:p>
    <w:p w:rsidR="00BA44AF" w:rsidRPr="00BA44AF" w:rsidRDefault="00BA44AF" w:rsidP="00BA44AF">
      <w:pPr>
        <w:jc w:val="both"/>
        <w:rPr>
          <w:rFonts w:ascii="Arial" w:hAnsi="Arial" w:cs="Arial"/>
        </w:rPr>
      </w:pPr>
    </w:p>
    <w:sectPr w:rsidR="00BA44AF" w:rsidRPr="00BA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F"/>
    <w:rsid w:val="006641DF"/>
    <w:rsid w:val="006933C2"/>
    <w:rsid w:val="008C4E6E"/>
    <w:rsid w:val="00BA44AF"/>
    <w:rsid w:val="00B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77039"/>
  <w15:chartTrackingRefBased/>
  <w15:docId w15:val="{81CE6192-7D05-43CB-A77F-275ED42A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E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541</Words>
  <Characters>3368</Characters>
  <Application>Microsoft Office Word</Application>
  <DocSecurity>0</DocSecurity>
  <Lines>52</Lines>
  <Paragraphs>5</Paragraphs>
  <ScaleCrop>false</ScaleCrop>
  <Company>Iowa State University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Nyzil [B M S]</dc:creator>
  <cp:keywords/>
  <dc:description/>
  <cp:lastModifiedBy>Massey, Nyzil [B M S]</cp:lastModifiedBy>
  <cp:revision>3</cp:revision>
  <dcterms:created xsi:type="dcterms:W3CDTF">2025-05-06T15:10:00Z</dcterms:created>
  <dcterms:modified xsi:type="dcterms:W3CDTF">2025-05-13T17:49:00Z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5596ed85-6e1b-4b86-8d93-8e6a09d63297</vt:lpwstr>
  </property>
</Properties>
</file>