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8CF82C" w14:textId="5FB4E321" w:rsidR="00771F16" w:rsidRPr="00CA3101" w:rsidRDefault="00BD56B4" w:rsidP="00BD56B4">
      <w:pPr>
        <w:pStyle w:val="Titel"/>
        <w:rPr>
          <w:lang w:val="en-US"/>
        </w:rPr>
      </w:pPr>
      <w:r w:rsidRPr="00CA3101">
        <w:rPr>
          <w:lang w:val="en-US"/>
        </w:rPr>
        <w:t xml:space="preserve">Supplementary </w:t>
      </w:r>
      <w:r w:rsidR="00D84744">
        <w:rPr>
          <w:lang w:val="en-US"/>
        </w:rPr>
        <w:t>Information</w:t>
      </w:r>
    </w:p>
    <w:p w14:paraId="29F4645C" w14:textId="5AEA0D20" w:rsidR="00BD56B4" w:rsidRPr="00BD56B4" w:rsidRDefault="00BD56B4" w:rsidP="00BD56B4">
      <w:pPr>
        <w:jc w:val="center"/>
        <w:rPr>
          <w:sz w:val="28"/>
          <w:szCs w:val="28"/>
        </w:rPr>
      </w:pPr>
      <w:r w:rsidRPr="00BD56B4">
        <w:rPr>
          <w:sz w:val="28"/>
          <w:szCs w:val="28"/>
        </w:rPr>
        <w:t>A Metal Hydride Compressor using Hydrogen as a Heat Transfer Fluid</w:t>
      </w:r>
    </w:p>
    <w:p w14:paraId="60D56646" w14:textId="5D13DB23" w:rsidR="00BD56B4" w:rsidRPr="0031521C" w:rsidRDefault="00BD56B4" w:rsidP="0031521C">
      <w:pPr>
        <w:autoSpaceDE w:val="0"/>
        <w:autoSpaceDN w:val="0"/>
        <w:adjustRightInd w:val="0"/>
        <w:spacing w:after="120" w:line="240" w:lineRule="auto"/>
        <w:jc w:val="center"/>
        <w:rPr>
          <w:rFonts w:ascii="CIDFont+F1" w:eastAsia="CIDFont+F1" w:hAnsiTheme="minorHAnsi" w:cs="CIDFont+F1"/>
          <w:sz w:val="12"/>
          <w:szCs w:val="12"/>
        </w:rPr>
      </w:pPr>
      <w:r w:rsidRPr="0031521C">
        <w:rPr>
          <w:rFonts w:ascii="CIDFont+F1" w:eastAsia="CIDFont+F1" w:hAnsiTheme="minorHAnsi" w:cs="CIDFont+F1"/>
          <w:sz w:val="20"/>
          <w:szCs w:val="20"/>
        </w:rPr>
        <w:t>Lukas Fleming</w:t>
      </w:r>
      <w:r w:rsidRPr="0031521C">
        <w:rPr>
          <w:rFonts w:ascii="CIDFont+F1" w:eastAsia="CIDFont+F1" w:hAnsiTheme="minorHAnsi" w:cs="CIDFont+F1"/>
          <w:sz w:val="20"/>
          <w:szCs w:val="20"/>
          <w:vertAlign w:val="superscript"/>
        </w:rPr>
        <w:t>a,b</w:t>
      </w:r>
      <w:r w:rsidRPr="0031521C">
        <w:rPr>
          <w:rFonts w:ascii="CIDFont+F1" w:eastAsia="CIDFont+F1" w:hAnsiTheme="minorHAnsi" w:cs="CIDFont+F1"/>
          <w:sz w:val="20"/>
          <w:szCs w:val="20"/>
        </w:rPr>
        <w:t xml:space="preserve">, </w:t>
      </w:r>
      <w:r w:rsidR="00EC4847" w:rsidRPr="0031521C">
        <w:rPr>
          <w:rFonts w:ascii="CIDFont+F1" w:eastAsia="CIDFont+F1" w:hAnsiTheme="minorHAnsi" w:cs="CIDFont+F1"/>
          <w:sz w:val="20"/>
          <w:szCs w:val="20"/>
        </w:rPr>
        <w:t>Maximilian Passing</w:t>
      </w:r>
      <w:r w:rsidR="00EC4847" w:rsidRPr="0031521C">
        <w:rPr>
          <w:rFonts w:ascii="CIDFont+F1" w:eastAsia="CIDFont+F1" w:hAnsiTheme="minorHAnsi" w:cs="CIDFont+F1"/>
          <w:sz w:val="20"/>
          <w:szCs w:val="20"/>
          <w:vertAlign w:val="superscript"/>
        </w:rPr>
        <w:t>a,b</w:t>
      </w:r>
      <w:r w:rsidR="00EC4847" w:rsidRPr="0031521C">
        <w:rPr>
          <w:rFonts w:ascii="CIDFont+F1" w:eastAsia="CIDFont+F1" w:hAnsiTheme="minorHAnsi" w:cs="CIDFont+F1"/>
          <w:sz w:val="20"/>
          <w:szCs w:val="20"/>
        </w:rPr>
        <w:t xml:space="preserve">, </w:t>
      </w:r>
      <w:r w:rsidRPr="0031521C">
        <w:rPr>
          <w:rFonts w:ascii="CIDFont+F1" w:eastAsia="CIDFont+F1" w:hAnsiTheme="minorHAnsi" w:cs="CIDFont+F1"/>
          <w:sz w:val="20"/>
          <w:szCs w:val="20"/>
        </w:rPr>
        <w:t>Juli</w:t>
      </w:r>
      <w:r w:rsidRPr="0031521C">
        <w:rPr>
          <w:rFonts w:ascii="CIDFont+F1" w:eastAsia="CIDFont+F1" w:hAnsiTheme="minorHAnsi" w:cs="CIDFont+F1"/>
          <w:sz w:val="20"/>
          <w:szCs w:val="20"/>
        </w:rPr>
        <w:t>á</w:t>
      </w:r>
      <w:r w:rsidRPr="0031521C">
        <w:rPr>
          <w:rFonts w:ascii="CIDFont+F1" w:eastAsia="CIDFont+F1" w:hAnsiTheme="minorHAnsi" w:cs="CIDFont+F1"/>
          <w:sz w:val="20"/>
          <w:szCs w:val="20"/>
        </w:rPr>
        <w:t>n Puszkiel</w:t>
      </w:r>
      <w:r w:rsidRPr="0031521C">
        <w:rPr>
          <w:rFonts w:ascii="CIDFont+F1" w:eastAsia="CIDFont+F1" w:hAnsiTheme="minorHAnsi" w:cs="CIDFont+F1"/>
          <w:sz w:val="20"/>
          <w:szCs w:val="20"/>
          <w:vertAlign w:val="superscript"/>
        </w:rPr>
        <w:t>a,b</w:t>
      </w:r>
      <w:r w:rsidR="00EC4847" w:rsidRPr="0031521C">
        <w:rPr>
          <w:rFonts w:ascii="CIDFont+F1" w:eastAsia="CIDFont+F1" w:hAnsiTheme="minorHAnsi" w:cs="CIDFont+F1"/>
          <w:sz w:val="20"/>
          <w:szCs w:val="20"/>
          <w:vertAlign w:val="superscript"/>
        </w:rPr>
        <w:t>,</w:t>
      </w:r>
      <w:r w:rsidR="00EC4847" w:rsidRPr="0031521C">
        <w:rPr>
          <w:rFonts w:ascii="CIDFont+F1" w:eastAsia="CIDFont+F1" w:hAnsiTheme="minorHAnsi" w:cs="CIDFont+F1"/>
          <w:sz w:val="20"/>
          <w:szCs w:val="20"/>
        </w:rPr>
        <w:t>*</w:t>
      </w:r>
      <w:r w:rsidRPr="0031521C">
        <w:rPr>
          <w:rFonts w:ascii="CIDFont+F1" w:eastAsia="CIDFont+F1" w:hAnsiTheme="minorHAnsi" w:cs="CIDFont+F1"/>
          <w:sz w:val="20"/>
          <w:szCs w:val="20"/>
        </w:rPr>
        <w:t>, Thomas Klassen</w:t>
      </w:r>
      <w:r w:rsidRPr="0031521C">
        <w:rPr>
          <w:rFonts w:ascii="CIDFont+F1" w:eastAsia="CIDFont+F1" w:hAnsiTheme="minorHAnsi" w:cs="CIDFont+F1"/>
          <w:sz w:val="20"/>
          <w:szCs w:val="20"/>
          <w:vertAlign w:val="superscript"/>
        </w:rPr>
        <w:t>a,b</w:t>
      </w:r>
      <w:r w:rsidRPr="0031521C">
        <w:rPr>
          <w:rFonts w:ascii="CIDFont+F1" w:eastAsia="CIDFont+F1" w:hAnsiTheme="minorHAnsi" w:cs="CIDFont+F1"/>
          <w:sz w:val="20"/>
          <w:szCs w:val="20"/>
        </w:rPr>
        <w:t>, Julian Jepsen</w:t>
      </w:r>
      <w:r w:rsidRPr="0031521C">
        <w:rPr>
          <w:rFonts w:ascii="CIDFont+F1" w:eastAsia="CIDFont+F1" w:hAnsiTheme="minorHAnsi" w:cs="CIDFont+F1"/>
          <w:sz w:val="20"/>
          <w:szCs w:val="20"/>
          <w:vertAlign w:val="superscript"/>
        </w:rPr>
        <w:t>a,b</w:t>
      </w:r>
    </w:p>
    <w:p w14:paraId="75C163D8" w14:textId="3FE3EBB8" w:rsidR="00BD56B4" w:rsidRPr="00BD56B4" w:rsidRDefault="00BD56B4" w:rsidP="00BD56B4">
      <w:pPr>
        <w:tabs>
          <w:tab w:val="left" w:pos="284"/>
        </w:tabs>
        <w:autoSpaceDE w:val="0"/>
        <w:autoSpaceDN w:val="0"/>
        <w:adjustRightInd w:val="0"/>
        <w:spacing w:after="0" w:line="240" w:lineRule="auto"/>
        <w:rPr>
          <w:rFonts w:ascii="CIDFont+F2" w:eastAsia="CIDFont+F1" w:hAnsi="CIDFont+F2" w:cs="CIDFont+F2"/>
          <w:sz w:val="16"/>
          <w:szCs w:val="16"/>
        </w:rPr>
      </w:pPr>
      <w:r w:rsidRPr="00BD56B4">
        <w:rPr>
          <w:rFonts w:ascii="CIDFont+F2" w:eastAsia="CIDFont+F1" w:hAnsi="CIDFont+F2" w:cs="CIDFont+F2"/>
          <w:sz w:val="16"/>
          <w:szCs w:val="16"/>
        </w:rPr>
        <w:t xml:space="preserve">a </w:t>
      </w:r>
      <w:r>
        <w:rPr>
          <w:rFonts w:ascii="CIDFont+F2" w:eastAsia="CIDFont+F1" w:hAnsi="CIDFont+F2" w:cs="CIDFont+F2"/>
          <w:sz w:val="16"/>
          <w:szCs w:val="16"/>
        </w:rPr>
        <w:tab/>
      </w:r>
      <w:r w:rsidRPr="00BD56B4">
        <w:rPr>
          <w:rFonts w:ascii="CIDFont+F2" w:eastAsia="CIDFont+F1" w:hAnsi="CIDFont+F2" w:cs="CIDFont+F2"/>
          <w:sz w:val="16"/>
          <w:szCs w:val="16"/>
        </w:rPr>
        <w:t>Faculty of Mechanical</w:t>
      </w:r>
      <w:r w:rsidR="00C21A1E">
        <w:rPr>
          <w:rFonts w:ascii="CIDFont+F2" w:eastAsia="CIDFont+F1" w:hAnsi="CIDFont+F2" w:cs="CIDFont+F2"/>
          <w:sz w:val="16"/>
          <w:szCs w:val="16"/>
        </w:rPr>
        <w:t xml:space="preserve"> and Civil</w:t>
      </w:r>
      <w:r w:rsidRPr="00BD56B4">
        <w:rPr>
          <w:rFonts w:ascii="CIDFont+F2" w:eastAsia="CIDFont+F1" w:hAnsi="CIDFont+F2" w:cs="CIDFont+F2"/>
          <w:sz w:val="16"/>
          <w:szCs w:val="16"/>
        </w:rPr>
        <w:t xml:space="preserve"> Engineering, Helmut-Schmidt-University, Hamburg, Germany</w:t>
      </w:r>
    </w:p>
    <w:p w14:paraId="17203C33" w14:textId="75AD5669" w:rsidR="00BD56B4" w:rsidRDefault="00BD56B4" w:rsidP="00BD56B4">
      <w:pPr>
        <w:tabs>
          <w:tab w:val="left" w:pos="284"/>
        </w:tabs>
        <w:autoSpaceDE w:val="0"/>
        <w:autoSpaceDN w:val="0"/>
        <w:adjustRightInd w:val="0"/>
        <w:spacing w:after="0" w:line="240" w:lineRule="auto"/>
        <w:rPr>
          <w:rFonts w:ascii="CIDFont+F2" w:eastAsia="CIDFont+F1" w:hAnsi="CIDFont+F2" w:cs="CIDFont+F2"/>
          <w:sz w:val="16"/>
          <w:szCs w:val="16"/>
          <w:lang w:val="de-DE"/>
        </w:rPr>
      </w:pPr>
      <w:r>
        <w:rPr>
          <w:rFonts w:ascii="CIDFont+F2" w:eastAsia="CIDFont+F1" w:hAnsi="CIDFont+F2" w:cs="CIDFont+F2"/>
          <w:sz w:val="16"/>
          <w:szCs w:val="16"/>
          <w:lang w:val="de-DE"/>
        </w:rPr>
        <w:t xml:space="preserve">b </w:t>
      </w:r>
      <w:r>
        <w:rPr>
          <w:rFonts w:ascii="CIDFont+F2" w:eastAsia="CIDFont+F1" w:hAnsi="CIDFont+F2" w:cs="CIDFont+F2"/>
          <w:sz w:val="16"/>
          <w:szCs w:val="16"/>
          <w:lang w:val="de-DE"/>
        </w:rPr>
        <w:tab/>
        <w:t>Institute of Hydrogen Technology, Helmholtz-Zentrum Hereon, Geesthacht, Germany</w:t>
      </w:r>
    </w:p>
    <w:p w14:paraId="50674F4D" w14:textId="6BD1FC79" w:rsidR="00BD56B4" w:rsidRDefault="00BD56B4" w:rsidP="00BD56B4">
      <w:pPr>
        <w:tabs>
          <w:tab w:val="left" w:pos="284"/>
        </w:tabs>
      </w:pPr>
      <w:r>
        <w:rPr>
          <w:rFonts w:ascii="CIDFont+F2" w:eastAsia="CIDFont+F1" w:hAnsi="CIDFont+F2" w:cs="CIDFont+F2"/>
          <w:sz w:val="16"/>
          <w:szCs w:val="16"/>
          <w:lang w:val="de-DE"/>
        </w:rPr>
        <w:t xml:space="preserve">*  </w:t>
      </w:r>
      <w:r>
        <w:rPr>
          <w:rFonts w:ascii="CIDFont+F2" w:eastAsia="CIDFont+F1" w:hAnsi="CIDFont+F2" w:cs="CIDFont+F2"/>
          <w:sz w:val="16"/>
          <w:szCs w:val="16"/>
          <w:lang w:val="de-DE"/>
        </w:rPr>
        <w:tab/>
      </w:r>
      <w:r w:rsidR="00EC4847" w:rsidRPr="00EC4847">
        <w:rPr>
          <w:rFonts w:ascii="CIDFont+F2" w:eastAsia="CIDFont+F1" w:hAnsi="CIDFont+F2" w:cs="CIDFont+F2"/>
          <w:sz w:val="16"/>
          <w:szCs w:val="16"/>
          <w:lang w:val="de-DE"/>
        </w:rPr>
        <w:t>julian.puszkiel@hereon.de</w:t>
      </w:r>
    </w:p>
    <w:p w14:paraId="6EADB50C" w14:textId="77777777" w:rsidR="00BD56B4" w:rsidRDefault="00BD56B4" w:rsidP="00BD56B4"/>
    <w:sdt>
      <w:sdtPr>
        <w:rPr>
          <w:rFonts w:eastAsiaTheme="minorEastAsia" w:cstheme="minorBidi"/>
          <w:b w:val="0"/>
          <w:bCs w:val="0"/>
          <w:sz w:val="22"/>
          <w:szCs w:val="22"/>
          <w:lang w:val="en-US"/>
        </w:rPr>
        <w:id w:val="-78293104"/>
        <w:docPartObj>
          <w:docPartGallery w:val="Table of Contents"/>
          <w:docPartUnique/>
        </w:docPartObj>
      </w:sdtPr>
      <w:sdtEndPr/>
      <w:sdtContent>
        <w:p w14:paraId="0F5F0A34" w14:textId="3EC5F34B" w:rsidR="00BD56B4" w:rsidRPr="00BD56B4" w:rsidRDefault="00BD56B4" w:rsidP="00884F29">
          <w:pPr>
            <w:pStyle w:val="Inhaltsverzeichnisberschrift"/>
          </w:pPr>
          <w:r w:rsidRPr="00BD56B4">
            <w:t>Contents</w:t>
          </w:r>
        </w:p>
        <w:p w14:paraId="31FF329A" w14:textId="0349D6C0" w:rsidR="00C21A1E" w:rsidRDefault="00BD56B4">
          <w:pPr>
            <w:pStyle w:val="Verzeichnis1"/>
            <w:tabs>
              <w:tab w:val="right" w:leader="dot" w:pos="9016"/>
            </w:tabs>
            <w:rPr>
              <w:rFonts w:asciiTheme="minorHAnsi" w:hAnsiTheme="minorHAnsi"/>
              <w:noProof/>
              <w:kern w:val="2"/>
              <w:sz w:val="24"/>
              <w:szCs w:val="24"/>
              <w:lang w:val="de-DE" w:eastAsia="de-DE"/>
              <w14:ligatures w14:val="standardContextual"/>
            </w:rPr>
          </w:pPr>
          <w:r>
            <w:fldChar w:fldCharType="begin"/>
          </w:r>
          <w:r>
            <w:instrText xml:space="preserve"> TOC \o "1-3" \h \z \u </w:instrText>
          </w:r>
          <w:r>
            <w:fldChar w:fldCharType="separate"/>
          </w:r>
          <w:hyperlink w:anchor="_Toc198131587" w:history="1">
            <w:r w:rsidR="00C21A1E" w:rsidRPr="007E09E1">
              <w:rPr>
                <w:rStyle w:val="Hyperlink"/>
                <w:noProof/>
              </w:rPr>
              <w:t>Additional Information on the System Simulation</w:t>
            </w:r>
            <w:r w:rsidR="00C21A1E">
              <w:rPr>
                <w:noProof/>
                <w:webHidden/>
              </w:rPr>
              <w:tab/>
            </w:r>
            <w:r w:rsidR="00C21A1E">
              <w:rPr>
                <w:noProof/>
                <w:webHidden/>
              </w:rPr>
              <w:fldChar w:fldCharType="begin"/>
            </w:r>
            <w:r w:rsidR="00C21A1E">
              <w:rPr>
                <w:noProof/>
                <w:webHidden/>
              </w:rPr>
              <w:instrText xml:space="preserve"> PAGEREF _Toc198131587 \h </w:instrText>
            </w:r>
            <w:r w:rsidR="00C21A1E">
              <w:rPr>
                <w:noProof/>
                <w:webHidden/>
              </w:rPr>
            </w:r>
            <w:r w:rsidR="00C21A1E">
              <w:rPr>
                <w:noProof/>
                <w:webHidden/>
              </w:rPr>
              <w:fldChar w:fldCharType="separate"/>
            </w:r>
            <w:r w:rsidR="00C21A1E">
              <w:rPr>
                <w:noProof/>
                <w:webHidden/>
              </w:rPr>
              <w:t>1</w:t>
            </w:r>
            <w:r w:rsidR="00C21A1E">
              <w:rPr>
                <w:noProof/>
                <w:webHidden/>
              </w:rPr>
              <w:fldChar w:fldCharType="end"/>
            </w:r>
          </w:hyperlink>
        </w:p>
        <w:p w14:paraId="26451AA2" w14:textId="13916ADF" w:rsidR="00C21A1E" w:rsidRDefault="00C21A1E">
          <w:pPr>
            <w:pStyle w:val="Verzeichnis1"/>
            <w:tabs>
              <w:tab w:val="right" w:leader="dot" w:pos="9016"/>
            </w:tabs>
            <w:rPr>
              <w:rFonts w:asciiTheme="minorHAnsi" w:hAnsiTheme="minorHAnsi"/>
              <w:noProof/>
              <w:kern w:val="2"/>
              <w:sz w:val="24"/>
              <w:szCs w:val="24"/>
              <w:lang w:val="de-DE" w:eastAsia="de-DE"/>
              <w14:ligatures w14:val="standardContextual"/>
            </w:rPr>
          </w:pPr>
          <w:hyperlink w:anchor="_Toc198131588" w:history="1">
            <w:r w:rsidRPr="007E09E1">
              <w:rPr>
                <w:rStyle w:val="Hyperlink"/>
                <w:noProof/>
              </w:rPr>
              <w:t>1D Metal Hydride Bed Model</w:t>
            </w:r>
            <w:r>
              <w:rPr>
                <w:noProof/>
                <w:webHidden/>
              </w:rPr>
              <w:tab/>
            </w:r>
            <w:r>
              <w:rPr>
                <w:noProof/>
                <w:webHidden/>
              </w:rPr>
              <w:fldChar w:fldCharType="begin"/>
            </w:r>
            <w:r>
              <w:rPr>
                <w:noProof/>
                <w:webHidden/>
              </w:rPr>
              <w:instrText xml:space="preserve"> PAGEREF _Toc198131588 \h </w:instrText>
            </w:r>
            <w:r>
              <w:rPr>
                <w:noProof/>
                <w:webHidden/>
              </w:rPr>
            </w:r>
            <w:r>
              <w:rPr>
                <w:noProof/>
                <w:webHidden/>
              </w:rPr>
              <w:fldChar w:fldCharType="separate"/>
            </w:r>
            <w:r>
              <w:rPr>
                <w:noProof/>
                <w:webHidden/>
              </w:rPr>
              <w:t>2</w:t>
            </w:r>
            <w:r>
              <w:rPr>
                <w:noProof/>
                <w:webHidden/>
              </w:rPr>
              <w:fldChar w:fldCharType="end"/>
            </w:r>
          </w:hyperlink>
        </w:p>
        <w:p w14:paraId="441B86C7" w14:textId="5A3C7078" w:rsidR="00C21A1E" w:rsidRDefault="00C21A1E">
          <w:pPr>
            <w:pStyle w:val="Verzeichnis1"/>
            <w:tabs>
              <w:tab w:val="right" w:leader="dot" w:pos="9016"/>
            </w:tabs>
            <w:rPr>
              <w:rFonts w:asciiTheme="minorHAnsi" w:hAnsiTheme="minorHAnsi"/>
              <w:noProof/>
              <w:kern w:val="2"/>
              <w:sz w:val="24"/>
              <w:szCs w:val="24"/>
              <w:lang w:val="de-DE" w:eastAsia="de-DE"/>
              <w14:ligatures w14:val="standardContextual"/>
            </w:rPr>
          </w:pPr>
          <w:hyperlink w:anchor="_Toc198131589" w:history="1">
            <w:r w:rsidRPr="007E09E1">
              <w:rPr>
                <w:rStyle w:val="Hyperlink"/>
                <w:noProof/>
              </w:rPr>
              <w:t>Sensitivity Analysis</w:t>
            </w:r>
            <w:r>
              <w:rPr>
                <w:noProof/>
                <w:webHidden/>
              </w:rPr>
              <w:tab/>
            </w:r>
            <w:r>
              <w:rPr>
                <w:noProof/>
                <w:webHidden/>
              </w:rPr>
              <w:fldChar w:fldCharType="begin"/>
            </w:r>
            <w:r>
              <w:rPr>
                <w:noProof/>
                <w:webHidden/>
              </w:rPr>
              <w:instrText xml:space="preserve"> PAGEREF _Toc198131589 \h </w:instrText>
            </w:r>
            <w:r>
              <w:rPr>
                <w:noProof/>
                <w:webHidden/>
              </w:rPr>
            </w:r>
            <w:r>
              <w:rPr>
                <w:noProof/>
                <w:webHidden/>
              </w:rPr>
              <w:fldChar w:fldCharType="separate"/>
            </w:r>
            <w:r>
              <w:rPr>
                <w:noProof/>
                <w:webHidden/>
              </w:rPr>
              <w:t>4</w:t>
            </w:r>
            <w:r>
              <w:rPr>
                <w:noProof/>
                <w:webHidden/>
              </w:rPr>
              <w:fldChar w:fldCharType="end"/>
            </w:r>
          </w:hyperlink>
        </w:p>
        <w:p w14:paraId="6F0E5688" w14:textId="4D29E93F" w:rsidR="00C21A1E" w:rsidRDefault="00C21A1E">
          <w:pPr>
            <w:pStyle w:val="Verzeichnis1"/>
            <w:tabs>
              <w:tab w:val="right" w:leader="dot" w:pos="9016"/>
            </w:tabs>
            <w:rPr>
              <w:rFonts w:asciiTheme="minorHAnsi" w:hAnsiTheme="minorHAnsi"/>
              <w:noProof/>
              <w:kern w:val="2"/>
              <w:sz w:val="24"/>
              <w:szCs w:val="24"/>
              <w:lang w:val="de-DE" w:eastAsia="de-DE"/>
              <w14:ligatures w14:val="standardContextual"/>
            </w:rPr>
          </w:pPr>
          <w:hyperlink w:anchor="_Toc198131590" w:history="1">
            <w:r w:rsidRPr="007E09E1">
              <w:rPr>
                <w:rStyle w:val="Hyperlink"/>
                <w:noProof/>
              </w:rPr>
              <w:t>Verification by FEM Model</w:t>
            </w:r>
            <w:r>
              <w:rPr>
                <w:noProof/>
                <w:webHidden/>
              </w:rPr>
              <w:tab/>
            </w:r>
            <w:r>
              <w:rPr>
                <w:noProof/>
                <w:webHidden/>
              </w:rPr>
              <w:fldChar w:fldCharType="begin"/>
            </w:r>
            <w:r>
              <w:rPr>
                <w:noProof/>
                <w:webHidden/>
              </w:rPr>
              <w:instrText xml:space="preserve"> PAGEREF _Toc198131590 \h </w:instrText>
            </w:r>
            <w:r>
              <w:rPr>
                <w:noProof/>
                <w:webHidden/>
              </w:rPr>
            </w:r>
            <w:r>
              <w:rPr>
                <w:noProof/>
                <w:webHidden/>
              </w:rPr>
              <w:fldChar w:fldCharType="separate"/>
            </w:r>
            <w:r>
              <w:rPr>
                <w:noProof/>
                <w:webHidden/>
              </w:rPr>
              <w:t>11</w:t>
            </w:r>
            <w:r>
              <w:rPr>
                <w:noProof/>
                <w:webHidden/>
              </w:rPr>
              <w:fldChar w:fldCharType="end"/>
            </w:r>
          </w:hyperlink>
        </w:p>
        <w:p w14:paraId="141AA23C" w14:textId="01C234F8" w:rsidR="00C21A1E" w:rsidRDefault="00C21A1E">
          <w:pPr>
            <w:pStyle w:val="Verzeichnis1"/>
            <w:tabs>
              <w:tab w:val="right" w:leader="dot" w:pos="9016"/>
            </w:tabs>
            <w:rPr>
              <w:rFonts w:asciiTheme="minorHAnsi" w:hAnsiTheme="minorHAnsi"/>
              <w:noProof/>
              <w:kern w:val="2"/>
              <w:sz w:val="24"/>
              <w:szCs w:val="24"/>
              <w:lang w:val="de-DE" w:eastAsia="de-DE"/>
              <w14:ligatures w14:val="standardContextual"/>
            </w:rPr>
          </w:pPr>
          <w:hyperlink w:anchor="_Toc198131591" w:history="1">
            <w:r w:rsidRPr="007E09E1">
              <w:rPr>
                <w:rStyle w:val="Hyperlink"/>
                <w:noProof/>
              </w:rPr>
              <w:t>BET area measurement (surface area): Results</w:t>
            </w:r>
            <w:r>
              <w:rPr>
                <w:noProof/>
                <w:webHidden/>
              </w:rPr>
              <w:tab/>
            </w:r>
            <w:r>
              <w:rPr>
                <w:noProof/>
                <w:webHidden/>
              </w:rPr>
              <w:fldChar w:fldCharType="begin"/>
            </w:r>
            <w:r>
              <w:rPr>
                <w:noProof/>
                <w:webHidden/>
              </w:rPr>
              <w:instrText xml:space="preserve"> PAGEREF _Toc198131591 \h </w:instrText>
            </w:r>
            <w:r>
              <w:rPr>
                <w:noProof/>
                <w:webHidden/>
              </w:rPr>
            </w:r>
            <w:r>
              <w:rPr>
                <w:noProof/>
                <w:webHidden/>
              </w:rPr>
              <w:fldChar w:fldCharType="separate"/>
            </w:r>
            <w:r>
              <w:rPr>
                <w:noProof/>
                <w:webHidden/>
              </w:rPr>
              <w:t>14</w:t>
            </w:r>
            <w:r>
              <w:rPr>
                <w:noProof/>
                <w:webHidden/>
              </w:rPr>
              <w:fldChar w:fldCharType="end"/>
            </w:r>
          </w:hyperlink>
        </w:p>
        <w:p w14:paraId="5CCE90F7" w14:textId="4D9E15B3" w:rsidR="00C21A1E" w:rsidRDefault="00C21A1E">
          <w:pPr>
            <w:pStyle w:val="Verzeichnis1"/>
            <w:tabs>
              <w:tab w:val="right" w:leader="dot" w:pos="9016"/>
            </w:tabs>
            <w:rPr>
              <w:rFonts w:asciiTheme="minorHAnsi" w:hAnsiTheme="minorHAnsi"/>
              <w:noProof/>
              <w:kern w:val="2"/>
              <w:sz w:val="24"/>
              <w:szCs w:val="24"/>
              <w:lang w:val="de-DE" w:eastAsia="de-DE"/>
              <w14:ligatures w14:val="standardContextual"/>
            </w:rPr>
          </w:pPr>
          <w:hyperlink w:anchor="_Toc198131592" w:history="1">
            <w:r w:rsidRPr="007E09E1">
              <w:rPr>
                <w:rStyle w:val="Hyperlink"/>
                <w:noProof/>
              </w:rPr>
              <w:t>References</w:t>
            </w:r>
            <w:r>
              <w:rPr>
                <w:noProof/>
                <w:webHidden/>
              </w:rPr>
              <w:tab/>
            </w:r>
            <w:r>
              <w:rPr>
                <w:noProof/>
                <w:webHidden/>
              </w:rPr>
              <w:fldChar w:fldCharType="begin"/>
            </w:r>
            <w:r>
              <w:rPr>
                <w:noProof/>
                <w:webHidden/>
              </w:rPr>
              <w:instrText xml:space="preserve"> PAGEREF _Toc198131592 \h </w:instrText>
            </w:r>
            <w:r>
              <w:rPr>
                <w:noProof/>
                <w:webHidden/>
              </w:rPr>
            </w:r>
            <w:r>
              <w:rPr>
                <w:noProof/>
                <w:webHidden/>
              </w:rPr>
              <w:fldChar w:fldCharType="separate"/>
            </w:r>
            <w:r>
              <w:rPr>
                <w:noProof/>
                <w:webHidden/>
              </w:rPr>
              <w:t>17</w:t>
            </w:r>
            <w:r>
              <w:rPr>
                <w:noProof/>
                <w:webHidden/>
              </w:rPr>
              <w:fldChar w:fldCharType="end"/>
            </w:r>
          </w:hyperlink>
        </w:p>
        <w:p w14:paraId="4C17344C" w14:textId="7B9C4445" w:rsidR="00BD56B4" w:rsidRDefault="00BD56B4">
          <w:r>
            <w:rPr>
              <w:b/>
              <w:bCs/>
            </w:rPr>
            <w:fldChar w:fldCharType="end"/>
          </w:r>
        </w:p>
      </w:sdtContent>
    </w:sdt>
    <w:p w14:paraId="62EF0B47" w14:textId="59746B94" w:rsidR="00BD56B4" w:rsidRDefault="00BD56B4" w:rsidP="00BD56B4"/>
    <w:p w14:paraId="17842CA1" w14:textId="49C67C3D" w:rsidR="003B35A9" w:rsidRPr="00A346D8" w:rsidRDefault="003B35A9" w:rsidP="00884F29">
      <w:pPr>
        <w:pStyle w:val="berschrift1"/>
        <w:rPr>
          <w:lang w:val="en-US"/>
        </w:rPr>
      </w:pPr>
      <w:bookmarkStart w:id="0" w:name="_Toc198131587"/>
      <w:r w:rsidRPr="00A346D8">
        <w:rPr>
          <w:lang w:val="en-US"/>
        </w:rPr>
        <w:t>Additional Information on the System Simulation</w:t>
      </w:r>
      <w:bookmarkEnd w:id="0"/>
    </w:p>
    <w:p w14:paraId="44B0E5EB" w14:textId="658F64BA" w:rsidR="003B35A9" w:rsidRDefault="00B675A2" w:rsidP="003B35A9">
      <w:r>
        <w:t xml:space="preserve">For a better understanding of the system behavior, </w:t>
      </w:r>
      <w:r w:rsidR="002C46B4">
        <w:fldChar w:fldCharType="begin"/>
      </w:r>
      <w:r w:rsidR="002C46B4">
        <w:instrText xml:space="preserve"> REF _Ref194328134 \h </w:instrText>
      </w:r>
      <w:r w:rsidR="002C46B4">
        <w:fldChar w:fldCharType="separate"/>
      </w:r>
      <w:r w:rsidR="00E75615">
        <w:t xml:space="preserve">Figure </w:t>
      </w:r>
      <w:r w:rsidR="00E75615">
        <w:rPr>
          <w:noProof/>
        </w:rPr>
        <w:t>1</w:t>
      </w:r>
      <w:r w:rsidR="002C46B4">
        <w:fldChar w:fldCharType="end"/>
      </w:r>
      <w:r w:rsidR="002C46B4">
        <w:t xml:space="preserve"> </w:t>
      </w:r>
      <w:r>
        <w:t>shows the hydrogen inlet and outlet flows as well as the hydrogen saturation of both tanks.</w:t>
      </w:r>
      <w:r w:rsidR="002C46B4">
        <w:t xml:space="preserve"> While tank I is connected to the hot loop and therefore desorbed, tank II is connected to the cold loop and absorbed. In accordance with that, a hydrogen flow into the compressor system and an outlet flow leaving the compressor system take place simultaneously. When both reactions come to an end, the </w:t>
      </w:r>
      <w:r w:rsidR="002E13C9">
        <w:t xml:space="preserve">connection between the tanks and loops are switched over, indicated by the vertical lines. As described in the main text, the tanks are first isolated from the two loops and then equilibrated in terms of gas phase pressure. This leads to the extra spikes that can be observed during the switch over phase. Tank II is absorbing an additional amount due to the </w:t>
      </w:r>
      <w:r w:rsidR="002E5D96">
        <w:t>high-pressure</w:t>
      </w:r>
      <w:r w:rsidR="002E13C9">
        <w:t xml:space="preserve"> gas phase in the just desorbed tank I. The opposite process happens in tank I since the pressure drops below the former equilibrium. When the tanks are </w:t>
      </w:r>
      <w:r w:rsidR="00884F29">
        <w:t>then re</w:t>
      </w:r>
      <w:r w:rsidR="002E13C9">
        <w:t>connected back to the</w:t>
      </w:r>
      <w:r w:rsidR="00884F29">
        <w:t xml:space="preserve"> respective other loop, those additional capacities can be desorbed and, respectively, absorbed additionally.</w:t>
      </w:r>
      <w:r w:rsidR="002E13C9">
        <w:t xml:space="preserve"> That way, hydrogen capacity is “transferred” from one</w:t>
      </w:r>
      <w:r w:rsidR="00884F29">
        <w:t xml:space="preserve"> tank to the other and is not entirely lost by being re-absorbed inside the same tank. This contributes to eliminate the negative effect of “dead volume” on productivity.</w:t>
      </w:r>
    </w:p>
    <w:p w14:paraId="327A7668" w14:textId="77777777" w:rsidR="002C46B4" w:rsidRDefault="002C46B4" w:rsidP="002C46B4">
      <w:pPr>
        <w:keepNext/>
        <w:jc w:val="center"/>
      </w:pPr>
      <w:r w:rsidRPr="002C46B4">
        <w:rPr>
          <w:noProof/>
        </w:rPr>
        <w:lastRenderedPageBreak/>
        <w:drawing>
          <wp:inline distT="0" distB="0" distL="0" distR="0" wp14:anchorId="3BECE310" wp14:editId="1E824CAE">
            <wp:extent cx="5762066" cy="3912376"/>
            <wp:effectExtent l="0" t="0" r="0" b="0"/>
            <wp:docPr id="130096497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64975" name="Grafik 3"/>
                    <pic:cNvPicPr>
                      <a:picLocks noChangeAspect="1" noChangeArrowheads="1"/>
                    </pic:cNvPicPr>
                  </pic:nvPicPr>
                  <pic:blipFill>
                    <a:blip r:embed="rId8">
                      <a:extLst>
                        <a:ext uri="{28A0092B-C50C-407E-A947-70E740481C1C}">
                          <a14:useLocalDpi xmlns:a14="http://schemas.microsoft.com/office/drawing/2010/main" val="0"/>
                        </a:ext>
                      </a:extLst>
                    </a:blip>
                    <a:srcRect l="327" r="327"/>
                    <a:stretch>
                      <a:fillRect/>
                    </a:stretch>
                  </pic:blipFill>
                  <pic:spPr bwMode="auto">
                    <a:xfrm>
                      <a:off x="0" y="0"/>
                      <a:ext cx="5762066" cy="3912376"/>
                    </a:xfrm>
                    <a:prstGeom prst="rect">
                      <a:avLst/>
                    </a:prstGeom>
                    <a:noFill/>
                    <a:ln>
                      <a:noFill/>
                    </a:ln>
                    <a:extLst>
                      <a:ext uri="{53640926-AAD7-44D8-BBD7-CCE9431645EC}">
                        <a14:shadowObscured xmlns:a14="http://schemas.microsoft.com/office/drawing/2010/main"/>
                      </a:ext>
                    </a:extLst>
                  </pic:spPr>
                </pic:pic>
              </a:graphicData>
            </a:graphic>
          </wp:inline>
        </w:drawing>
      </w:r>
    </w:p>
    <w:p w14:paraId="41B5D5BA" w14:textId="58AF0FC5" w:rsidR="003B35A9" w:rsidRDefault="002C46B4" w:rsidP="00884F29">
      <w:pPr>
        <w:pStyle w:val="Beschriftung"/>
        <w:jc w:val="left"/>
      </w:pPr>
      <w:bookmarkStart w:id="1" w:name="_Ref194328134"/>
      <w:r>
        <w:t xml:space="preserve">Figure </w:t>
      </w:r>
      <w:r>
        <w:fldChar w:fldCharType="begin"/>
      </w:r>
      <w:r>
        <w:instrText xml:space="preserve"> SEQ Figure \* ARABIC </w:instrText>
      </w:r>
      <w:r>
        <w:fldChar w:fldCharType="separate"/>
      </w:r>
      <w:r w:rsidR="00C60730">
        <w:rPr>
          <w:noProof/>
        </w:rPr>
        <w:t>1</w:t>
      </w:r>
      <w:r>
        <w:fldChar w:fldCharType="end"/>
      </w:r>
      <w:bookmarkEnd w:id="1"/>
      <w:r>
        <w:t xml:space="preserve">: The upper graph shows the inlet and outlet flow of the compressor system, caused by the absorption and desorption processes in the MH tanks, shown in the lower graph. The vertical lines indicate the switch-over process by valves V1-V8. </w:t>
      </w:r>
      <w:r w:rsidR="009F17B5">
        <w:t xml:space="preserve">The data is taken from the simulation run </w:t>
      </w:r>
      <w:r w:rsidR="00B4392C">
        <w:t>3</w:t>
      </w:r>
      <w:r w:rsidR="009F17B5">
        <w:t xml:space="preserve"> of the HP sensitivity analysis (</w:t>
      </w:r>
      <w:r w:rsidR="009F17B5">
        <w:fldChar w:fldCharType="begin"/>
      </w:r>
      <w:r w:rsidR="009F17B5">
        <w:instrText xml:space="preserve"> REF _Ref194332489 \h </w:instrText>
      </w:r>
      <w:r w:rsidR="009F17B5">
        <w:fldChar w:fldCharType="separate"/>
      </w:r>
      <w:r w:rsidR="009F17B5">
        <w:t xml:space="preserve">Table </w:t>
      </w:r>
      <w:r w:rsidR="009F17B5">
        <w:rPr>
          <w:noProof/>
        </w:rPr>
        <w:t>2</w:t>
      </w:r>
      <w:r w:rsidR="009F17B5">
        <w:fldChar w:fldCharType="end"/>
      </w:r>
      <w:r w:rsidR="009F17B5">
        <w:t>)</w:t>
      </w:r>
      <w:r w:rsidR="009F17B5">
        <w:fldChar w:fldCharType="begin"/>
      </w:r>
      <w:r w:rsidR="009F17B5">
        <w:instrText xml:space="preserve"> REF _Ref194332475 \h </w:instrText>
      </w:r>
      <w:r w:rsidR="009F17B5">
        <w:fldChar w:fldCharType="separate"/>
      </w:r>
      <w:r w:rsidR="009F17B5">
        <w:fldChar w:fldCharType="end"/>
      </w:r>
    </w:p>
    <w:p w14:paraId="583E5936" w14:textId="1440773A" w:rsidR="003B35A9" w:rsidRPr="009F17B5" w:rsidRDefault="003B35A9" w:rsidP="00884F29">
      <w:pPr>
        <w:pStyle w:val="berschrift1"/>
        <w:rPr>
          <w:lang w:val="en-US"/>
        </w:rPr>
      </w:pPr>
      <w:bookmarkStart w:id="2" w:name="_Toc198131588"/>
      <w:r w:rsidRPr="009F17B5">
        <w:rPr>
          <w:lang w:val="en-US"/>
        </w:rPr>
        <w:t>1D Metal Hydride Bed Model</w:t>
      </w:r>
      <w:bookmarkEnd w:id="2"/>
    </w:p>
    <w:p w14:paraId="683CF840" w14:textId="377D2BF0" w:rsidR="003B35A9" w:rsidRDefault="003B35A9" w:rsidP="003B35A9">
      <w:r>
        <w:t>Figure 1 in the article shows that the MH material is distributed among several disc-shaped beds that are stacked upon each other. They are separated by a gap that allows the hydrogen stream to enter each bed and then leave the tank after having passed through a bed. The ACM sub-model is simplifying this geometry by adding up all the disc</w:t>
      </w:r>
      <w:r w:rsidR="00556481">
        <w:t>s</w:t>
      </w:r>
      <w:r>
        <w:t xml:space="preserve"> into one single one with a bigger diameter</w:t>
      </w:r>
      <w:r w:rsidR="00556481">
        <w:t>. The FEM analysis has shown that the processes inside such a bed are purely vertical</w:t>
      </w:r>
      <w:r w:rsidR="00556481" w:rsidRPr="00556481">
        <w:t>, which shows that a 1D model is valid here.</w:t>
      </w:r>
      <w:r w:rsidR="00556481">
        <w:t xml:space="preserve"> Below and above the bed, the gas phase volume (sum of all the gaps between the discs) is modeled as point mass.</w:t>
      </w:r>
    </w:p>
    <w:p w14:paraId="7AA1F33D" w14:textId="25D25093" w:rsidR="004D6E38" w:rsidRDefault="0015274D" w:rsidP="003B35A9">
      <w:r>
        <w:fldChar w:fldCharType="begin"/>
      </w:r>
      <w:r>
        <w:instrText xml:space="preserve"> REF _Ref194324106 \h </w:instrText>
      </w:r>
      <w:r>
        <w:fldChar w:fldCharType="separate"/>
      </w:r>
      <w:r w:rsidR="00E75615">
        <w:t xml:space="preserve">Figure </w:t>
      </w:r>
      <w:r w:rsidR="00E75615">
        <w:rPr>
          <w:noProof/>
        </w:rPr>
        <w:t>2</w:t>
      </w:r>
      <w:r>
        <w:fldChar w:fldCharType="end"/>
      </w:r>
      <w:r>
        <w:t xml:space="preserve"> </w:t>
      </w:r>
      <w:r w:rsidR="00556481">
        <w:t>shows the distribution of nodes inside the 1D bed model. This illustration has 6</w:t>
      </w:r>
      <w:r w:rsidR="00CE2700">
        <w:t> </w:t>
      </w:r>
      <w:r w:rsidR="00556481">
        <w:t>nodes where the simulations in the work are done with 10 nodes.</w:t>
      </w:r>
      <w:r w:rsidR="004D6E38">
        <w:t xml:space="preserve"> The MH material as well as the hydrogen stream through the bed have a spatial distribution over these nodes. In every node, the following variables are calculated</w:t>
      </w:r>
      <w:r w:rsidR="00FC14FD">
        <w:t xml:space="preserve"> </w:t>
      </w:r>
      <w:r w:rsidR="000055E5">
        <w:t>using the</w:t>
      </w:r>
      <w:r w:rsidR="00FC14FD">
        <w:t xml:space="preserve"> backward finite difference method</w:t>
      </w:r>
      <w:r w:rsidR="004D6E38">
        <w:t>:</w:t>
      </w:r>
    </w:p>
    <w:p w14:paraId="2BF4D52E" w14:textId="46683B6F" w:rsidR="004D6E38" w:rsidRDefault="004D6E38" w:rsidP="004D6E38">
      <w:pPr>
        <w:pStyle w:val="Listenabsatz"/>
        <w:numPr>
          <w:ilvl w:val="0"/>
          <w:numId w:val="28"/>
        </w:numPr>
      </w:pPr>
      <w:r>
        <w:t>rate of the hydrogen formation reaction, including equilibrium pressure and the kinetic equation</w:t>
      </w:r>
    </w:p>
    <w:p w14:paraId="22E4265E" w14:textId="35F3C8BE" w:rsidR="004D6E38" w:rsidRDefault="004D6E38" w:rsidP="005356CA">
      <w:pPr>
        <w:pStyle w:val="Listenabsatz"/>
        <w:numPr>
          <w:ilvl w:val="0"/>
          <w:numId w:val="28"/>
        </w:numPr>
      </w:pPr>
      <w:r>
        <w:t>hydrogen saturation</w:t>
      </w:r>
    </w:p>
    <w:p w14:paraId="480E1D82" w14:textId="42A30F34" w:rsidR="004D6E38" w:rsidRDefault="004D6E38" w:rsidP="005356CA">
      <w:pPr>
        <w:pStyle w:val="Listenabsatz"/>
        <w:numPr>
          <w:ilvl w:val="0"/>
          <w:numId w:val="28"/>
        </w:numPr>
      </w:pPr>
      <w:r>
        <w:t>heat transfer rate</w:t>
      </w:r>
    </w:p>
    <w:p w14:paraId="45E32BA3" w14:textId="1BC8AAC1" w:rsidR="00556481" w:rsidRDefault="004D6E38" w:rsidP="005356CA">
      <w:pPr>
        <w:pStyle w:val="Listenabsatz"/>
        <w:numPr>
          <w:ilvl w:val="0"/>
          <w:numId w:val="28"/>
        </w:numPr>
      </w:pPr>
      <w:r>
        <w:t>temperature of the solid and the fluid</w:t>
      </w:r>
    </w:p>
    <w:p w14:paraId="6ED34FD1" w14:textId="77777777" w:rsidR="004D6E38" w:rsidRDefault="004D6E38" w:rsidP="005356CA">
      <w:pPr>
        <w:pStyle w:val="Listenabsatz"/>
        <w:numPr>
          <w:ilvl w:val="0"/>
          <w:numId w:val="28"/>
        </w:numPr>
      </w:pPr>
      <w:r>
        <w:lastRenderedPageBreak/>
        <w:t>hydrogen mass stream, accounting for the amount of hydrogen absorbed or desorbed</w:t>
      </w:r>
    </w:p>
    <w:p w14:paraId="2DB41DD5" w14:textId="50F2F6FC" w:rsidR="003B35A9" w:rsidRPr="003B35A9" w:rsidRDefault="004D6E38" w:rsidP="003B35A9">
      <w:r>
        <w:t xml:space="preserve">The pressure drop </w:t>
      </w:r>
      <w:r w:rsidR="00FC14FD">
        <w:t>is calculated for the bulk bed. It is including the change of porosity due to change of crystalline density with hydrogen saturation. The resulting operative pressure is distributed equally over all nodes.</w:t>
      </w:r>
    </w:p>
    <w:p w14:paraId="69BD9721" w14:textId="77777777" w:rsidR="000055E5" w:rsidRDefault="000055E5" w:rsidP="000055E5">
      <w:pPr>
        <w:keepNext/>
      </w:pPr>
      <w:r w:rsidRPr="000055E5">
        <w:rPr>
          <w:noProof/>
        </w:rPr>
        <w:drawing>
          <wp:inline distT="0" distB="0" distL="0" distR="0" wp14:anchorId="6271332B" wp14:editId="6E4E9A93">
            <wp:extent cx="5731510" cy="2705735"/>
            <wp:effectExtent l="0" t="0" r="2540" b="0"/>
            <wp:docPr id="33" name="Grafik 32" descr="Ein Bild, das Text, Screenshot, Software, Zahl enthält.&#10;&#10;KI-generierte Inhalte können fehlerhaft sein.">
              <a:extLst xmlns:a="http://schemas.openxmlformats.org/drawingml/2006/main">
                <a:ext uri="{FF2B5EF4-FFF2-40B4-BE49-F238E27FC236}">
                  <a16:creationId xmlns:a16="http://schemas.microsoft.com/office/drawing/2014/main" id="{45414212-4A49-4C81-7B8D-521E03CC2C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2" descr="Ein Bild, das Text, Screenshot, Software, Zahl enthält.&#10;&#10;KI-generierte Inhalte können fehlerhaft sein.">
                      <a:extLst>
                        <a:ext uri="{FF2B5EF4-FFF2-40B4-BE49-F238E27FC236}">
                          <a16:creationId xmlns:a16="http://schemas.microsoft.com/office/drawing/2014/main" id="{45414212-4A49-4C81-7B8D-521E03CC2C54}"/>
                        </a:ext>
                      </a:extLst>
                    </pic:cNvPr>
                    <pic:cNvPicPr>
                      <a:picLocks noChangeAspect="1"/>
                    </pic:cNvPicPr>
                  </pic:nvPicPr>
                  <pic:blipFill>
                    <a:blip r:embed="rId9"/>
                    <a:stretch>
                      <a:fillRect/>
                    </a:stretch>
                  </pic:blipFill>
                  <pic:spPr>
                    <a:xfrm>
                      <a:off x="0" y="0"/>
                      <a:ext cx="5731510" cy="2705735"/>
                    </a:xfrm>
                    <a:prstGeom prst="rect">
                      <a:avLst/>
                    </a:prstGeom>
                  </pic:spPr>
                </pic:pic>
              </a:graphicData>
            </a:graphic>
          </wp:inline>
        </w:drawing>
      </w:r>
    </w:p>
    <w:p w14:paraId="6AF158A9" w14:textId="0FD69120" w:rsidR="003B35A9" w:rsidRPr="000055E5" w:rsidRDefault="000055E5" w:rsidP="000055E5">
      <w:pPr>
        <w:pStyle w:val="Beschriftung"/>
      </w:pPr>
      <w:bookmarkStart w:id="3" w:name="_Ref194324106"/>
      <w:r>
        <w:t xml:space="preserve">Figure </w:t>
      </w:r>
      <w:r>
        <w:fldChar w:fldCharType="begin"/>
      </w:r>
      <w:r>
        <w:instrText xml:space="preserve"> SEQ Figure \* ARABIC </w:instrText>
      </w:r>
      <w:r>
        <w:fldChar w:fldCharType="separate"/>
      </w:r>
      <w:r w:rsidR="00C60730">
        <w:rPr>
          <w:noProof/>
        </w:rPr>
        <w:t>2</w:t>
      </w:r>
      <w:r>
        <w:fldChar w:fldCharType="end"/>
      </w:r>
      <w:bookmarkEnd w:id="3"/>
      <w:r>
        <w:t>: MH tank sub-model.</w:t>
      </w:r>
      <w:r w:rsidR="00CE2700">
        <w:t xml:space="preserve"> The illustration shows a setup with 6 nodes in the MH bed and  point mass gas volumes at the inlet and outlet. </w:t>
      </w:r>
    </w:p>
    <w:p w14:paraId="757BDEE2" w14:textId="42905DAB" w:rsidR="00925AF0" w:rsidRDefault="000055E5" w:rsidP="00BD56B4">
      <w:r>
        <w:t xml:space="preserve">The number of 10 nodes chosen for the simulations is a compromise between resolution of the bed height and computational effort. In </w:t>
      </w:r>
      <w:r w:rsidR="0015274D">
        <w:fldChar w:fldCharType="begin"/>
      </w:r>
      <w:r w:rsidR="0015274D">
        <w:instrText xml:space="preserve"> REF _Ref194324096 \h </w:instrText>
      </w:r>
      <w:r w:rsidR="0015274D">
        <w:fldChar w:fldCharType="separate"/>
      </w:r>
      <w:r w:rsidR="00E75615">
        <w:t xml:space="preserve">Figure </w:t>
      </w:r>
      <w:r w:rsidR="00E75615">
        <w:rPr>
          <w:noProof/>
        </w:rPr>
        <w:t>3</w:t>
      </w:r>
      <w:r w:rsidR="0015274D">
        <w:fldChar w:fldCharType="end"/>
      </w:r>
      <w:r>
        <w:t>, the simulation results of an absorption reaction are compared between 1D and FEM model. Additionally, the results of a 1D simulation with 100 nodes is shown.</w:t>
      </w:r>
      <w:r w:rsidR="00925AF0">
        <w:t xml:space="preserve"> It can be observed that the curves for 100 nodes are nearly identical to the curves for 10 nodes, except for the end phase of the reaction, where the curve for 100 nodes follows the FEM results more precisely. When running the whole system simulation in comparison between 10 and 100 nodes, the deviation in results (productivity and CoP) where less than 1% while the computation time was improved substantially. Therefore</w:t>
      </w:r>
      <w:r w:rsidR="00CE2700">
        <w:t xml:space="preserve">, the MH tank sub-models </w:t>
      </w:r>
      <w:r w:rsidR="002E5D96">
        <w:t>were</w:t>
      </w:r>
      <w:r w:rsidR="00CE2700">
        <w:t xml:space="preserve"> simulated with 10 nodes.</w:t>
      </w:r>
    </w:p>
    <w:p w14:paraId="55236F49" w14:textId="77777777" w:rsidR="00CE2700" w:rsidRDefault="00925AF0" w:rsidP="00CE2700">
      <w:pPr>
        <w:keepNext/>
        <w:jc w:val="center"/>
      </w:pPr>
      <w:r w:rsidRPr="00925AF0">
        <w:rPr>
          <w:noProof/>
        </w:rPr>
        <w:lastRenderedPageBreak/>
        <w:drawing>
          <wp:inline distT="0" distB="0" distL="0" distR="0" wp14:anchorId="3D3CE25B" wp14:editId="4C3F36F0">
            <wp:extent cx="5424170" cy="4229570"/>
            <wp:effectExtent l="0" t="0" r="5080" b="0"/>
            <wp:docPr id="123822165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221657" name="Grafik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544" t="7783" r="5521" b="4685"/>
                    <a:stretch/>
                  </pic:blipFill>
                  <pic:spPr bwMode="auto">
                    <a:xfrm>
                      <a:off x="0" y="0"/>
                      <a:ext cx="5433729" cy="4237024"/>
                    </a:xfrm>
                    <a:prstGeom prst="rect">
                      <a:avLst/>
                    </a:prstGeom>
                    <a:noFill/>
                    <a:ln>
                      <a:noFill/>
                    </a:ln>
                    <a:extLst>
                      <a:ext uri="{53640926-AAD7-44D8-BBD7-CCE9431645EC}">
                        <a14:shadowObscured xmlns:a14="http://schemas.microsoft.com/office/drawing/2010/main"/>
                      </a:ext>
                    </a:extLst>
                  </pic:spPr>
                </pic:pic>
              </a:graphicData>
            </a:graphic>
          </wp:inline>
        </w:drawing>
      </w:r>
    </w:p>
    <w:p w14:paraId="09C0DA95" w14:textId="278D7380" w:rsidR="00504145" w:rsidRPr="00BD56B4" w:rsidRDefault="00CE2700" w:rsidP="00884F29">
      <w:pPr>
        <w:pStyle w:val="Beschriftung"/>
        <w:jc w:val="left"/>
      </w:pPr>
      <w:bookmarkStart w:id="4" w:name="_Ref194324096"/>
      <w:r>
        <w:t xml:space="preserve">Figure </w:t>
      </w:r>
      <w:r>
        <w:fldChar w:fldCharType="begin"/>
      </w:r>
      <w:r>
        <w:instrText xml:space="preserve"> SEQ Figure \* ARABIC </w:instrText>
      </w:r>
      <w:r>
        <w:fldChar w:fldCharType="separate"/>
      </w:r>
      <w:r w:rsidR="00C60730">
        <w:rPr>
          <w:noProof/>
        </w:rPr>
        <w:t>3</w:t>
      </w:r>
      <w:r>
        <w:fldChar w:fldCharType="end"/>
      </w:r>
      <w:bookmarkEnd w:id="4"/>
      <w:r>
        <w:t>: Comparison of simulation results between FEM-model, 1D-FDM-model with 10 nodes and 1D-FDM-model with 100 nodes.</w:t>
      </w:r>
    </w:p>
    <w:p w14:paraId="66198A1F" w14:textId="4BB326E1" w:rsidR="00771F16" w:rsidRPr="00A346D8" w:rsidRDefault="00BD56B4" w:rsidP="00884F29">
      <w:pPr>
        <w:pStyle w:val="berschrift1"/>
        <w:rPr>
          <w:lang w:val="en-US"/>
        </w:rPr>
      </w:pPr>
      <w:bookmarkStart w:id="5" w:name="_Toc198131589"/>
      <w:r w:rsidRPr="00A346D8">
        <w:rPr>
          <w:lang w:val="en-US"/>
        </w:rPr>
        <w:t>Sensitivity Analysis</w:t>
      </w:r>
      <w:bookmarkEnd w:id="5"/>
    </w:p>
    <w:p w14:paraId="42C4C98C" w14:textId="080B0D0F" w:rsidR="0051222B" w:rsidRDefault="0051222B" w:rsidP="00F43886">
      <w:r>
        <w:t xml:space="preserve">In order to carry out a sensitivity analysis using the Morris method, value ranges are required for each parameter to be analyzed. Starting from a base case taken from the studies on productivity and efficiency, reasonable value ranges were selected. They can be found in the header of </w:t>
      </w:r>
      <w:r w:rsidR="00217879">
        <w:t>Table 1</w:t>
      </w:r>
      <w:r>
        <w:t>.</w:t>
      </w:r>
      <w:r w:rsidR="00217879">
        <w:t xml:space="preserve"> The table contains 7 columns for the </w:t>
      </w:r>
      <w:r>
        <w:t>parameters to be investigated</w:t>
      </w:r>
      <w:r w:rsidR="00217879">
        <w:t xml:space="preserve"> and another 2 columns for t</w:t>
      </w:r>
      <w:r>
        <w:t xml:space="preserve">he results of the simulations with regard to </w:t>
      </w:r>
      <w:r w:rsidR="00E75615">
        <w:t>the CoP (</w:t>
      </w:r>
      <w:r>
        <w:t>isothermal efficiency</w:t>
      </w:r>
      <w:r w:rsidR="00E75615">
        <w:t>)</w:t>
      </w:r>
      <w:r>
        <w:t xml:space="preserve"> and productivity</w:t>
      </w:r>
      <w:r w:rsidR="00217879">
        <w:t>. The 32 simulation runs in the parameter columns form the sample matrix that was generated acc. to the Morris method using the R-package “sensitivity”. All</w:t>
      </w:r>
      <w:r w:rsidR="00834EA1">
        <w:t xml:space="preserve"> entries</w:t>
      </w:r>
      <w:r w:rsidR="00217879">
        <w:t xml:space="preserve"> of the sample matrix and result vectors</w:t>
      </w:r>
      <w:r w:rsidR="00834EA1">
        <w:t xml:space="preserve"> are color coded per each column to visualize the value distribution</w:t>
      </w:r>
      <w:r w:rsidR="00217879">
        <w:t>.</w:t>
      </w:r>
    </w:p>
    <w:p w14:paraId="4608FC53" w14:textId="3B33706C" w:rsidR="00927F7B" w:rsidRDefault="00927F7B" w:rsidP="00F43886">
      <w:r>
        <w:t>The choice of parameters and their value range for the sensitivity analysis is explained in more detail below:</w:t>
      </w:r>
    </w:p>
    <w:p w14:paraId="713FC34A" w14:textId="30B5ED2E" w:rsidR="00927F7B" w:rsidRDefault="00927F7B" w:rsidP="00927F7B">
      <w:pPr>
        <w:pStyle w:val="Listenabsatz"/>
        <w:numPr>
          <w:ilvl w:val="0"/>
          <w:numId w:val="30"/>
        </w:numPr>
      </w:pPr>
      <w:r w:rsidRPr="0031521C">
        <w:rPr>
          <w:b/>
        </w:rPr>
        <w:t>P</w:t>
      </w:r>
      <w:r w:rsidRPr="0031521C">
        <w:rPr>
          <w:b/>
          <w:vertAlign w:val="subscript"/>
        </w:rPr>
        <w:t>1</w:t>
      </w:r>
      <w:r w:rsidRPr="0031521C">
        <w:rPr>
          <w:b/>
        </w:rPr>
        <w:t>: Particle diameter</w:t>
      </w:r>
      <w:r>
        <w:rPr>
          <w:b/>
        </w:rPr>
        <w:t>.</w:t>
      </w:r>
      <w:r>
        <w:t xml:space="preserve"> From the analysis of activated and cycle</w:t>
      </w:r>
      <w:r w:rsidR="007D4573">
        <w:t>d</w:t>
      </w:r>
      <w:r>
        <w:t xml:space="preserve"> </w:t>
      </w:r>
      <w:r w:rsidR="007D4573">
        <w:t xml:space="preserve">metal hydride </w:t>
      </w:r>
      <w:r>
        <w:t>powder</w:t>
      </w:r>
      <w:r w:rsidR="007D4573">
        <w:t>s</w:t>
      </w:r>
      <w:r>
        <w:t xml:space="preserve"> at the Hereon research </w:t>
      </w:r>
      <w:r w:rsidR="00C21A1E">
        <w:t>center</w:t>
      </w:r>
      <w:r>
        <w:t xml:space="preserve">, a particle diameter of 20 µm </w:t>
      </w:r>
      <w:r w:rsidR="007D4573">
        <w:t xml:space="preserve">is a representative value. It was assumed as base value for the sensitivity analysis and the range was set to be 80 % lower and higher, yielding 4 µm and 36 µm. This range of particle sizes can normally be found in the particle size distributions. For the analysis, </w:t>
      </w:r>
      <w:r w:rsidR="007D4573">
        <w:lastRenderedPageBreak/>
        <w:t>a uniform particle size was chosen to show the direct effect of particle diameter on the efficiency and productivity.</w:t>
      </w:r>
    </w:p>
    <w:p w14:paraId="7541FF46" w14:textId="5A646FA3" w:rsidR="007D4573" w:rsidRPr="0031521C" w:rsidRDefault="007D4573" w:rsidP="00927F7B">
      <w:pPr>
        <w:pStyle w:val="Listenabsatz"/>
        <w:numPr>
          <w:ilvl w:val="0"/>
          <w:numId w:val="30"/>
        </w:numPr>
      </w:pPr>
      <w:r w:rsidRPr="000E0A09">
        <w:rPr>
          <w:b/>
        </w:rPr>
        <w:t>P</w:t>
      </w:r>
      <w:r>
        <w:rPr>
          <w:b/>
          <w:vertAlign w:val="subscript"/>
        </w:rPr>
        <w:t>2</w:t>
      </w:r>
      <w:r w:rsidRPr="000E0A09">
        <w:rPr>
          <w:b/>
        </w:rPr>
        <w:t xml:space="preserve">: </w:t>
      </w:r>
      <w:r>
        <w:rPr>
          <w:b/>
        </w:rPr>
        <w:t>Solid thermal conductivity.</w:t>
      </w:r>
      <w:r>
        <w:t xml:space="preserve"> It </w:t>
      </w:r>
      <w:r w:rsidR="00634EFB">
        <w:t>is</w:t>
      </w:r>
      <w:r>
        <w:t xml:space="preserve"> one aim of this work to show that the concept of using the hydrogen gas convective heat transfer practically eliminates the influence of the </w:t>
      </w:r>
      <w:r w:rsidR="004C7A63">
        <w:t xml:space="preserve">effective </w:t>
      </w:r>
      <w:r>
        <w:t xml:space="preserve">thermal conductivity of the MH bed, unlike in conventional MH compressors. </w:t>
      </w:r>
      <w:r w:rsidR="006222F8" w:rsidRPr="006222F8">
        <w:t xml:space="preserve">In the heat transfer equation for porous media </w:t>
      </w:r>
      <w:r w:rsidR="004C7A63">
        <w:t>(equation (2) in the main text), the conductive term</w:t>
      </w:r>
      <w:r w:rsidR="003A58F0">
        <w:t xml:space="preserve"> includes </w:t>
      </w:r>
      <w:r w:rsidR="003A58F0" w:rsidRPr="00C21A1E">
        <w:rPr>
          <w:i/>
          <w:iCs/>
        </w:rPr>
        <w:t>(</w:t>
      </w:r>
      <w:r w:rsidR="003A58F0" w:rsidRPr="00C21A1E">
        <w:rPr>
          <w:rFonts w:cs="Arial"/>
          <w:i/>
          <w:iCs/>
        </w:rPr>
        <w:t>1</w:t>
      </w:r>
      <w:r w:rsidR="006222F8" w:rsidRPr="00C21A1E">
        <w:rPr>
          <w:rFonts w:cs="Arial"/>
          <w:i/>
          <w:iCs/>
        </w:rPr>
        <w:t>−</w:t>
      </w:r>
      <w:r w:rsidR="003A58F0" w:rsidRPr="00C21A1E">
        <w:rPr>
          <w:rFonts w:cs="Arial"/>
          <w:i/>
          <w:iCs/>
        </w:rPr>
        <w:t>ε)*</w:t>
      </w:r>
      <w:proofErr w:type="spellStart"/>
      <w:r w:rsidR="003A58F0" w:rsidRPr="00C21A1E">
        <w:rPr>
          <w:rFonts w:cs="Arial"/>
          <w:i/>
          <w:iCs/>
        </w:rPr>
        <w:t>k</w:t>
      </w:r>
      <w:r w:rsidR="003A58F0" w:rsidRPr="00C21A1E">
        <w:rPr>
          <w:rFonts w:cs="Arial"/>
          <w:i/>
          <w:iCs/>
          <w:vertAlign w:val="subscript"/>
        </w:rPr>
        <w:t>s</w:t>
      </w:r>
      <w:proofErr w:type="spellEnd"/>
      <w:r w:rsidR="003A58F0" w:rsidRPr="00C21A1E">
        <w:rPr>
          <w:rFonts w:cs="Arial"/>
        </w:rPr>
        <w:t xml:space="preserve">, </w:t>
      </w:r>
      <w:r w:rsidR="006222F8" w:rsidRPr="006222F8">
        <w:rPr>
          <w:rFonts w:cs="Arial"/>
        </w:rPr>
        <w:t>indicating that the effective thermal conductivity depends on the porosity</w:t>
      </w:r>
      <w:r w:rsidR="006222F8">
        <w:rPr>
          <w:rFonts w:cs="Arial"/>
        </w:rPr>
        <w:t xml:space="preserve"> </w:t>
      </w:r>
      <w:r w:rsidR="003A58F0" w:rsidRPr="00C21A1E">
        <w:rPr>
          <w:rFonts w:cs="Arial"/>
          <w:i/>
        </w:rPr>
        <w:t>ε</w:t>
      </w:r>
      <w:r w:rsidR="003A58F0">
        <w:rPr>
          <w:rFonts w:cs="Arial"/>
        </w:rPr>
        <w:t xml:space="preserve"> and the solid thermal conductivity</w:t>
      </w:r>
      <w:r w:rsidR="006222F8">
        <w:rPr>
          <w:rFonts w:cs="Arial"/>
        </w:rPr>
        <w:t xml:space="preserve"> </w:t>
      </w:r>
      <w:proofErr w:type="spellStart"/>
      <w:r w:rsidR="006222F8" w:rsidRPr="00C21A1E">
        <w:rPr>
          <w:rFonts w:cs="Arial"/>
          <w:i/>
        </w:rPr>
        <w:t>k</w:t>
      </w:r>
      <w:r w:rsidR="006222F8" w:rsidRPr="00C21A1E">
        <w:rPr>
          <w:rFonts w:cs="Arial"/>
          <w:i/>
          <w:vertAlign w:val="subscript"/>
        </w:rPr>
        <w:t>s</w:t>
      </w:r>
      <w:proofErr w:type="spellEnd"/>
      <w:r w:rsidR="003A58F0">
        <w:rPr>
          <w:rFonts w:cs="Arial"/>
        </w:rPr>
        <w:t xml:space="preserve">. </w:t>
      </w:r>
      <w:r w:rsidR="006222F8">
        <w:rPr>
          <w:rFonts w:cs="Arial"/>
        </w:rPr>
        <w:t>While the influence of the porosity is analyzed</w:t>
      </w:r>
      <w:r w:rsidR="003A58F0">
        <w:rPr>
          <w:rFonts w:cs="Arial"/>
        </w:rPr>
        <w:t xml:space="preserve"> </w:t>
      </w:r>
      <w:r w:rsidR="006222F8">
        <w:rPr>
          <w:rFonts w:cs="Arial"/>
        </w:rPr>
        <w:t>via the parameter</w:t>
      </w:r>
      <w:r w:rsidR="003A58F0">
        <w:rPr>
          <w:rFonts w:cs="Arial"/>
        </w:rPr>
        <w:t xml:space="preserve"> </w:t>
      </w:r>
      <w:r w:rsidR="006222F8">
        <w:rPr>
          <w:rFonts w:cs="Arial"/>
        </w:rPr>
        <w:t>P</w:t>
      </w:r>
      <w:r w:rsidR="006222F8">
        <w:rPr>
          <w:rFonts w:cs="Arial"/>
          <w:vertAlign w:val="subscript"/>
        </w:rPr>
        <w:t>4</w:t>
      </w:r>
      <w:r w:rsidR="006222F8">
        <w:rPr>
          <w:rFonts w:cs="Arial"/>
        </w:rPr>
        <w:t>, the solid thermal conductivity remains to be investigated.</w:t>
      </w:r>
      <w:r w:rsidR="004C7A63" w:rsidRPr="003A58F0">
        <w:rPr>
          <w:rFonts w:cs="Arial"/>
        </w:rPr>
        <w:t xml:space="preserve"> </w:t>
      </w:r>
      <w:r w:rsidR="006222F8">
        <w:rPr>
          <w:rFonts w:cs="Arial"/>
        </w:rPr>
        <w:t xml:space="preserve">The value range was set to be ± </w:t>
      </w:r>
      <w:r w:rsidR="00634EFB">
        <w:t xml:space="preserve">50 % </w:t>
      </w:r>
      <w:r w:rsidR="006222F8">
        <w:t xml:space="preserve">of </w:t>
      </w:r>
      <w:r w:rsidR="00634EFB">
        <w:t xml:space="preserve">a base value of 10.1 W/(m K) </w:t>
      </w:r>
      <w:sdt>
        <w:sdtPr>
          <w:rPr>
            <w:color w:val="000000"/>
          </w:rPr>
          <w:tag w:val="MENDELEY_CITATION_v3_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"/>
          <w:id w:val="287790577"/>
          <w:placeholder>
            <w:docPart w:val="DefaultPlaceholder_-1854013440"/>
          </w:placeholder>
        </w:sdtPr>
        <w:sdtEndPr/>
        <w:sdtContent>
          <w:r w:rsidR="007E2477" w:rsidRPr="007E2477">
            <w:rPr>
              <w:color w:val="000000"/>
            </w:rPr>
            <w:t>[1]</w:t>
          </w:r>
        </w:sdtContent>
      </w:sdt>
      <w:r w:rsidR="00634EFB">
        <w:rPr>
          <w:color w:val="000000"/>
        </w:rPr>
        <w:t>.</w:t>
      </w:r>
    </w:p>
    <w:p w14:paraId="6F82977A" w14:textId="5CE533CB" w:rsidR="00634EFB" w:rsidRDefault="00634EFB" w:rsidP="00927F7B">
      <w:pPr>
        <w:pStyle w:val="Listenabsatz"/>
        <w:numPr>
          <w:ilvl w:val="0"/>
          <w:numId w:val="30"/>
        </w:numPr>
      </w:pPr>
      <w:r w:rsidRPr="000E0A09">
        <w:rPr>
          <w:b/>
        </w:rPr>
        <w:t>P</w:t>
      </w:r>
      <w:r>
        <w:rPr>
          <w:b/>
          <w:vertAlign w:val="subscript"/>
        </w:rPr>
        <w:t>3</w:t>
      </w:r>
      <w:r w:rsidRPr="000E0A09">
        <w:rPr>
          <w:b/>
        </w:rPr>
        <w:t xml:space="preserve">: </w:t>
      </w:r>
      <w:r>
        <w:rPr>
          <w:b/>
        </w:rPr>
        <w:t>Height of the porous MH bed.</w:t>
      </w:r>
      <w:r>
        <w:t xml:space="preserve"> The height of the bed is included in the pressure drop calculation acc. to the Ergun equation. Moreover, it is interesting to see how high the individual beds inside the tank can be designed, reducing complexity with larger bed segments. Lastly</w:t>
      </w:r>
      <w:r w:rsidR="00611B41">
        <w:t>, any effects coming from a potentially deviating temperature profile can be covered by varying the bed height.</w:t>
      </w:r>
    </w:p>
    <w:p w14:paraId="11F34CAA" w14:textId="77777777" w:rsidR="00E86B77" w:rsidRDefault="00611B41" w:rsidP="00927F7B">
      <w:pPr>
        <w:pStyle w:val="Listenabsatz"/>
        <w:numPr>
          <w:ilvl w:val="0"/>
          <w:numId w:val="30"/>
        </w:numPr>
      </w:pPr>
      <w:r>
        <w:rPr>
          <w:b/>
        </w:rPr>
        <w:t>P</w:t>
      </w:r>
      <w:r>
        <w:rPr>
          <w:b/>
          <w:vertAlign w:val="subscript"/>
        </w:rPr>
        <w:t>4</w:t>
      </w:r>
      <w:r>
        <w:rPr>
          <w:b/>
        </w:rPr>
        <w:t>: Porosity of the MH bed.</w:t>
      </w:r>
      <w:r>
        <w:t xml:space="preserve"> The porosity is a crucial in the pressure drop calculation. Along the porosity goes the gas phase volume inside the tank which is known to have significant effect on the performance on MH and mechanical compressors. Therefore it is important to analyze how much the porosity can be increased to reduce pressure drop while potentially causing drawbacks in performance at the same time. </w:t>
      </w:r>
      <w:r w:rsidR="00E86B77">
        <w:t>The P&amp;ID of the Hydrogen Loop compressor was designed to address the problem of dead space volumes inside the MH tanks, what is to be shown here.</w:t>
      </w:r>
    </w:p>
    <w:p w14:paraId="53DB7AD7" w14:textId="77777777" w:rsidR="00E86B77" w:rsidRDefault="00E86B77" w:rsidP="00927F7B">
      <w:pPr>
        <w:pStyle w:val="Listenabsatz"/>
        <w:numPr>
          <w:ilvl w:val="0"/>
          <w:numId w:val="30"/>
        </w:numPr>
      </w:pPr>
      <w:r>
        <w:rPr>
          <w:b/>
        </w:rPr>
        <w:t>P</w:t>
      </w:r>
      <w:r>
        <w:rPr>
          <w:b/>
          <w:vertAlign w:val="subscript"/>
        </w:rPr>
        <w:t>5</w:t>
      </w:r>
      <w:r>
        <w:rPr>
          <w:b/>
        </w:rPr>
        <w:t xml:space="preserve">: </w:t>
      </w:r>
      <w:r w:rsidRPr="00E86B77">
        <w:rPr>
          <w:b/>
        </w:rPr>
        <w:t>Efficiency of the hydrogen blower</w:t>
      </w:r>
      <w:r>
        <w:rPr>
          <w:b/>
        </w:rPr>
        <w:t xml:space="preserve">. </w:t>
      </w:r>
      <w:r>
        <w:t>Through market research, an isentropic efficiency of roots blowers for hydrogen of approximately 40 % was found. The blower is a crucial component in the Hydrogen Loop compressor and therefore, any uncertainties in this regard are covered by including the blower efficiency as a parameter and varying the base value by 25 %.</w:t>
      </w:r>
    </w:p>
    <w:p w14:paraId="2BBD8326" w14:textId="2388B985" w:rsidR="004929DE" w:rsidRDefault="00E86B77" w:rsidP="00927F7B">
      <w:pPr>
        <w:pStyle w:val="Listenabsatz"/>
        <w:numPr>
          <w:ilvl w:val="0"/>
          <w:numId w:val="30"/>
        </w:numPr>
      </w:pPr>
      <w:r>
        <w:rPr>
          <w:b/>
        </w:rPr>
        <w:t>P</w:t>
      </w:r>
      <w:r>
        <w:rPr>
          <w:b/>
          <w:vertAlign w:val="subscript"/>
        </w:rPr>
        <w:t>6</w:t>
      </w:r>
      <w:r>
        <w:rPr>
          <w:b/>
        </w:rPr>
        <w:t xml:space="preserve">: Void volume of the cold and hot loop. </w:t>
      </w:r>
      <w:r>
        <w:t xml:space="preserve">The piping, hydrogen blowers and heat exchangers come with significant internal gas phase volumes which, in an open system, would add to the dead space volume and reduce the compressor performance to practically zero. Any desorbed gas </w:t>
      </w:r>
      <w:r w:rsidR="004929DE">
        <w:t>would increase the pressure in these volumes first, before leaving the compressor at a higher pressure level. Absorption would take the gas from the same volumes, effectively restricting the compression process to the inside of the compressor without any in- or output. The P&amp;ID design of the Hydrogen Loop, however, does not only aim at counteracting the negative effects of dead space inside the MH beds (P</w:t>
      </w:r>
      <w:r w:rsidR="004929DE">
        <w:rPr>
          <w:vertAlign w:val="subscript"/>
        </w:rPr>
        <w:t>4</w:t>
      </w:r>
      <w:r w:rsidR="004929DE">
        <w:t xml:space="preserve"> and P</w:t>
      </w:r>
      <w:r w:rsidR="004929DE">
        <w:rPr>
          <w:vertAlign w:val="subscript"/>
        </w:rPr>
        <w:t>7</w:t>
      </w:r>
      <w:r w:rsidR="004929DE">
        <w:t xml:space="preserve">), but also the void volumes of the two loops. This parameter </w:t>
      </w:r>
      <w:r w:rsidR="00DA2A16">
        <w:t>is</w:t>
      </w:r>
      <w:r w:rsidR="004929DE">
        <w:t xml:space="preserve"> included to show the effectiveness of the P&amp;ID design.</w:t>
      </w:r>
    </w:p>
    <w:p w14:paraId="1D747219" w14:textId="57987035" w:rsidR="00611B41" w:rsidRDefault="004929DE" w:rsidP="00927F7B">
      <w:pPr>
        <w:pStyle w:val="Listenabsatz"/>
        <w:numPr>
          <w:ilvl w:val="0"/>
          <w:numId w:val="30"/>
        </w:numPr>
      </w:pPr>
      <w:r>
        <w:rPr>
          <w:b/>
        </w:rPr>
        <w:t>P</w:t>
      </w:r>
      <w:r>
        <w:rPr>
          <w:b/>
          <w:vertAlign w:val="subscript"/>
        </w:rPr>
        <w:t>7</w:t>
      </w:r>
      <w:r>
        <w:rPr>
          <w:b/>
        </w:rPr>
        <w:t xml:space="preserve">: </w:t>
      </w:r>
      <w:r w:rsidRPr="004929DE">
        <w:rPr>
          <w:b/>
        </w:rPr>
        <w:t>Height of the gaps between beds inside the MH tanks</w:t>
      </w:r>
      <w:r>
        <w:rPr>
          <w:b/>
        </w:rPr>
        <w:t>.</w:t>
      </w:r>
      <w:r>
        <w:t xml:space="preserve"> This parameter </w:t>
      </w:r>
      <w:r w:rsidR="00DA2A16">
        <w:t>is</w:t>
      </w:r>
      <w:r>
        <w:t xml:space="preserve"> included to directly vary the void volume</w:t>
      </w:r>
      <w:r w:rsidR="00DA2A16">
        <w:t xml:space="preserve"> inside MH tank directly and to represent the engineering challenge to keep the hydrogen flow channels narrow. It has a co-dependency </w:t>
      </w:r>
      <w:r w:rsidR="005C5A7A">
        <w:t>with the bed height because the bed height determines the number of beds and hence the number of gaps.</w:t>
      </w:r>
    </w:p>
    <w:p w14:paraId="2D41C0A5" w14:textId="05B83287" w:rsidR="005C5A7A" w:rsidRDefault="00C52938">
      <w:r>
        <w:t>Other</w:t>
      </w:r>
      <w:r w:rsidR="005C5A7A">
        <w:t xml:space="preserve"> parameter</w:t>
      </w:r>
      <w:r>
        <w:t>s</w:t>
      </w:r>
      <w:r w:rsidR="005C5A7A">
        <w:t xml:space="preserve"> that </w:t>
      </w:r>
      <w:r>
        <w:t>were</w:t>
      </w:r>
      <w:r w:rsidR="005C5A7A">
        <w:t xml:space="preserve"> initially considered in the analysis </w:t>
      </w:r>
      <w:r>
        <w:t>are</w:t>
      </w:r>
      <w:r w:rsidR="005C5A7A">
        <w:t xml:space="preserve"> the surface area of the particles</w:t>
      </w:r>
      <w:r w:rsidR="00FF15DF">
        <w:t xml:space="preserve"> </w:t>
      </w:r>
      <w:proofErr w:type="spellStart"/>
      <w:r w:rsidR="00FF15DF">
        <w:t>a</w:t>
      </w:r>
      <w:r w:rsidR="00FF15DF">
        <w:rPr>
          <w:vertAlign w:val="subscript"/>
        </w:rPr>
        <w:t>sf</w:t>
      </w:r>
      <w:proofErr w:type="spellEnd"/>
      <w:r w:rsidR="00FF15DF">
        <w:t xml:space="preserve"> and the heat transfer coefficient </w:t>
      </w:r>
      <w:proofErr w:type="spellStart"/>
      <w:r w:rsidR="00FF15DF">
        <w:t>h</w:t>
      </w:r>
      <w:r w:rsidR="00FF15DF">
        <w:rPr>
          <w:vertAlign w:val="subscript"/>
        </w:rPr>
        <w:t>sf</w:t>
      </w:r>
      <w:proofErr w:type="spellEnd"/>
      <w:r w:rsidR="00FF15DF">
        <w:t xml:space="preserve">. Both form the </w:t>
      </w:r>
      <w:r w:rsidR="00FF15DF" w:rsidRPr="00FF15DF">
        <w:t xml:space="preserve">interstitial convective heat transfer coefficient </w:t>
      </w:r>
      <w:proofErr w:type="spellStart"/>
      <w:r w:rsidR="00FF15DF" w:rsidRPr="00FF15DF">
        <w:t>q</w:t>
      </w:r>
      <w:r w:rsidR="00FF15DF" w:rsidRPr="0031521C">
        <w:rPr>
          <w:vertAlign w:val="subscript"/>
        </w:rPr>
        <w:t>sf</w:t>
      </w:r>
      <w:proofErr w:type="spellEnd"/>
      <w:r w:rsidR="00FF15DF">
        <w:t xml:space="preserve"> (equation (4) in the main text), which is part of the convective power term</w:t>
      </w:r>
      <w:r>
        <w:t xml:space="preserve"> (most right-hand term in </w:t>
      </w:r>
      <w:r w:rsidR="00FF15DF">
        <w:t xml:space="preserve">equation (3) </w:t>
      </w:r>
      <w:r>
        <w:t>in</w:t>
      </w:r>
      <w:r w:rsidR="00FF15DF">
        <w:t xml:space="preserve"> the main text</w:t>
      </w:r>
      <w:r>
        <w:t>)</w:t>
      </w:r>
      <w:r w:rsidR="00FF15DF">
        <w:t xml:space="preserve">. </w:t>
      </w:r>
      <w:r>
        <w:t xml:space="preserve">In pre-studies, the two parameters </w:t>
      </w:r>
      <w:r>
        <w:lastRenderedPageBreak/>
        <w:t xml:space="preserve">where each held constant and varied to observe their influence on the heat transfer. It was apparent that their variations had little to no impact on the heat transfer and reaction process because their individual values are of such magnitude (1.46 m²/g and 16-24 kW/(m² K)) that </w:t>
      </w:r>
      <w:proofErr w:type="spellStart"/>
      <w:r>
        <w:t>q</w:t>
      </w:r>
      <w:r>
        <w:rPr>
          <w:vertAlign w:val="subscript"/>
        </w:rPr>
        <w:t>sf</w:t>
      </w:r>
      <w:proofErr w:type="spellEnd"/>
      <w:r>
        <w:t xml:space="preserve"> remains at extremely high values and in consequence, the temperature difference (T</w:t>
      </w:r>
      <w:r>
        <w:rPr>
          <w:vertAlign w:val="subscript"/>
        </w:rPr>
        <w:t>s</w:t>
      </w:r>
      <w:r>
        <w:t> – </w:t>
      </w:r>
      <w:proofErr w:type="spellStart"/>
      <w:r>
        <w:t>T</w:t>
      </w:r>
      <w:r>
        <w:rPr>
          <w:vertAlign w:val="subscript"/>
        </w:rPr>
        <w:t>f</w:t>
      </w:r>
      <w:proofErr w:type="spellEnd"/>
      <w:r>
        <w:t xml:space="preserve">) is equilibrated in a short period of time at every calculation node. </w:t>
      </w:r>
      <w:r w:rsidR="00235A8A" w:rsidRPr="00235A8A">
        <w:t>This led to the conclusion that any uncertainties associated with the values for these two parameters have a negligible impact on the system and are therefore not included in the sensitivity analysis.</w:t>
      </w:r>
      <w:r>
        <w:t xml:space="preserve"> </w:t>
      </w:r>
    </w:p>
    <w:p w14:paraId="64C81D51" w14:textId="22687E86" w:rsidR="00C931C1" w:rsidRDefault="00C931C1" w:rsidP="00C931C1">
      <w:pPr>
        <w:rPr>
          <w:color w:val="000000"/>
        </w:rPr>
      </w:pPr>
      <w:r>
        <w:t>The method of Morris was chosen for the sensitivity analysis. The background is best explained by</w:t>
      </w:r>
      <w:r w:rsidR="004F314C">
        <w:t xml:space="preserve"> </w:t>
      </w:r>
      <w:sdt>
        <w:sdtPr>
          <w:rPr>
            <w:color w:val="000000"/>
          </w:rPr>
          <w:tag w:val="MENDELEY_CITATION_v3_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"/>
          <w:id w:val="-1696610466"/>
          <w:placeholder>
            <w:docPart w:val="DefaultPlaceholder_-1854013440"/>
          </w:placeholder>
        </w:sdtPr>
        <w:sdtEndPr/>
        <w:sdtContent>
          <w:r w:rsidR="007E2477" w:rsidRPr="007E2477">
            <w:rPr>
              <w:color w:val="000000"/>
            </w:rPr>
            <w:t>[2]</w:t>
          </w:r>
        </w:sdtContent>
      </w:sdt>
      <w:r>
        <w:t xml:space="preserve"> </w:t>
      </w:r>
      <w:r>
        <w:rPr>
          <w:color w:val="000000"/>
        </w:rPr>
        <w:t xml:space="preserve"> and is cited in the following paragraph:</w:t>
      </w:r>
    </w:p>
    <w:p w14:paraId="5C2A7551" w14:textId="1B95EEF2" w:rsidR="00C931C1" w:rsidRDefault="00C931C1" w:rsidP="0031521C">
      <w:pPr>
        <w:ind w:left="1134"/>
        <w:rPr>
          <w:color w:val="000000"/>
        </w:rPr>
      </w:pPr>
      <w:r>
        <w:rPr>
          <w:noProof/>
        </w:rPr>
        <w:drawing>
          <wp:inline distT="0" distB="0" distL="0" distR="0" wp14:anchorId="61FC7E79" wp14:editId="2C489BFF">
            <wp:extent cx="4286580" cy="1932428"/>
            <wp:effectExtent l="0" t="0" r="0" b="0"/>
            <wp:docPr id="12144689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68931" name=""/>
                    <pic:cNvPicPr/>
                  </pic:nvPicPr>
                  <pic:blipFill>
                    <a:blip r:embed="rId11"/>
                    <a:stretch>
                      <a:fillRect/>
                    </a:stretch>
                  </pic:blipFill>
                  <pic:spPr>
                    <a:xfrm>
                      <a:off x="0" y="0"/>
                      <a:ext cx="4296115" cy="1936726"/>
                    </a:xfrm>
                    <a:prstGeom prst="rect">
                      <a:avLst/>
                    </a:prstGeom>
                  </pic:spPr>
                </pic:pic>
              </a:graphicData>
            </a:graphic>
          </wp:inline>
        </w:drawing>
      </w:r>
    </w:p>
    <w:p w14:paraId="785A252F" w14:textId="2814A99C" w:rsidR="00C931C1" w:rsidRDefault="00C931C1" w:rsidP="00C931C1">
      <w:pPr>
        <w:ind w:left="1134"/>
        <w:rPr>
          <w:color w:val="000000"/>
        </w:rPr>
      </w:pPr>
      <w:r>
        <w:rPr>
          <w:noProof/>
        </w:rPr>
        <w:drawing>
          <wp:inline distT="0" distB="0" distL="0" distR="0" wp14:anchorId="42FD6440" wp14:editId="314870BD">
            <wp:extent cx="4260153" cy="1907299"/>
            <wp:effectExtent l="0" t="0" r="7620" b="0"/>
            <wp:docPr id="11579285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28503" name=""/>
                    <pic:cNvPicPr/>
                  </pic:nvPicPr>
                  <pic:blipFill>
                    <a:blip r:embed="rId12"/>
                    <a:stretch>
                      <a:fillRect/>
                    </a:stretch>
                  </pic:blipFill>
                  <pic:spPr>
                    <a:xfrm>
                      <a:off x="0" y="0"/>
                      <a:ext cx="4278825" cy="1915659"/>
                    </a:xfrm>
                    <a:prstGeom prst="rect">
                      <a:avLst/>
                    </a:prstGeom>
                  </pic:spPr>
                </pic:pic>
              </a:graphicData>
            </a:graphic>
          </wp:inline>
        </w:drawing>
      </w:r>
    </w:p>
    <w:p w14:paraId="3FC2C2D3" w14:textId="0BCBCF2E" w:rsidR="00C931C1" w:rsidRDefault="00C931C1" w:rsidP="00C931C1">
      <w:pPr>
        <w:ind w:left="1134"/>
        <w:rPr>
          <w:color w:val="000000"/>
        </w:rPr>
      </w:pPr>
      <w:r>
        <w:rPr>
          <w:noProof/>
        </w:rPr>
        <w:drawing>
          <wp:inline distT="0" distB="0" distL="0" distR="0" wp14:anchorId="24D7C126" wp14:editId="60755094">
            <wp:extent cx="4298577" cy="1664948"/>
            <wp:effectExtent l="0" t="0" r="6985" b="0"/>
            <wp:docPr id="1703237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3773" name=""/>
                    <pic:cNvPicPr/>
                  </pic:nvPicPr>
                  <pic:blipFill>
                    <a:blip r:embed="rId13"/>
                    <a:stretch>
                      <a:fillRect/>
                    </a:stretch>
                  </pic:blipFill>
                  <pic:spPr>
                    <a:xfrm>
                      <a:off x="0" y="0"/>
                      <a:ext cx="4317826" cy="1672404"/>
                    </a:xfrm>
                    <a:prstGeom prst="rect">
                      <a:avLst/>
                    </a:prstGeom>
                  </pic:spPr>
                </pic:pic>
              </a:graphicData>
            </a:graphic>
          </wp:inline>
        </w:drawing>
      </w:r>
    </w:p>
    <w:p w14:paraId="501805F7" w14:textId="0C93476B" w:rsidR="00C931C1" w:rsidRDefault="00C931C1" w:rsidP="00C931C1">
      <w:pPr>
        <w:ind w:left="1134"/>
        <w:rPr>
          <w:color w:val="000000"/>
        </w:rPr>
      </w:pPr>
      <w:r w:rsidRPr="00C931C1">
        <w:rPr>
          <w:noProof/>
          <w:color w:val="000000"/>
        </w:rPr>
        <w:lastRenderedPageBreak/>
        <w:drawing>
          <wp:inline distT="0" distB="0" distL="0" distR="0" wp14:anchorId="7577B4BE" wp14:editId="0777A60F">
            <wp:extent cx="4217868" cy="1201433"/>
            <wp:effectExtent l="0" t="0" r="0" b="0"/>
            <wp:docPr id="61993680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5796" cy="1206540"/>
                    </a:xfrm>
                    <a:prstGeom prst="rect">
                      <a:avLst/>
                    </a:prstGeom>
                    <a:noFill/>
                    <a:ln>
                      <a:noFill/>
                    </a:ln>
                  </pic:spPr>
                </pic:pic>
              </a:graphicData>
            </a:graphic>
          </wp:inline>
        </w:drawing>
      </w:r>
    </w:p>
    <w:p w14:paraId="1A0983BE" w14:textId="4D973B79" w:rsidR="00C931C1" w:rsidRDefault="00C931C1" w:rsidP="00C931C1">
      <w:pPr>
        <w:ind w:left="1134"/>
        <w:rPr>
          <w:color w:val="000000"/>
        </w:rPr>
      </w:pPr>
      <w:r w:rsidRPr="00C931C1">
        <w:rPr>
          <w:noProof/>
          <w:color w:val="000000"/>
        </w:rPr>
        <w:drawing>
          <wp:inline distT="0" distB="0" distL="0" distR="0" wp14:anchorId="0C3F72F9" wp14:editId="72F5ABDE">
            <wp:extent cx="4408148" cy="3696573"/>
            <wp:effectExtent l="0" t="0" r="0" b="0"/>
            <wp:docPr id="181166842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1084" cy="3707421"/>
                    </a:xfrm>
                    <a:prstGeom prst="rect">
                      <a:avLst/>
                    </a:prstGeom>
                    <a:noFill/>
                    <a:ln>
                      <a:noFill/>
                    </a:ln>
                  </pic:spPr>
                </pic:pic>
              </a:graphicData>
            </a:graphic>
          </wp:inline>
        </w:drawing>
      </w:r>
    </w:p>
    <w:p w14:paraId="75DF325B" w14:textId="296E64FF" w:rsidR="00C931C1" w:rsidRPr="0031521C" w:rsidRDefault="007E2477" w:rsidP="00C931C1">
      <w:pPr>
        <w:rPr>
          <w:color w:val="000000"/>
        </w:rPr>
      </w:pPr>
      <w:r>
        <w:rPr>
          <w:color w:val="000000"/>
        </w:rPr>
        <w:t>Supplementary</w:t>
      </w:r>
      <w:r w:rsidR="004F314C">
        <w:rPr>
          <w:color w:val="000000"/>
        </w:rPr>
        <w:t xml:space="preserve"> information can be found in </w:t>
      </w:r>
      <w:sdt>
        <w:sdtPr>
          <w:rPr>
            <w:color w:val="000000"/>
          </w:rPr>
          <w:tag w:val="MENDELEY_CITATION_v3_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"/>
          <w:id w:val="-1359345761"/>
          <w:placeholder>
            <w:docPart w:val="DefaultPlaceholder_-1854013440"/>
          </w:placeholder>
        </w:sdtPr>
        <w:sdtEndPr/>
        <w:sdtContent>
          <w:r w:rsidRPr="007E2477">
            <w:rPr>
              <w:color w:val="000000"/>
            </w:rPr>
            <w:t>[3]</w:t>
          </w:r>
        </w:sdtContent>
      </w:sdt>
      <w:r>
        <w:rPr>
          <w:color w:val="000000"/>
        </w:rPr>
        <w:t xml:space="preserve"> and </w:t>
      </w:r>
      <w:sdt>
        <w:sdtPr>
          <w:rPr>
            <w:color w:val="000000"/>
          </w:rPr>
          <w:tag w:val="MENDELEY_CITATION_v3_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"/>
          <w:id w:val="1468629065"/>
          <w:placeholder>
            <w:docPart w:val="DefaultPlaceholder_-1854013440"/>
          </w:placeholder>
        </w:sdtPr>
        <w:sdtEndPr/>
        <w:sdtContent>
          <w:r w:rsidRPr="007E2477">
            <w:rPr>
              <w:color w:val="000000"/>
            </w:rPr>
            <w:t>[4]</w:t>
          </w:r>
        </w:sdtContent>
      </w:sdt>
      <w:r>
        <w:rPr>
          <w:color w:val="000000"/>
        </w:rPr>
        <w:t>.</w:t>
      </w:r>
    </w:p>
    <w:p w14:paraId="2696845F" w14:textId="0E69B498" w:rsidR="00E75615" w:rsidRDefault="00E75615" w:rsidP="00E75615">
      <w:pPr>
        <w:pStyle w:val="Beschriftung"/>
        <w:keepNext/>
      </w:pPr>
      <w:r>
        <w:lastRenderedPageBreak/>
        <w:t xml:space="preserve">Table </w:t>
      </w:r>
      <w:r>
        <w:fldChar w:fldCharType="begin"/>
      </w:r>
      <w:r>
        <w:instrText xml:space="preserve"> SEQ Table \* ARABIC </w:instrText>
      </w:r>
      <w:r>
        <w:fldChar w:fldCharType="separate"/>
      </w:r>
      <w:r w:rsidR="00B9548C">
        <w:rPr>
          <w:noProof/>
        </w:rPr>
        <w:t>1</w:t>
      </w:r>
      <w:r>
        <w:fldChar w:fldCharType="end"/>
      </w:r>
      <w:r>
        <w:t>: Sample matrix and simulation results for the LP stage</w:t>
      </w:r>
    </w:p>
    <w:p w14:paraId="4AF33007" w14:textId="6CBFE036" w:rsidR="001C61AB" w:rsidRDefault="00E75615" w:rsidP="00F43886">
      <w:r w:rsidRPr="00E75615">
        <w:rPr>
          <w:noProof/>
        </w:rPr>
        <w:drawing>
          <wp:inline distT="0" distB="0" distL="0" distR="0" wp14:anchorId="4CD61E48" wp14:editId="015B7CFB">
            <wp:extent cx="5731510" cy="6111240"/>
            <wp:effectExtent l="19050" t="19050" r="21590" b="22860"/>
            <wp:docPr id="178613589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6111240"/>
                    </a:xfrm>
                    <a:prstGeom prst="rect">
                      <a:avLst/>
                    </a:prstGeom>
                    <a:noFill/>
                    <a:ln>
                      <a:solidFill>
                        <a:schemeClr val="tx1"/>
                      </a:solidFill>
                    </a:ln>
                  </pic:spPr>
                </pic:pic>
              </a:graphicData>
            </a:graphic>
          </wp:inline>
        </w:drawing>
      </w:r>
    </w:p>
    <w:p w14:paraId="0C58B50E" w14:textId="6F31F61B" w:rsidR="00E75615" w:rsidRDefault="00E75615" w:rsidP="00E75615">
      <w:pPr>
        <w:pStyle w:val="Beschriftung"/>
        <w:keepNext/>
      </w:pPr>
      <w:bookmarkStart w:id="6" w:name="_Ref194332489"/>
      <w:bookmarkStart w:id="7" w:name="_Ref194332475"/>
      <w:r>
        <w:lastRenderedPageBreak/>
        <w:t xml:space="preserve">Table </w:t>
      </w:r>
      <w:r>
        <w:fldChar w:fldCharType="begin"/>
      </w:r>
      <w:r>
        <w:instrText xml:space="preserve"> SEQ Table \* ARABIC </w:instrText>
      </w:r>
      <w:r>
        <w:fldChar w:fldCharType="separate"/>
      </w:r>
      <w:r w:rsidR="00B9548C">
        <w:rPr>
          <w:noProof/>
        </w:rPr>
        <w:t>2</w:t>
      </w:r>
      <w:r>
        <w:fldChar w:fldCharType="end"/>
      </w:r>
      <w:bookmarkEnd w:id="6"/>
      <w:r>
        <w:t>:</w:t>
      </w:r>
      <w:r w:rsidRPr="00E75615">
        <w:t xml:space="preserve"> </w:t>
      </w:r>
      <w:r>
        <w:t>Sample matrix and simulation results for the HP stage</w:t>
      </w:r>
      <w:bookmarkEnd w:id="7"/>
    </w:p>
    <w:p w14:paraId="5982A708" w14:textId="3960A4FD" w:rsidR="00CA3101" w:rsidRDefault="00037D55" w:rsidP="00F43886">
      <w:r w:rsidRPr="00037D55">
        <w:rPr>
          <w:noProof/>
        </w:rPr>
        <w:drawing>
          <wp:inline distT="0" distB="0" distL="0" distR="0" wp14:anchorId="453C850D" wp14:editId="61E7BFB5">
            <wp:extent cx="5731442" cy="6111874"/>
            <wp:effectExtent l="19050" t="19050" r="22225" b="22860"/>
            <wp:docPr id="2533452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345241" name="Grafik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731442" cy="6111874"/>
                    </a:xfrm>
                    <a:prstGeom prst="rect">
                      <a:avLst/>
                    </a:prstGeom>
                    <a:noFill/>
                    <a:ln>
                      <a:solidFill>
                        <a:schemeClr val="tx1"/>
                      </a:solidFill>
                    </a:ln>
                  </pic:spPr>
                </pic:pic>
              </a:graphicData>
            </a:graphic>
          </wp:inline>
        </w:drawing>
      </w:r>
    </w:p>
    <w:p w14:paraId="6CC34D17" w14:textId="77777777" w:rsidR="005C5A7A" w:rsidRDefault="005C5A7A">
      <w:pPr>
        <w:jc w:val="left"/>
      </w:pPr>
      <w:r>
        <w:br w:type="page"/>
      </w:r>
    </w:p>
    <w:p w14:paraId="3A86B742" w14:textId="560041AD" w:rsidR="001C61AB" w:rsidRDefault="0047348B" w:rsidP="0031521C">
      <w:r>
        <w:lastRenderedPageBreak/>
        <w:t>The result of the analysis is given by a vector of</w:t>
      </w:r>
      <w:r w:rsidR="00835430">
        <w:t xml:space="preserve"> </w:t>
      </w:r>
      <w:r>
        <w:t xml:space="preserve">the standard deviation of the </w:t>
      </w:r>
      <w:r w:rsidRPr="0047348B">
        <w:t>elementary effects</w:t>
      </w:r>
      <w:r>
        <w:t> </w:t>
      </w:r>
      <w:r w:rsidRPr="0047348B">
        <w:t>σ</w:t>
      </w:r>
      <w:r>
        <w:t xml:space="preserve"> and the mean of the absolute value of the elementary effects μ*. </w:t>
      </w:r>
    </w:p>
    <w:p w14:paraId="72661C48" w14:textId="72FB98A0" w:rsidR="00B9548C" w:rsidRPr="00B4392C" w:rsidRDefault="00B9548C" w:rsidP="0031521C">
      <w:pPr>
        <w:jc w:val="left"/>
      </w:pPr>
      <w:r w:rsidRPr="0031521C">
        <w:rPr>
          <w:i/>
          <w:iCs/>
        </w:rPr>
        <w:t xml:space="preserve">Table </w:t>
      </w:r>
      <w:r w:rsidRPr="0031521C">
        <w:rPr>
          <w:i/>
          <w:iCs/>
        </w:rPr>
        <w:fldChar w:fldCharType="begin"/>
      </w:r>
      <w:r w:rsidRPr="0031521C">
        <w:rPr>
          <w:i/>
          <w:iCs/>
        </w:rPr>
        <w:instrText xml:space="preserve"> SEQ Table \* ARABIC </w:instrText>
      </w:r>
      <w:r w:rsidRPr="0031521C">
        <w:rPr>
          <w:i/>
          <w:iCs/>
        </w:rPr>
        <w:fldChar w:fldCharType="separate"/>
      </w:r>
      <w:r w:rsidRPr="0031521C">
        <w:rPr>
          <w:i/>
          <w:iCs/>
          <w:noProof/>
        </w:rPr>
        <w:t>3</w:t>
      </w:r>
      <w:r w:rsidRPr="0031521C">
        <w:rPr>
          <w:i/>
          <w:iCs/>
        </w:rPr>
        <w:fldChar w:fldCharType="end"/>
      </w:r>
      <w:r w:rsidRPr="0031521C">
        <w:rPr>
          <w:i/>
          <w:iCs/>
        </w:rPr>
        <w:t xml:space="preserve">: Results of </w:t>
      </w:r>
      <w:r w:rsidR="00217879" w:rsidRPr="0031521C">
        <w:rPr>
          <w:i/>
          <w:iCs/>
        </w:rPr>
        <w:t xml:space="preserve">the </w:t>
      </w:r>
      <w:r w:rsidRPr="0031521C">
        <w:rPr>
          <w:i/>
          <w:iCs/>
        </w:rPr>
        <w:t xml:space="preserve">Morris </w:t>
      </w:r>
      <w:r w:rsidR="00217879" w:rsidRPr="0031521C">
        <w:rPr>
          <w:i/>
          <w:iCs/>
        </w:rPr>
        <w:t xml:space="preserve">method </w:t>
      </w:r>
      <w:r w:rsidRPr="0031521C">
        <w:rPr>
          <w:i/>
          <w:iCs/>
        </w:rPr>
        <w:t>for the LP and HP stage</w:t>
      </w:r>
    </w:p>
    <w:tbl>
      <w:tblPr>
        <w:tblStyle w:val="Tabellenraster"/>
        <w:tblW w:w="0" w:type="auto"/>
        <w:tblLook w:val="04A0" w:firstRow="1" w:lastRow="0" w:firstColumn="1" w:lastColumn="0" w:noHBand="0" w:noVBand="1"/>
      </w:tblPr>
      <w:tblGrid>
        <w:gridCol w:w="1241"/>
        <w:gridCol w:w="1256"/>
        <w:gridCol w:w="900"/>
        <w:gridCol w:w="993"/>
        <w:gridCol w:w="1141"/>
        <w:gridCol w:w="1148"/>
        <w:gridCol w:w="1148"/>
        <w:gridCol w:w="1148"/>
      </w:tblGrid>
      <w:tr w:rsidR="00B9548C" w:rsidRPr="00B4392C" w14:paraId="1FCACD0C" w14:textId="77777777" w:rsidTr="0031521C">
        <w:trPr>
          <w:trHeight w:val="295"/>
        </w:trPr>
        <w:tc>
          <w:tcPr>
            <w:tcW w:w="4390" w:type="dxa"/>
            <w:gridSpan w:val="4"/>
            <w:noWrap/>
          </w:tcPr>
          <w:p w14:paraId="30DA4A19" w14:textId="77777777" w:rsidR="00B9548C" w:rsidRPr="00B4392C" w:rsidRDefault="00B9548C" w:rsidP="000E0A09">
            <w:pPr>
              <w:rPr>
                <w:b/>
                <w:bCs/>
                <w:sz w:val="18"/>
                <w:szCs w:val="18"/>
              </w:rPr>
            </w:pPr>
            <w:r w:rsidRPr="00B4392C">
              <w:rPr>
                <w:b/>
                <w:bCs/>
                <w:sz w:val="18"/>
                <w:szCs w:val="18"/>
              </w:rPr>
              <w:t>LP Stage</w:t>
            </w:r>
          </w:p>
        </w:tc>
        <w:tc>
          <w:tcPr>
            <w:tcW w:w="4585" w:type="dxa"/>
            <w:gridSpan w:val="4"/>
          </w:tcPr>
          <w:p w14:paraId="4159742E" w14:textId="77777777" w:rsidR="00B9548C" w:rsidRPr="00B4392C" w:rsidRDefault="00B9548C" w:rsidP="000E0A09">
            <w:pPr>
              <w:rPr>
                <w:b/>
                <w:bCs/>
                <w:sz w:val="18"/>
                <w:szCs w:val="18"/>
              </w:rPr>
            </w:pPr>
            <w:r w:rsidRPr="00B4392C">
              <w:rPr>
                <w:b/>
                <w:bCs/>
                <w:sz w:val="18"/>
                <w:szCs w:val="18"/>
              </w:rPr>
              <w:t>HP Stage</w:t>
            </w:r>
          </w:p>
        </w:tc>
      </w:tr>
      <w:tr w:rsidR="00B9548C" w:rsidRPr="00B4392C" w14:paraId="02176F16" w14:textId="77777777" w:rsidTr="0031521C">
        <w:trPr>
          <w:trHeight w:val="288"/>
        </w:trPr>
        <w:tc>
          <w:tcPr>
            <w:tcW w:w="1241" w:type="dxa"/>
            <w:noWrap/>
            <w:vAlign w:val="center"/>
            <w:hideMark/>
          </w:tcPr>
          <w:p w14:paraId="42291203" w14:textId="77777777" w:rsidR="00B9548C" w:rsidRPr="00B4392C" w:rsidRDefault="00B9548C" w:rsidP="00B9548C">
            <w:pPr>
              <w:jc w:val="center"/>
              <w:rPr>
                <w:sz w:val="18"/>
                <w:szCs w:val="18"/>
              </w:rPr>
            </w:pPr>
          </w:p>
        </w:tc>
        <w:tc>
          <w:tcPr>
            <w:tcW w:w="1256" w:type="dxa"/>
            <w:noWrap/>
            <w:hideMark/>
          </w:tcPr>
          <w:p w14:paraId="3CA4CFF6" w14:textId="54E1C943" w:rsidR="00B9548C" w:rsidRPr="00B4392C" w:rsidRDefault="00B9548C" w:rsidP="00B9548C">
            <w:pPr>
              <w:rPr>
                <w:b/>
                <w:bCs/>
                <w:sz w:val="18"/>
                <w:szCs w:val="18"/>
              </w:rPr>
            </w:pPr>
            <w:r w:rsidRPr="00B4392C">
              <w:rPr>
                <w:b/>
                <w:bCs/>
                <w:sz w:val="18"/>
                <w:szCs w:val="18"/>
              </w:rPr>
              <w:t>µ</w:t>
            </w:r>
          </w:p>
        </w:tc>
        <w:tc>
          <w:tcPr>
            <w:tcW w:w="900" w:type="dxa"/>
            <w:noWrap/>
            <w:hideMark/>
          </w:tcPr>
          <w:p w14:paraId="19CAE62A" w14:textId="2A0A2BCB" w:rsidR="00B9548C" w:rsidRPr="00B4392C" w:rsidRDefault="00B9548C" w:rsidP="00B9548C">
            <w:pPr>
              <w:rPr>
                <w:b/>
                <w:bCs/>
                <w:sz w:val="18"/>
                <w:szCs w:val="18"/>
              </w:rPr>
            </w:pPr>
            <w:r w:rsidRPr="00B4392C">
              <w:rPr>
                <w:b/>
                <w:bCs/>
                <w:sz w:val="18"/>
                <w:szCs w:val="18"/>
              </w:rPr>
              <w:t>µ*</w:t>
            </w:r>
          </w:p>
        </w:tc>
        <w:tc>
          <w:tcPr>
            <w:tcW w:w="993" w:type="dxa"/>
            <w:noWrap/>
            <w:hideMark/>
          </w:tcPr>
          <w:p w14:paraId="17EC8BEA" w14:textId="7BBAC3DB" w:rsidR="00B9548C" w:rsidRPr="00B4392C" w:rsidRDefault="00B9548C" w:rsidP="00B9548C">
            <w:pPr>
              <w:rPr>
                <w:b/>
                <w:bCs/>
                <w:sz w:val="18"/>
                <w:szCs w:val="18"/>
              </w:rPr>
            </w:pPr>
            <w:r w:rsidRPr="00B4392C">
              <w:rPr>
                <w:b/>
                <w:bCs/>
                <w:sz w:val="18"/>
                <w:szCs w:val="18"/>
              </w:rPr>
              <w:t>σ</w:t>
            </w:r>
          </w:p>
        </w:tc>
        <w:tc>
          <w:tcPr>
            <w:tcW w:w="1141" w:type="dxa"/>
            <w:vAlign w:val="center"/>
          </w:tcPr>
          <w:p w14:paraId="68C03B64" w14:textId="77777777" w:rsidR="00B9548C" w:rsidRPr="00B4392C" w:rsidRDefault="00B9548C" w:rsidP="00B9548C">
            <w:pPr>
              <w:jc w:val="center"/>
              <w:rPr>
                <w:b/>
                <w:bCs/>
                <w:sz w:val="18"/>
                <w:szCs w:val="18"/>
              </w:rPr>
            </w:pPr>
          </w:p>
        </w:tc>
        <w:tc>
          <w:tcPr>
            <w:tcW w:w="1148" w:type="dxa"/>
          </w:tcPr>
          <w:p w14:paraId="31B34BB0" w14:textId="77777777" w:rsidR="00B9548C" w:rsidRPr="00B4392C" w:rsidRDefault="00B9548C" w:rsidP="00B9548C">
            <w:pPr>
              <w:rPr>
                <w:b/>
                <w:bCs/>
                <w:sz w:val="18"/>
                <w:szCs w:val="18"/>
              </w:rPr>
            </w:pPr>
            <w:r w:rsidRPr="00B4392C">
              <w:rPr>
                <w:b/>
                <w:bCs/>
                <w:sz w:val="18"/>
                <w:szCs w:val="18"/>
              </w:rPr>
              <w:t>µ</w:t>
            </w:r>
          </w:p>
        </w:tc>
        <w:tc>
          <w:tcPr>
            <w:tcW w:w="1148" w:type="dxa"/>
          </w:tcPr>
          <w:p w14:paraId="466B690B" w14:textId="77777777" w:rsidR="00B9548C" w:rsidRPr="00B4392C" w:rsidRDefault="00B9548C" w:rsidP="00B9548C">
            <w:pPr>
              <w:rPr>
                <w:b/>
                <w:bCs/>
                <w:sz w:val="18"/>
                <w:szCs w:val="18"/>
              </w:rPr>
            </w:pPr>
            <w:r w:rsidRPr="00B4392C">
              <w:rPr>
                <w:b/>
                <w:bCs/>
                <w:sz w:val="18"/>
                <w:szCs w:val="18"/>
              </w:rPr>
              <w:t>µ*</w:t>
            </w:r>
          </w:p>
        </w:tc>
        <w:tc>
          <w:tcPr>
            <w:tcW w:w="1148" w:type="dxa"/>
          </w:tcPr>
          <w:p w14:paraId="21A99720" w14:textId="77777777" w:rsidR="00B9548C" w:rsidRPr="00B4392C" w:rsidRDefault="00B9548C" w:rsidP="00B9548C">
            <w:pPr>
              <w:rPr>
                <w:b/>
                <w:bCs/>
                <w:sz w:val="18"/>
                <w:szCs w:val="18"/>
              </w:rPr>
            </w:pPr>
            <w:r w:rsidRPr="00B4392C">
              <w:rPr>
                <w:b/>
                <w:bCs/>
                <w:sz w:val="18"/>
                <w:szCs w:val="18"/>
              </w:rPr>
              <w:t>σ</w:t>
            </w:r>
          </w:p>
        </w:tc>
      </w:tr>
      <w:tr w:rsidR="00B9548C" w:rsidRPr="00B4392C" w14:paraId="1FEFB7DA" w14:textId="77777777" w:rsidTr="0031521C">
        <w:trPr>
          <w:trHeight w:val="288"/>
        </w:trPr>
        <w:tc>
          <w:tcPr>
            <w:tcW w:w="1241" w:type="dxa"/>
            <w:noWrap/>
            <w:vAlign w:val="center"/>
            <w:hideMark/>
          </w:tcPr>
          <w:p w14:paraId="580D44E8" w14:textId="77777777" w:rsidR="00B9548C" w:rsidRPr="00B4392C" w:rsidRDefault="00B9548C" w:rsidP="000E0A09">
            <w:pPr>
              <w:jc w:val="center"/>
              <w:rPr>
                <w:b/>
                <w:sz w:val="18"/>
                <w:szCs w:val="18"/>
              </w:rPr>
            </w:pPr>
            <w:r w:rsidRPr="00B4392C">
              <w:rPr>
                <w:b/>
                <w:sz w:val="18"/>
                <w:szCs w:val="18"/>
              </w:rPr>
              <w:t>p1</w:t>
            </w:r>
          </w:p>
        </w:tc>
        <w:tc>
          <w:tcPr>
            <w:tcW w:w="1256" w:type="dxa"/>
            <w:noWrap/>
            <w:vAlign w:val="bottom"/>
            <w:hideMark/>
          </w:tcPr>
          <w:p w14:paraId="10194EAE" w14:textId="77777777" w:rsidR="00B9548C" w:rsidRPr="00B4392C" w:rsidRDefault="00B9548C" w:rsidP="000E0A09">
            <w:pPr>
              <w:rPr>
                <w:sz w:val="18"/>
                <w:szCs w:val="18"/>
              </w:rPr>
            </w:pPr>
            <w:r w:rsidRPr="00B4392C">
              <w:rPr>
                <w:rFonts w:ascii="Calibri" w:hAnsi="Calibri" w:cs="Calibri"/>
                <w:color w:val="000000"/>
                <w:sz w:val="18"/>
                <w:szCs w:val="18"/>
              </w:rPr>
              <w:t>0,33</w:t>
            </w:r>
          </w:p>
        </w:tc>
        <w:tc>
          <w:tcPr>
            <w:tcW w:w="900" w:type="dxa"/>
            <w:noWrap/>
            <w:vAlign w:val="bottom"/>
            <w:hideMark/>
          </w:tcPr>
          <w:p w14:paraId="35EC1DE3" w14:textId="77777777" w:rsidR="00B9548C" w:rsidRPr="00B4392C" w:rsidRDefault="00B9548C" w:rsidP="000E0A09">
            <w:pPr>
              <w:rPr>
                <w:sz w:val="18"/>
                <w:szCs w:val="18"/>
              </w:rPr>
            </w:pPr>
            <w:r w:rsidRPr="00B4392C">
              <w:rPr>
                <w:rFonts w:ascii="Calibri" w:hAnsi="Calibri" w:cs="Calibri"/>
                <w:color w:val="000000"/>
                <w:sz w:val="18"/>
                <w:szCs w:val="18"/>
              </w:rPr>
              <w:t>0,33</w:t>
            </w:r>
          </w:p>
        </w:tc>
        <w:tc>
          <w:tcPr>
            <w:tcW w:w="993" w:type="dxa"/>
            <w:noWrap/>
            <w:vAlign w:val="bottom"/>
            <w:hideMark/>
          </w:tcPr>
          <w:p w14:paraId="3E435B8A" w14:textId="77777777" w:rsidR="00B9548C" w:rsidRPr="00B4392C" w:rsidRDefault="00B9548C" w:rsidP="000E0A09">
            <w:pPr>
              <w:rPr>
                <w:sz w:val="18"/>
                <w:szCs w:val="18"/>
              </w:rPr>
            </w:pPr>
            <w:r w:rsidRPr="00B4392C">
              <w:rPr>
                <w:rFonts w:ascii="Calibri" w:hAnsi="Calibri" w:cs="Calibri"/>
                <w:color w:val="000000"/>
                <w:sz w:val="18"/>
                <w:szCs w:val="18"/>
              </w:rPr>
              <w:t>0,13</w:t>
            </w:r>
          </w:p>
        </w:tc>
        <w:tc>
          <w:tcPr>
            <w:tcW w:w="1141" w:type="dxa"/>
            <w:vAlign w:val="center"/>
          </w:tcPr>
          <w:p w14:paraId="391BA150" w14:textId="77777777" w:rsidR="00B9548C" w:rsidRPr="00B4392C" w:rsidRDefault="00B9548C" w:rsidP="000E0A09">
            <w:pPr>
              <w:jc w:val="center"/>
              <w:rPr>
                <w:rFonts w:ascii="Calibri" w:hAnsi="Calibri" w:cs="Calibri"/>
                <w:color w:val="000000"/>
                <w:sz w:val="18"/>
                <w:szCs w:val="18"/>
              </w:rPr>
            </w:pPr>
            <w:r w:rsidRPr="00B4392C">
              <w:rPr>
                <w:b/>
                <w:sz w:val="18"/>
                <w:szCs w:val="18"/>
              </w:rPr>
              <w:t>p1</w:t>
            </w:r>
          </w:p>
        </w:tc>
        <w:tc>
          <w:tcPr>
            <w:tcW w:w="1148" w:type="dxa"/>
            <w:vAlign w:val="bottom"/>
          </w:tcPr>
          <w:p w14:paraId="74084E47" w14:textId="77777777" w:rsidR="00B9548C" w:rsidRPr="00B4392C" w:rsidRDefault="00B9548C" w:rsidP="000E0A09">
            <w:pPr>
              <w:rPr>
                <w:rFonts w:ascii="Calibri" w:hAnsi="Calibri" w:cs="Calibri"/>
                <w:color w:val="000000"/>
                <w:sz w:val="18"/>
                <w:szCs w:val="18"/>
              </w:rPr>
            </w:pPr>
            <w:r w:rsidRPr="00B4392C">
              <w:rPr>
                <w:rFonts w:ascii="Calibri" w:hAnsi="Calibri" w:cs="Calibri"/>
                <w:color w:val="000000"/>
                <w:sz w:val="18"/>
                <w:szCs w:val="18"/>
              </w:rPr>
              <w:t>0,64</w:t>
            </w:r>
          </w:p>
        </w:tc>
        <w:tc>
          <w:tcPr>
            <w:tcW w:w="1148" w:type="dxa"/>
            <w:vAlign w:val="bottom"/>
          </w:tcPr>
          <w:p w14:paraId="7DB00049" w14:textId="77777777" w:rsidR="00B9548C" w:rsidRPr="00B4392C" w:rsidRDefault="00B9548C" w:rsidP="000E0A09">
            <w:pPr>
              <w:rPr>
                <w:rFonts w:ascii="Calibri" w:hAnsi="Calibri" w:cs="Calibri"/>
                <w:color w:val="000000"/>
                <w:sz w:val="18"/>
                <w:szCs w:val="18"/>
              </w:rPr>
            </w:pPr>
            <w:r w:rsidRPr="00B4392C">
              <w:rPr>
                <w:rFonts w:ascii="Calibri" w:hAnsi="Calibri" w:cs="Calibri"/>
                <w:color w:val="000000"/>
                <w:sz w:val="18"/>
                <w:szCs w:val="18"/>
              </w:rPr>
              <w:t>0,64</w:t>
            </w:r>
          </w:p>
        </w:tc>
        <w:tc>
          <w:tcPr>
            <w:tcW w:w="1148" w:type="dxa"/>
            <w:vAlign w:val="bottom"/>
          </w:tcPr>
          <w:p w14:paraId="6407F285" w14:textId="77777777" w:rsidR="00B9548C" w:rsidRPr="00B4392C" w:rsidRDefault="00B9548C" w:rsidP="000E0A09">
            <w:pPr>
              <w:rPr>
                <w:rFonts w:ascii="Calibri" w:hAnsi="Calibri" w:cs="Calibri"/>
                <w:color w:val="000000"/>
                <w:sz w:val="18"/>
                <w:szCs w:val="18"/>
              </w:rPr>
            </w:pPr>
            <w:r w:rsidRPr="00B4392C">
              <w:rPr>
                <w:rFonts w:ascii="Calibri" w:hAnsi="Calibri" w:cs="Calibri"/>
                <w:color w:val="000000"/>
                <w:sz w:val="18"/>
                <w:szCs w:val="18"/>
              </w:rPr>
              <w:t>0,64</w:t>
            </w:r>
          </w:p>
        </w:tc>
      </w:tr>
      <w:tr w:rsidR="00B9548C" w:rsidRPr="00B4392C" w14:paraId="6AE8C656" w14:textId="77777777" w:rsidTr="0031521C">
        <w:trPr>
          <w:trHeight w:val="288"/>
        </w:trPr>
        <w:tc>
          <w:tcPr>
            <w:tcW w:w="1241" w:type="dxa"/>
            <w:noWrap/>
            <w:vAlign w:val="center"/>
            <w:hideMark/>
          </w:tcPr>
          <w:p w14:paraId="4A6CF060" w14:textId="77777777" w:rsidR="00B9548C" w:rsidRPr="00B4392C" w:rsidRDefault="00B9548C" w:rsidP="000E0A09">
            <w:pPr>
              <w:jc w:val="center"/>
              <w:rPr>
                <w:b/>
                <w:sz w:val="18"/>
                <w:szCs w:val="18"/>
              </w:rPr>
            </w:pPr>
            <w:r w:rsidRPr="00B4392C">
              <w:rPr>
                <w:b/>
                <w:sz w:val="18"/>
                <w:szCs w:val="18"/>
              </w:rPr>
              <w:t>p2</w:t>
            </w:r>
          </w:p>
        </w:tc>
        <w:tc>
          <w:tcPr>
            <w:tcW w:w="1256" w:type="dxa"/>
            <w:noWrap/>
            <w:vAlign w:val="bottom"/>
            <w:hideMark/>
          </w:tcPr>
          <w:p w14:paraId="504E65F8" w14:textId="77777777" w:rsidR="00B9548C" w:rsidRPr="00B4392C" w:rsidRDefault="00B9548C" w:rsidP="000E0A09">
            <w:pPr>
              <w:rPr>
                <w:sz w:val="18"/>
                <w:szCs w:val="18"/>
              </w:rPr>
            </w:pPr>
            <w:r w:rsidRPr="00B4392C">
              <w:rPr>
                <w:rFonts w:ascii="Calibri" w:hAnsi="Calibri" w:cs="Calibri"/>
                <w:color w:val="000000"/>
                <w:sz w:val="18"/>
                <w:szCs w:val="18"/>
              </w:rPr>
              <w:t>-0,05</w:t>
            </w:r>
          </w:p>
        </w:tc>
        <w:tc>
          <w:tcPr>
            <w:tcW w:w="900" w:type="dxa"/>
            <w:noWrap/>
            <w:vAlign w:val="bottom"/>
            <w:hideMark/>
          </w:tcPr>
          <w:p w14:paraId="6AAAC5CA" w14:textId="77777777" w:rsidR="00B9548C" w:rsidRPr="00B4392C" w:rsidRDefault="00B9548C" w:rsidP="000E0A09">
            <w:pPr>
              <w:rPr>
                <w:sz w:val="18"/>
                <w:szCs w:val="18"/>
              </w:rPr>
            </w:pPr>
            <w:r w:rsidRPr="00B4392C">
              <w:rPr>
                <w:rFonts w:ascii="Calibri" w:hAnsi="Calibri" w:cs="Calibri"/>
                <w:color w:val="000000"/>
                <w:sz w:val="18"/>
                <w:szCs w:val="18"/>
              </w:rPr>
              <w:t>0,05</w:t>
            </w:r>
          </w:p>
        </w:tc>
        <w:tc>
          <w:tcPr>
            <w:tcW w:w="993" w:type="dxa"/>
            <w:noWrap/>
            <w:vAlign w:val="bottom"/>
            <w:hideMark/>
          </w:tcPr>
          <w:p w14:paraId="3472C966" w14:textId="77777777" w:rsidR="00B9548C" w:rsidRPr="00B4392C" w:rsidRDefault="00B9548C" w:rsidP="000E0A09">
            <w:pPr>
              <w:rPr>
                <w:sz w:val="18"/>
                <w:szCs w:val="18"/>
              </w:rPr>
            </w:pPr>
            <w:r w:rsidRPr="00B4392C">
              <w:rPr>
                <w:rFonts w:ascii="Calibri" w:hAnsi="Calibri" w:cs="Calibri"/>
                <w:color w:val="000000"/>
                <w:sz w:val="18"/>
                <w:szCs w:val="18"/>
              </w:rPr>
              <w:t>0,05</w:t>
            </w:r>
          </w:p>
        </w:tc>
        <w:tc>
          <w:tcPr>
            <w:tcW w:w="1141" w:type="dxa"/>
            <w:vAlign w:val="center"/>
          </w:tcPr>
          <w:p w14:paraId="32A520ED" w14:textId="77777777" w:rsidR="00B9548C" w:rsidRPr="00B4392C" w:rsidRDefault="00B9548C" w:rsidP="000E0A09">
            <w:pPr>
              <w:jc w:val="center"/>
              <w:rPr>
                <w:rFonts w:ascii="Calibri" w:hAnsi="Calibri" w:cs="Calibri"/>
                <w:color w:val="000000"/>
                <w:sz w:val="18"/>
                <w:szCs w:val="18"/>
              </w:rPr>
            </w:pPr>
            <w:r w:rsidRPr="00B4392C">
              <w:rPr>
                <w:b/>
                <w:sz w:val="18"/>
                <w:szCs w:val="18"/>
              </w:rPr>
              <w:t>p2</w:t>
            </w:r>
          </w:p>
        </w:tc>
        <w:tc>
          <w:tcPr>
            <w:tcW w:w="1148" w:type="dxa"/>
            <w:vAlign w:val="bottom"/>
          </w:tcPr>
          <w:p w14:paraId="03ECF9E5" w14:textId="77777777" w:rsidR="00B9548C" w:rsidRPr="00B4392C" w:rsidRDefault="00B9548C" w:rsidP="000E0A09">
            <w:pPr>
              <w:rPr>
                <w:rFonts w:ascii="Calibri" w:hAnsi="Calibri" w:cs="Calibri"/>
                <w:color w:val="000000"/>
                <w:sz w:val="18"/>
                <w:szCs w:val="18"/>
              </w:rPr>
            </w:pPr>
            <w:r w:rsidRPr="00B4392C">
              <w:rPr>
                <w:rFonts w:ascii="Calibri" w:hAnsi="Calibri" w:cs="Calibri"/>
                <w:color w:val="000000"/>
                <w:sz w:val="18"/>
                <w:szCs w:val="18"/>
              </w:rPr>
              <w:t>-0,11</w:t>
            </w:r>
          </w:p>
        </w:tc>
        <w:tc>
          <w:tcPr>
            <w:tcW w:w="1148" w:type="dxa"/>
            <w:vAlign w:val="bottom"/>
          </w:tcPr>
          <w:p w14:paraId="353B78D8" w14:textId="77777777" w:rsidR="00B9548C" w:rsidRPr="00B4392C" w:rsidRDefault="00B9548C" w:rsidP="000E0A09">
            <w:pPr>
              <w:rPr>
                <w:rFonts w:ascii="Calibri" w:hAnsi="Calibri" w:cs="Calibri"/>
                <w:color w:val="000000"/>
                <w:sz w:val="18"/>
                <w:szCs w:val="18"/>
              </w:rPr>
            </w:pPr>
            <w:r w:rsidRPr="00B4392C">
              <w:rPr>
                <w:rFonts w:ascii="Calibri" w:hAnsi="Calibri" w:cs="Calibri"/>
                <w:color w:val="000000"/>
                <w:sz w:val="18"/>
                <w:szCs w:val="18"/>
              </w:rPr>
              <w:t>0,11</w:t>
            </w:r>
          </w:p>
        </w:tc>
        <w:tc>
          <w:tcPr>
            <w:tcW w:w="1148" w:type="dxa"/>
            <w:vAlign w:val="bottom"/>
          </w:tcPr>
          <w:p w14:paraId="4597C837" w14:textId="77777777" w:rsidR="00B9548C" w:rsidRPr="00B4392C" w:rsidRDefault="00B9548C" w:rsidP="000E0A09">
            <w:pPr>
              <w:rPr>
                <w:rFonts w:ascii="Calibri" w:hAnsi="Calibri" w:cs="Calibri"/>
                <w:color w:val="000000"/>
                <w:sz w:val="18"/>
                <w:szCs w:val="18"/>
              </w:rPr>
            </w:pPr>
            <w:r w:rsidRPr="00B4392C">
              <w:rPr>
                <w:rFonts w:ascii="Calibri" w:hAnsi="Calibri" w:cs="Calibri"/>
                <w:color w:val="000000"/>
                <w:sz w:val="18"/>
                <w:szCs w:val="18"/>
              </w:rPr>
              <w:t>0,11</w:t>
            </w:r>
          </w:p>
        </w:tc>
      </w:tr>
      <w:tr w:rsidR="00B9548C" w:rsidRPr="00B4392C" w14:paraId="6A7810F3" w14:textId="77777777" w:rsidTr="0031521C">
        <w:trPr>
          <w:trHeight w:val="288"/>
        </w:trPr>
        <w:tc>
          <w:tcPr>
            <w:tcW w:w="1241" w:type="dxa"/>
            <w:noWrap/>
            <w:vAlign w:val="center"/>
            <w:hideMark/>
          </w:tcPr>
          <w:p w14:paraId="7F0DC1B5" w14:textId="77777777" w:rsidR="00B9548C" w:rsidRPr="00B4392C" w:rsidRDefault="00B9548C" w:rsidP="000E0A09">
            <w:pPr>
              <w:jc w:val="center"/>
              <w:rPr>
                <w:b/>
                <w:sz w:val="18"/>
                <w:szCs w:val="18"/>
              </w:rPr>
            </w:pPr>
            <w:r w:rsidRPr="00B4392C">
              <w:rPr>
                <w:b/>
                <w:sz w:val="18"/>
                <w:szCs w:val="18"/>
              </w:rPr>
              <w:t>p3</w:t>
            </w:r>
          </w:p>
        </w:tc>
        <w:tc>
          <w:tcPr>
            <w:tcW w:w="1256" w:type="dxa"/>
            <w:noWrap/>
            <w:vAlign w:val="bottom"/>
            <w:hideMark/>
          </w:tcPr>
          <w:p w14:paraId="4DCD2F52" w14:textId="77777777" w:rsidR="00B9548C" w:rsidRPr="00B4392C" w:rsidRDefault="00B9548C" w:rsidP="000E0A09">
            <w:pPr>
              <w:rPr>
                <w:sz w:val="18"/>
                <w:szCs w:val="18"/>
              </w:rPr>
            </w:pPr>
            <w:r w:rsidRPr="00B4392C">
              <w:rPr>
                <w:rFonts w:ascii="Calibri" w:hAnsi="Calibri" w:cs="Calibri"/>
                <w:color w:val="000000"/>
                <w:sz w:val="18"/>
                <w:szCs w:val="18"/>
              </w:rPr>
              <w:t>-0,03</w:t>
            </w:r>
          </w:p>
        </w:tc>
        <w:tc>
          <w:tcPr>
            <w:tcW w:w="900" w:type="dxa"/>
            <w:noWrap/>
            <w:vAlign w:val="bottom"/>
            <w:hideMark/>
          </w:tcPr>
          <w:p w14:paraId="539D2C4A" w14:textId="77777777" w:rsidR="00B9548C" w:rsidRPr="00B4392C" w:rsidRDefault="00B9548C" w:rsidP="000E0A09">
            <w:pPr>
              <w:rPr>
                <w:sz w:val="18"/>
                <w:szCs w:val="18"/>
              </w:rPr>
            </w:pPr>
            <w:r w:rsidRPr="00B4392C">
              <w:rPr>
                <w:rFonts w:ascii="Calibri" w:hAnsi="Calibri" w:cs="Calibri"/>
                <w:color w:val="000000"/>
                <w:sz w:val="18"/>
                <w:szCs w:val="18"/>
              </w:rPr>
              <w:t>0,10</w:t>
            </w:r>
          </w:p>
        </w:tc>
        <w:tc>
          <w:tcPr>
            <w:tcW w:w="993" w:type="dxa"/>
            <w:noWrap/>
            <w:vAlign w:val="bottom"/>
            <w:hideMark/>
          </w:tcPr>
          <w:p w14:paraId="4FB8E202" w14:textId="77777777" w:rsidR="00B9548C" w:rsidRPr="00B4392C" w:rsidRDefault="00B9548C" w:rsidP="000E0A09">
            <w:pPr>
              <w:rPr>
                <w:sz w:val="18"/>
                <w:szCs w:val="18"/>
              </w:rPr>
            </w:pPr>
            <w:r w:rsidRPr="00B4392C">
              <w:rPr>
                <w:rFonts w:ascii="Calibri" w:hAnsi="Calibri" w:cs="Calibri"/>
                <w:color w:val="000000"/>
                <w:sz w:val="18"/>
                <w:szCs w:val="18"/>
              </w:rPr>
              <w:t>0,14</w:t>
            </w:r>
          </w:p>
        </w:tc>
        <w:tc>
          <w:tcPr>
            <w:tcW w:w="1141" w:type="dxa"/>
            <w:vAlign w:val="center"/>
          </w:tcPr>
          <w:p w14:paraId="02C33960" w14:textId="77777777" w:rsidR="00B9548C" w:rsidRPr="00B4392C" w:rsidRDefault="00B9548C" w:rsidP="000E0A09">
            <w:pPr>
              <w:jc w:val="center"/>
              <w:rPr>
                <w:rFonts w:ascii="Calibri" w:hAnsi="Calibri" w:cs="Calibri"/>
                <w:color w:val="000000"/>
                <w:sz w:val="18"/>
                <w:szCs w:val="18"/>
              </w:rPr>
            </w:pPr>
            <w:r w:rsidRPr="00B4392C">
              <w:rPr>
                <w:b/>
                <w:sz w:val="18"/>
                <w:szCs w:val="18"/>
              </w:rPr>
              <w:t>p3</w:t>
            </w:r>
          </w:p>
        </w:tc>
        <w:tc>
          <w:tcPr>
            <w:tcW w:w="1148" w:type="dxa"/>
            <w:vAlign w:val="bottom"/>
          </w:tcPr>
          <w:p w14:paraId="167CD8C4" w14:textId="77777777" w:rsidR="00B9548C" w:rsidRPr="00B4392C" w:rsidRDefault="00B9548C" w:rsidP="000E0A09">
            <w:pPr>
              <w:rPr>
                <w:rFonts w:ascii="Calibri" w:hAnsi="Calibri" w:cs="Calibri"/>
                <w:color w:val="000000"/>
                <w:sz w:val="18"/>
                <w:szCs w:val="18"/>
              </w:rPr>
            </w:pPr>
            <w:r w:rsidRPr="00B4392C">
              <w:rPr>
                <w:rFonts w:ascii="Calibri" w:hAnsi="Calibri" w:cs="Calibri"/>
                <w:color w:val="000000"/>
                <w:sz w:val="18"/>
                <w:szCs w:val="18"/>
              </w:rPr>
              <w:t>-0,13</w:t>
            </w:r>
          </w:p>
        </w:tc>
        <w:tc>
          <w:tcPr>
            <w:tcW w:w="1148" w:type="dxa"/>
            <w:vAlign w:val="bottom"/>
          </w:tcPr>
          <w:p w14:paraId="4E949638" w14:textId="77777777" w:rsidR="00B9548C" w:rsidRPr="00B4392C" w:rsidRDefault="00B9548C" w:rsidP="000E0A09">
            <w:pPr>
              <w:rPr>
                <w:rFonts w:ascii="Calibri" w:hAnsi="Calibri" w:cs="Calibri"/>
                <w:color w:val="000000"/>
                <w:sz w:val="18"/>
                <w:szCs w:val="18"/>
              </w:rPr>
            </w:pPr>
            <w:r w:rsidRPr="00B4392C">
              <w:rPr>
                <w:rFonts w:ascii="Calibri" w:hAnsi="Calibri" w:cs="Calibri"/>
                <w:color w:val="000000"/>
                <w:sz w:val="18"/>
                <w:szCs w:val="18"/>
              </w:rPr>
              <w:t>0,14</w:t>
            </w:r>
          </w:p>
        </w:tc>
        <w:tc>
          <w:tcPr>
            <w:tcW w:w="1148" w:type="dxa"/>
            <w:vAlign w:val="bottom"/>
          </w:tcPr>
          <w:p w14:paraId="3553C9F8" w14:textId="77777777" w:rsidR="00B9548C" w:rsidRPr="00B4392C" w:rsidRDefault="00B9548C" w:rsidP="000E0A09">
            <w:pPr>
              <w:rPr>
                <w:rFonts w:ascii="Calibri" w:hAnsi="Calibri" w:cs="Calibri"/>
                <w:color w:val="000000"/>
                <w:sz w:val="18"/>
                <w:szCs w:val="18"/>
              </w:rPr>
            </w:pPr>
            <w:r w:rsidRPr="00B4392C">
              <w:rPr>
                <w:rFonts w:ascii="Calibri" w:hAnsi="Calibri" w:cs="Calibri"/>
                <w:color w:val="000000"/>
                <w:sz w:val="18"/>
                <w:szCs w:val="18"/>
              </w:rPr>
              <w:t>0,13</w:t>
            </w:r>
          </w:p>
        </w:tc>
      </w:tr>
      <w:tr w:rsidR="00B9548C" w:rsidRPr="00B4392C" w14:paraId="01D25328" w14:textId="77777777" w:rsidTr="0031521C">
        <w:trPr>
          <w:trHeight w:val="288"/>
        </w:trPr>
        <w:tc>
          <w:tcPr>
            <w:tcW w:w="1241" w:type="dxa"/>
            <w:noWrap/>
            <w:vAlign w:val="center"/>
            <w:hideMark/>
          </w:tcPr>
          <w:p w14:paraId="1B2F1CA9" w14:textId="77777777" w:rsidR="00B9548C" w:rsidRPr="00B4392C" w:rsidRDefault="00B9548C" w:rsidP="000E0A09">
            <w:pPr>
              <w:jc w:val="center"/>
              <w:rPr>
                <w:b/>
                <w:sz w:val="18"/>
                <w:szCs w:val="18"/>
              </w:rPr>
            </w:pPr>
            <w:r w:rsidRPr="00B4392C">
              <w:rPr>
                <w:b/>
                <w:sz w:val="18"/>
                <w:szCs w:val="18"/>
              </w:rPr>
              <w:t>p4</w:t>
            </w:r>
          </w:p>
        </w:tc>
        <w:tc>
          <w:tcPr>
            <w:tcW w:w="1256" w:type="dxa"/>
            <w:noWrap/>
            <w:vAlign w:val="bottom"/>
            <w:hideMark/>
          </w:tcPr>
          <w:p w14:paraId="796B45D3" w14:textId="77777777" w:rsidR="00B9548C" w:rsidRPr="00B4392C" w:rsidRDefault="00B9548C" w:rsidP="000E0A09">
            <w:pPr>
              <w:rPr>
                <w:sz w:val="18"/>
                <w:szCs w:val="18"/>
              </w:rPr>
            </w:pPr>
            <w:r w:rsidRPr="00B4392C">
              <w:rPr>
                <w:rFonts w:ascii="Calibri" w:hAnsi="Calibri" w:cs="Calibri"/>
                <w:color w:val="000000"/>
                <w:sz w:val="18"/>
                <w:szCs w:val="18"/>
              </w:rPr>
              <w:t>-0,41</w:t>
            </w:r>
          </w:p>
        </w:tc>
        <w:tc>
          <w:tcPr>
            <w:tcW w:w="900" w:type="dxa"/>
            <w:noWrap/>
            <w:vAlign w:val="bottom"/>
            <w:hideMark/>
          </w:tcPr>
          <w:p w14:paraId="2362A5F7" w14:textId="77777777" w:rsidR="00B9548C" w:rsidRPr="00B4392C" w:rsidRDefault="00B9548C" w:rsidP="000E0A09">
            <w:pPr>
              <w:rPr>
                <w:sz w:val="18"/>
                <w:szCs w:val="18"/>
              </w:rPr>
            </w:pPr>
            <w:r w:rsidRPr="00B4392C">
              <w:rPr>
                <w:rFonts w:ascii="Calibri" w:hAnsi="Calibri" w:cs="Calibri"/>
                <w:color w:val="000000"/>
                <w:sz w:val="18"/>
                <w:szCs w:val="18"/>
              </w:rPr>
              <w:t>0,41</w:t>
            </w:r>
          </w:p>
        </w:tc>
        <w:tc>
          <w:tcPr>
            <w:tcW w:w="993" w:type="dxa"/>
            <w:noWrap/>
            <w:vAlign w:val="bottom"/>
            <w:hideMark/>
          </w:tcPr>
          <w:p w14:paraId="1A85C761" w14:textId="77777777" w:rsidR="00B9548C" w:rsidRPr="00B4392C" w:rsidRDefault="00B9548C" w:rsidP="000E0A09">
            <w:pPr>
              <w:rPr>
                <w:sz w:val="18"/>
                <w:szCs w:val="18"/>
              </w:rPr>
            </w:pPr>
            <w:r w:rsidRPr="00B4392C">
              <w:rPr>
                <w:rFonts w:ascii="Calibri" w:hAnsi="Calibri" w:cs="Calibri"/>
                <w:color w:val="000000"/>
                <w:sz w:val="18"/>
                <w:szCs w:val="18"/>
              </w:rPr>
              <w:t>0,28</w:t>
            </w:r>
          </w:p>
        </w:tc>
        <w:tc>
          <w:tcPr>
            <w:tcW w:w="1141" w:type="dxa"/>
            <w:vAlign w:val="center"/>
          </w:tcPr>
          <w:p w14:paraId="193E9521" w14:textId="77777777" w:rsidR="00B9548C" w:rsidRPr="00B4392C" w:rsidRDefault="00B9548C" w:rsidP="000E0A09">
            <w:pPr>
              <w:jc w:val="center"/>
              <w:rPr>
                <w:rFonts w:ascii="Calibri" w:hAnsi="Calibri" w:cs="Calibri"/>
                <w:color w:val="000000"/>
                <w:sz w:val="18"/>
                <w:szCs w:val="18"/>
              </w:rPr>
            </w:pPr>
            <w:r w:rsidRPr="00B4392C">
              <w:rPr>
                <w:b/>
                <w:sz w:val="18"/>
                <w:szCs w:val="18"/>
              </w:rPr>
              <w:t>p4</w:t>
            </w:r>
          </w:p>
        </w:tc>
        <w:tc>
          <w:tcPr>
            <w:tcW w:w="1148" w:type="dxa"/>
            <w:vAlign w:val="bottom"/>
          </w:tcPr>
          <w:p w14:paraId="10EBD202" w14:textId="77777777" w:rsidR="00B9548C" w:rsidRPr="00B4392C" w:rsidRDefault="00B9548C" w:rsidP="000E0A09">
            <w:pPr>
              <w:rPr>
                <w:rFonts w:ascii="Calibri" w:hAnsi="Calibri" w:cs="Calibri"/>
                <w:color w:val="000000"/>
                <w:sz w:val="18"/>
                <w:szCs w:val="18"/>
              </w:rPr>
            </w:pPr>
            <w:r w:rsidRPr="00B4392C">
              <w:rPr>
                <w:rFonts w:ascii="Calibri" w:hAnsi="Calibri" w:cs="Calibri"/>
                <w:color w:val="000000"/>
                <w:sz w:val="18"/>
                <w:szCs w:val="18"/>
              </w:rPr>
              <w:t>0,33</w:t>
            </w:r>
          </w:p>
        </w:tc>
        <w:tc>
          <w:tcPr>
            <w:tcW w:w="1148" w:type="dxa"/>
            <w:vAlign w:val="bottom"/>
          </w:tcPr>
          <w:p w14:paraId="41E440FD" w14:textId="77777777" w:rsidR="00B9548C" w:rsidRPr="00B4392C" w:rsidRDefault="00B9548C" w:rsidP="000E0A09">
            <w:pPr>
              <w:rPr>
                <w:rFonts w:ascii="Calibri" w:hAnsi="Calibri" w:cs="Calibri"/>
                <w:color w:val="000000"/>
                <w:sz w:val="18"/>
                <w:szCs w:val="18"/>
              </w:rPr>
            </w:pPr>
            <w:r w:rsidRPr="00B4392C">
              <w:rPr>
                <w:rFonts w:ascii="Calibri" w:hAnsi="Calibri" w:cs="Calibri"/>
                <w:color w:val="000000"/>
                <w:sz w:val="18"/>
                <w:szCs w:val="18"/>
              </w:rPr>
              <w:t>0,45</w:t>
            </w:r>
          </w:p>
        </w:tc>
        <w:tc>
          <w:tcPr>
            <w:tcW w:w="1148" w:type="dxa"/>
            <w:vAlign w:val="bottom"/>
          </w:tcPr>
          <w:p w14:paraId="6C9DEE78" w14:textId="77777777" w:rsidR="00B9548C" w:rsidRPr="00B4392C" w:rsidRDefault="00B9548C" w:rsidP="000E0A09">
            <w:pPr>
              <w:rPr>
                <w:rFonts w:ascii="Calibri" w:hAnsi="Calibri" w:cs="Calibri"/>
                <w:color w:val="000000"/>
                <w:sz w:val="18"/>
                <w:szCs w:val="18"/>
              </w:rPr>
            </w:pPr>
            <w:r w:rsidRPr="00B4392C">
              <w:rPr>
                <w:rFonts w:ascii="Calibri" w:hAnsi="Calibri" w:cs="Calibri"/>
                <w:color w:val="000000"/>
                <w:sz w:val="18"/>
                <w:szCs w:val="18"/>
              </w:rPr>
              <w:t>0,73</w:t>
            </w:r>
          </w:p>
        </w:tc>
      </w:tr>
      <w:tr w:rsidR="00B9548C" w:rsidRPr="00B4392C" w14:paraId="2D08A237" w14:textId="77777777" w:rsidTr="0031521C">
        <w:trPr>
          <w:trHeight w:val="288"/>
        </w:trPr>
        <w:tc>
          <w:tcPr>
            <w:tcW w:w="1241" w:type="dxa"/>
            <w:noWrap/>
            <w:vAlign w:val="center"/>
            <w:hideMark/>
          </w:tcPr>
          <w:p w14:paraId="7CCCC5D2" w14:textId="77777777" w:rsidR="00B9548C" w:rsidRPr="00B4392C" w:rsidRDefault="00B9548C" w:rsidP="000E0A09">
            <w:pPr>
              <w:jc w:val="center"/>
              <w:rPr>
                <w:b/>
                <w:sz w:val="18"/>
                <w:szCs w:val="18"/>
              </w:rPr>
            </w:pPr>
            <w:r w:rsidRPr="00B4392C">
              <w:rPr>
                <w:b/>
                <w:sz w:val="18"/>
                <w:szCs w:val="18"/>
              </w:rPr>
              <w:t>p5</w:t>
            </w:r>
          </w:p>
        </w:tc>
        <w:tc>
          <w:tcPr>
            <w:tcW w:w="1256" w:type="dxa"/>
            <w:noWrap/>
            <w:vAlign w:val="bottom"/>
            <w:hideMark/>
          </w:tcPr>
          <w:p w14:paraId="56CE1482" w14:textId="77777777" w:rsidR="00B9548C" w:rsidRPr="00B4392C" w:rsidRDefault="00B9548C" w:rsidP="000E0A09">
            <w:pPr>
              <w:rPr>
                <w:sz w:val="18"/>
                <w:szCs w:val="18"/>
              </w:rPr>
            </w:pPr>
            <w:r w:rsidRPr="00B4392C">
              <w:rPr>
                <w:rFonts w:ascii="Calibri" w:hAnsi="Calibri" w:cs="Calibri"/>
                <w:color w:val="000000"/>
                <w:sz w:val="18"/>
                <w:szCs w:val="18"/>
              </w:rPr>
              <w:t>0,19</w:t>
            </w:r>
          </w:p>
        </w:tc>
        <w:tc>
          <w:tcPr>
            <w:tcW w:w="900" w:type="dxa"/>
            <w:noWrap/>
            <w:vAlign w:val="bottom"/>
            <w:hideMark/>
          </w:tcPr>
          <w:p w14:paraId="3AF59C83" w14:textId="77777777" w:rsidR="00B9548C" w:rsidRPr="00B4392C" w:rsidRDefault="00B9548C" w:rsidP="000E0A09">
            <w:pPr>
              <w:rPr>
                <w:sz w:val="18"/>
                <w:szCs w:val="18"/>
              </w:rPr>
            </w:pPr>
            <w:r w:rsidRPr="00B4392C">
              <w:rPr>
                <w:rFonts w:ascii="Calibri" w:hAnsi="Calibri" w:cs="Calibri"/>
                <w:color w:val="000000"/>
                <w:sz w:val="18"/>
                <w:szCs w:val="18"/>
              </w:rPr>
              <w:t>0,19</w:t>
            </w:r>
          </w:p>
        </w:tc>
        <w:tc>
          <w:tcPr>
            <w:tcW w:w="993" w:type="dxa"/>
            <w:noWrap/>
            <w:vAlign w:val="bottom"/>
            <w:hideMark/>
          </w:tcPr>
          <w:p w14:paraId="7B822CE5" w14:textId="77777777" w:rsidR="00B9548C" w:rsidRPr="00B4392C" w:rsidRDefault="00B9548C" w:rsidP="000E0A09">
            <w:pPr>
              <w:rPr>
                <w:sz w:val="18"/>
                <w:szCs w:val="18"/>
              </w:rPr>
            </w:pPr>
            <w:r w:rsidRPr="00B4392C">
              <w:rPr>
                <w:rFonts w:ascii="Calibri" w:hAnsi="Calibri" w:cs="Calibri"/>
                <w:color w:val="000000"/>
                <w:sz w:val="18"/>
                <w:szCs w:val="18"/>
              </w:rPr>
              <w:t>0,08</w:t>
            </w:r>
          </w:p>
        </w:tc>
        <w:tc>
          <w:tcPr>
            <w:tcW w:w="1141" w:type="dxa"/>
            <w:vAlign w:val="center"/>
          </w:tcPr>
          <w:p w14:paraId="4C014F31" w14:textId="77777777" w:rsidR="00B9548C" w:rsidRPr="00B4392C" w:rsidRDefault="00B9548C" w:rsidP="000E0A09">
            <w:pPr>
              <w:jc w:val="center"/>
              <w:rPr>
                <w:rFonts w:ascii="Calibri" w:hAnsi="Calibri" w:cs="Calibri"/>
                <w:color w:val="000000"/>
                <w:sz w:val="18"/>
                <w:szCs w:val="18"/>
              </w:rPr>
            </w:pPr>
            <w:r w:rsidRPr="00B4392C">
              <w:rPr>
                <w:b/>
                <w:sz w:val="18"/>
                <w:szCs w:val="18"/>
              </w:rPr>
              <w:t>p5</w:t>
            </w:r>
          </w:p>
        </w:tc>
        <w:tc>
          <w:tcPr>
            <w:tcW w:w="1148" w:type="dxa"/>
            <w:vAlign w:val="bottom"/>
          </w:tcPr>
          <w:p w14:paraId="6947EA55" w14:textId="77777777" w:rsidR="00B9548C" w:rsidRPr="00B4392C" w:rsidRDefault="00B9548C" w:rsidP="000E0A09">
            <w:pPr>
              <w:rPr>
                <w:rFonts w:ascii="Calibri" w:hAnsi="Calibri" w:cs="Calibri"/>
                <w:color w:val="000000"/>
                <w:sz w:val="18"/>
                <w:szCs w:val="18"/>
              </w:rPr>
            </w:pPr>
            <w:r w:rsidRPr="00B4392C">
              <w:rPr>
                <w:rFonts w:ascii="Calibri" w:hAnsi="Calibri" w:cs="Calibri"/>
                <w:color w:val="000000"/>
                <w:sz w:val="18"/>
                <w:szCs w:val="18"/>
              </w:rPr>
              <w:t>0,25</w:t>
            </w:r>
          </w:p>
        </w:tc>
        <w:tc>
          <w:tcPr>
            <w:tcW w:w="1148" w:type="dxa"/>
            <w:vAlign w:val="bottom"/>
          </w:tcPr>
          <w:p w14:paraId="06F5AF6D" w14:textId="77777777" w:rsidR="00B9548C" w:rsidRPr="00B4392C" w:rsidRDefault="00B9548C" w:rsidP="000E0A09">
            <w:pPr>
              <w:rPr>
                <w:rFonts w:ascii="Calibri" w:hAnsi="Calibri" w:cs="Calibri"/>
                <w:color w:val="000000"/>
                <w:sz w:val="18"/>
                <w:szCs w:val="18"/>
              </w:rPr>
            </w:pPr>
            <w:r w:rsidRPr="00B4392C">
              <w:rPr>
                <w:rFonts w:ascii="Calibri" w:hAnsi="Calibri" w:cs="Calibri"/>
                <w:color w:val="000000"/>
                <w:sz w:val="18"/>
                <w:szCs w:val="18"/>
              </w:rPr>
              <w:t>0,25</w:t>
            </w:r>
          </w:p>
        </w:tc>
        <w:tc>
          <w:tcPr>
            <w:tcW w:w="1148" w:type="dxa"/>
            <w:vAlign w:val="bottom"/>
          </w:tcPr>
          <w:p w14:paraId="1A579555" w14:textId="77777777" w:rsidR="00B9548C" w:rsidRPr="00B4392C" w:rsidRDefault="00B9548C" w:rsidP="000E0A09">
            <w:pPr>
              <w:rPr>
                <w:rFonts w:ascii="Calibri" w:hAnsi="Calibri" w:cs="Calibri"/>
                <w:color w:val="000000"/>
                <w:sz w:val="18"/>
                <w:szCs w:val="18"/>
              </w:rPr>
            </w:pPr>
            <w:r w:rsidRPr="00B4392C">
              <w:rPr>
                <w:rFonts w:ascii="Calibri" w:hAnsi="Calibri" w:cs="Calibri"/>
                <w:color w:val="000000"/>
                <w:sz w:val="18"/>
                <w:szCs w:val="18"/>
              </w:rPr>
              <w:t>0,21</w:t>
            </w:r>
          </w:p>
        </w:tc>
      </w:tr>
      <w:tr w:rsidR="00B9548C" w:rsidRPr="00B4392C" w14:paraId="4BF30D14" w14:textId="77777777" w:rsidTr="0031521C">
        <w:trPr>
          <w:trHeight w:val="288"/>
        </w:trPr>
        <w:tc>
          <w:tcPr>
            <w:tcW w:w="1241" w:type="dxa"/>
            <w:noWrap/>
            <w:vAlign w:val="center"/>
            <w:hideMark/>
          </w:tcPr>
          <w:p w14:paraId="3F43E4A2" w14:textId="77777777" w:rsidR="00B9548C" w:rsidRPr="00B4392C" w:rsidRDefault="00B9548C" w:rsidP="000E0A09">
            <w:pPr>
              <w:jc w:val="center"/>
              <w:rPr>
                <w:b/>
                <w:bCs/>
                <w:sz w:val="18"/>
                <w:szCs w:val="18"/>
              </w:rPr>
            </w:pPr>
            <w:r w:rsidRPr="00B4392C">
              <w:rPr>
                <w:b/>
                <w:bCs/>
                <w:sz w:val="18"/>
                <w:szCs w:val="18"/>
              </w:rPr>
              <w:t>p6</w:t>
            </w:r>
          </w:p>
        </w:tc>
        <w:tc>
          <w:tcPr>
            <w:tcW w:w="1256" w:type="dxa"/>
            <w:noWrap/>
            <w:vAlign w:val="bottom"/>
            <w:hideMark/>
          </w:tcPr>
          <w:p w14:paraId="2AA6EDB9" w14:textId="77777777" w:rsidR="00B9548C" w:rsidRPr="00B4392C" w:rsidRDefault="00B9548C" w:rsidP="000E0A09">
            <w:pPr>
              <w:rPr>
                <w:sz w:val="18"/>
                <w:szCs w:val="18"/>
              </w:rPr>
            </w:pPr>
            <w:r w:rsidRPr="00B4392C">
              <w:rPr>
                <w:rFonts w:ascii="Calibri" w:hAnsi="Calibri" w:cs="Calibri"/>
                <w:color w:val="000000"/>
                <w:sz w:val="18"/>
                <w:szCs w:val="18"/>
              </w:rPr>
              <w:t>0,00</w:t>
            </w:r>
          </w:p>
        </w:tc>
        <w:tc>
          <w:tcPr>
            <w:tcW w:w="900" w:type="dxa"/>
            <w:noWrap/>
            <w:vAlign w:val="bottom"/>
            <w:hideMark/>
          </w:tcPr>
          <w:p w14:paraId="60FAA800" w14:textId="77777777" w:rsidR="00B9548C" w:rsidRPr="00B4392C" w:rsidRDefault="00B9548C" w:rsidP="000E0A09">
            <w:pPr>
              <w:rPr>
                <w:sz w:val="18"/>
                <w:szCs w:val="18"/>
              </w:rPr>
            </w:pPr>
            <w:r w:rsidRPr="00B4392C">
              <w:rPr>
                <w:rFonts w:ascii="Calibri" w:hAnsi="Calibri" w:cs="Calibri"/>
                <w:color w:val="000000"/>
                <w:sz w:val="18"/>
                <w:szCs w:val="18"/>
              </w:rPr>
              <w:t>0,01</w:t>
            </w:r>
          </w:p>
        </w:tc>
        <w:tc>
          <w:tcPr>
            <w:tcW w:w="993" w:type="dxa"/>
            <w:noWrap/>
            <w:vAlign w:val="bottom"/>
            <w:hideMark/>
          </w:tcPr>
          <w:p w14:paraId="0B0BE105" w14:textId="77777777" w:rsidR="00B9548C" w:rsidRPr="00B4392C" w:rsidRDefault="00B9548C" w:rsidP="000E0A09">
            <w:pPr>
              <w:rPr>
                <w:sz w:val="18"/>
                <w:szCs w:val="18"/>
              </w:rPr>
            </w:pPr>
            <w:r w:rsidRPr="00B4392C">
              <w:rPr>
                <w:rFonts w:ascii="Calibri" w:hAnsi="Calibri" w:cs="Calibri"/>
                <w:color w:val="000000"/>
                <w:sz w:val="18"/>
                <w:szCs w:val="18"/>
              </w:rPr>
              <w:t>0,01</w:t>
            </w:r>
          </w:p>
        </w:tc>
        <w:tc>
          <w:tcPr>
            <w:tcW w:w="1141" w:type="dxa"/>
            <w:vAlign w:val="center"/>
          </w:tcPr>
          <w:p w14:paraId="61C42833" w14:textId="77777777" w:rsidR="00B9548C" w:rsidRPr="00B4392C" w:rsidRDefault="00B9548C" w:rsidP="000E0A09">
            <w:pPr>
              <w:jc w:val="center"/>
              <w:rPr>
                <w:rFonts w:ascii="Calibri" w:hAnsi="Calibri" w:cs="Calibri"/>
                <w:color w:val="000000"/>
                <w:sz w:val="18"/>
                <w:szCs w:val="18"/>
              </w:rPr>
            </w:pPr>
            <w:r w:rsidRPr="00B4392C">
              <w:rPr>
                <w:b/>
                <w:bCs/>
                <w:sz w:val="18"/>
                <w:szCs w:val="18"/>
              </w:rPr>
              <w:t>p6</w:t>
            </w:r>
          </w:p>
        </w:tc>
        <w:tc>
          <w:tcPr>
            <w:tcW w:w="1148" w:type="dxa"/>
            <w:vAlign w:val="bottom"/>
          </w:tcPr>
          <w:p w14:paraId="3D470CE3" w14:textId="77777777" w:rsidR="00B9548C" w:rsidRPr="00B4392C" w:rsidRDefault="00B9548C" w:rsidP="000E0A09">
            <w:pPr>
              <w:rPr>
                <w:rFonts w:ascii="Calibri" w:hAnsi="Calibri" w:cs="Calibri"/>
                <w:color w:val="000000"/>
                <w:sz w:val="18"/>
                <w:szCs w:val="18"/>
              </w:rPr>
            </w:pPr>
            <w:r w:rsidRPr="00B4392C">
              <w:rPr>
                <w:rFonts w:ascii="Calibri" w:hAnsi="Calibri" w:cs="Calibri"/>
                <w:color w:val="000000"/>
                <w:sz w:val="18"/>
                <w:szCs w:val="18"/>
              </w:rPr>
              <w:t>-0,05</w:t>
            </w:r>
          </w:p>
        </w:tc>
        <w:tc>
          <w:tcPr>
            <w:tcW w:w="1148" w:type="dxa"/>
            <w:vAlign w:val="bottom"/>
          </w:tcPr>
          <w:p w14:paraId="69C62A91" w14:textId="77777777" w:rsidR="00B9548C" w:rsidRPr="00B4392C" w:rsidRDefault="00B9548C" w:rsidP="000E0A09">
            <w:pPr>
              <w:rPr>
                <w:rFonts w:ascii="Calibri" w:hAnsi="Calibri" w:cs="Calibri"/>
                <w:color w:val="000000"/>
                <w:sz w:val="18"/>
                <w:szCs w:val="18"/>
              </w:rPr>
            </w:pPr>
            <w:r w:rsidRPr="00B4392C">
              <w:rPr>
                <w:rFonts w:ascii="Calibri" w:hAnsi="Calibri" w:cs="Calibri"/>
                <w:color w:val="000000"/>
                <w:sz w:val="18"/>
                <w:szCs w:val="18"/>
              </w:rPr>
              <w:t>0,05</w:t>
            </w:r>
          </w:p>
        </w:tc>
        <w:tc>
          <w:tcPr>
            <w:tcW w:w="1148" w:type="dxa"/>
            <w:vAlign w:val="bottom"/>
          </w:tcPr>
          <w:p w14:paraId="725BEF2A" w14:textId="77777777" w:rsidR="00B9548C" w:rsidRPr="00B4392C" w:rsidRDefault="00B9548C" w:rsidP="000E0A09">
            <w:pPr>
              <w:rPr>
                <w:rFonts w:ascii="Calibri" w:hAnsi="Calibri" w:cs="Calibri"/>
                <w:color w:val="000000"/>
                <w:sz w:val="18"/>
                <w:szCs w:val="18"/>
              </w:rPr>
            </w:pPr>
            <w:r w:rsidRPr="00B4392C">
              <w:rPr>
                <w:rFonts w:ascii="Calibri" w:hAnsi="Calibri" w:cs="Calibri"/>
                <w:color w:val="000000"/>
                <w:sz w:val="18"/>
                <w:szCs w:val="18"/>
              </w:rPr>
              <w:t>0,07</w:t>
            </w:r>
          </w:p>
        </w:tc>
      </w:tr>
      <w:tr w:rsidR="00B9548C" w:rsidRPr="00B4392C" w14:paraId="24A7DBCC" w14:textId="77777777" w:rsidTr="0031521C">
        <w:trPr>
          <w:trHeight w:val="288"/>
        </w:trPr>
        <w:tc>
          <w:tcPr>
            <w:tcW w:w="1241" w:type="dxa"/>
            <w:noWrap/>
            <w:vAlign w:val="center"/>
            <w:hideMark/>
          </w:tcPr>
          <w:p w14:paraId="4649849E" w14:textId="77777777" w:rsidR="00B9548C" w:rsidRPr="00B4392C" w:rsidRDefault="00B9548C" w:rsidP="000E0A09">
            <w:pPr>
              <w:jc w:val="center"/>
              <w:rPr>
                <w:b/>
                <w:bCs/>
                <w:sz w:val="18"/>
                <w:szCs w:val="18"/>
              </w:rPr>
            </w:pPr>
            <w:r w:rsidRPr="00B4392C">
              <w:rPr>
                <w:b/>
                <w:bCs/>
                <w:sz w:val="18"/>
                <w:szCs w:val="18"/>
              </w:rPr>
              <w:t>p7</w:t>
            </w:r>
          </w:p>
        </w:tc>
        <w:tc>
          <w:tcPr>
            <w:tcW w:w="1256" w:type="dxa"/>
            <w:noWrap/>
            <w:vAlign w:val="bottom"/>
            <w:hideMark/>
          </w:tcPr>
          <w:p w14:paraId="0D717EC3" w14:textId="77777777" w:rsidR="00B9548C" w:rsidRPr="00B4392C" w:rsidRDefault="00B9548C" w:rsidP="000E0A09">
            <w:pPr>
              <w:rPr>
                <w:sz w:val="18"/>
                <w:szCs w:val="18"/>
              </w:rPr>
            </w:pPr>
            <w:r w:rsidRPr="00B4392C">
              <w:rPr>
                <w:rFonts w:ascii="Calibri" w:hAnsi="Calibri" w:cs="Calibri"/>
                <w:color w:val="000000"/>
                <w:sz w:val="18"/>
                <w:szCs w:val="18"/>
              </w:rPr>
              <w:t>-0,02</w:t>
            </w:r>
          </w:p>
        </w:tc>
        <w:tc>
          <w:tcPr>
            <w:tcW w:w="900" w:type="dxa"/>
            <w:noWrap/>
            <w:vAlign w:val="bottom"/>
            <w:hideMark/>
          </w:tcPr>
          <w:p w14:paraId="5618BEC1" w14:textId="77777777" w:rsidR="00B9548C" w:rsidRPr="00B4392C" w:rsidRDefault="00B9548C" w:rsidP="000E0A09">
            <w:pPr>
              <w:rPr>
                <w:sz w:val="18"/>
                <w:szCs w:val="18"/>
              </w:rPr>
            </w:pPr>
            <w:r w:rsidRPr="00B4392C">
              <w:rPr>
                <w:rFonts w:ascii="Calibri" w:hAnsi="Calibri" w:cs="Calibri"/>
                <w:color w:val="000000"/>
                <w:sz w:val="18"/>
                <w:szCs w:val="18"/>
              </w:rPr>
              <w:t>0,02</w:t>
            </w:r>
          </w:p>
        </w:tc>
        <w:tc>
          <w:tcPr>
            <w:tcW w:w="993" w:type="dxa"/>
            <w:noWrap/>
            <w:vAlign w:val="bottom"/>
            <w:hideMark/>
          </w:tcPr>
          <w:p w14:paraId="0E5AC9A2" w14:textId="77777777" w:rsidR="00B9548C" w:rsidRPr="00B4392C" w:rsidRDefault="00B9548C" w:rsidP="000E0A09">
            <w:pPr>
              <w:rPr>
                <w:sz w:val="18"/>
                <w:szCs w:val="18"/>
              </w:rPr>
            </w:pPr>
            <w:r w:rsidRPr="00B4392C">
              <w:rPr>
                <w:rFonts w:ascii="Calibri" w:hAnsi="Calibri" w:cs="Calibri"/>
                <w:color w:val="000000"/>
                <w:sz w:val="18"/>
                <w:szCs w:val="18"/>
              </w:rPr>
              <w:t>0,02</w:t>
            </w:r>
          </w:p>
        </w:tc>
        <w:tc>
          <w:tcPr>
            <w:tcW w:w="1141" w:type="dxa"/>
            <w:vAlign w:val="center"/>
          </w:tcPr>
          <w:p w14:paraId="4BF60552" w14:textId="77777777" w:rsidR="00B9548C" w:rsidRPr="00B4392C" w:rsidRDefault="00B9548C" w:rsidP="000E0A09">
            <w:pPr>
              <w:jc w:val="center"/>
              <w:rPr>
                <w:rFonts w:ascii="Calibri" w:hAnsi="Calibri" w:cs="Calibri"/>
                <w:color w:val="000000"/>
                <w:sz w:val="18"/>
                <w:szCs w:val="18"/>
              </w:rPr>
            </w:pPr>
            <w:r w:rsidRPr="00B4392C">
              <w:rPr>
                <w:b/>
                <w:bCs/>
                <w:sz w:val="18"/>
                <w:szCs w:val="18"/>
              </w:rPr>
              <w:t>p7</w:t>
            </w:r>
          </w:p>
        </w:tc>
        <w:tc>
          <w:tcPr>
            <w:tcW w:w="1148" w:type="dxa"/>
            <w:vAlign w:val="bottom"/>
          </w:tcPr>
          <w:p w14:paraId="383700D8" w14:textId="77777777" w:rsidR="00B9548C" w:rsidRPr="00B4392C" w:rsidRDefault="00B9548C" w:rsidP="000E0A09">
            <w:pPr>
              <w:rPr>
                <w:rFonts w:ascii="Calibri" w:hAnsi="Calibri" w:cs="Calibri"/>
                <w:color w:val="000000"/>
                <w:sz w:val="18"/>
                <w:szCs w:val="18"/>
              </w:rPr>
            </w:pPr>
            <w:r w:rsidRPr="00B4392C">
              <w:rPr>
                <w:rFonts w:ascii="Calibri" w:hAnsi="Calibri" w:cs="Calibri"/>
                <w:color w:val="000000"/>
                <w:sz w:val="18"/>
                <w:szCs w:val="18"/>
              </w:rPr>
              <w:t>-0,06</w:t>
            </w:r>
          </w:p>
        </w:tc>
        <w:tc>
          <w:tcPr>
            <w:tcW w:w="1148" w:type="dxa"/>
            <w:vAlign w:val="bottom"/>
          </w:tcPr>
          <w:p w14:paraId="31282115" w14:textId="77777777" w:rsidR="00B9548C" w:rsidRPr="00B4392C" w:rsidRDefault="00B9548C" w:rsidP="000E0A09">
            <w:pPr>
              <w:rPr>
                <w:rFonts w:ascii="Calibri" w:hAnsi="Calibri" w:cs="Calibri"/>
                <w:color w:val="000000"/>
                <w:sz w:val="18"/>
                <w:szCs w:val="18"/>
              </w:rPr>
            </w:pPr>
            <w:r w:rsidRPr="00B4392C">
              <w:rPr>
                <w:rFonts w:ascii="Calibri" w:hAnsi="Calibri" w:cs="Calibri"/>
                <w:color w:val="000000"/>
                <w:sz w:val="18"/>
                <w:szCs w:val="18"/>
              </w:rPr>
              <w:t>0,06</w:t>
            </w:r>
          </w:p>
        </w:tc>
        <w:tc>
          <w:tcPr>
            <w:tcW w:w="1148" w:type="dxa"/>
            <w:vAlign w:val="bottom"/>
          </w:tcPr>
          <w:p w14:paraId="6B89E876" w14:textId="77777777" w:rsidR="00B9548C" w:rsidRPr="00B4392C" w:rsidRDefault="00B9548C" w:rsidP="000E0A09">
            <w:pPr>
              <w:rPr>
                <w:rFonts w:ascii="Calibri" w:hAnsi="Calibri" w:cs="Calibri"/>
                <w:color w:val="000000"/>
                <w:sz w:val="18"/>
                <w:szCs w:val="18"/>
              </w:rPr>
            </w:pPr>
            <w:r w:rsidRPr="00B4392C">
              <w:rPr>
                <w:rFonts w:ascii="Calibri" w:hAnsi="Calibri" w:cs="Calibri"/>
                <w:color w:val="000000"/>
                <w:sz w:val="18"/>
                <w:szCs w:val="18"/>
              </w:rPr>
              <w:t>0,04</w:t>
            </w:r>
          </w:p>
        </w:tc>
      </w:tr>
    </w:tbl>
    <w:p w14:paraId="60140EC8" w14:textId="77777777" w:rsidR="005C5A7A" w:rsidRPr="00B4392C" w:rsidRDefault="005C5A7A" w:rsidP="00BD56B4">
      <w:pPr>
        <w:rPr>
          <w:sz w:val="18"/>
          <w:szCs w:val="18"/>
        </w:rPr>
      </w:pPr>
    </w:p>
    <w:p w14:paraId="5320CE5F" w14:textId="01D4753C" w:rsidR="00037D55" w:rsidRDefault="00AA5884" w:rsidP="00BD56B4">
      <w:r w:rsidRPr="00AA5884">
        <w:t xml:space="preserve">In the discussion, </w:t>
      </w:r>
      <w:r>
        <w:t xml:space="preserve">we refer to the impact of certain parameters and express it in percent. This comes from calculating the effect on CoP and productivity when only that parameter was changed (one factor at a time). The following </w:t>
      </w:r>
      <w:r w:rsidR="005C5A7A">
        <w:t xml:space="preserve">Table 4 </w:t>
      </w:r>
      <w:r>
        <w:t>shows which simulation runs had to be taken for comparison. They refer to the list of simulation runs in tables 1 and 2.</w:t>
      </w:r>
    </w:p>
    <w:p w14:paraId="1DC3BB97" w14:textId="4EA23DBC" w:rsidR="009D4773" w:rsidRDefault="009D4773" w:rsidP="009D4773">
      <w:pPr>
        <w:pStyle w:val="Beschriftung"/>
        <w:keepNext/>
      </w:pPr>
      <w:r>
        <w:t xml:space="preserve">Table </w:t>
      </w:r>
      <w:r>
        <w:fldChar w:fldCharType="begin"/>
      </w:r>
      <w:r>
        <w:instrText xml:space="preserve"> SEQ Table \* ARABIC </w:instrText>
      </w:r>
      <w:r>
        <w:fldChar w:fldCharType="separate"/>
      </w:r>
      <w:r w:rsidR="005C5A7A">
        <w:rPr>
          <w:noProof/>
        </w:rPr>
        <w:t>4</w:t>
      </w:r>
      <w:r>
        <w:fldChar w:fldCharType="end"/>
      </w:r>
      <w:r>
        <w:t>: Effect of P6 and P7 when varied one factor at a time</w:t>
      </w:r>
    </w:p>
    <w:p w14:paraId="74FDEF3A" w14:textId="7D69B4E8" w:rsidR="00AA5884" w:rsidRPr="00AA5884" w:rsidRDefault="009D4773" w:rsidP="00BD56B4">
      <w:r w:rsidRPr="009D4773">
        <w:rPr>
          <w:noProof/>
        </w:rPr>
        <w:drawing>
          <wp:inline distT="0" distB="0" distL="0" distR="0" wp14:anchorId="2B2C0F0C" wp14:editId="079D9413">
            <wp:extent cx="4371061" cy="3659710"/>
            <wp:effectExtent l="0" t="0" r="0" b="0"/>
            <wp:docPr id="14457346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34633" name="Grafik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371061" cy="3659710"/>
                    </a:xfrm>
                    <a:prstGeom prst="rect">
                      <a:avLst/>
                    </a:prstGeom>
                    <a:noFill/>
                    <a:ln>
                      <a:noFill/>
                    </a:ln>
                  </pic:spPr>
                </pic:pic>
              </a:graphicData>
            </a:graphic>
          </wp:inline>
        </w:drawing>
      </w:r>
    </w:p>
    <w:p w14:paraId="628D1206" w14:textId="16B43333" w:rsidR="00B7576B" w:rsidRPr="00AA5884" w:rsidRDefault="00450DAF" w:rsidP="00E75615">
      <w:pPr>
        <w:pStyle w:val="berschrift1"/>
        <w:rPr>
          <w:lang w:val="en-US"/>
        </w:rPr>
      </w:pPr>
      <w:bookmarkStart w:id="8" w:name="_Toc198131590"/>
      <w:r w:rsidRPr="00AA5884">
        <w:rPr>
          <w:lang w:val="en-US"/>
        </w:rPr>
        <w:lastRenderedPageBreak/>
        <w:t>Verification by FEM Model</w:t>
      </w:r>
      <w:bookmarkEnd w:id="8"/>
    </w:p>
    <w:p w14:paraId="35880332" w14:textId="6F1B5AF8" w:rsidR="00847958" w:rsidRDefault="0068061C" w:rsidP="0068061C">
      <w:r>
        <w:t xml:space="preserve">The verification of the 1D model within the system simulation in </w:t>
      </w:r>
      <w:bookmarkStart w:id="9" w:name="_Hlk194330792"/>
      <w:r>
        <w:t>Aspen Custom Modeler</w:t>
      </w:r>
      <w:r w:rsidRPr="00FE6020">
        <w:rPr>
          <w:vertAlign w:val="superscript"/>
        </w:rPr>
        <w:t>®</w:t>
      </w:r>
      <w:r>
        <w:t xml:space="preserve"> </w:t>
      </w:r>
      <w:bookmarkEnd w:id="9"/>
      <w:r w:rsidR="00A13755">
        <w:t xml:space="preserve">(ACM) </w:t>
      </w:r>
      <w:r>
        <w:t>was done by the finite element method (FEM) simulation software COMSOL Multiphysics</w:t>
      </w:r>
      <w:r w:rsidRPr="00FE6020">
        <w:rPr>
          <w:vertAlign w:val="superscript"/>
        </w:rPr>
        <w:t>®</w:t>
      </w:r>
      <w:r>
        <w:t xml:space="preserve">. </w:t>
      </w:r>
      <w:r w:rsidR="00A13755">
        <w:t xml:space="preserve">The </w:t>
      </w:r>
      <w:r w:rsidR="00847958">
        <w:t>identical</w:t>
      </w:r>
      <w:r w:rsidR="00A13755">
        <w:t xml:space="preserve"> model equations were used as in the </w:t>
      </w:r>
      <w:r w:rsidR="00F4620D">
        <w:t xml:space="preserve">1D system simulation. The geometry of one metal hydride disc with </w:t>
      </w:r>
      <w:r w:rsidR="001E6478">
        <w:t>a</w:t>
      </w:r>
      <w:r w:rsidR="00F4620D">
        <w:t xml:space="preserve"> </w:t>
      </w:r>
      <w:r w:rsidR="001E6478">
        <w:t>height</w:t>
      </w:r>
      <w:r w:rsidR="00F4620D">
        <w:t xml:space="preserve"> of 60 mm and a diameter of </w:t>
      </w:r>
      <w:r w:rsidR="001E6478">
        <w:t xml:space="preserve">651 mm was selected with a free gas phase gap at the inlet and </w:t>
      </w:r>
      <w:r w:rsidR="00847958">
        <w:t xml:space="preserve">the </w:t>
      </w:r>
      <w:r w:rsidR="001E6478">
        <w:t>outlet and a height of 10 mm, respectively.</w:t>
      </w:r>
      <w:r w:rsidR="00DC633A">
        <w:t xml:space="preserve"> The geometry was built as a 2D axisymmetric </w:t>
      </w:r>
      <w:r w:rsidR="00847958">
        <w:t>model.</w:t>
      </w:r>
      <w:r w:rsidR="001E6478">
        <w:t xml:space="preserve"> </w:t>
      </w:r>
      <w:r w:rsidR="00847958">
        <w:t>A mesh of triangles and rectangles at the wall interface</w:t>
      </w:r>
      <w:r w:rsidR="00B7576B">
        <w:t xml:space="preserve"> for the fluid flow field,</w:t>
      </w:r>
      <w:r w:rsidR="00847958">
        <w:t xml:space="preserve"> was used. The skewness quality of the mesh showed</w:t>
      </w:r>
      <w:r w:rsidR="00835430">
        <w:t xml:space="preserve"> a minimum value of 0.215 and an average quality of 0.847 having a total number of 38,940 elements with an element-to-volume ratio of 7.43E-4. The heat transport and fluid dynamic variables were solved using the PARDISO solver.</w:t>
      </w:r>
    </w:p>
    <w:p w14:paraId="376A711B" w14:textId="4C7EB71C" w:rsidR="001E6478" w:rsidRDefault="00F4620D" w:rsidP="0068061C">
      <w:r>
        <w:t>An absorption and a desorption scenario were simulated via ASM and COMSOL, to be compared and to verify the validity of the 1D Model approach</w:t>
      </w:r>
      <w:r w:rsidR="00DC633A">
        <w:t xml:space="preserve"> in the system simulation</w:t>
      </w:r>
      <w:r>
        <w:t>.</w:t>
      </w:r>
      <w:r w:rsidR="001E6478">
        <w:t xml:space="preserve"> For the absorption, an initial hydride fraction of 0.183 was set leading to an initial pressure of 30 bar at a starting temperature of 90 °C. The desorption scenario started at a hydride fraction of 0.944 resulting in a pressure of 30 bar at 10 °C initial temperature. Starting at homogeneous initial condition</w:t>
      </w:r>
      <w:r w:rsidR="00B46253">
        <w:t xml:space="preserve"> and after achieving a constant hydrogen flow field,</w:t>
      </w:r>
      <w:r w:rsidR="001E6478">
        <w:t xml:space="preserve"> the temperature of the incoming hydrogen flow is ramped within 10 s from 90 to 10 °C in the absorption and from 10 to 90 °C in the desorption case.</w:t>
      </w:r>
      <w:r>
        <w:t xml:space="preserve"> </w:t>
      </w:r>
      <w:r w:rsidR="00910CB3">
        <w:t>The fluid properties of the hydrogen were taken from the COMSOL materials database.</w:t>
      </w:r>
    </w:p>
    <w:p w14:paraId="7703DF03" w14:textId="77777777" w:rsidR="00B9548C" w:rsidRDefault="00B9548C" w:rsidP="0068061C"/>
    <w:p w14:paraId="2E164A71" w14:textId="77777777" w:rsidR="00B9548C" w:rsidRPr="0031521C" w:rsidRDefault="00B9548C" w:rsidP="00B9548C">
      <w:pPr>
        <w:rPr>
          <w:b/>
          <w:bCs/>
        </w:rPr>
      </w:pPr>
      <w:bookmarkStart w:id="10" w:name="_Hlk194083714"/>
      <w:r w:rsidRPr="0031521C">
        <w:rPr>
          <w:b/>
          <w:bCs/>
        </w:rPr>
        <w:t>Heat transport in porous media with local thermal inequality</w:t>
      </w:r>
    </w:p>
    <w:p w14:paraId="37C7D88D" w14:textId="35E1CEA2" w:rsidR="00B9548C" w:rsidRDefault="00B9548C" w:rsidP="00B9548C">
      <w:r>
        <w:t xml:space="preserve">Analogue to the 1D model in ACM, a thermal local inequality between solid (1) and fluid (3) phase was set, solving for each phase separately. </w:t>
      </w:r>
    </w:p>
    <w:bookmarkStart w:id="11" w:name="_Hlk168330777"/>
    <w:p w14:paraId="7F40C789" w14:textId="24D20931" w:rsidR="00B9548C" w:rsidRDefault="00C21A1E" w:rsidP="00B9548C">
      <m:oMath>
        <m:d>
          <m:dPr>
            <m:ctrlPr>
              <w:rPr>
                <w:rFonts w:ascii="Cambria Math" w:hAnsi="Cambria Math"/>
                <w:i/>
              </w:rPr>
            </m:ctrlPr>
          </m:dPr>
          <m:e>
            <m:r>
              <w:rPr>
                <w:rFonts w:ascii="Cambria Math" w:hAnsi="Cambria Math"/>
              </w:rPr>
              <m:t>1-ε</m:t>
            </m:r>
          </m:e>
        </m:d>
        <m:sSub>
          <m:sSubPr>
            <m:ctrlPr>
              <w:rPr>
                <w:rFonts w:ascii="Cambria Math" w:hAnsi="Cambria Math"/>
                <w:i/>
              </w:rPr>
            </m:ctrlPr>
          </m:sSubPr>
          <m:e>
            <m:r>
              <w:rPr>
                <w:rFonts w:ascii="Cambria Math" w:hAnsi="Cambria Math"/>
              </w:rPr>
              <m:t>ρ</m:t>
            </m:r>
          </m:e>
          <m:sub>
            <m:r>
              <w:rPr>
                <w:rFonts w:ascii="Cambria Math" w:hAnsi="Cambria Math"/>
              </w:rPr>
              <m:t>s</m:t>
            </m:r>
          </m:sub>
        </m:sSub>
        <w:bookmarkEnd w:id="11"/>
        <m:sSub>
          <m:sSubPr>
            <m:ctrlPr>
              <w:rPr>
                <w:rFonts w:ascii="Cambria Math" w:hAnsi="Cambria Math"/>
                <w:i/>
              </w:rPr>
            </m:ctrlPr>
          </m:sSubPr>
          <m:e>
            <m:r>
              <w:rPr>
                <w:rFonts w:ascii="Cambria Math" w:hAnsi="Cambria Math"/>
              </w:rPr>
              <m:t>c</m:t>
            </m:r>
          </m:e>
          <m:sub>
            <m:r>
              <w:rPr>
                <w:rFonts w:ascii="Cambria Math" w:hAnsi="Cambria Math"/>
              </w:rPr>
              <m:t>p,s</m:t>
            </m:r>
          </m:sub>
        </m:sSub>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m:t>
                </m:r>
              </m:sub>
            </m:sSub>
          </m:num>
          <m:den>
            <m:r>
              <w:rPr>
                <w:rFonts w:ascii="Cambria Math" w:hAnsi="Cambria Math"/>
              </w:rPr>
              <m:t>∂t</m:t>
            </m:r>
          </m:den>
        </m:f>
        <m:r>
          <w:rPr>
            <w:rFonts w:ascii="Cambria Math" w:hAnsi="Cambria Math"/>
          </w:rPr>
          <m:t>+</m:t>
        </m:r>
        <m:r>
          <m:rPr>
            <m:sty m:val="p"/>
          </m:rP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sf</m:t>
            </m:r>
          </m:sub>
        </m:sSub>
        <m:r>
          <w:rPr>
            <w:rFonts w:ascii="Cambria Math" w:hAnsi="Cambria Math"/>
          </w:rPr>
          <m:t>+</m:t>
        </m:r>
        <m:d>
          <m:dPr>
            <m:ctrlPr>
              <w:rPr>
                <w:rFonts w:ascii="Cambria Math" w:hAnsi="Cambria Math"/>
                <w:i/>
              </w:rPr>
            </m:ctrlPr>
          </m:dPr>
          <m:e>
            <m:r>
              <w:rPr>
                <w:rFonts w:ascii="Cambria Math" w:hAnsi="Cambria Math"/>
              </w:rPr>
              <m:t>1-ε</m:t>
            </m:r>
          </m:e>
        </m:d>
        <m:sSub>
          <m:sSubPr>
            <m:ctrlPr>
              <w:rPr>
                <w:rFonts w:ascii="Cambria Math" w:hAnsi="Cambria Math"/>
                <w:i/>
              </w:rPr>
            </m:ctrlPr>
          </m:sSubPr>
          <m:e>
            <m:r>
              <w:rPr>
                <w:rFonts w:ascii="Cambria Math" w:hAnsi="Cambria Math"/>
              </w:rPr>
              <m:t>Q</m:t>
            </m:r>
          </m:e>
          <m:sub>
            <m:r>
              <w:rPr>
                <w:rFonts w:ascii="Cambria Math" w:hAnsi="Cambria Math"/>
              </w:rPr>
              <m:t>s</m:t>
            </m:r>
          </m:sub>
        </m:sSub>
      </m:oMath>
      <w:r w:rsidR="00B9548C">
        <w:t xml:space="preserve"> </w:t>
      </w:r>
      <w:r w:rsidR="00B9548C">
        <w:tab/>
      </w:r>
      <w:r w:rsidR="00B9548C">
        <w:tab/>
      </w:r>
      <w:r w:rsidR="00B9548C">
        <w:tab/>
      </w:r>
      <w:r w:rsidR="00B9548C">
        <w:tab/>
      </w:r>
      <w:r w:rsidR="00B9548C">
        <w:tab/>
      </w:r>
      <w:r w:rsidR="00B9548C">
        <w:tab/>
      </w:r>
      <w:r w:rsidR="00B9548C">
        <w:tab/>
        <w:t>(1)</w:t>
      </w:r>
    </w:p>
    <w:p w14:paraId="235D0CCC" w14:textId="0B9A7E3F" w:rsidR="00B9548C" w:rsidRDefault="00B9548C" w:rsidP="00B9548C">
      <w:r>
        <w:t xml:space="preserve">ε is the porosity, </w:t>
      </w:r>
      <w:proofErr w:type="spellStart"/>
      <w:r>
        <w:t>ρ_s</w:t>
      </w:r>
      <w:proofErr w:type="spellEnd"/>
      <w:r>
        <w:t xml:space="preserve"> is the solid density, c_(</w:t>
      </w:r>
      <w:proofErr w:type="spellStart"/>
      <w:r>
        <w:t>p,s</w:t>
      </w:r>
      <w:proofErr w:type="spellEnd"/>
      <w:r>
        <w:t xml:space="preserve">) is the solid heat capacity, </w:t>
      </w:r>
      <w:proofErr w:type="spellStart"/>
      <w:r>
        <w:t>q_s</w:t>
      </w:r>
      <w:proofErr w:type="spellEnd"/>
      <w:r>
        <w:t xml:space="preserve"> is the heat conduction, </w:t>
      </w:r>
      <w:proofErr w:type="spellStart"/>
      <w:r>
        <w:t>Q_sf</w:t>
      </w:r>
      <w:proofErr w:type="spellEnd"/>
      <w:r>
        <w:t xml:space="preserve"> is the heat transfer between solid and fluid and Q_s is the heat of the reaction. The solid heat conduction is given as (2):</w:t>
      </w:r>
    </w:p>
    <w:p w14:paraId="51683920" w14:textId="6DD2EA7A" w:rsidR="00B9548C" w:rsidRDefault="00C21A1E" w:rsidP="00B9548C">
      <m:oMath>
        <m:sSub>
          <m:sSubPr>
            <m:ctrlPr>
              <w:rPr>
                <w:rFonts w:ascii="Cambria Math" w:hAnsi="Cambria Math"/>
                <w:i/>
              </w:rPr>
            </m:ctrlPr>
          </m:sSubPr>
          <m:e>
            <m:r>
              <w:rPr>
                <w:rFonts w:ascii="Cambria Math" w:hAnsi="Cambria Math"/>
              </w:rPr>
              <m:t>q</m:t>
            </m:r>
          </m:e>
          <m:sub>
            <m:r>
              <w:rPr>
                <w:rFonts w:ascii="Cambria Math" w:hAnsi="Cambria Math"/>
              </w:rPr>
              <m:t>s</m:t>
            </m:r>
          </m:sub>
        </m:sSub>
        <m:r>
          <w:rPr>
            <w:rFonts w:ascii="Cambria Math" w:hAnsi="Cambria Math"/>
          </w:rPr>
          <m:t>=</m:t>
        </m:r>
        <m:d>
          <m:dPr>
            <m:ctrlPr>
              <w:rPr>
                <w:rFonts w:ascii="Cambria Math" w:hAnsi="Cambria Math"/>
                <w:i/>
              </w:rPr>
            </m:ctrlPr>
          </m:dPr>
          <m:e>
            <m:r>
              <w:rPr>
                <w:rFonts w:ascii="Cambria Math" w:hAnsi="Cambria Math"/>
              </w:rPr>
              <m:t>1-ε</m:t>
            </m:r>
          </m:e>
        </m:d>
        <m:sSub>
          <m:sSubPr>
            <m:ctrlPr>
              <w:rPr>
                <w:rFonts w:ascii="Cambria Math" w:hAnsi="Cambria Math"/>
                <w:i/>
              </w:rPr>
            </m:ctrlPr>
          </m:sSubPr>
          <m:e>
            <m:r>
              <w:rPr>
                <w:rFonts w:ascii="Cambria Math" w:hAnsi="Cambria Math"/>
              </w:rPr>
              <m:t xml:space="preserve"> k</m:t>
            </m:r>
          </m:e>
          <m:sub>
            <m:r>
              <w:rPr>
                <w:rFonts w:ascii="Cambria Math" w:hAnsi="Cambria Math"/>
              </w:rPr>
              <m:t>s</m:t>
            </m:r>
          </m:sub>
        </m:sSub>
        <m:r>
          <w:rPr>
            <w:rFonts w:ascii="Cambria Math" w:hAnsi="Cambria Math"/>
          </w:rPr>
          <m:t xml:space="preserve"> </m:t>
        </m:r>
        <m:r>
          <m:rPr>
            <m:sty m:val="p"/>
          </m:rP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m:t>
            </m:r>
          </m:sub>
        </m:sSub>
      </m:oMath>
      <w:r w:rsidR="00B9548C">
        <w:rPr>
          <w:rFonts w:ascii="Cambria Math" w:hAnsi="Cambria Math"/>
        </w:rPr>
        <w:tab/>
      </w:r>
      <w:r w:rsidR="00B9548C">
        <w:rPr>
          <w:rFonts w:ascii="Cambria Math" w:hAnsi="Cambria Math"/>
        </w:rPr>
        <w:tab/>
      </w:r>
      <w:r w:rsidR="00B9548C">
        <w:rPr>
          <w:rFonts w:ascii="Cambria Math" w:hAnsi="Cambria Math"/>
        </w:rPr>
        <w:tab/>
      </w:r>
      <w:r w:rsidR="00B9548C">
        <w:rPr>
          <w:rFonts w:ascii="Cambria Math" w:hAnsi="Cambria Math"/>
        </w:rPr>
        <w:tab/>
      </w:r>
      <w:r w:rsidR="00B9548C">
        <w:rPr>
          <w:rFonts w:ascii="Cambria Math" w:hAnsi="Cambria Math"/>
        </w:rPr>
        <w:tab/>
      </w:r>
      <w:r w:rsidR="00B9548C">
        <w:rPr>
          <w:rFonts w:ascii="Cambria Math" w:hAnsi="Cambria Math"/>
        </w:rPr>
        <w:tab/>
      </w:r>
      <w:r w:rsidR="00B9548C">
        <w:rPr>
          <w:rFonts w:ascii="Cambria Math" w:hAnsi="Cambria Math"/>
        </w:rPr>
        <w:tab/>
      </w:r>
      <w:r w:rsidR="00B9548C">
        <w:rPr>
          <w:rFonts w:ascii="Cambria Math" w:hAnsi="Cambria Math"/>
        </w:rPr>
        <w:tab/>
      </w:r>
      <w:r w:rsidR="00B9548C">
        <w:rPr>
          <w:rFonts w:ascii="Cambria Math" w:hAnsi="Cambria Math"/>
        </w:rPr>
        <w:tab/>
      </w:r>
      <w:r w:rsidR="00B9548C">
        <w:rPr>
          <w:rFonts w:ascii="Cambria Math" w:hAnsi="Cambria Math"/>
        </w:rPr>
        <w:tab/>
      </w:r>
      <w:r w:rsidR="00B9548C">
        <w:t>(2)</w:t>
      </w:r>
    </w:p>
    <w:p w14:paraId="76C66CAB" w14:textId="73EAA18F" w:rsidR="00B9548C" w:rsidRDefault="00B9548C" w:rsidP="00B9548C">
      <w:proofErr w:type="spellStart"/>
      <w:r>
        <w:t>k_s</w:t>
      </w:r>
      <w:proofErr w:type="spellEnd"/>
      <w:r>
        <w:t xml:space="preserve"> is the solid thermal conductivity. The gas phase is calculated analog to the solid phase (3):</w:t>
      </w:r>
    </w:p>
    <w:p w14:paraId="08D81D59" w14:textId="0370375A" w:rsidR="00B9548C" w:rsidRDefault="00B9548C" w:rsidP="00B9548C">
      <m:oMath>
        <m:r>
          <w:rPr>
            <w:rFonts w:ascii="Cambria Math" w:hAnsi="Cambria Math"/>
          </w:rPr>
          <m:t>ε</m:t>
        </m:r>
        <m:sSub>
          <m:sSubPr>
            <m:ctrlPr>
              <w:rPr>
                <w:rFonts w:ascii="Cambria Math" w:hAnsi="Cambria Math"/>
                <w:i/>
              </w:rPr>
            </m:ctrlPr>
          </m:sSubPr>
          <m:e>
            <m:r>
              <w:rPr>
                <w:rFonts w:ascii="Cambria Math" w:hAnsi="Cambria Math"/>
              </w:rPr>
              <m:t>ρ</m:t>
            </m:r>
          </m:e>
          <m:sub>
            <m:r>
              <w:rPr>
                <w:rFonts w:ascii="Cambria Math" w:hAnsi="Cambria Math"/>
              </w:rPr>
              <m:t>f</m:t>
            </m:r>
          </m:sub>
        </m:sSub>
        <m:sSub>
          <m:sSubPr>
            <m:ctrlPr>
              <w:rPr>
                <w:rFonts w:ascii="Cambria Math" w:hAnsi="Cambria Math"/>
                <w:i/>
              </w:rPr>
            </m:ctrlPr>
          </m:sSubPr>
          <m:e>
            <m:r>
              <w:rPr>
                <w:rFonts w:ascii="Cambria Math" w:hAnsi="Cambria Math"/>
              </w:rPr>
              <m:t>c</m:t>
            </m:r>
          </m:e>
          <m:sub>
            <m:r>
              <w:rPr>
                <w:rFonts w:ascii="Cambria Math" w:hAnsi="Cambria Math"/>
              </w:rPr>
              <m:t>p,f</m:t>
            </m:r>
          </m:sub>
        </m:sSub>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m:t>
                </m:r>
              </m:sub>
            </m:sSub>
          </m:num>
          <m:den>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f</m:t>
            </m:r>
          </m:sub>
        </m:sSub>
        <m:sSub>
          <m:sSubPr>
            <m:ctrlPr>
              <w:rPr>
                <w:rFonts w:ascii="Cambria Math" w:hAnsi="Cambria Math"/>
                <w:i/>
              </w:rPr>
            </m:ctrlPr>
          </m:sSubPr>
          <m:e>
            <m:r>
              <w:rPr>
                <w:rFonts w:ascii="Cambria Math" w:hAnsi="Cambria Math"/>
              </w:rPr>
              <m:t>c</m:t>
            </m:r>
          </m:e>
          <m:sub>
            <m:r>
              <w:rPr>
                <w:rFonts w:ascii="Cambria Math" w:hAnsi="Cambria Math"/>
              </w:rPr>
              <m:t>p,f</m:t>
            </m:r>
          </m:sub>
        </m:sSub>
        <m:sSub>
          <m:sSubPr>
            <m:ctrlPr>
              <w:rPr>
                <w:rFonts w:ascii="Cambria Math" w:hAnsi="Cambria Math"/>
                <w:i/>
                <w:iCs/>
              </w:rPr>
            </m:ctrlPr>
          </m:sSubPr>
          <m:e>
            <m:r>
              <w:rPr>
                <w:rFonts w:ascii="Cambria Math" w:hAnsi="Cambria Math"/>
              </w:rPr>
              <m:t>u</m:t>
            </m:r>
          </m:e>
          <m:sub>
            <m:r>
              <w:rPr>
                <w:rFonts w:ascii="Cambria Math" w:hAnsi="Cambria Math"/>
              </w:rPr>
              <m:t>f</m:t>
            </m:r>
          </m:sub>
        </m:sSub>
        <m:r>
          <m:rPr>
            <m:sty m:val="p"/>
          </m:rP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m:t>
        </m:r>
        <m:r>
          <m:rPr>
            <m:sty m:val="p"/>
          </m:rP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sf</m:t>
            </m:r>
          </m:sub>
        </m:sSub>
      </m:oMath>
      <w:r>
        <w:t xml:space="preserve"> </w:t>
      </w:r>
      <w:r>
        <w:tab/>
      </w:r>
      <w:r>
        <w:tab/>
      </w:r>
      <w:r>
        <w:tab/>
      </w:r>
      <w:r>
        <w:tab/>
      </w:r>
      <w:r>
        <w:tab/>
      </w:r>
      <w:r>
        <w:tab/>
      </w:r>
      <w:r>
        <w:tab/>
        <w:t>(3)</w:t>
      </w:r>
    </w:p>
    <w:p w14:paraId="65EAA2EA" w14:textId="77777777" w:rsidR="00B9548C" w:rsidRDefault="00B9548C" w:rsidP="00B9548C">
      <w:r>
        <w:rPr>
          <w:rFonts w:hint="eastAsia"/>
        </w:rPr>
        <w:t>ρ</w:t>
      </w:r>
      <w:r>
        <w:t>_f is the gaseous density, c_(</w:t>
      </w:r>
      <w:proofErr w:type="spellStart"/>
      <w:r>
        <w:t>p,f</w:t>
      </w:r>
      <w:proofErr w:type="spellEnd"/>
      <w:r>
        <w:t xml:space="preserve">) is the gaseous heat capacity, </w:t>
      </w:r>
      <w:proofErr w:type="spellStart"/>
      <w:r>
        <w:t>u_f</w:t>
      </w:r>
      <w:proofErr w:type="spellEnd"/>
      <w:r>
        <w:t xml:space="preserve"> is the velocity of the gas and </w:t>
      </w:r>
      <w:proofErr w:type="spellStart"/>
      <w:r>
        <w:t>q_f</w:t>
      </w:r>
      <w:proofErr w:type="spellEnd"/>
      <w:r>
        <w:t xml:space="preserve"> is the heat conduction of the gaseous phase. </w:t>
      </w:r>
    </w:p>
    <w:p w14:paraId="39F892E5" w14:textId="21C2EF96" w:rsidR="00B9548C" w:rsidRDefault="00B9548C" w:rsidP="00B9548C">
      <w:r>
        <w:t>For the heat exchange between the phases, the implemented interstitial convective heat transfer for spherical particles is used (4,5,6):</w:t>
      </w:r>
    </w:p>
    <w:p w14:paraId="705C5306" w14:textId="1CC9A031" w:rsidR="00B9548C" w:rsidRDefault="00C21A1E" w:rsidP="00B9548C">
      <m:oMath>
        <m:sSub>
          <m:sSubPr>
            <m:ctrlPr>
              <w:rPr>
                <w:rFonts w:ascii="Cambria Math" w:hAnsi="Cambria Math"/>
                <w:i/>
              </w:rPr>
            </m:ctrlPr>
          </m:sSubPr>
          <m:e>
            <m:r>
              <w:rPr>
                <w:rFonts w:ascii="Cambria Math" w:hAnsi="Cambria Math"/>
              </w:rPr>
              <m:t>Q</m:t>
            </m:r>
          </m:e>
          <m:sub>
            <m:r>
              <w:rPr>
                <w:rFonts w:ascii="Cambria Math" w:hAnsi="Cambria Math"/>
              </w:rPr>
              <m:t>sf</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sf</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sf</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m:t>
        </m:r>
      </m:oMath>
      <w:r w:rsidR="00B9548C">
        <w:t xml:space="preserve">                                                                                                          (4)</w:t>
      </w:r>
    </w:p>
    <w:p w14:paraId="4EFBEFBE" w14:textId="2CA55127" w:rsidR="00B9548C" w:rsidRDefault="00C21A1E" w:rsidP="00B9548C">
      <m:oMath>
        <m:sSub>
          <m:sSubPr>
            <m:ctrlPr>
              <w:rPr>
                <w:rFonts w:ascii="Cambria Math" w:hAnsi="Cambria Math"/>
                <w:i/>
              </w:rPr>
            </m:ctrlPr>
          </m:sSubPr>
          <m:e>
            <m:r>
              <w:rPr>
                <w:rFonts w:ascii="Cambria Math" w:hAnsi="Cambria Math"/>
              </w:rPr>
              <m:t>h</m:t>
            </m:r>
          </m:e>
          <m:sub>
            <m:r>
              <w:rPr>
                <w:rFonts w:ascii="Cambria Math" w:hAnsi="Cambria Math"/>
              </w:rPr>
              <m:t>sf</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p</m:t>
                    </m:r>
                  </m:sub>
                </m:sSub>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N</m:t>
                    </m:r>
                    <m:sSub>
                      <m:sSubPr>
                        <m:ctrlPr>
                          <w:rPr>
                            <w:rFonts w:ascii="Cambria Math" w:hAnsi="Cambria Math"/>
                            <w:i/>
                          </w:rPr>
                        </m:ctrlPr>
                      </m:sSubPr>
                      <m:e>
                        <m:r>
                          <w:rPr>
                            <w:rFonts w:ascii="Cambria Math" w:hAnsi="Cambria Math"/>
                          </w:rPr>
                          <m:t>u</m:t>
                        </m:r>
                      </m:e>
                      <m:sub>
                        <m:r>
                          <w:rPr>
                            <w:rFonts w:ascii="Cambria Math" w:hAnsi="Cambria Math"/>
                          </w:rPr>
                          <m:t>sf</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sSub>
                      <m:sSubPr>
                        <m:ctrlPr>
                          <w:rPr>
                            <w:rFonts w:ascii="Cambria Math" w:hAnsi="Cambria Math"/>
                            <w:i/>
                          </w:rPr>
                        </m:ctrlPr>
                      </m:sSubPr>
                      <m:e>
                        <m:r>
                          <w:rPr>
                            <w:rFonts w:ascii="Cambria Math" w:hAnsi="Cambria Math"/>
                          </w:rPr>
                          <m:t>k</m:t>
                        </m:r>
                      </m:e>
                      <m:sub>
                        <m:r>
                          <w:rPr>
                            <w:rFonts w:ascii="Cambria Math" w:hAnsi="Cambria Math"/>
                          </w:rPr>
                          <m:t>s</m:t>
                        </m:r>
                      </m:sub>
                    </m:sSub>
                  </m:den>
                </m:f>
              </m:e>
            </m:d>
          </m:e>
          <m:sup>
            <m:r>
              <w:rPr>
                <w:rFonts w:ascii="Cambria Math" w:hAnsi="Cambria Math"/>
              </w:rPr>
              <m:t>-1</m:t>
            </m:r>
          </m:sup>
        </m:sSup>
      </m:oMath>
      <w:r w:rsidR="00B9548C">
        <w:t xml:space="preserve">                                                                                                  </w:t>
      </w:r>
      <w:r w:rsidR="00B9548C">
        <w:tab/>
        <w:t>(5)</w:t>
      </w:r>
    </w:p>
    <w:p w14:paraId="71B22907" w14:textId="51AEA34E" w:rsidR="00B9548C" w:rsidRDefault="00C21A1E" w:rsidP="00B9548C">
      <m:oMath>
        <m:sSub>
          <m:sSubPr>
            <m:ctrlPr>
              <w:rPr>
                <w:rFonts w:ascii="Cambria Math" w:hAnsi="Cambria Math"/>
                <w:i/>
              </w:rPr>
            </m:ctrlPr>
          </m:sSubPr>
          <m:e>
            <m:r>
              <w:rPr>
                <w:rFonts w:ascii="Cambria Math" w:hAnsi="Cambria Math"/>
              </w:rPr>
              <m:t>Nu</m:t>
            </m:r>
          </m:e>
          <m:sub>
            <m:r>
              <w:rPr>
                <w:rFonts w:ascii="Cambria Math" w:hAnsi="Cambria Math"/>
              </w:rPr>
              <m:t>sf</m:t>
            </m:r>
          </m:sub>
        </m:sSub>
        <m:r>
          <w:rPr>
            <w:rFonts w:ascii="Cambria Math" w:hAnsi="Cambria Math"/>
          </w:rPr>
          <m:t xml:space="preserve">=2.0+1.1 </m:t>
        </m:r>
        <m:sSup>
          <m:sSupPr>
            <m:ctrlPr>
              <w:rPr>
                <w:rFonts w:ascii="Cambria Math" w:hAnsi="Cambria Math"/>
              </w:rPr>
            </m:ctrlPr>
          </m:sSupPr>
          <m:e>
            <m:r>
              <w:rPr>
                <w:rFonts w:ascii="Cambria Math" w:hAnsi="Cambria Math"/>
              </w:rPr>
              <m:t>Pr</m:t>
            </m:r>
          </m:e>
          <m:sup>
            <m:f>
              <m:fPr>
                <m:type m:val="lin"/>
                <m:ctrlPr>
                  <w:rPr>
                    <w:rFonts w:ascii="Cambria Math" w:hAnsi="Cambria Math"/>
                  </w:rPr>
                </m:ctrlPr>
              </m:fPr>
              <m:num>
                <m:r>
                  <w:rPr>
                    <w:rFonts w:ascii="Cambria Math" w:hAnsi="Cambria Math"/>
                  </w:rPr>
                  <m:t>1</m:t>
                </m:r>
              </m:num>
              <m:den>
                <m:r>
                  <w:rPr>
                    <w:rFonts w:ascii="Cambria Math" w:hAnsi="Cambria Math"/>
                  </w:rPr>
                  <m:t>3</m:t>
                </m:r>
              </m:den>
            </m:f>
          </m:sup>
        </m:sSup>
        <m:r>
          <w:rPr>
            <w:rFonts w:ascii="Cambria Math" w:hAnsi="Cambria Math"/>
          </w:rPr>
          <m:t xml:space="preserve"> Re</m:t>
        </m:r>
      </m:oMath>
      <w:r w:rsidR="00B9548C">
        <w:t xml:space="preserve">                                                                                                    </w:t>
      </w:r>
      <w:r w:rsidR="00B9548C">
        <w:tab/>
        <w:t>(6)</w:t>
      </w:r>
    </w:p>
    <w:p w14:paraId="4BD32D74" w14:textId="2A21B321" w:rsidR="00B9548C" w:rsidRDefault="00B9548C" w:rsidP="00B9548C">
      <w:proofErr w:type="spellStart"/>
      <w:r>
        <w:t>Nu_sf</w:t>
      </w:r>
      <w:proofErr w:type="spellEnd"/>
      <w:r>
        <w:t xml:space="preserve"> is the Nusselt number, </w:t>
      </w:r>
      <w:proofErr w:type="spellStart"/>
      <w:r>
        <w:t>Pr</w:t>
      </w:r>
      <w:proofErr w:type="spellEnd"/>
      <w:r>
        <w:t xml:space="preserve"> is the Prandtl number, Re is the Reynolds number, </w:t>
      </w:r>
      <w:proofErr w:type="spellStart"/>
      <w:r>
        <w:t>h_sf</w:t>
      </w:r>
      <w:proofErr w:type="spellEnd"/>
      <w:r>
        <w:t xml:space="preserve"> is the heat transfer coefficient and </w:t>
      </w:r>
      <w:proofErr w:type="spellStart"/>
      <w:r>
        <w:t>a_sf</w:t>
      </w:r>
      <w:proofErr w:type="spellEnd"/>
      <w:r>
        <w:t xml:space="preserve"> the specific surface area. The reaction heat Q_s evolves within the porous media domain, depending on the reaction rate. </w:t>
      </w:r>
    </w:p>
    <w:p w14:paraId="218168D5" w14:textId="77777777" w:rsidR="00B9548C" w:rsidRDefault="00B9548C" w:rsidP="00B9548C"/>
    <w:p w14:paraId="4E898621" w14:textId="77777777" w:rsidR="00B9548C" w:rsidRPr="0031521C" w:rsidRDefault="00B9548C" w:rsidP="00B9548C">
      <w:pPr>
        <w:rPr>
          <w:b/>
          <w:bCs/>
        </w:rPr>
      </w:pPr>
      <w:r w:rsidRPr="0031521C">
        <w:rPr>
          <w:b/>
          <w:bCs/>
        </w:rPr>
        <w:t>Free fluid flow and flow in porous media using Brinkmann equation</w:t>
      </w:r>
    </w:p>
    <w:p w14:paraId="4103C7CF" w14:textId="7DAD253A" w:rsidR="00B9548C" w:rsidRDefault="00B9548C" w:rsidP="00B9548C">
      <w:r>
        <w:t xml:space="preserve">The fluid dynamics were calculated for the free hydrogen flow and in the porous metal hydride bed. The hydrogen is set as a compressible fluid. The mass conservation for the compressible flow is given in (7). </w:t>
      </w:r>
    </w:p>
    <w:p w14:paraId="4AA1A2D3" w14:textId="14F68372" w:rsidR="00B9548C" w:rsidRDefault="00C21A1E" w:rsidP="00B9548C">
      <m:oMath>
        <m:f>
          <m:fPr>
            <m:ctrlPr>
              <w:rPr>
                <w:rFonts w:ascii="Cambria Math" w:hAnsi="Cambria Math"/>
                <w:i/>
              </w:rPr>
            </m:ctrlPr>
          </m:fPr>
          <m:num>
            <m:r>
              <w:rPr>
                <w:rFonts w:ascii="Cambria Math" w:hAnsi="Cambria Math"/>
              </w:rPr>
              <m:t xml:space="preserve">∂(ε </m:t>
            </m:r>
            <m:sSub>
              <m:sSubPr>
                <m:ctrlPr>
                  <w:rPr>
                    <w:rFonts w:ascii="Cambria Math" w:hAnsi="Cambria Math"/>
                    <w:i/>
                  </w:rPr>
                </m:ctrlPr>
              </m:sSubPr>
              <m:e>
                <m:r>
                  <w:rPr>
                    <w:rFonts w:ascii="Cambria Math" w:hAnsi="Cambria Math"/>
                  </w:rPr>
                  <m:t>ρ</m:t>
                </m:r>
              </m:e>
              <m:sub>
                <m:r>
                  <w:rPr>
                    <w:rFonts w:ascii="Cambria Math" w:hAnsi="Cambria Math"/>
                  </w:rPr>
                  <m:t>f</m:t>
                </m:r>
              </m:sub>
            </m:sSub>
            <m:r>
              <w:rPr>
                <w:rFonts w:ascii="Cambria Math" w:hAnsi="Cambria Math"/>
              </w:rPr>
              <m:t>)</m:t>
            </m:r>
          </m:num>
          <m:den>
            <m:r>
              <w:rPr>
                <w:rFonts w:ascii="Cambria Math" w:hAnsi="Cambria Math"/>
              </w:rPr>
              <m:t>∂t</m:t>
            </m:r>
          </m:den>
        </m:f>
        <m:r>
          <w:rPr>
            <w:rFonts w:ascii="Cambria Math" w:hAnsi="Cambria Math"/>
          </w:rPr>
          <m:t>+</m:t>
        </m:r>
        <m:r>
          <m:rPr>
            <m:sty m:val="p"/>
          </m:rP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f</m:t>
                </m:r>
              </m:sub>
            </m:sSub>
            <m:sSub>
              <m:sSubPr>
                <m:ctrlPr>
                  <w:rPr>
                    <w:rFonts w:ascii="Cambria Math" w:hAnsi="Cambria Math"/>
                    <w:i/>
                  </w:rPr>
                </m:ctrlPr>
              </m:sSubPr>
              <m:e>
                <m:r>
                  <w:rPr>
                    <w:rFonts w:ascii="Cambria Math" w:hAnsi="Cambria Math"/>
                  </w:rPr>
                  <m:t>u</m:t>
                </m:r>
              </m:e>
              <m:sub>
                <m:r>
                  <w:rPr>
                    <w:rFonts w:ascii="Cambria Math" w:hAnsi="Cambria Math"/>
                  </w:rPr>
                  <m:t>f</m:t>
                </m:r>
              </m:sub>
            </m:sSub>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m</m:t>
            </m:r>
          </m:sub>
        </m:sSub>
      </m:oMath>
      <w:r w:rsidR="00B9548C">
        <w:t xml:space="preserve">                                                                                               </w:t>
      </w:r>
      <w:r w:rsidR="00B9548C">
        <w:tab/>
        <w:t xml:space="preserve"> (7)</w:t>
      </w:r>
    </w:p>
    <w:p w14:paraId="5EE74576" w14:textId="6812C0AE" w:rsidR="00B9548C" w:rsidRDefault="00B9548C" w:rsidP="00B9548C">
      <w:r>
        <w:t xml:space="preserve">The inertia term, the gravity force as well as the turbulence were neglected. The flow model was selected to be valid in the Darcy’s range, as the prior flow analysis showed low velocities with dominant laminar flow. </w:t>
      </w:r>
    </w:p>
    <w:p w14:paraId="3DAFDB7D" w14:textId="2679EC47" w:rsidR="00B9548C" w:rsidRDefault="00C21A1E" w:rsidP="00B9548C">
      <m:oMath>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f</m:t>
                </m:r>
              </m:sub>
            </m:sSub>
          </m:num>
          <m:den>
            <m:r>
              <w:rPr>
                <w:rFonts w:ascii="Cambria Math" w:hAnsi="Cambria Math"/>
              </w:rPr>
              <m:t>ε</m:t>
            </m:r>
          </m:den>
        </m:f>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f</m:t>
                </m:r>
              </m:sub>
            </m:sSub>
          </m:num>
          <m:den>
            <m:r>
              <w:rPr>
                <w:rFonts w:ascii="Cambria Math" w:hAnsi="Cambria Math"/>
              </w:rPr>
              <m:t>∂t</m:t>
            </m:r>
          </m:den>
        </m:f>
        <m:r>
          <w:rPr>
            <w:rFonts w:ascii="Cambria Math" w:hAnsi="Cambria Math"/>
          </w:rPr>
          <m:t>=</m:t>
        </m:r>
        <m:r>
          <m:rPr>
            <m:sty m:val="p"/>
          </m:rPr>
          <w:rPr>
            <w:rFonts w:ascii="Cambria Math" w:hAnsi="Cambria Math"/>
          </w:rPr>
          <m:t>∇</m:t>
        </m:r>
        <m:r>
          <w:rPr>
            <w:rFonts w:ascii="Cambria Math" w:hAnsi="Cambria Math"/>
          </w:rPr>
          <m:t xml:space="preserve"> </m:t>
        </m:r>
        <m:d>
          <m:dPr>
            <m:ctrlPr>
              <w:rPr>
                <w:rFonts w:ascii="Cambria Math" w:hAnsi="Cambria Math"/>
                <w:i/>
              </w:rPr>
            </m:ctrlPr>
          </m:dPr>
          <m:e>
            <m:r>
              <w:rPr>
                <w:rFonts w:ascii="Cambria Math" w:hAnsi="Cambria Math"/>
              </w:rPr>
              <m:t>-pI+K</m:t>
            </m:r>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μ</m:t>
                </m:r>
              </m:num>
              <m:den>
                <m:r>
                  <w:rPr>
                    <w:rFonts w:ascii="Cambria Math" w:hAnsi="Cambria Math"/>
                  </w:rPr>
                  <m:t>κ</m:t>
                </m:r>
              </m:den>
            </m:f>
            <m:r>
              <w:rPr>
                <w:rFonts w:ascii="Cambria Math" w:hAnsi="Cambria Math"/>
              </w:rPr>
              <m:t>+β</m:t>
            </m:r>
            <m:sSub>
              <m:sSubPr>
                <m:ctrlPr>
                  <w:rPr>
                    <w:rFonts w:ascii="Cambria Math" w:hAnsi="Cambria Math"/>
                    <w:i/>
                  </w:rPr>
                </m:ctrlPr>
              </m:sSubPr>
              <m:e>
                <m:r>
                  <w:rPr>
                    <w:rFonts w:ascii="Cambria Math" w:hAnsi="Cambria Math"/>
                  </w:rPr>
                  <m:t>ρ</m:t>
                </m:r>
              </m:e>
              <m:sub>
                <m:r>
                  <w:rPr>
                    <w:rFonts w:ascii="Cambria Math" w:hAnsi="Cambria Math"/>
                  </w:rPr>
                  <m:t>f</m:t>
                </m: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f</m:t>
                    </m:r>
                  </m:sub>
                </m:sSub>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m</m:t>
                    </m:r>
                  </m:sub>
                </m:sSub>
              </m:num>
              <m:den>
                <m:sSup>
                  <m:sSupPr>
                    <m:ctrlPr>
                      <w:rPr>
                        <w:rFonts w:ascii="Cambria Math" w:hAnsi="Cambria Math"/>
                        <w:i/>
                      </w:rPr>
                    </m:ctrlPr>
                  </m:sSupPr>
                  <m:e>
                    <m:r>
                      <w:rPr>
                        <w:rFonts w:ascii="Cambria Math" w:hAnsi="Cambria Math"/>
                      </w:rPr>
                      <m:t>ε</m:t>
                    </m:r>
                  </m:e>
                  <m:sup>
                    <m:r>
                      <w:rPr>
                        <w:rFonts w:ascii="Cambria Math" w:hAnsi="Cambria Math"/>
                      </w:rPr>
                      <m:t>2</m:t>
                    </m:r>
                  </m:sup>
                </m:sSup>
              </m:den>
            </m:f>
          </m:e>
        </m:d>
        <m:sSub>
          <m:sSubPr>
            <m:ctrlPr>
              <w:rPr>
                <w:rFonts w:ascii="Cambria Math" w:hAnsi="Cambria Math"/>
                <w:i/>
              </w:rPr>
            </m:ctrlPr>
          </m:sSubPr>
          <m:e>
            <m:r>
              <w:rPr>
                <w:rFonts w:ascii="Cambria Math" w:hAnsi="Cambria Math"/>
              </w:rPr>
              <m:t>u</m:t>
            </m:r>
          </m:e>
          <m:sub>
            <m:r>
              <w:rPr>
                <w:rFonts w:ascii="Cambria Math" w:hAnsi="Cambria Math"/>
              </w:rPr>
              <m:t>f</m:t>
            </m:r>
          </m:sub>
        </m:sSub>
        <m:r>
          <w:rPr>
            <w:rFonts w:ascii="Cambria Math" w:hAnsi="Cambria Math"/>
          </w:rPr>
          <m:t>+F</m:t>
        </m:r>
      </m:oMath>
      <w:r w:rsidR="00B9548C">
        <w:t xml:space="preserve">                                                               </w:t>
      </w:r>
      <w:r w:rsidR="00B9548C">
        <w:tab/>
        <w:t>(8)</w:t>
      </w:r>
    </w:p>
    <w:p w14:paraId="504CA774" w14:textId="3F715998" w:rsidR="00B9548C" w:rsidRDefault="00B9548C" w:rsidP="00B9548C">
      <m:oMath>
        <m:r>
          <w:rPr>
            <w:rFonts w:ascii="Cambria Math" w:hAnsi="Cambria Math"/>
          </w:rPr>
          <m:t>K=</m:t>
        </m:r>
        <m:f>
          <m:fPr>
            <m:ctrlPr>
              <w:rPr>
                <w:rFonts w:ascii="Cambria Math" w:hAnsi="Cambria Math"/>
                <w:i/>
              </w:rPr>
            </m:ctrlPr>
          </m:fPr>
          <m:num>
            <m:r>
              <w:rPr>
                <w:rFonts w:ascii="Cambria Math" w:hAnsi="Cambria Math"/>
              </w:rPr>
              <m:t>μ</m:t>
            </m:r>
          </m:num>
          <m:den>
            <m:r>
              <w:rPr>
                <w:rFonts w:ascii="Cambria Math" w:hAnsi="Cambria Math"/>
              </w:rPr>
              <m:t>ε</m:t>
            </m:r>
          </m:den>
        </m:f>
        <m:d>
          <m:dPr>
            <m:ctrlPr>
              <w:rPr>
                <w:rFonts w:ascii="Cambria Math" w:hAnsi="Cambria Math"/>
                <w:i/>
              </w:rPr>
            </m:ctrlPr>
          </m:dPr>
          <m:e>
            <m:r>
              <m:rPr>
                <m:sty m:val="p"/>
              </m:rP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f</m:t>
                </m:r>
              </m:sub>
            </m:sSub>
            <m:r>
              <w:rPr>
                <w:rFonts w:ascii="Cambria Math" w:hAnsi="Cambria Math"/>
              </w:rPr>
              <m:t>+</m:t>
            </m:r>
            <m:sSup>
              <m:sSupPr>
                <m:ctrlPr>
                  <w:rPr>
                    <w:rFonts w:ascii="Cambria Math" w:hAnsi="Cambria Math"/>
                    <w:i/>
                  </w:rPr>
                </m:ctrlPr>
              </m:sSupPr>
              <m:e>
                <m:d>
                  <m:dPr>
                    <m:ctrlPr>
                      <w:rPr>
                        <w:rFonts w:ascii="Cambria Math" w:hAnsi="Cambria Math"/>
                        <w:i/>
                      </w:rPr>
                    </m:ctrlPr>
                  </m:dPr>
                  <m:e>
                    <m:r>
                      <m:rPr>
                        <m:sty m:val="p"/>
                      </m:rP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f</m:t>
                        </m:r>
                      </m:sub>
                    </m:sSub>
                  </m:e>
                </m:d>
              </m:e>
              <m:sup>
                <m:r>
                  <w:rPr>
                    <w:rFonts w:ascii="Cambria Math" w:hAnsi="Cambria Math"/>
                  </w:rPr>
                  <m:t>T</m:t>
                </m:r>
              </m:sup>
            </m:sSup>
          </m:e>
        </m:d>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f>
          <m:fPr>
            <m:ctrlPr>
              <w:rPr>
                <w:rFonts w:ascii="Cambria Math" w:hAnsi="Cambria Math"/>
                <w:i/>
              </w:rPr>
            </m:ctrlPr>
          </m:fPr>
          <m:num>
            <m:r>
              <w:rPr>
                <w:rFonts w:ascii="Cambria Math" w:hAnsi="Cambria Math"/>
              </w:rPr>
              <m:t>μ</m:t>
            </m:r>
          </m:num>
          <m:den>
            <m:r>
              <w:rPr>
                <w:rFonts w:ascii="Cambria Math" w:hAnsi="Cambria Math"/>
              </w:rPr>
              <m:t>ε</m:t>
            </m:r>
          </m:den>
        </m:f>
        <m:d>
          <m:dPr>
            <m:ctrlPr>
              <w:rPr>
                <w:rFonts w:ascii="Cambria Math" w:hAnsi="Cambria Math"/>
                <w:i/>
              </w:rPr>
            </m:ctrlPr>
          </m:dPr>
          <m:e>
            <m:r>
              <m:rPr>
                <m:sty m:val="p"/>
              </m:rPr>
              <w:rPr>
                <w:rFonts w:ascii="Cambria Math" w:hAnsi="Cambria Math"/>
              </w:rPr>
              <m:t>∇</m:t>
            </m:r>
            <m:r>
              <w:rPr>
                <w:rFonts w:ascii="Cambria Math" w:hAnsi="Cambria Math"/>
              </w:rPr>
              <m:t>u</m:t>
            </m:r>
          </m:e>
        </m:d>
        <m:r>
          <w:rPr>
            <w:rFonts w:ascii="Cambria Math" w:hAnsi="Cambria Math"/>
          </w:rPr>
          <m:t>I</m:t>
        </m:r>
      </m:oMath>
      <w:r>
        <w:t xml:space="preserve">                                                                                   </w:t>
      </w:r>
      <w:r>
        <w:tab/>
        <w:t>(9)</w:t>
      </w:r>
    </w:p>
    <w:p w14:paraId="55DB5405" w14:textId="41C33B83" w:rsidR="00B9548C" w:rsidRDefault="00B9548C" w:rsidP="00B9548C">
      <m:oMath>
        <m:r>
          <w:rPr>
            <w:rFonts w:ascii="Cambria Math" w:hAnsi="Cambria Math"/>
          </w:rPr>
          <m:t>F=-</m:t>
        </m:r>
        <m:sSub>
          <m:sSubPr>
            <m:ctrlPr>
              <w:rPr>
                <w:rFonts w:ascii="Cambria Math" w:hAnsi="Cambria Math"/>
                <w:i/>
              </w:rPr>
            </m:ctrlPr>
          </m:sSubPr>
          <m:e>
            <m:r>
              <w:rPr>
                <w:rFonts w:ascii="Cambria Math" w:hAnsi="Cambria Math"/>
              </w:rPr>
              <m:t>ρ</m:t>
            </m:r>
          </m:e>
          <m:sub>
            <m:r>
              <w:rPr>
                <w:rFonts w:ascii="Cambria Math" w:hAnsi="Cambria Math"/>
              </w:rPr>
              <m:t>f</m:t>
            </m:r>
          </m:sub>
        </m:sSub>
        <m:r>
          <w:rPr>
            <w:rFonts w:ascii="Cambria Math" w:hAnsi="Cambria Math"/>
          </w:rPr>
          <m:t>β</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f</m:t>
                </m:r>
              </m:sub>
            </m:sSub>
          </m:e>
        </m:d>
        <m:sSub>
          <m:sSubPr>
            <m:ctrlPr>
              <w:rPr>
                <w:rFonts w:ascii="Cambria Math" w:hAnsi="Cambria Math"/>
                <w:i/>
              </w:rPr>
            </m:ctrlPr>
          </m:sSubPr>
          <m:e>
            <m:r>
              <w:rPr>
                <w:rFonts w:ascii="Cambria Math" w:hAnsi="Cambria Math"/>
              </w:rPr>
              <m:t>u</m:t>
            </m:r>
          </m:e>
          <m:sub>
            <m:r>
              <w:rPr>
                <w:rFonts w:ascii="Cambria Math" w:hAnsi="Cambria Math"/>
              </w:rPr>
              <m:t>f</m:t>
            </m:r>
          </m:sub>
        </m:sSub>
      </m:oMath>
      <w:r>
        <w:t xml:space="preserve">                                                                                                                  (10)</w:t>
      </w:r>
    </w:p>
    <w:p w14:paraId="29174E34" w14:textId="5B0D3F4F" w:rsidR="00B9548C" w:rsidRDefault="00B9548C" w:rsidP="00B9548C">
      <w:r>
        <w:t xml:space="preserve">p is the pressure, μ is the dynamic viscosity, κ is the permeability, </w:t>
      </w:r>
      <w:proofErr w:type="spellStart"/>
      <w:r>
        <w:t>Q</w:t>
      </w:r>
      <w:r w:rsidR="00C60730">
        <w:rPr>
          <w:vertAlign w:val="subscript"/>
        </w:rPr>
        <w:t>m</w:t>
      </w:r>
      <w:proofErr w:type="spellEnd"/>
      <w:r>
        <w:t xml:space="preserve"> is the mass source and F is the </w:t>
      </w:r>
      <w:proofErr w:type="spellStart"/>
      <w:r>
        <w:t>Forchheimer</w:t>
      </w:r>
      <w:proofErr w:type="spellEnd"/>
      <w:r>
        <w:t xml:space="preserve"> drag term. </w:t>
      </w:r>
    </w:p>
    <w:p w14:paraId="28E32C23" w14:textId="542AB7CA" w:rsidR="00B9548C" w:rsidRDefault="00B9548C" w:rsidP="00B9548C">
      <w:r>
        <w:t xml:space="preserve">The simulation starts with no flow, which is ramped up to 63.6 kg/h of constant hydrogen flow in 1 s, to build up a steady state flow field. The outlet boundary condition is set to constant 30 bar. </w:t>
      </w:r>
    </w:p>
    <w:p w14:paraId="1F41D956" w14:textId="77777777" w:rsidR="00B9548C" w:rsidRDefault="00B9548C" w:rsidP="00B9548C"/>
    <w:p w14:paraId="2E2107F8" w14:textId="77777777" w:rsidR="00B9548C" w:rsidRPr="0031521C" w:rsidRDefault="00B9548C" w:rsidP="00B9548C">
      <w:pPr>
        <w:rPr>
          <w:b/>
          <w:bCs/>
        </w:rPr>
      </w:pPr>
      <w:r w:rsidRPr="0031521C">
        <w:rPr>
          <w:b/>
          <w:bCs/>
        </w:rPr>
        <w:t>Transport of diluted species</w:t>
      </w:r>
    </w:p>
    <w:p w14:paraId="443B72FC" w14:textId="62C27CBC" w:rsidR="00B9548C" w:rsidRDefault="00B9548C" w:rsidP="00B9548C">
      <w:r>
        <w:t xml:space="preserve">Within this module, the chemical reaction between the metallic and the hydride phase is calculated using the kinetic model </w:t>
      </w:r>
      <w:sdt>
        <w:sdtPr>
          <w:rPr>
            <w:color w:val="000000"/>
          </w:rPr>
          <w:tag w:val="MENDELEY_CITATION_v3_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"/>
          <w:id w:val="1438251418"/>
          <w:placeholder>
            <w:docPart w:val="DefaultPlaceholder_-1854013440"/>
          </w:placeholder>
        </w:sdtPr>
        <w:sdtEndPr/>
        <w:sdtContent>
          <w:r w:rsidR="007E2477" w:rsidRPr="007E2477">
            <w:rPr>
              <w:color w:val="000000"/>
            </w:rPr>
            <w:t>[5]</w:t>
          </w:r>
        </w:sdtContent>
      </w:sdt>
      <w:r>
        <w:rPr>
          <w:color w:val="000000"/>
        </w:rPr>
        <w:t xml:space="preserve"> </w:t>
      </w:r>
      <w:r>
        <w:t xml:space="preserve">and the thermodynamic model from  </w:t>
      </w:r>
      <w:r w:rsidR="007E2477" w:rsidRPr="007E2477">
        <w:rPr>
          <w:color w:val="000000"/>
        </w:rPr>
        <w:t>[5,6]</w:t>
      </w:r>
      <w:r>
        <w:t xml:space="preserve">. The pressure and temperature state variables are taken from the modules mentioned above. The reaction is only calculated in the porous media domain. </w:t>
      </w:r>
    </w:p>
    <w:bookmarkEnd w:id="10"/>
    <w:p w14:paraId="6A0BE89E" w14:textId="77777777" w:rsidR="00E75615" w:rsidRDefault="00E75615" w:rsidP="00E75615">
      <w:pPr>
        <w:pStyle w:val="Listenabsatz"/>
      </w:pPr>
    </w:p>
    <w:p w14:paraId="683B7476" w14:textId="0F337472" w:rsidR="00450DAF" w:rsidRDefault="00E75615" w:rsidP="00BD56B4">
      <w:r>
        <w:rPr>
          <w:noProof/>
        </w:rPr>
        <w:lastRenderedPageBreak/>
        <mc:AlternateContent>
          <mc:Choice Requires="wps">
            <w:drawing>
              <wp:anchor distT="0" distB="0" distL="114300" distR="114300" simplePos="0" relativeHeight="251661312" behindDoc="0" locked="0" layoutInCell="1" allowOverlap="1" wp14:anchorId="1E92BA31" wp14:editId="5196000F">
                <wp:simplePos x="0" y="0"/>
                <wp:positionH relativeFrom="margin">
                  <wp:align>right</wp:align>
                </wp:positionH>
                <wp:positionV relativeFrom="paragraph">
                  <wp:posOffset>5637530</wp:posOffset>
                </wp:positionV>
                <wp:extent cx="5734050" cy="635"/>
                <wp:effectExtent l="0" t="0" r="0" b="635"/>
                <wp:wrapSquare wrapText="bothSides"/>
                <wp:docPr id="358092596" name="Textfeld 1"/>
                <wp:cNvGraphicFramePr/>
                <a:graphic xmlns:a="http://schemas.openxmlformats.org/drawingml/2006/main">
                  <a:graphicData uri="http://schemas.microsoft.com/office/word/2010/wordprocessingShape">
                    <wps:wsp>
                      <wps:cNvSpPr txBox="1"/>
                      <wps:spPr>
                        <a:xfrm>
                          <a:off x="0" y="0"/>
                          <a:ext cx="5734050" cy="635"/>
                        </a:xfrm>
                        <a:prstGeom prst="rect">
                          <a:avLst/>
                        </a:prstGeom>
                        <a:solidFill>
                          <a:prstClr val="white"/>
                        </a:solidFill>
                        <a:ln>
                          <a:noFill/>
                        </a:ln>
                      </wps:spPr>
                      <wps:txbx>
                        <w:txbxContent>
                          <w:p w14:paraId="1C50E6FF" w14:textId="5E9ABF4E" w:rsidR="00FB0BE3" w:rsidRPr="00FA1327" w:rsidRDefault="00FB0BE3" w:rsidP="0095425B">
                            <w:pPr>
                              <w:pStyle w:val="Beschriftung"/>
                              <w:rPr>
                                <w:noProof/>
                              </w:rPr>
                            </w:pPr>
                            <w:r>
                              <w:t xml:space="preserve">Figure </w:t>
                            </w:r>
                            <w:r>
                              <w:fldChar w:fldCharType="begin"/>
                            </w:r>
                            <w:r>
                              <w:instrText xml:space="preserve"> SEQ Figure \* ARABIC </w:instrText>
                            </w:r>
                            <w:r>
                              <w:fldChar w:fldCharType="separate"/>
                            </w:r>
                            <w:r w:rsidR="00C60730">
                              <w:rPr>
                                <w:noProof/>
                              </w:rPr>
                              <w:t>4</w:t>
                            </w:r>
                            <w:r>
                              <w:fldChar w:fldCharType="end"/>
                            </w:r>
                            <w:r>
                              <w:t>: Schematic of the FEM geometry, indicating the porous media and gas phase domains and the flow boundaries (left side) as well as the refining of the mesh of the given geometry (right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E92BA31" id="_x0000_t202" coordsize="21600,21600" o:spt="202" path="m,l,21600r21600,l21600,xe">
                <v:stroke joinstyle="miter"/>
                <v:path gradientshapeok="t" o:connecttype="rect"/>
              </v:shapetype>
              <v:shape id="Textfeld 1" o:spid="_x0000_s1026" type="#_x0000_t202" style="position:absolute;left:0;text-align:left;margin-left:400.3pt;margin-top:443.9pt;width:451.5pt;height:.05pt;z-index:2516613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" stroked="f">
                <v:textbox style="mso-fit-shape-to-text:t" inset="0,0,0,0">
                  <w:txbxContent>
                    <w:p w14:paraId="1C50E6FF" w14:textId="5E9ABF4E" w:rsidR="00FB0BE3" w:rsidRPr="00FA1327" w:rsidRDefault="00FB0BE3" w:rsidP="0095425B">
                      <w:pPr>
                        <w:pStyle w:val="Beschriftung"/>
                        <w:rPr>
                          <w:noProof/>
                        </w:rPr>
                      </w:pPr>
                      <w:r>
                        <w:t xml:space="preserve">Figure </w:t>
                      </w:r>
                      <w:r>
                        <w:fldChar w:fldCharType="begin"/>
                      </w:r>
                      <w:r>
                        <w:instrText xml:space="preserve"> SEQ Figure \* ARABIC </w:instrText>
                      </w:r>
                      <w:r>
                        <w:fldChar w:fldCharType="separate"/>
                      </w:r>
                      <w:r w:rsidR="00C60730">
                        <w:rPr>
                          <w:noProof/>
                        </w:rPr>
                        <w:t>4</w:t>
                      </w:r>
                      <w:r>
                        <w:fldChar w:fldCharType="end"/>
                      </w:r>
                      <w:r>
                        <w:t>: Schematic of the FEM geometry, indicating the porous media and gas phase domains and the flow boundaries (left side) as well as the refining of the mesh of the given geometry (right side)</w:t>
                      </w:r>
                    </w:p>
                  </w:txbxContent>
                </v:textbox>
                <w10:wrap type="square" anchorx="margin"/>
              </v:shape>
            </w:pict>
          </mc:Fallback>
        </mc:AlternateContent>
      </w:r>
      <w:r w:rsidRPr="00E75615">
        <w:rPr>
          <w:noProof/>
        </w:rPr>
        <w:drawing>
          <wp:inline distT="0" distB="0" distL="0" distR="0" wp14:anchorId="3D365A8B" wp14:editId="65DDF943">
            <wp:extent cx="5731510" cy="5552440"/>
            <wp:effectExtent l="0" t="0" r="2540" b="0"/>
            <wp:docPr id="12" name="Grafik 11" descr="Ein Bild, das Text, Screenshot, Display, Rechteck enthält.&#10;&#10;KI-generierte Inhalte können fehlerhaft sein.">
              <a:extLst xmlns:a="http://schemas.openxmlformats.org/drawingml/2006/main">
                <a:ext uri="{FF2B5EF4-FFF2-40B4-BE49-F238E27FC236}">
                  <a16:creationId xmlns:a16="http://schemas.microsoft.com/office/drawing/2014/main" id="{ED3D2E28-C581-1AF6-3DF7-5C338D304A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descr="Ein Bild, das Text, Screenshot, Display, Rechteck enthält.&#10;&#10;KI-generierte Inhalte können fehlerhaft sein.">
                      <a:extLst>
                        <a:ext uri="{FF2B5EF4-FFF2-40B4-BE49-F238E27FC236}">
                          <a16:creationId xmlns:a16="http://schemas.microsoft.com/office/drawing/2014/main" id="{ED3D2E28-C581-1AF6-3DF7-5C338D304A55}"/>
                        </a:ext>
                      </a:extLst>
                    </pic:cNvPr>
                    <pic:cNvPicPr>
                      <a:picLocks noChangeAspect="1"/>
                    </pic:cNvPicPr>
                  </pic:nvPicPr>
                  <pic:blipFill>
                    <a:blip r:embed="rId19"/>
                    <a:stretch>
                      <a:fillRect/>
                    </a:stretch>
                  </pic:blipFill>
                  <pic:spPr>
                    <a:xfrm>
                      <a:off x="0" y="0"/>
                      <a:ext cx="5731510" cy="5552440"/>
                    </a:xfrm>
                    <a:prstGeom prst="rect">
                      <a:avLst/>
                    </a:prstGeom>
                  </pic:spPr>
                </pic:pic>
              </a:graphicData>
            </a:graphic>
          </wp:inline>
        </w:drawing>
      </w:r>
    </w:p>
    <w:p w14:paraId="7E4BF889" w14:textId="77777777" w:rsidR="00B4330A" w:rsidRDefault="00B4330A" w:rsidP="00BD56B4"/>
    <w:p w14:paraId="29C37BAD" w14:textId="3147A090" w:rsidR="00B4330A" w:rsidRDefault="00B4330A" w:rsidP="00BD56B4">
      <w:r>
        <w:fldChar w:fldCharType="begin"/>
      </w:r>
      <w:r>
        <w:instrText xml:space="preserve"> REF _Ref194331596 \h </w:instrText>
      </w:r>
      <w:r>
        <w:fldChar w:fldCharType="separate"/>
      </w:r>
      <w:r>
        <w:t xml:space="preserve">Figure </w:t>
      </w:r>
      <w:r>
        <w:rPr>
          <w:noProof/>
        </w:rPr>
        <w:t>5</w:t>
      </w:r>
      <w:r>
        <w:fldChar w:fldCharType="end"/>
      </w:r>
      <w:r>
        <w:t xml:space="preserve"> shows the comparison of FEM and 1D-FDM </w:t>
      </w:r>
      <w:r w:rsidR="00C85251">
        <w:t>for the absorption reaction of a single tank, a</w:t>
      </w:r>
      <w:r w:rsidR="00C85251" w:rsidRPr="00C85251">
        <w:t xml:space="preserve">s a supplement to the </w:t>
      </w:r>
      <w:r w:rsidR="009D4773">
        <w:t>de</w:t>
      </w:r>
      <w:r w:rsidR="00C85251">
        <w:t>sorption (</w:t>
      </w:r>
      <w:r w:rsidR="00C85251">
        <w:fldChar w:fldCharType="begin"/>
      </w:r>
      <w:r w:rsidR="00C85251">
        <w:instrText xml:space="preserve"> REF _Ref194324096 \h </w:instrText>
      </w:r>
      <w:r w:rsidR="00C85251">
        <w:fldChar w:fldCharType="separate"/>
      </w:r>
      <w:r w:rsidR="009D4773">
        <w:t xml:space="preserve">Figure </w:t>
      </w:r>
      <w:r w:rsidR="009D4773">
        <w:rPr>
          <w:noProof/>
        </w:rPr>
        <w:t>3</w:t>
      </w:r>
      <w:r w:rsidR="00C85251">
        <w:fldChar w:fldCharType="end"/>
      </w:r>
      <w:r w:rsidR="00C85251">
        <w:t>).</w:t>
      </w:r>
    </w:p>
    <w:p w14:paraId="4FB1776D" w14:textId="77777777" w:rsidR="00B4330A" w:rsidRDefault="006360F0" w:rsidP="00B4330A">
      <w:pPr>
        <w:keepNext/>
      </w:pPr>
      <w:r w:rsidRPr="006360F0">
        <w:rPr>
          <w:noProof/>
        </w:rPr>
        <w:lastRenderedPageBreak/>
        <w:drawing>
          <wp:inline distT="0" distB="0" distL="0" distR="0" wp14:anchorId="5FF40B9B" wp14:editId="1C4734DE">
            <wp:extent cx="5648325" cy="4412339"/>
            <wp:effectExtent l="0" t="0" r="0" b="0"/>
            <wp:docPr id="25950307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6996" t="5655" r="5555" b="4938"/>
                    <a:stretch/>
                  </pic:blipFill>
                  <pic:spPr bwMode="auto">
                    <a:xfrm>
                      <a:off x="0" y="0"/>
                      <a:ext cx="5658047" cy="4419934"/>
                    </a:xfrm>
                    <a:prstGeom prst="rect">
                      <a:avLst/>
                    </a:prstGeom>
                    <a:noFill/>
                    <a:ln>
                      <a:noFill/>
                    </a:ln>
                    <a:extLst>
                      <a:ext uri="{53640926-AAD7-44D8-BBD7-CCE9431645EC}">
                        <a14:shadowObscured xmlns:a14="http://schemas.microsoft.com/office/drawing/2010/main"/>
                      </a:ext>
                    </a:extLst>
                  </pic:spPr>
                </pic:pic>
              </a:graphicData>
            </a:graphic>
          </wp:inline>
        </w:drawing>
      </w:r>
    </w:p>
    <w:p w14:paraId="71A4F348" w14:textId="2FD291E7" w:rsidR="00450DAF" w:rsidRDefault="00B4330A" w:rsidP="0068010D">
      <w:pPr>
        <w:pStyle w:val="Beschriftung"/>
      </w:pPr>
      <w:bookmarkStart w:id="12" w:name="_Ref194331596"/>
      <w:r>
        <w:t xml:space="preserve">Figure </w:t>
      </w:r>
      <w:r>
        <w:rPr>
          <w:i w:val="0"/>
          <w:iCs w:val="0"/>
        </w:rPr>
        <w:fldChar w:fldCharType="begin"/>
      </w:r>
      <w:r>
        <w:instrText xml:space="preserve"> SEQ Figure \* ARABIC </w:instrText>
      </w:r>
      <w:r>
        <w:rPr>
          <w:i w:val="0"/>
          <w:iCs w:val="0"/>
        </w:rPr>
        <w:fldChar w:fldCharType="separate"/>
      </w:r>
      <w:r w:rsidR="00C60730">
        <w:rPr>
          <w:noProof/>
        </w:rPr>
        <w:t>5</w:t>
      </w:r>
      <w:r>
        <w:rPr>
          <w:i w:val="0"/>
          <w:iCs w:val="0"/>
        </w:rPr>
        <w:fldChar w:fldCharType="end"/>
      </w:r>
      <w:bookmarkEnd w:id="12"/>
      <w:r>
        <w:t>: Comparison of the absorption reaction.</w:t>
      </w:r>
      <w:r w:rsidR="00A346D8">
        <w:t xml:space="preserve"> </w:t>
      </w:r>
      <w:r w:rsidR="009D4773">
        <w:t>1D model is set up with 10 nodes.</w:t>
      </w:r>
    </w:p>
    <w:p w14:paraId="65D7DEAE" w14:textId="4D7299F9" w:rsidR="00525D5E" w:rsidRPr="0068010D" w:rsidRDefault="00525D5E" w:rsidP="0068010D">
      <w:pPr>
        <w:pStyle w:val="berschrift1"/>
        <w:rPr>
          <w:b w:val="0"/>
          <w:bCs w:val="0"/>
          <w:lang w:val="en-US"/>
        </w:rPr>
      </w:pPr>
      <w:bookmarkStart w:id="13" w:name="_Hlk196406686"/>
      <w:bookmarkStart w:id="14" w:name="_Toc198131591"/>
      <w:r w:rsidRPr="0068010D">
        <w:rPr>
          <w:lang w:val="en-US"/>
        </w:rPr>
        <w:t xml:space="preserve">BET area measurement </w:t>
      </w:r>
      <w:bookmarkEnd w:id="13"/>
      <w:r w:rsidRPr="0068010D">
        <w:rPr>
          <w:lang w:val="en-US"/>
        </w:rPr>
        <w:t>(surface area):</w:t>
      </w:r>
      <w:r>
        <w:rPr>
          <w:lang w:val="en-US"/>
        </w:rPr>
        <w:t xml:space="preserve"> Results</w:t>
      </w:r>
      <w:bookmarkEnd w:id="14"/>
    </w:p>
    <w:p w14:paraId="525F8538" w14:textId="77777777" w:rsidR="00235A8A" w:rsidRDefault="00235A8A" w:rsidP="00235A8A">
      <w:r>
        <w:t xml:space="preserve">Previous treatment: The hydride-forming alloy Hydralloy®C5 was activated to full capacity of 1.6-1.7 wt.% and cycled 5 times in a prototype tank containing 15 kg of material at 30 ºC under about 35 bar and 1 bar for absorption and desorption, respectively. Then, the material, after hydrogen interaction, was slowly oxidized in air atmosphere for one week and then sieved in the range of 20 – 30 microns particle size. The oxidation does not change the morphology and textural conditions of the particles, as observed by scanning electron microscope analysis of samples without contact with the air and with contact with the air (photos and results not shown here). The sample for analysis was put into a 3/8-inch glass tube sample holder. The sample was degassed in the </w:t>
      </w:r>
      <w:proofErr w:type="spellStart"/>
      <w:r>
        <w:t>VapPrep</w:t>
      </w:r>
      <w:proofErr w:type="spellEnd"/>
      <w:r>
        <w:t xml:space="preserve"> unit (Micromeritics Instrument Corp.). The degassing procedure consisted of 48 hours of vacuum at room temperature, followed by ramping up to 400 ºC under vacuum and 24 hours at 400 ºC. After degassing, 3.7030 g of powder sample was weighted in the 3/8-inch glass tube. Then, the sample was cooled down and connected to the TriStar</w:t>
      </w:r>
      <w:r>
        <w:t> II Plus surface area and porosity analyzer (Micromeritics Instrument Corp.).</w:t>
      </w:r>
    </w:p>
    <w:p w14:paraId="0243760B" w14:textId="57D8E037" w:rsidR="00235A8A" w:rsidRDefault="00235A8A" w:rsidP="00235A8A">
      <w:r>
        <w:t xml:space="preserve">Before starting the analysis, the sample was put under vacuum at room temperature for 5 hours to ensure the complete evacuation of air introduced during the connection to the device. The analysis used an adsorptive gas nitrogen in a liquid nitrogen bath (77.3 K). The equilibration interval for the BET area calculation was 10 seconds, and the minimum </w:t>
      </w:r>
      <w:r>
        <w:lastRenderedPageBreak/>
        <w:t xml:space="preserve">equilibration delay was at a relative pressure greater or equal to 0.995 of 600 seconds. The mode used was low-area BET material in the relative pressure range (P/P0) from 0 to 0.20. </w:t>
      </w:r>
    </w:p>
    <w:p w14:paraId="77D5B243" w14:textId="667AC671" w:rsidR="00525D5E" w:rsidRDefault="00525D5E" w:rsidP="00BD56B4">
      <w:r>
        <w:t xml:space="preserve">The result shows that proper parameters were obtained based on the theory and physical meaning: </w:t>
      </w:r>
      <w:r w:rsidRPr="00413360">
        <w:t>C= 213.93 is in the range it between 50 and 300</w:t>
      </w:r>
      <w:r>
        <w:t>, typical for most of the materials</w:t>
      </w:r>
      <w:r w:rsidRPr="00413360">
        <w:t xml:space="preserve">, the slope is positive (66.34328 ± 0.52756 g/mmol), and the </w:t>
      </w:r>
      <w:r>
        <w:t>Y-</w:t>
      </w:r>
      <w:r w:rsidRPr="00413360">
        <w:t>intercept is positive as well (0.31157 ± 0.05784 g/mmol)</w:t>
      </w:r>
      <w:r>
        <w:t xml:space="preserve">. The C, slope, and Y-intercept verifies that the device was working correctly (no leak), and the selected pressure range was correct. The results can be seen </w:t>
      </w:r>
      <w:r w:rsidR="00C60730">
        <w:t>in Fig. 6.</w:t>
      </w:r>
    </w:p>
    <w:p w14:paraId="61AE970A" w14:textId="77777777" w:rsidR="00C60730" w:rsidRDefault="00C60730" w:rsidP="0031521C">
      <w:pPr>
        <w:keepNext/>
        <w:jc w:val="left"/>
      </w:pPr>
      <w:r w:rsidRPr="00C60730">
        <w:rPr>
          <w:noProof/>
        </w:rPr>
        <w:lastRenderedPageBreak/>
        <w:drawing>
          <wp:inline distT="0" distB="0" distL="0" distR="0" wp14:anchorId="755C71FD" wp14:editId="020657AD">
            <wp:extent cx="5114772" cy="7349772"/>
            <wp:effectExtent l="0" t="0" r="0" b="3810"/>
            <wp:docPr id="10" name="Grafik 9" descr="Ein Bild, das Text, Diagramm, Reihe, parallel enthält.&#10;&#10;KI-generierte Inhalte können fehlerhaft sein.">
              <a:extLst xmlns:a="http://schemas.openxmlformats.org/drawingml/2006/main">
                <a:ext uri="{FF2B5EF4-FFF2-40B4-BE49-F238E27FC236}">
                  <a16:creationId xmlns:a16="http://schemas.microsoft.com/office/drawing/2014/main" id="{32CBEAC4-BB2F-2107-7E85-2A3EE8B08D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descr="Ein Bild, das Text, Diagramm, Reihe, parallel enthält.&#10;&#10;KI-generierte Inhalte können fehlerhaft sein.">
                      <a:extLst>
                        <a:ext uri="{FF2B5EF4-FFF2-40B4-BE49-F238E27FC236}">
                          <a16:creationId xmlns:a16="http://schemas.microsoft.com/office/drawing/2014/main" id="{32CBEAC4-BB2F-2107-7E85-2A3EE8B08D35}"/>
                        </a:ext>
                      </a:extLst>
                    </pic:cNvPr>
                    <pic:cNvPicPr>
                      <a:picLocks noChangeAspect="1"/>
                    </pic:cNvPicPr>
                  </pic:nvPicPr>
                  <pic:blipFill>
                    <a:blip r:embed="rId21"/>
                    <a:srcRect r="3445"/>
                    <a:stretch/>
                  </pic:blipFill>
                  <pic:spPr>
                    <a:xfrm>
                      <a:off x="0" y="0"/>
                      <a:ext cx="5126478" cy="7366593"/>
                    </a:xfrm>
                    <a:prstGeom prst="rect">
                      <a:avLst/>
                    </a:prstGeom>
                  </pic:spPr>
                </pic:pic>
              </a:graphicData>
            </a:graphic>
          </wp:inline>
        </w:drawing>
      </w:r>
    </w:p>
    <w:p w14:paraId="198CC14B" w14:textId="34ED4C50" w:rsidR="00B9548C" w:rsidRDefault="00C60730" w:rsidP="0031521C">
      <w:pPr>
        <w:pStyle w:val="Beschriftung"/>
        <w:jc w:val="left"/>
      </w:pPr>
      <w:r>
        <w:t xml:space="preserve">Figure </w:t>
      </w:r>
      <w:r>
        <w:fldChar w:fldCharType="begin"/>
      </w:r>
      <w:r>
        <w:instrText xml:space="preserve"> SEQ Figure \* ARABIC </w:instrText>
      </w:r>
      <w:r>
        <w:fldChar w:fldCharType="separate"/>
      </w:r>
      <w:r>
        <w:rPr>
          <w:noProof/>
        </w:rPr>
        <w:t>6</w:t>
      </w:r>
      <w:r>
        <w:fldChar w:fldCharType="end"/>
      </w:r>
      <w:r>
        <w:t>: Results of the BET surface area measurement.</w:t>
      </w:r>
    </w:p>
    <w:p w14:paraId="7DE891C9" w14:textId="77777777" w:rsidR="00B9548C" w:rsidRDefault="00B9548C" w:rsidP="00BD56B4"/>
    <w:p w14:paraId="2E33E9EB" w14:textId="0D510BFC" w:rsidR="00C60730" w:rsidRPr="0031521C" w:rsidRDefault="00C60730" w:rsidP="0031521C">
      <w:pPr>
        <w:pStyle w:val="berschrift1"/>
        <w:rPr>
          <w:lang w:val="en-US"/>
        </w:rPr>
      </w:pPr>
      <w:bookmarkStart w:id="15" w:name="_Toc198131592"/>
      <w:r>
        <w:rPr>
          <w:lang w:val="en-US"/>
        </w:rPr>
        <w:lastRenderedPageBreak/>
        <w:t>References</w:t>
      </w:r>
      <w:bookmarkEnd w:id="15"/>
    </w:p>
    <w:sdt>
      <w:sdtPr>
        <w:rPr>
          <w:color w:val="000000"/>
        </w:rPr>
        <w:tag w:val="MENDELEY_BIBLIOGRAPHY"/>
        <w:id w:val="-358582189"/>
        <w:placeholder>
          <w:docPart w:val="DefaultPlaceholder_-1854013440"/>
        </w:placeholder>
      </w:sdtPr>
      <w:sdtEndPr/>
      <w:sdtContent>
        <w:p w14:paraId="2C1477DD" w14:textId="77777777" w:rsidR="007E2477" w:rsidRDefault="007E2477">
          <w:pPr>
            <w:autoSpaceDE w:val="0"/>
            <w:autoSpaceDN w:val="0"/>
            <w:ind w:hanging="640"/>
            <w:divId w:val="1209223438"/>
            <w:rPr>
              <w:rFonts w:eastAsia="Times New Roman"/>
              <w:sz w:val="24"/>
              <w:szCs w:val="24"/>
            </w:rPr>
          </w:pPr>
          <w:r w:rsidRPr="0031521C">
            <w:rPr>
              <w:rFonts w:eastAsia="Times New Roman"/>
            </w:rPr>
            <w:t>[1]</w:t>
          </w:r>
          <w:r w:rsidRPr="0031521C">
            <w:rPr>
              <w:rFonts w:eastAsia="Times New Roman"/>
            </w:rPr>
            <w:tab/>
            <w:t xml:space="preserve">Puszkiel JA, Neves AM, Warfsmann J, Krause PS, Kaufmann TFJ, Robelo Hoberg A, et al. </w:t>
          </w:r>
          <w:r>
            <w:rPr>
              <w:rFonts w:eastAsia="Times New Roman"/>
            </w:rPr>
            <w:t>On the hydrogen storage properties and life cycle evaluation of a room temperature hydride for scale-up applications: The case of an AB2-alloy. Int J Hydrogen Energy 2025;118:482–99. https://doi.org/10.1016/J.IJHYDENE.2025.03.161.</w:t>
          </w:r>
        </w:p>
        <w:p w14:paraId="284723D7" w14:textId="77777777" w:rsidR="007E2477" w:rsidRDefault="007E2477">
          <w:pPr>
            <w:autoSpaceDE w:val="0"/>
            <w:autoSpaceDN w:val="0"/>
            <w:ind w:hanging="640"/>
            <w:divId w:val="2064787928"/>
            <w:rPr>
              <w:rFonts w:eastAsia="Times New Roman"/>
            </w:rPr>
          </w:pPr>
          <w:r>
            <w:rPr>
              <w:rFonts w:eastAsia="Times New Roman"/>
            </w:rPr>
            <w:t>[2]</w:t>
          </w:r>
          <w:r>
            <w:rPr>
              <w:rFonts w:eastAsia="Times New Roman"/>
            </w:rPr>
            <w:tab/>
          </w:r>
          <w:proofErr w:type="spellStart"/>
          <w:r>
            <w:rPr>
              <w:rFonts w:eastAsia="Times New Roman"/>
            </w:rPr>
            <w:t>Iooss</w:t>
          </w:r>
          <w:proofErr w:type="spellEnd"/>
          <w:r>
            <w:rPr>
              <w:rFonts w:eastAsia="Times New Roman"/>
            </w:rPr>
            <w:t xml:space="preserve"> B, </w:t>
          </w:r>
          <w:proofErr w:type="spellStart"/>
          <w:r>
            <w:rPr>
              <w:rFonts w:eastAsia="Times New Roman"/>
            </w:rPr>
            <w:t>Lemaître</w:t>
          </w:r>
          <w:proofErr w:type="spellEnd"/>
          <w:r>
            <w:rPr>
              <w:rFonts w:eastAsia="Times New Roman"/>
            </w:rPr>
            <w:t xml:space="preserve"> P. A Review on Global Sensitivity Analysis Methods. Operations Research/ Computer Science Interfaces Series 2015;59:101–22. https://doi.org/10.1007/978-1-4899-7547-8_5.</w:t>
          </w:r>
        </w:p>
        <w:p w14:paraId="4C36BEAE" w14:textId="77777777" w:rsidR="007E2477" w:rsidRDefault="007E2477">
          <w:pPr>
            <w:autoSpaceDE w:val="0"/>
            <w:autoSpaceDN w:val="0"/>
            <w:ind w:hanging="640"/>
            <w:divId w:val="85228202"/>
            <w:rPr>
              <w:rFonts w:eastAsia="Times New Roman"/>
            </w:rPr>
          </w:pPr>
          <w:r>
            <w:rPr>
              <w:rFonts w:eastAsia="Times New Roman"/>
            </w:rPr>
            <w:t>[3]</w:t>
          </w:r>
          <w:r>
            <w:rPr>
              <w:rFonts w:eastAsia="Times New Roman"/>
            </w:rPr>
            <w:tab/>
            <w:t xml:space="preserve">Ghanem R, Higdon D, </w:t>
          </w:r>
          <w:proofErr w:type="spellStart"/>
          <w:r>
            <w:rPr>
              <w:rFonts w:eastAsia="Times New Roman"/>
            </w:rPr>
            <w:t>Owhadi</w:t>
          </w:r>
          <w:proofErr w:type="spellEnd"/>
          <w:r>
            <w:rPr>
              <w:rFonts w:eastAsia="Times New Roman"/>
            </w:rPr>
            <w:t xml:space="preserve"> H, editors. Handbook of uncertainty quantification. Springer International Publishing; 2017. https://doi.org/10.1007/978-3-319-12385-1.</w:t>
          </w:r>
        </w:p>
        <w:p w14:paraId="6B3DEF4D" w14:textId="77777777" w:rsidR="007E2477" w:rsidRDefault="007E2477">
          <w:pPr>
            <w:autoSpaceDE w:val="0"/>
            <w:autoSpaceDN w:val="0"/>
            <w:ind w:hanging="640"/>
            <w:divId w:val="555122001"/>
            <w:rPr>
              <w:rFonts w:eastAsia="Times New Roman"/>
            </w:rPr>
          </w:pPr>
          <w:r>
            <w:rPr>
              <w:rFonts w:eastAsia="Times New Roman"/>
            </w:rPr>
            <w:t>[4]</w:t>
          </w:r>
          <w:r>
            <w:rPr>
              <w:rFonts w:eastAsia="Times New Roman"/>
            </w:rPr>
            <w:tab/>
            <w:t xml:space="preserve">Morris MD. Factorial Sampling Plans for Preliminary Computational Experiments. </w:t>
          </w:r>
          <w:proofErr w:type="spellStart"/>
          <w:r>
            <w:rPr>
              <w:rFonts w:eastAsia="Times New Roman"/>
            </w:rPr>
            <w:t>Technometrics</w:t>
          </w:r>
          <w:proofErr w:type="spellEnd"/>
          <w:r>
            <w:rPr>
              <w:rFonts w:eastAsia="Times New Roman"/>
            </w:rPr>
            <w:t xml:space="preserve"> 1991;33:161. https://doi.org/10.2307/1269043.</w:t>
          </w:r>
        </w:p>
        <w:p w14:paraId="421251DC" w14:textId="77777777" w:rsidR="007E2477" w:rsidRDefault="007E2477">
          <w:pPr>
            <w:autoSpaceDE w:val="0"/>
            <w:autoSpaceDN w:val="0"/>
            <w:ind w:hanging="640"/>
            <w:divId w:val="1364553162"/>
            <w:rPr>
              <w:rFonts w:eastAsia="Times New Roman"/>
            </w:rPr>
          </w:pPr>
          <w:r>
            <w:rPr>
              <w:rFonts w:eastAsia="Times New Roman"/>
            </w:rPr>
            <w:t>[5]</w:t>
          </w:r>
          <w:r>
            <w:rPr>
              <w:rFonts w:eastAsia="Times New Roman"/>
            </w:rPr>
            <w:tab/>
          </w:r>
          <w:proofErr w:type="spellStart"/>
          <w:r>
            <w:rPr>
              <w:rFonts w:eastAsia="Times New Roman"/>
            </w:rPr>
            <w:t>Herbrig</w:t>
          </w:r>
          <w:proofErr w:type="spellEnd"/>
          <w:r>
            <w:rPr>
              <w:rFonts w:eastAsia="Times New Roman"/>
            </w:rPr>
            <w:t xml:space="preserve"> K, </w:t>
          </w:r>
          <w:proofErr w:type="spellStart"/>
          <w:r>
            <w:rPr>
              <w:rFonts w:eastAsia="Times New Roman"/>
            </w:rPr>
            <w:t>Röntzsch</w:t>
          </w:r>
          <w:proofErr w:type="spellEnd"/>
          <w:r>
            <w:rPr>
              <w:rFonts w:eastAsia="Times New Roman"/>
            </w:rPr>
            <w:t xml:space="preserve"> L, Pohlmann C, </w:t>
          </w:r>
          <w:proofErr w:type="spellStart"/>
          <w:r>
            <w:rPr>
              <w:rFonts w:eastAsia="Times New Roman"/>
            </w:rPr>
            <w:t>Weißgärber</w:t>
          </w:r>
          <w:proofErr w:type="spellEnd"/>
          <w:r>
            <w:rPr>
              <w:rFonts w:eastAsia="Times New Roman"/>
            </w:rPr>
            <w:t xml:space="preserve"> T, </w:t>
          </w:r>
          <w:proofErr w:type="spellStart"/>
          <w:r>
            <w:rPr>
              <w:rFonts w:eastAsia="Times New Roman"/>
            </w:rPr>
            <w:t>Kieback</w:t>
          </w:r>
          <w:proofErr w:type="spellEnd"/>
          <w:r>
            <w:rPr>
              <w:rFonts w:eastAsia="Times New Roman"/>
            </w:rPr>
            <w:t xml:space="preserve"> B. Hydrogen storage systems based on hydride-graphite composites: Computer simulation and experimental validation. Int J Hydrogen Energy 2013;38:7026–36. https://doi.org/10.1016/j.ijhydene.2013.03.104.</w:t>
          </w:r>
        </w:p>
        <w:p w14:paraId="53DB4C8C" w14:textId="77777777" w:rsidR="007E2477" w:rsidRDefault="007E2477">
          <w:pPr>
            <w:autoSpaceDE w:val="0"/>
            <w:autoSpaceDN w:val="0"/>
            <w:ind w:hanging="640"/>
            <w:divId w:val="13463893"/>
            <w:rPr>
              <w:rFonts w:eastAsia="Times New Roman"/>
            </w:rPr>
          </w:pPr>
          <w:r>
            <w:rPr>
              <w:rFonts w:eastAsia="Times New Roman"/>
            </w:rPr>
            <w:t>[6]</w:t>
          </w:r>
          <w:r>
            <w:rPr>
              <w:rFonts w:eastAsia="Times New Roman"/>
            </w:rPr>
            <w:tab/>
            <w:t>Passing M. Development of a thermal and hydraulic coupled hydrogen storage system based on metal hydrides for automotive application. Doctoral Thesis. Helmut-Schmidt-Universität / Universität der Bundeswehr Hamburg, 2024.</w:t>
          </w:r>
        </w:p>
        <w:p w14:paraId="0EA0FAE5" w14:textId="79B2AC30" w:rsidR="00C60730" w:rsidRDefault="007E2477" w:rsidP="00BD56B4">
          <w:r>
            <w:rPr>
              <w:rFonts w:eastAsia="Times New Roman"/>
            </w:rPr>
            <w:t> </w:t>
          </w:r>
        </w:p>
      </w:sdtContent>
    </w:sdt>
    <w:p w14:paraId="10AA7899" w14:textId="063A9DFB" w:rsidR="00525D5E" w:rsidRPr="00450DAF" w:rsidRDefault="00525D5E" w:rsidP="00BD56B4"/>
    <w:sectPr w:rsidR="00525D5E" w:rsidRPr="00450DAF" w:rsidSect="008D0579">
      <w:headerReference w:type="even" r:id="rId22"/>
      <w:headerReference w:type="default" r:id="rId23"/>
      <w:footerReference w:type="even" r:id="rId24"/>
      <w:footerReference w:type="default" r:id="rId25"/>
      <w:headerReference w:type="first" r:id="rId26"/>
      <w:footerReference w:type="first" r:id="rId27"/>
      <w:pgSz w:w="11906" w:h="16838" w:code="9"/>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B97D32" w14:textId="77777777" w:rsidR="00F63E85" w:rsidRDefault="00F63E85">
      <w:pPr>
        <w:spacing w:after="0" w:line="240" w:lineRule="auto"/>
      </w:pPr>
      <w:r>
        <w:separator/>
      </w:r>
    </w:p>
    <w:p w14:paraId="3B04E32C" w14:textId="77777777" w:rsidR="00F63E85" w:rsidRDefault="00F63E85"/>
    <w:p w14:paraId="458BDA10" w14:textId="77777777" w:rsidR="00F63E85" w:rsidRDefault="00F63E85" w:rsidP="0051222B"/>
  </w:endnote>
  <w:endnote w:type="continuationSeparator" w:id="0">
    <w:p w14:paraId="33CFA515" w14:textId="77777777" w:rsidR="00F63E85" w:rsidRDefault="00F63E85">
      <w:pPr>
        <w:spacing w:after="0" w:line="240" w:lineRule="auto"/>
      </w:pPr>
      <w:r>
        <w:continuationSeparator/>
      </w:r>
    </w:p>
    <w:p w14:paraId="3FFCE7C7" w14:textId="77777777" w:rsidR="00F63E85" w:rsidRDefault="00F63E85"/>
    <w:p w14:paraId="64548C44" w14:textId="77777777" w:rsidR="00F63E85" w:rsidRDefault="00F63E85" w:rsidP="005122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TKaiti">
    <w:charset w:val="86"/>
    <w:family w:val="auto"/>
    <w:pitch w:val="variable"/>
    <w:sig w:usb0="00000287" w:usb1="080F0000" w:usb2="00000010" w:usb3="00000000" w:csb0="000400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IDFont+F1">
    <w:altName w:val="Yu Gothic"/>
    <w:panose1 w:val="00000000000000000000"/>
    <w:charset w:val="80"/>
    <w:family w:val="auto"/>
    <w:notTrueType/>
    <w:pitch w:val="default"/>
    <w:sig w:usb0="00000001" w:usb1="08070000" w:usb2="00000010" w:usb3="00000000" w:csb0="00020000" w:csb1="00000000"/>
  </w:font>
  <w:font w:name="CIDFont+F2">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16CAC" w14:textId="77777777" w:rsidR="00450DAF" w:rsidRDefault="00450DAF">
    <w:pPr>
      <w:pStyle w:val="Fuzeile"/>
    </w:pPr>
  </w:p>
  <w:p w14:paraId="35D3825D" w14:textId="77777777" w:rsidR="001C61AB" w:rsidRDefault="001C61AB"/>
  <w:p w14:paraId="176EFB24" w14:textId="77777777" w:rsidR="001C61AB" w:rsidRDefault="001C61AB" w:rsidP="0051222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7964975"/>
      <w:docPartObj>
        <w:docPartGallery w:val="Page Numbers (Bottom of Page)"/>
        <w:docPartUnique/>
      </w:docPartObj>
    </w:sdtPr>
    <w:sdtEndPr>
      <w:rPr>
        <w:noProof/>
      </w:rPr>
    </w:sdtEndPr>
    <w:sdtContent>
      <w:p w14:paraId="33755FA9" w14:textId="77777777" w:rsidR="0013591F" w:rsidRDefault="000A0F9B">
        <w:pPr>
          <w:pStyle w:val="Fuzeile"/>
        </w:pPr>
        <w:r>
          <w:fldChar w:fldCharType="begin"/>
        </w:r>
        <w:r>
          <w:instrText xml:space="preserve"> PAGE   \* MERGEFORMAT </w:instrText>
        </w:r>
        <w:r>
          <w:fldChar w:fldCharType="separate"/>
        </w:r>
        <w:r>
          <w:rPr>
            <w:noProof/>
          </w:rPr>
          <w:t>2</w:t>
        </w:r>
        <w:r>
          <w:rPr>
            <w:noProof/>
          </w:rPr>
          <w:fldChar w:fldCharType="end"/>
        </w:r>
      </w:p>
    </w:sdtContent>
  </w:sdt>
  <w:p w14:paraId="4AF6107D" w14:textId="77777777" w:rsidR="001C61AB" w:rsidRDefault="001C61AB"/>
  <w:p w14:paraId="4551441B" w14:textId="77777777" w:rsidR="001C61AB" w:rsidRDefault="001C61AB" w:rsidP="0051222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4179608"/>
      <w:docPartObj>
        <w:docPartGallery w:val="Page Numbers (Bottom of Page)"/>
        <w:docPartUnique/>
      </w:docPartObj>
    </w:sdtPr>
    <w:sdtEndPr/>
    <w:sdtContent>
      <w:p w14:paraId="552EE3EB" w14:textId="675EF784" w:rsidR="00450DAF" w:rsidRDefault="00450DAF">
        <w:pPr>
          <w:pStyle w:val="Fuzeile"/>
          <w:jc w:val="right"/>
        </w:pPr>
        <w:r>
          <w:fldChar w:fldCharType="begin"/>
        </w:r>
        <w:r>
          <w:instrText>PAGE   \* MERGEFORMAT</w:instrText>
        </w:r>
        <w:r>
          <w:fldChar w:fldCharType="separate"/>
        </w:r>
        <w:r>
          <w:rPr>
            <w:lang w:val="de-DE"/>
          </w:rPr>
          <w:t>2</w:t>
        </w:r>
        <w:r>
          <w:fldChar w:fldCharType="end"/>
        </w:r>
      </w:p>
    </w:sdtContent>
  </w:sdt>
  <w:p w14:paraId="1169364B" w14:textId="77777777" w:rsidR="00450DAF" w:rsidRDefault="00450DAF">
    <w:pPr>
      <w:pStyle w:val="Fuzeile"/>
    </w:pPr>
  </w:p>
  <w:p w14:paraId="32E76143" w14:textId="77777777" w:rsidR="001C61AB" w:rsidRDefault="001C61AB"/>
  <w:p w14:paraId="3962800E" w14:textId="77777777" w:rsidR="001C61AB" w:rsidRDefault="001C61AB" w:rsidP="005122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7246D7" w14:textId="77777777" w:rsidR="00F63E85" w:rsidRDefault="00F63E85">
      <w:pPr>
        <w:spacing w:after="0" w:line="240" w:lineRule="auto"/>
      </w:pPr>
      <w:r>
        <w:separator/>
      </w:r>
    </w:p>
    <w:p w14:paraId="5A146E56" w14:textId="77777777" w:rsidR="00F63E85" w:rsidRDefault="00F63E85"/>
    <w:p w14:paraId="5CD9B6FA" w14:textId="77777777" w:rsidR="00F63E85" w:rsidRDefault="00F63E85" w:rsidP="0051222B"/>
  </w:footnote>
  <w:footnote w:type="continuationSeparator" w:id="0">
    <w:p w14:paraId="61F12BAD" w14:textId="77777777" w:rsidR="00F63E85" w:rsidRDefault="00F63E85">
      <w:pPr>
        <w:spacing w:after="0" w:line="240" w:lineRule="auto"/>
      </w:pPr>
      <w:r>
        <w:continuationSeparator/>
      </w:r>
    </w:p>
    <w:p w14:paraId="7C256D8D" w14:textId="77777777" w:rsidR="00F63E85" w:rsidRDefault="00F63E85"/>
    <w:p w14:paraId="42E8B508" w14:textId="77777777" w:rsidR="00F63E85" w:rsidRDefault="00F63E85" w:rsidP="005122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3E1F6" w14:textId="77777777" w:rsidR="00450DAF" w:rsidRDefault="00450DAF">
    <w:pPr>
      <w:pStyle w:val="Kopfzeile"/>
    </w:pPr>
  </w:p>
  <w:p w14:paraId="1839A247" w14:textId="77777777" w:rsidR="001C61AB" w:rsidRDefault="001C61AB"/>
  <w:p w14:paraId="4221ED66" w14:textId="77777777" w:rsidR="001C61AB" w:rsidRDefault="001C61AB" w:rsidP="0051222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D4E8F" w14:textId="77777777" w:rsidR="00450DAF" w:rsidRDefault="00450DAF">
    <w:pPr>
      <w:pStyle w:val="Kopfzeile"/>
    </w:pPr>
  </w:p>
  <w:p w14:paraId="6A73D0B2" w14:textId="77777777" w:rsidR="001C61AB" w:rsidRDefault="001C61AB"/>
  <w:p w14:paraId="5748DF5E" w14:textId="77777777" w:rsidR="001C61AB" w:rsidRDefault="001C61AB" w:rsidP="0051222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30A98" w14:textId="77777777" w:rsidR="00450DAF" w:rsidRDefault="00450DAF">
    <w:pPr>
      <w:pStyle w:val="Kopfzeile"/>
    </w:pPr>
  </w:p>
  <w:p w14:paraId="17BB8911" w14:textId="77777777" w:rsidR="001C61AB" w:rsidRDefault="001C61AB"/>
  <w:p w14:paraId="4938F356" w14:textId="77777777" w:rsidR="001C61AB" w:rsidRDefault="001C61AB" w:rsidP="0051222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0A2157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0E8AC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9A6857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450962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B6ADD4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17C44F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67864D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442E76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D982D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A0891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E51CB0"/>
    <w:multiLevelType w:val="hybridMultilevel"/>
    <w:tmpl w:val="B8E4B03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9EC2A77"/>
    <w:multiLevelType w:val="hybridMultilevel"/>
    <w:tmpl w:val="C854C9D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69A52F2"/>
    <w:multiLevelType w:val="multilevel"/>
    <w:tmpl w:val="56F2101C"/>
    <w:lvl w:ilvl="0">
      <w:start w:val="1"/>
      <w:numFmt w:val="decimal"/>
      <w:lvlText w:val="%1"/>
      <w:lvlJc w:val="left"/>
      <w:pPr>
        <w:ind w:left="432" w:hanging="432"/>
      </w:pPr>
      <w:rPr>
        <w:rFonts w:hint="default"/>
        <w:color w:val="1CADE4" w:themeColor="accent1"/>
      </w:rPr>
    </w:lvl>
    <w:lvl w:ilvl="1">
      <w:start w:val="1"/>
      <w:numFmt w:val="decimal"/>
      <w:lvlText w:val="%1.%2"/>
      <w:lvlJc w:val="left"/>
      <w:pPr>
        <w:ind w:left="576" w:hanging="576"/>
      </w:pPr>
      <w:rPr>
        <w:rFonts w:hint="default"/>
        <w:color w:val="1CADE4" w:themeColor="accent1"/>
      </w:rPr>
    </w:lvl>
    <w:lvl w:ilvl="2">
      <w:start w:val="1"/>
      <w:numFmt w:val="decimal"/>
      <w:lvlText w:val="%1.%2.%3"/>
      <w:lvlJc w:val="left"/>
      <w:pPr>
        <w:ind w:left="720" w:hanging="720"/>
      </w:pPr>
      <w:rPr>
        <w:rFonts w:hint="default"/>
        <w:color w:val="1CADE4" w:themeColor="accent1"/>
      </w:rPr>
    </w:lvl>
    <w:lvl w:ilvl="3">
      <w:start w:val="1"/>
      <w:numFmt w:val="decimal"/>
      <w:lvlText w:val="%1.%2.%3.%4"/>
      <w:lvlJc w:val="left"/>
      <w:pPr>
        <w:ind w:left="864" w:hanging="864"/>
      </w:pPr>
      <w:rPr>
        <w:rFonts w:hint="default"/>
        <w:color w:val="1CADE4" w:themeColor="accent1"/>
      </w:rPr>
    </w:lvl>
    <w:lvl w:ilvl="4">
      <w:start w:val="1"/>
      <w:numFmt w:val="decimal"/>
      <w:lvlText w:val="%1.%2.%3.%4.%5"/>
      <w:lvlJc w:val="left"/>
      <w:pPr>
        <w:ind w:left="1008" w:hanging="1008"/>
      </w:pPr>
      <w:rPr>
        <w:rFonts w:hint="default"/>
        <w:color w:val="1CADE4" w:themeColor="accent1"/>
      </w:rPr>
    </w:lvl>
    <w:lvl w:ilvl="5">
      <w:start w:val="1"/>
      <w:numFmt w:val="decimal"/>
      <w:lvlText w:val="%1.%2.%3.%4.%5.%6"/>
      <w:lvlJc w:val="left"/>
      <w:pPr>
        <w:ind w:left="1152" w:hanging="1152"/>
      </w:pPr>
      <w:rPr>
        <w:rFonts w:hint="default"/>
        <w:color w:val="1CADE4" w:themeColor="accent1"/>
      </w:rPr>
    </w:lvl>
    <w:lvl w:ilvl="6">
      <w:start w:val="1"/>
      <w:numFmt w:val="decimal"/>
      <w:lvlText w:val="%1.%2.%3.%4.%5.%6.%7"/>
      <w:lvlJc w:val="left"/>
      <w:pPr>
        <w:ind w:left="1296" w:hanging="1296"/>
      </w:pPr>
      <w:rPr>
        <w:rFonts w:hint="default"/>
        <w:color w:val="1CADE4" w:themeColor="accent1"/>
      </w:rPr>
    </w:lvl>
    <w:lvl w:ilvl="7">
      <w:start w:val="1"/>
      <w:numFmt w:val="decimal"/>
      <w:lvlText w:val="%1.%2.%3.%4.%5.%6.%7.%8"/>
      <w:lvlJc w:val="left"/>
      <w:pPr>
        <w:ind w:left="1440" w:hanging="1440"/>
      </w:pPr>
      <w:rPr>
        <w:rFonts w:hint="default"/>
        <w:color w:val="1CADE4" w:themeColor="accent1"/>
      </w:rPr>
    </w:lvl>
    <w:lvl w:ilvl="8">
      <w:start w:val="1"/>
      <w:numFmt w:val="decimal"/>
      <w:lvlText w:val="%1.%2.%3.%4.%5.%6.%7.%8.%9"/>
      <w:lvlJc w:val="left"/>
      <w:pPr>
        <w:ind w:left="1584" w:hanging="1584"/>
      </w:pPr>
      <w:rPr>
        <w:rFonts w:hint="default"/>
        <w:color w:val="1CADE4" w:themeColor="accent1"/>
      </w:rPr>
    </w:lvl>
  </w:abstractNum>
  <w:abstractNum w:abstractNumId="13" w15:restartNumberingAfterBreak="0">
    <w:nsid w:val="4BE133B1"/>
    <w:multiLevelType w:val="hybridMultilevel"/>
    <w:tmpl w:val="1DE64A62"/>
    <w:lvl w:ilvl="0" w:tplc="EE4460DA">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CFA5C3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B2264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C3D40A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0E96C89"/>
    <w:multiLevelType w:val="hybridMultilevel"/>
    <w:tmpl w:val="D05296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51F6C5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717439802">
    <w:abstractNumId w:val="15"/>
  </w:num>
  <w:num w:numId="2" w16cid:durableId="1710715144">
    <w:abstractNumId w:val="12"/>
  </w:num>
  <w:num w:numId="3" w16cid:durableId="41253385">
    <w:abstractNumId w:val="12"/>
  </w:num>
  <w:num w:numId="4" w16cid:durableId="1313482556">
    <w:abstractNumId w:val="12"/>
  </w:num>
  <w:num w:numId="5" w16cid:durableId="754402520">
    <w:abstractNumId w:val="12"/>
  </w:num>
  <w:num w:numId="6" w16cid:durableId="1800108728">
    <w:abstractNumId w:val="12"/>
  </w:num>
  <w:num w:numId="7" w16cid:durableId="465778079">
    <w:abstractNumId w:val="12"/>
  </w:num>
  <w:num w:numId="8" w16cid:durableId="159005788">
    <w:abstractNumId w:val="12"/>
  </w:num>
  <w:num w:numId="9" w16cid:durableId="903491712">
    <w:abstractNumId w:val="12"/>
  </w:num>
  <w:num w:numId="10" w16cid:durableId="907766268">
    <w:abstractNumId w:val="12"/>
  </w:num>
  <w:num w:numId="11" w16cid:durableId="1163622999">
    <w:abstractNumId w:val="12"/>
  </w:num>
  <w:num w:numId="12" w16cid:durableId="1489203529">
    <w:abstractNumId w:val="12"/>
  </w:num>
  <w:num w:numId="13" w16cid:durableId="2029062328">
    <w:abstractNumId w:val="17"/>
  </w:num>
  <w:num w:numId="14" w16cid:durableId="1927152134">
    <w:abstractNumId w:val="16"/>
  </w:num>
  <w:num w:numId="15" w16cid:durableId="873619349">
    <w:abstractNumId w:val="19"/>
  </w:num>
  <w:num w:numId="16" w16cid:durableId="586812507">
    <w:abstractNumId w:val="14"/>
  </w:num>
  <w:num w:numId="17" w16cid:durableId="1349403094">
    <w:abstractNumId w:val="9"/>
  </w:num>
  <w:num w:numId="18" w16cid:durableId="2005162759">
    <w:abstractNumId w:val="7"/>
  </w:num>
  <w:num w:numId="19" w16cid:durableId="2034501420">
    <w:abstractNumId w:val="6"/>
  </w:num>
  <w:num w:numId="20" w16cid:durableId="438571070">
    <w:abstractNumId w:val="5"/>
  </w:num>
  <w:num w:numId="21" w16cid:durableId="19863810">
    <w:abstractNumId w:val="4"/>
  </w:num>
  <w:num w:numId="22" w16cid:durableId="1009407284">
    <w:abstractNumId w:val="8"/>
  </w:num>
  <w:num w:numId="23" w16cid:durableId="864438181">
    <w:abstractNumId w:val="3"/>
  </w:num>
  <w:num w:numId="24" w16cid:durableId="1778671974">
    <w:abstractNumId w:val="2"/>
  </w:num>
  <w:num w:numId="25" w16cid:durableId="401829704">
    <w:abstractNumId w:val="1"/>
  </w:num>
  <w:num w:numId="26" w16cid:durableId="606892531">
    <w:abstractNumId w:val="0"/>
  </w:num>
  <w:num w:numId="27" w16cid:durableId="1727869584">
    <w:abstractNumId w:val="13"/>
  </w:num>
  <w:num w:numId="28" w16cid:durableId="381755681">
    <w:abstractNumId w:val="11"/>
  </w:num>
  <w:num w:numId="29" w16cid:durableId="434059870">
    <w:abstractNumId w:val="18"/>
  </w:num>
  <w:num w:numId="30" w16cid:durableId="123050707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sDCxNDW2tDA1MzUwMDNR0lEKTi0uzszPAykwrAUAKrw6kSwAAAA="/>
  </w:docVars>
  <w:rsids>
    <w:rsidRoot w:val="00482A7D"/>
    <w:rsid w:val="000055E5"/>
    <w:rsid w:val="00014601"/>
    <w:rsid w:val="00037D55"/>
    <w:rsid w:val="0005734C"/>
    <w:rsid w:val="00073FA6"/>
    <w:rsid w:val="00093F4E"/>
    <w:rsid w:val="000A0F9B"/>
    <w:rsid w:val="000A457F"/>
    <w:rsid w:val="000B3636"/>
    <w:rsid w:val="000D56B2"/>
    <w:rsid w:val="00123E1E"/>
    <w:rsid w:val="0013591F"/>
    <w:rsid w:val="0015274D"/>
    <w:rsid w:val="00174A4B"/>
    <w:rsid w:val="001C61AB"/>
    <w:rsid w:val="001E6478"/>
    <w:rsid w:val="00216BF8"/>
    <w:rsid w:val="00217879"/>
    <w:rsid w:val="00227A42"/>
    <w:rsid w:val="00235A8A"/>
    <w:rsid w:val="0024640E"/>
    <w:rsid w:val="002A66F4"/>
    <w:rsid w:val="002C1B16"/>
    <w:rsid w:val="002C46B4"/>
    <w:rsid w:val="002E13C9"/>
    <w:rsid w:val="002E5D96"/>
    <w:rsid w:val="003146D8"/>
    <w:rsid w:val="0031521C"/>
    <w:rsid w:val="003375D7"/>
    <w:rsid w:val="003A1A22"/>
    <w:rsid w:val="003A2FA7"/>
    <w:rsid w:val="003A58F0"/>
    <w:rsid w:val="003B35A9"/>
    <w:rsid w:val="00450DAF"/>
    <w:rsid w:val="0047348B"/>
    <w:rsid w:val="00474834"/>
    <w:rsid w:val="004748E1"/>
    <w:rsid w:val="00482A7D"/>
    <w:rsid w:val="004929DE"/>
    <w:rsid w:val="004C7A63"/>
    <w:rsid w:val="004D6E38"/>
    <w:rsid w:val="004E2508"/>
    <w:rsid w:val="004F314C"/>
    <w:rsid w:val="00504145"/>
    <w:rsid w:val="005063FA"/>
    <w:rsid w:val="0051222B"/>
    <w:rsid w:val="00525D5E"/>
    <w:rsid w:val="00556481"/>
    <w:rsid w:val="005C5A7A"/>
    <w:rsid w:val="005E1658"/>
    <w:rsid w:val="00611B41"/>
    <w:rsid w:val="006222F8"/>
    <w:rsid w:val="00630E6E"/>
    <w:rsid w:val="00634EFB"/>
    <w:rsid w:val="006360F0"/>
    <w:rsid w:val="006573B1"/>
    <w:rsid w:val="00674E4A"/>
    <w:rsid w:val="0068010D"/>
    <w:rsid w:val="0068061C"/>
    <w:rsid w:val="006B0CA5"/>
    <w:rsid w:val="006C259D"/>
    <w:rsid w:val="006F4092"/>
    <w:rsid w:val="006F5F90"/>
    <w:rsid w:val="00721001"/>
    <w:rsid w:val="00740012"/>
    <w:rsid w:val="0074761C"/>
    <w:rsid w:val="007536F3"/>
    <w:rsid w:val="00771F16"/>
    <w:rsid w:val="0078294C"/>
    <w:rsid w:val="007D4573"/>
    <w:rsid w:val="007E2477"/>
    <w:rsid w:val="00834EA1"/>
    <w:rsid w:val="00835430"/>
    <w:rsid w:val="00847958"/>
    <w:rsid w:val="008757F4"/>
    <w:rsid w:val="00884F29"/>
    <w:rsid w:val="008B6008"/>
    <w:rsid w:val="008D0579"/>
    <w:rsid w:val="008D2E9D"/>
    <w:rsid w:val="008E5F1A"/>
    <w:rsid w:val="008E637A"/>
    <w:rsid w:val="00910CB3"/>
    <w:rsid w:val="00925AF0"/>
    <w:rsid w:val="00927F7B"/>
    <w:rsid w:val="0095425B"/>
    <w:rsid w:val="00957F4D"/>
    <w:rsid w:val="00963A6D"/>
    <w:rsid w:val="00971DEC"/>
    <w:rsid w:val="009D4773"/>
    <w:rsid w:val="009F17B5"/>
    <w:rsid w:val="00A06B00"/>
    <w:rsid w:val="00A13755"/>
    <w:rsid w:val="00A346D8"/>
    <w:rsid w:val="00A3714A"/>
    <w:rsid w:val="00A86A89"/>
    <w:rsid w:val="00AA5884"/>
    <w:rsid w:val="00AB7928"/>
    <w:rsid w:val="00B04C44"/>
    <w:rsid w:val="00B35F58"/>
    <w:rsid w:val="00B367CF"/>
    <w:rsid w:val="00B4330A"/>
    <w:rsid w:val="00B4392C"/>
    <w:rsid w:val="00B46253"/>
    <w:rsid w:val="00B64B70"/>
    <w:rsid w:val="00B66857"/>
    <w:rsid w:val="00B675A2"/>
    <w:rsid w:val="00B7576B"/>
    <w:rsid w:val="00B90CB7"/>
    <w:rsid w:val="00B9548C"/>
    <w:rsid w:val="00BA3B94"/>
    <w:rsid w:val="00BD56B4"/>
    <w:rsid w:val="00BE4E4C"/>
    <w:rsid w:val="00C07BE9"/>
    <w:rsid w:val="00C21A1E"/>
    <w:rsid w:val="00C43B19"/>
    <w:rsid w:val="00C52938"/>
    <w:rsid w:val="00C60730"/>
    <w:rsid w:val="00C85251"/>
    <w:rsid w:val="00C931C1"/>
    <w:rsid w:val="00CA3101"/>
    <w:rsid w:val="00CE2700"/>
    <w:rsid w:val="00D45D3E"/>
    <w:rsid w:val="00D84744"/>
    <w:rsid w:val="00DA117F"/>
    <w:rsid w:val="00DA2A16"/>
    <w:rsid w:val="00DB2D65"/>
    <w:rsid w:val="00DC0B40"/>
    <w:rsid w:val="00DC633A"/>
    <w:rsid w:val="00E45811"/>
    <w:rsid w:val="00E75615"/>
    <w:rsid w:val="00E86B77"/>
    <w:rsid w:val="00EC4847"/>
    <w:rsid w:val="00ED0755"/>
    <w:rsid w:val="00EF37F8"/>
    <w:rsid w:val="00F43886"/>
    <w:rsid w:val="00F4620D"/>
    <w:rsid w:val="00F63E85"/>
    <w:rsid w:val="00F9577D"/>
    <w:rsid w:val="00FB0BE3"/>
    <w:rsid w:val="00FB1B7F"/>
    <w:rsid w:val="00FC03A1"/>
    <w:rsid w:val="00FC14FD"/>
    <w:rsid w:val="00FC2151"/>
    <w:rsid w:val="00FE130A"/>
    <w:rsid w:val="00FF15D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2D0B14"/>
  <w15:chartTrackingRefBased/>
  <w15:docId w15:val="{B64690B3-C1FB-4D5C-8BD9-8C44B7240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B35A9"/>
    <w:pPr>
      <w:jc w:val="both"/>
    </w:pPr>
    <w:rPr>
      <w:rFonts w:ascii="Arial" w:hAnsi="Arial"/>
    </w:rPr>
  </w:style>
  <w:style w:type="paragraph" w:styleId="berschrift1">
    <w:name w:val="heading 1"/>
    <w:basedOn w:val="Standard"/>
    <w:next w:val="Standard"/>
    <w:link w:val="berschrift1Zchn"/>
    <w:autoRedefine/>
    <w:uiPriority w:val="9"/>
    <w:qFormat/>
    <w:rsid w:val="00884F29"/>
    <w:pPr>
      <w:keepNext/>
      <w:keepLines/>
      <w:spacing w:before="480" w:after="120"/>
      <w:outlineLvl w:val="0"/>
    </w:pPr>
    <w:rPr>
      <w:rFonts w:eastAsiaTheme="majorEastAsia" w:cstheme="majorBidi"/>
      <w:b/>
      <w:bCs/>
      <w:sz w:val="32"/>
      <w:szCs w:val="40"/>
      <w:lang w:val="de-DE"/>
    </w:rPr>
  </w:style>
  <w:style w:type="paragraph" w:styleId="berschrift2">
    <w:name w:val="heading 2"/>
    <w:basedOn w:val="Standard"/>
    <w:next w:val="Standard"/>
    <w:link w:val="berschrift2Zchn"/>
    <w:autoRedefine/>
    <w:uiPriority w:val="9"/>
    <w:semiHidden/>
    <w:unhideWhenUsed/>
    <w:qFormat/>
    <w:rsid w:val="00482A7D"/>
    <w:pPr>
      <w:keepNext/>
      <w:keepLines/>
      <w:spacing w:before="40" w:after="0"/>
      <w:outlineLvl w:val="1"/>
    </w:pPr>
    <w:rPr>
      <w:rFonts w:eastAsiaTheme="majorEastAsia" w:cstheme="majorBidi"/>
      <w:b/>
      <w:bCs/>
      <w:sz w:val="32"/>
      <w:szCs w:val="32"/>
    </w:rPr>
  </w:style>
  <w:style w:type="paragraph" w:styleId="berschrift3">
    <w:name w:val="heading 3"/>
    <w:basedOn w:val="Standard"/>
    <w:next w:val="Standard"/>
    <w:link w:val="berschrift3Zchn"/>
    <w:autoRedefine/>
    <w:uiPriority w:val="9"/>
    <w:semiHidden/>
    <w:unhideWhenUsed/>
    <w:qFormat/>
    <w:rsid w:val="00B66857"/>
    <w:pPr>
      <w:keepNext/>
      <w:keepLines/>
      <w:spacing w:before="40" w:after="0"/>
      <w:outlineLvl w:val="2"/>
    </w:pPr>
    <w:rPr>
      <w:rFonts w:asciiTheme="majorHAnsi" w:eastAsiaTheme="majorEastAsia" w:hAnsiTheme="majorHAnsi" w:cstheme="majorBidi"/>
      <w:b/>
      <w:bCs/>
      <w:sz w:val="24"/>
      <w:szCs w:val="24"/>
    </w:rPr>
  </w:style>
  <w:style w:type="paragraph" w:styleId="berschrift4">
    <w:name w:val="heading 4"/>
    <w:basedOn w:val="Standard"/>
    <w:next w:val="Standard"/>
    <w:link w:val="berschrift4Zchn"/>
    <w:autoRedefine/>
    <w:uiPriority w:val="9"/>
    <w:semiHidden/>
    <w:unhideWhenUsed/>
    <w:qFormat/>
    <w:rsid w:val="00B66857"/>
    <w:pPr>
      <w:keepNext/>
      <w:keepLines/>
      <w:spacing w:before="40" w:after="0"/>
      <w:outlineLvl w:val="3"/>
    </w:pPr>
    <w:rPr>
      <w:rFonts w:asciiTheme="majorHAnsi" w:eastAsiaTheme="majorEastAsia" w:hAnsiTheme="majorHAnsi" w:cstheme="majorBidi"/>
      <w:b/>
      <w:bCs/>
      <w:i/>
      <w:iCs/>
    </w:rPr>
  </w:style>
  <w:style w:type="paragraph" w:styleId="berschrift5">
    <w:name w:val="heading 5"/>
    <w:basedOn w:val="Standard"/>
    <w:next w:val="Standard"/>
    <w:link w:val="berschrift5Zchn"/>
    <w:autoRedefine/>
    <w:uiPriority w:val="9"/>
    <w:semiHidden/>
    <w:unhideWhenUsed/>
    <w:qFormat/>
    <w:rsid w:val="00B66857"/>
    <w:pPr>
      <w:keepNext/>
      <w:keepLines/>
      <w:spacing w:before="40" w:after="0"/>
      <w:outlineLvl w:val="4"/>
    </w:pPr>
    <w:rPr>
      <w:rFonts w:asciiTheme="majorHAnsi" w:eastAsiaTheme="majorEastAsia" w:hAnsiTheme="majorHAnsi" w:cstheme="majorBidi"/>
    </w:rPr>
  </w:style>
  <w:style w:type="paragraph" w:styleId="berschrift6">
    <w:name w:val="heading 6"/>
    <w:basedOn w:val="Standard"/>
    <w:next w:val="Standard"/>
    <w:link w:val="berschrift6Zchn"/>
    <w:autoRedefine/>
    <w:uiPriority w:val="9"/>
    <w:semiHidden/>
    <w:unhideWhenUsed/>
    <w:qFormat/>
    <w:rsid w:val="00B66857"/>
    <w:pPr>
      <w:keepNext/>
      <w:keepLines/>
      <w:spacing w:before="40" w:after="0"/>
      <w:outlineLvl w:val="5"/>
    </w:pPr>
    <w:rPr>
      <w:rFonts w:asciiTheme="majorHAnsi" w:eastAsiaTheme="majorEastAsia" w:hAnsiTheme="majorHAnsi" w:cstheme="majorBidi"/>
      <w:szCs w:val="20"/>
    </w:rPr>
  </w:style>
  <w:style w:type="paragraph" w:styleId="berschrift7">
    <w:name w:val="heading 7"/>
    <w:basedOn w:val="Standard"/>
    <w:next w:val="Standard"/>
    <w:link w:val="berschrift7Zchn"/>
    <w:autoRedefine/>
    <w:uiPriority w:val="9"/>
    <w:semiHidden/>
    <w:unhideWhenUsed/>
    <w:qFormat/>
    <w:rsid w:val="00B66857"/>
    <w:pPr>
      <w:keepNext/>
      <w:keepLines/>
      <w:spacing w:before="40" w:after="0"/>
      <w:outlineLvl w:val="6"/>
    </w:pPr>
    <w:rPr>
      <w:rFonts w:asciiTheme="majorHAnsi" w:eastAsiaTheme="majorEastAsia" w:hAnsiTheme="majorHAnsi" w:cstheme="majorBidi"/>
      <w:i/>
      <w:iCs/>
      <w:szCs w:val="20"/>
    </w:rPr>
  </w:style>
  <w:style w:type="paragraph" w:styleId="berschrift8">
    <w:name w:val="heading 8"/>
    <w:basedOn w:val="Standard"/>
    <w:next w:val="Standard"/>
    <w:link w:val="berschrift8Zchn"/>
    <w:autoRedefine/>
    <w:uiPriority w:val="9"/>
    <w:semiHidden/>
    <w:unhideWhenUsed/>
    <w:qFormat/>
    <w:rsid w:val="00B66857"/>
    <w:pPr>
      <w:keepNext/>
      <w:keepLines/>
      <w:spacing w:before="40" w:after="0"/>
      <w:outlineLvl w:val="7"/>
    </w:pPr>
    <w:rPr>
      <w:rFonts w:asciiTheme="majorHAnsi" w:eastAsiaTheme="majorEastAsia" w:hAnsiTheme="majorHAnsi" w:cstheme="majorBidi"/>
      <w:caps/>
      <w:color w:val="272727" w:themeColor="text1" w:themeTint="D8"/>
      <w:szCs w:val="18"/>
    </w:rPr>
  </w:style>
  <w:style w:type="paragraph" w:styleId="berschrift9">
    <w:name w:val="heading 9"/>
    <w:basedOn w:val="Standard"/>
    <w:next w:val="Standard"/>
    <w:link w:val="berschrift9Zchn"/>
    <w:autoRedefine/>
    <w:uiPriority w:val="9"/>
    <w:semiHidden/>
    <w:unhideWhenUsed/>
    <w:qFormat/>
    <w:rsid w:val="00B66857"/>
    <w:pPr>
      <w:keepNext/>
      <w:keepLines/>
      <w:spacing w:before="40" w:after="0"/>
      <w:outlineLvl w:val="8"/>
    </w:pPr>
    <w:rPr>
      <w:rFonts w:asciiTheme="majorHAnsi" w:eastAsiaTheme="majorEastAsia" w:hAnsiTheme="majorHAnsi" w:cstheme="majorBidi"/>
      <w:i/>
      <w:iCs/>
      <w:caps/>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84F29"/>
    <w:rPr>
      <w:rFonts w:ascii="Arial" w:eastAsiaTheme="majorEastAsia" w:hAnsi="Arial" w:cstheme="majorBidi"/>
      <w:b/>
      <w:bCs/>
      <w:sz w:val="32"/>
      <w:szCs w:val="40"/>
      <w:lang w:val="de-DE"/>
    </w:rPr>
  </w:style>
  <w:style w:type="character" w:customStyle="1" w:styleId="berschrift2Zchn">
    <w:name w:val="Überschrift 2 Zchn"/>
    <w:basedOn w:val="Absatz-Standardschriftart"/>
    <w:link w:val="berschrift2"/>
    <w:uiPriority w:val="9"/>
    <w:semiHidden/>
    <w:rsid w:val="00482A7D"/>
    <w:rPr>
      <w:rFonts w:ascii="Arial" w:eastAsiaTheme="majorEastAsia" w:hAnsi="Arial" w:cstheme="majorBidi"/>
      <w:b/>
      <w:bCs/>
      <w:sz w:val="32"/>
      <w:szCs w:val="32"/>
    </w:r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b/>
      <w:bCs/>
      <w:sz w:val="24"/>
      <w:szCs w:val="24"/>
    </w:rPr>
  </w:style>
  <w:style w:type="character" w:customStyle="1" w:styleId="berschrift4Zchn">
    <w:name w:val="Überschrift 4 Zchn"/>
    <w:basedOn w:val="Absatz-Standardschriftart"/>
    <w:link w:val="berschrift4"/>
    <w:uiPriority w:val="9"/>
    <w:rPr>
      <w:rFonts w:asciiTheme="majorHAnsi" w:eastAsiaTheme="majorEastAsia" w:hAnsiTheme="majorHAnsi" w:cstheme="majorBidi"/>
      <w:b/>
      <w:bCs/>
      <w:i/>
      <w:iCs/>
    </w:rPr>
  </w:style>
  <w:style w:type="character" w:customStyle="1" w:styleId="berschrift5Zchn">
    <w:name w:val="Überschrift 5 Zchn"/>
    <w:basedOn w:val="Absatz-Standardschriftart"/>
    <w:link w:val="berschrift5"/>
    <w:uiPriority w:val="9"/>
    <w:rPr>
      <w:rFonts w:asciiTheme="majorHAnsi" w:eastAsiaTheme="majorEastAsia" w:hAnsiTheme="majorHAnsi" w:cstheme="majorBidi"/>
    </w:rPr>
  </w:style>
  <w:style w:type="character" w:customStyle="1" w:styleId="berschrift6Zchn">
    <w:name w:val="Überschrift 6 Zchn"/>
    <w:basedOn w:val="Absatz-Standardschriftart"/>
    <w:link w:val="berschrift6"/>
    <w:uiPriority w:val="9"/>
    <w:semiHidden/>
    <w:rsid w:val="00B66857"/>
    <w:rPr>
      <w:rFonts w:asciiTheme="majorHAnsi" w:eastAsiaTheme="majorEastAsia" w:hAnsiTheme="majorHAnsi" w:cstheme="majorBidi"/>
      <w:szCs w:val="20"/>
    </w:rPr>
  </w:style>
  <w:style w:type="character" w:customStyle="1" w:styleId="berschrift7Zchn">
    <w:name w:val="Überschrift 7 Zchn"/>
    <w:basedOn w:val="Absatz-Standardschriftart"/>
    <w:link w:val="berschrift7"/>
    <w:uiPriority w:val="9"/>
    <w:semiHidden/>
    <w:rsid w:val="00B66857"/>
    <w:rPr>
      <w:rFonts w:asciiTheme="majorHAnsi" w:eastAsiaTheme="majorEastAsia" w:hAnsiTheme="majorHAnsi" w:cstheme="majorBidi"/>
      <w:i/>
      <w:iCs/>
      <w:szCs w:val="20"/>
    </w:rPr>
  </w:style>
  <w:style w:type="character" w:customStyle="1" w:styleId="berschrift8Zchn">
    <w:name w:val="Überschrift 8 Zchn"/>
    <w:basedOn w:val="Absatz-Standardschriftart"/>
    <w:link w:val="berschrift8"/>
    <w:uiPriority w:val="9"/>
    <w:semiHidden/>
    <w:rsid w:val="00B66857"/>
    <w:rPr>
      <w:rFonts w:asciiTheme="majorHAnsi" w:eastAsiaTheme="majorEastAsia" w:hAnsiTheme="majorHAnsi" w:cstheme="majorBidi"/>
      <w:caps/>
      <w:color w:val="272727" w:themeColor="text1" w:themeTint="D8"/>
      <w:szCs w:val="18"/>
    </w:rPr>
  </w:style>
  <w:style w:type="character" w:customStyle="1" w:styleId="berschrift9Zchn">
    <w:name w:val="Überschrift 9 Zchn"/>
    <w:basedOn w:val="Absatz-Standardschriftart"/>
    <w:link w:val="berschrift9"/>
    <w:uiPriority w:val="9"/>
    <w:semiHidden/>
    <w:rsid w:val="00B66857"/>
    <w:rPr>
      <w:rFonts w:asciiTheme="majorHAnsi" w:eastAsiaTheme="majorEastAsia" w:hAnsiTheme="majorHAnsi" w:cstheme="majorBidi"/>
      <w:i/>
      <w:iCs/>
      <w:caps/>
      <w:szCs w:val="18"/>
    </w:rPr>
  </w:style>
  <w:style w:type="paragraph" w:styleId="Titel">
    <w:name w:val="Title"/>
    <w:basedOn w:val="Standard"/>
    <w:next w:val="Standard"/>
    <w:link w:val="TitelZchn"/>
    <w:uiPriority w:val="1"/>
    <w:qFormat/>
    <w:rsid w:val="00BD56B4"/>
    <w:pPr>
      <w:spacing w:after="120" w:line="240" w:lineRule="auto"/>
      <w:contextualSpacing/>
      <w:jc w:val="center"/>
    </w:pPr>
    <w:rPr>
      <w:rFonts w:eastAsiaTheme="majorEastAsia" w:cstheme="majorBidi"/>
      <w:spacing w:val="-10"/>
      <w:kern w:val="28"/>
      <w:sz w:val="48"/>
      <w:szCs w:val="72"/>
      <w:lang w:val="de-DE"/>
    </w:rPr>
  </w:style>
  <w:style w:type="character" w:customStyle="1" w:styleId="TitelZchn">
    <w:name w:val="Titel Zchn"/>
    <w:basedOn w:val="Absatz-Standardschriftart"/>
    <w:link w:val="Titel"/>
    <w:uiPriority w:val="1"/>
    <w:rsid w:val="00BD56B4"/>
    <w:rPr>
      <w:rFonts w:ascii="Arial" w:eastAsiaTheme="majorEastAsia" w:hAnsi="Arial" w:cstheme="majorBidi"/>
      <w:spacing w:val="-10"/>
      <w:kern w:val="28"/>
      <w:sz w:val="48"/>
      <w:szCs w:val="72"/>
      <w:lang w:val="de-DE"/>
    </w:rPr>
  </w:style>
  <w:style w:type="paragraph" w:styleId="Untertitel">
    <w:name w:val="Subtitle"/>
    <w:basedOn w:val="Standard"/>
    <w:next w:val="Standard"/>
    <w:link w:val="UntertitelZchn"/>
    <w:uiPriority w:val="11"/>
    <w:semiHidden/>
    <w:unhideWhenUsed/>
    <w:rsid w:val="000A0F9B"/>
    <w:pPr>
      <w:numPr>
        <w:ilvl w:val="1"/>
      </w:numPr>
    </w:pPr>
    <w:rPr>
      <w:color w:val="404040" w:themeColor="text1" w:themeTint="BF"/>
      <w:spacing w:val="15"/>
    </w:rPr>
  </w:style>
  <w:style w:type="character" w:customStyle="1" w:styleId="UntertitelZchn">
    <w:name w:val="Untertitel Zchn"/>
    <w:basedOn w:val="Absatz-Standardschriftart"/>
    <w:link w:val="Untertitel"/>
    <w:uiPriority w:val="11"/>
    <w:semiHidden/>
    <w:rsid w:val="000A0F9B"/>
    <w:rPr>
      <w:color w:val="404040" w:themeColor="text1" w:themeTint="BF"/>
      <w:spacing w:val="15"/>
    </w:rPr>
  </w:style>
  <w:style w:type="character" w:styleId="IntensiveHervorhebung">
    <w:name w:val="Intense Emphasis"/>
    <w:basedOn w:val="Absatz-Standardschriftart"/>
    <w:uiPriority w:val="21"/>
    <w:semiHidden/>
    <w:unhideWhenUsed/>
    <w:qFormat/>
    <w:rsid w:val="000A0F9B"/>
    <w:rPr>
      <w:i/>
      <w:iCs/>
      <w:color w:val="0D5672" w:themeColor="accent1" w:themeShade="80"/>
    </w:rPr>
  </w:style>
  <w:style w:type="paragraph" w:styleId="IntensivesZitat">
    <w:name w:val="Intense Quote"/>
    <w:basedOn w:val="Standard"/>
    <w:next w:val="Standard"/>
    <w:link w:val="IntensivesZitatZchn"/>
    <w:uiPriority w:val="30"/>
    <w:semiHidden/>
    <w:unhideWhenUsed/>
    <w:qFormat/>
    <w:rsid w:val="000A0F9B"/>
    <w:pPr>
      <w:pBdr>
        <w:top w:val="single" w:sz="4" w:space="10" w:color="0D5672" w:themeColor="accent1" w:themeShade="80"/>
        <w:bottom w:val="single" w:sz="4" w:space="10" w:color="0D5672" w:themeColor="accent1" w:themeShade="80"/>
      </w:pBdr>
      <w:spacing w:before="360" w:after="360"/>
      <w:ind w:left="864" w:right="864"/>
      <w:jc w:val="center"/>
    </w:pPr>
    <w:rPr>
      <w:i/>
      <w:iCs/>
      <w:color w:val="0D5672" w:themeColor="accent1" w:themeShade="80"/>
    </w:rPr>
  </w:style>
  <w:style w:type="character" w:customStyle="1" w:styleId="IntensivesZitatZchn">
    <w:name w:val="Intensives Zitat Zchn"/>
    <w:basedOn w:val="Absatz-Standardschriftart"/>
    <w:link w:val="IntensivesZitat"/>
    <w:uiPriority w:val="30"/>
    <w:semiHidden/>
    <w:rsid w:val="000A0F9B"/>
    <w:rPr>
      <w:i/>
      <w:iCs/>
      <w:color w:val="0D5672" w:themeColor="accent1" w:themeShade="80"/>
    </w:rPr>
  </w:style>
  <w:style w:type="character" w:styleId="IntensiverVerweis">
    <w:name w:val="Intense Reference"/>
    <w:basedOn w:val="Absatz-Standardschriftart"/>
    <w:uiPriority w:val="32"/>
    <w:semiHidden/>
    <w:unhideWhenUsed/>
    <w:qFormat/>
    <w:rsid w:val="000A0F9B"/>
    <w:rPr>
      <w:b/>
      <w:bCs/>
      <w:caps w:val="0"/>
      <w:smallCaps/>
      <w:color w:val="0D5672" w:themeColor="accent1" w:themeShade="80"/>
      <w:spacing w:val="5"/>
    </w:rPr>
  </w:style>
  <w:style w:type="paragraph" w:styleId="Beschriftung">
    <w:name w:val="caption"/>
    <w:basedOn w:val="Standard"/>
    <w:next w:val="Standard"/>
    <w:uiPriority w:val="35"/>
    <w:unhideWhenUsed/>
    <w:qFormat/>
    <w:rsid w:val="00B66857"/>
    <w:pPr>
      <w:spacing w:after="200" w:line="240" w:lineRule="auto"/>
    </w:pPr>
    <w:rPr>
      <w:i/>
      <w:iCs/>
      <w:szCs w:val="20"/>
    </w:rPr>
  </w:style>
  <w:style w:type="paragraph" w:styleId="Inhaltsverzeichnisberschrift">
    <w:name w:val="TOC Heading"/>
    <w:basedOn w:val="berschrift1"/>
    <w:next w:val="Standard"/>
    <w:uiPriority w:val="39"/>
    <w:unhideWhenUsed/>
    <w:qFormat/>
    <w:pPr>
      <w:outlineLvl w:val="9"/>
    </w:pPr>
  </w:style>
  <w:style w:type="paragraph" w:styleId="Sprechblasentext">
    <w:name w:val="Balloon Text"/>
    <w:basedOn w:val="Standard"/>
    <w:link w:val="SprechblasentextZchn"/>
    <w:uiPriority w:val="99"/>
    <w:semiHidden/>
    <w:unhideWhenUsed/>
    <w:rsid w:val="00B66857"/>
    <w:pPr>
      <w:spacing w:after="0"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B66857"/>
    <w:rPr>
      <w:rFonts w:ascii="Segoe UI" w:hAnsi="Segoe UI" w:cs="Segoe UI"/>
      <w:szCs w:val="18"/>
    </w:rPr>
  </w:style>
  <w:style w:type="paragraph" w:styleId="Textkrper3">
    <w:name w:val="Body Text 3"/>
    <w:basedOn w:val="Standard"/>
    <w:link w:val="Textkrper3Zchn"/>
    <w:uiPriority w:val="99"/>
    <w:semiHidden/>
    <w:unhideWhenUsed/>
    <w:rsid w:val="00B66857"/>
    <w:pPr>
      <w:spacing w:after="120"/>
    </w:pPr>
    <w:rPr>
      <w:szCs w:val="16"/>
    </w:rPr>
  </w:style>
  <w:style w:type="character" w:customStyle="1" w:styleId="Textkrper3Zchn">
    <w:name w:val="Textkörper 3 Zchn"/>
    <w:basedOn w:val="Absatz-Standardschriftart"/>
    <w:link w:val="Textkrper3"/>
    <w:uiPriority w:val="99"/>
    <w:semiHidden/>
    <w:rsid w:val="00B66857"/>
    <w:rPr>
      <w:szCs w:val="16"/>
    </w:rPr>
  </w:style>
  <w:style w:type="paragraph" w:styleId="Textkrper-Einzug3">
    <w:name w:val="Body Text Indent 3"/>
    <w:basedOn w:val="Standard"/>
    <w:link w:val="Textkrper-Einzug3Zchn"/>
    <w:uiPriority w:val="99"/>
    <w:semiHidden/>
    <w:unhideWhenUsed/>
    <w:rsid w:val="00B66857"/>
    <w:pPr>
      <w:spacing w:after="120"/>
      <w:ind w:left="360"/>
    </w:pPr>
    <w:rPr>
      <w:szCs w:val="16"/>
    </w:rPr>
  </w:style>
  <w:style w:type="character" w:customStyle="1" w:styleId="Textkrper-Einzug3Zchn">
    <w:name w:val="Textkörper-Einzug 3 Zchn"/>
    <w:basedOn w:val="Absatz-Standardschriftart"/>
    <w:link w:val="Textkrper-Einzug3"/>
    <w:uiPriority w:val="99"/>
    <w:semiHidden/>
    <w:rsid w:val="00B66857"/>
    <w:rPr>
      <w:szCs w:val="16"/>
    </w:rPr>
  </w:style>
  <w:style w:type="character" w:styleId="Kommentarzeichen">
    <w:name w:val="annotation reference"/>
    <w:basedOn w:val="Absatz-Standardschriftart"/>
    <w:uiPriority w:val="99"/>
    <w:semiHidden/>
    <w:unhideWhenUsed/>
    <w:rsid w:val="00B66857"/>
    <w:rPr>
      <w:sz w:val="22"/>
      <w:szCs w:val="16"/>
    </w:rPr>
  </w:style>
  <w:style w:type="paragraph" w:styleId="Kommentartext">
    <w:name w:val="annotation text"/>
    <w:basedOn w:val="Standard"/>
    <w:link w:val="KommentartextZchn"/>
    <w:uiPriority w:val="99"/>
    <w:unhideWhenUsed/>
    <w:rsid w:val="00B66857"/>
    <w:pPr>
      <w:spacing w:line="240" w:lineRule="auto"/>
    </w:pPr>
    <w:rPr>
      <w:szCs w:val="20"/>
    </w:rPr>
  </w:style>
  <w:style w:type="character" w:customStyle="1" w:styleId="KommentartextZchn">
    <w:name w:val="Kommentartext Zchn"/>
    <w:basedOn w:val="Absatz-Standardschriftart"/>
    <w:link w:val="Kommentartext"/>
    <w:uiPriority w:val="99"/>
    <w:rsid w:val="00B66857"/>
    <w:rPr>
      <w:szCs w:val="20"/>
    </w:rPr>
  </w:style>
  <w:style w:type="paragraph" w:styleId="Kommentarthema">
    <w:name w:val="annotation subject"/>
    <w:basedOn w:val="Kommentartext"/>
    <w:next w:val="Kommentartext"/>
    <w:link w:val="KommentarthemaZchn"/>
    <w:uiPriority w:val="99"/>
    <w:semiHidden/>
    <w:unhideWhenUsed/>
    <w:rsid w:val="00B66857"/>
    <w:rPr>
      <w:b/>
      <w:bCs/>
    </w:rPr>
  </w:style>
  <w:style w:type="character" w:customStyle="1" w:styleId="KommentarthemaZchn">
    <w:name w:val="Kommentarthema Zchn"/>
    <w:basedOn w:val="KommentartextZchn"/>
    <w:link w:val="Kommentarthema"/>
    <w:uiPriority w:val="99"/>
    <w:semiHidden/>
    <w:rsid w:val="00B66857"/>
    <w:rPr>
      <w:b/>
      <w:bCs/>
      <w:szCs w:val="20"/>
    </w:rPr>
  </w:style>
  <w:style w:type="paragraph" w:styleId="Dokumentstruktur">
    <w:name w:val="Document Map"/>
    <w:basedOn w:val="Standard"/>
    <w:link w:val="DokumentstrukturZchn"/>
    <w:uiPriority w:val="99"/>
    <w:semiHidden/>
    <w:unhideWhenUsed/>
    <w:rsid w:val="00B66857"/>
    <w:pPr>
      <w:spacing w:after="0" w:line="240" w:lineRule="auto"/>
    </w:pPr>
    <w:rPr>
      <w:rFonts w:ascii="Segoe UI" w:hAnsi="Segoe UI" w:cs="Segoe UI"/>
      <w:szCs w:val="16"/>
    </w:rPr>
  </w:style>
  <w:style w:type="character" w:customStyle="1" w:styleId="DokumentstrukturZchn">
    <w:name w:val="Dokumentstruktur Zchn"/>
    <w:basedOn w:val="Absatz-Standardschriftart"/>
    <w:link w:val="Dokumentstruktur"/>
    <w:uiPriority w:val="99"/>
    <w:semiHidden/>
    <w:rsid w:val="00B66857"/>
    <w:rPr>
      <w:rFonts w:ascii="Segoe UI" w:hAnsi="Segoe UI" w:cs="Segoe UI"/>
      <w:szCs w:val="16"/>
    </w:rPr>
  </w:style>
  <w:style w:type="paragraph" w:styleId="Endnotentext">
    <w:name w:val="endnote text"/>
    <w:basedOn w:val="Standard"/>
    <w:link w:val="EndnotentextZchn"/>
    <w:uiPriority w:val="99"/>
    <w:semiHidden/>
    <w:unhideWhenUsed/>
    <w:rsid w:val="00B66857"/>
    <w:pPr>
      <w:spacing w:after="0" w:line="240" w:lineRule="auto"/>
    </w:pPr>
    <w:rPr>
      <w:szCs w:val="20"/>
    </w:rPr>
  </w:style>
  <w:style w:type="character" w:customStyle="1" w:styleId="EndnotentextZchn">
    <w:name w:val="Endnotentext Zchn"/>
    <w:basedOn w:val="Absatz-Standardschriftart"/>
    <w:link w:val="Endnotentext"/>
    <w:uiPriority w:val="99"/>
    <w:semiHidden/>
    <w:rsid w:val="00B66857"/>
    <w:rPr>
      <w:szCs w:val="20"/>
    </w:rPr>
  </w:style>
  <w:style w:type="paragraph" w:styleId="Umschlagabsenderadresse">
    <w:name w:val="envelope return"/>
    <w:basedOn w:val="Standard"/>
    <w:uiPriority w:val="99"/>
    <w:semiHidden/>
    <w:unhideWhenUsed/>
    <w:rsid w:val="00B66857"/>
    <w:pPr>
      <w:spacing w:after="0" w:line="240" w:lineRule="auto"/>
    </w:pPr>
    <w:rPr>
      <w:rFonts w:asciiTheme="majorHAnsi" w:eastAsiaTheme="majorEastAsia" w:hAnsiTheme="majorHAnsi" w:cstheme="majorBidi"/>
      <w:szCs w:val="20"/>
    </w:rPr>
  </w:style>
  <w:style w:type="paragraph" w:styleId="Funotentext">
    <w:name w:val="footnote text"/>
    <w:basedOn w:val="Standard"/>
    <w:link w:val="FunotentextZchn"/>
    <w:uiPriority w:val="99"/>
    <w:semiHidden/>
    <w:unhideWhenUsed/>
    <w:rsid w:val="00B66857"/>
    <w:pPr>
      <w:spacing w:after="0" w:line="240" w:lineRule="auto"/>
    </w:pPr>
    <w:rPr>
      <w:szCs w:val="20"/>
    </w:rPr>
  </w:style>
  <w:style w:type="character" w:customStyle="1" w:styleId="FunotentextZchn">
    <w:name w:val="Fußnotentext Zchn"/>
    <w:basedOn w:val="Absatz-Standardschriftart"/>
    <w:link w:val="Funotentext"/>
    <w:uiPriority w:val="99"/>
    <w:semiHidden/>
    <w:rsid w:val="00B66857"/>
    <w:rPr>
      <w:szCs w:val="20"/>
    </w:rPr>
  </w:style>
  <w:style w:type="character" w:styleId="HTMLCode">
    <w:name w:val="HTML Code"/>
    <w:basedOn w:val="Absatz-Standardschriftart"/>
    <w:uiPriority w:val="99"/>
    <w:semiHidden/>
    <w:unhideWhenUsed/>
    <w:rsid w:val="00B66857"/>
    <w:rPr>
      <w:rFonts w:ascii="Consolas" w:hAnsi="Consolas"/>
      <w:sz w:val="22"/>
      <w:szCs w:val="20"/>
    </w:rPr>
  </w:style>
  <w:style w:type="character" w:styleId="HTMLTastatur">
    <w:name w:val="HTML Keyboard"/>
    <w:basedOn w:val="Absatz-Standardschriftart"/>
    <w:uiPriority w:val="99"/>
    <w:semiHidden/>
    <w:unhideWhenUsed/>
    <w:rsid w:val="00B66857"/>
    <w:rPr>
      <w:rFonts w:ascii="Consolas" w:hAnsi="Consolas"/>
      <w:sz w:val="22"/>
      <w:szCs w:val="20"/>
    </w:rPr>
  </w:style>
  <w:style w:type="paragraph" w:styleId="HTMLVorformatiert">
    <w:name w:val="HTML Preformatted"/>
    <w:basedOn w:val="Standard"/>
    <w:link w:val="HTMLVorformatiertZchn"/>
    <w:uiPriority w:val="99"/>
    <w:semiHidden/>
    <w:unhideWhenUsed/>
    <w:rsid w:val="00B66857"/>
    <w:pPr>
      <w:spacing w:after="0" w:line="240" w:lineRule="auto"/>
    </w:pPr>
    <w:rPr>
      <w:rFonts w:ascii="Consolas" w:hAnsi="Consolas"/>
      <w:szCs w:val="20"/>
    </w:rPr>
  </w:style>
  <w:style w:type="character" w:customStyle="1" w:styleId="HTMLVorformatiertZchn">
    <w:name w:val="HTML Vorformatiert Zchn"/>
    <w:basedOn w:val="Absatz-Standardschriftart"/>
    <w:link w:val="HTMLVorformatiert"/>
    <w:uiPriority w:val="99"/>
    <w:semiHidden/>
    <w:rsid w:val="00B66857"/>
    <w:rPr>
      <w:rFonts w:ascii="Consolas" w:hAnsi="Consolas"/>
      <w:szCs w:val="20"/>
    </w:rPr>
  </w:style>
  <w:style w:type="character" w:styleId="HTMLSchreibmaschine">
    <w:name w:val="HTML Typewriter"/>
    <w:basedOn w:val="Absatz-Standardschriftart"/>
    <w:uiPriority w:val="99"/>
    <w:semiHidden/>
    <w:unhideWhenUsed/>
    <w:rsid w:val="00B66857"/>
    <w:rPr>
      <w:rFonts w:ascii="Consolas" w:hAnsi="Consolas"/>
      <w:sz w:val="22"/>
      <w:szCs w:val="20"/>
    </w:rPr>
  </w:style>
  <w:style w:type="paragraph" w:styleId="Makrotext">
    <w:name w:val="macro"/>
    <w:link w:val="MakrotextZchn"/>
    <w:uiPriority w:val="99"/>
    <w:semiHidden/>
    <w:unhideWhenUsed/>
    <w:rsid w:val="00B6685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krotextZchn">
    <w:name w:val="Makrotext Zchn"/>
    <w:basedOn w:val="Absatz-Standardschriftart"/>
    <w:link w:val="Makrotext"/>
    <w:uiPriority w:val="99"/>
    <w:semiHidden/>
    <w:rsid w:val="00B66857"/>
    <w:rPr>
      <w:rFonts w:ascii="Consolas" w:hAnsi="Consolas"/>
      <w:szCs w:val="20"/>
    </w:rPr>
  </w:style>
  <w:style w:type="paragraph" w:styleId="NurText">
    <w:name w:val="Plain Text"/>
    <w:basedOn w:val="Standard"/>
    <w:link w:val="NurTextZchn"/>
    <w:uiPriority w:val="99"/>
    <w:semiHidden/>
    <w:unhideWhenUsed/>
    <w:rsid w:val="00B66857"/>
    <w:pPr>
      <w:spacing w:after="0" w:line="240" w:lineRule="auto"/>
    </w:pPr>
    <w:rPr>
      <w:rFonts w:ascii="Consolas" w:hAnsi="Consolas"/>
      <w:szCs w:val="21"/>
    </w:rPr>
  </w:style>
  <w:style w:type="character" w:customStyle="1" w:styleId="NurTextZchn">
    <w:name w:val="Nur Text Zchn"/>
    <w:basedOn w:val="Absatz-Standardschriftart"/>
    <w:link w:val="NurText"/>
    <w:uiPriority w:val="99"/>
    <w:semiHidden/>
    <w:rsid w:val="00B66857"/>
    <w:rPr>
      <w:rFonts w:ascii="Consolas" w:hAnsi="Consolas"/>
      <w:szCs w:val="21"/>
    </w:rPr>
  </w:style>
  <w:style w:type="paragraph" w:styleId="Blocktext">
    <w:name w:val="Block Text"/>
    <w:basedOn w:val="Standard"/>
    <w:uiPriority w:val="99"/>
    <w:semiHidden/>
    <w:unhideWhenUsed/>
    <w:rsid w:val="00216BF8"/>
    <w:pPr>
      <w:pBdr>
        <w:top w:val="single" w:sz="2" w:space="10" w:color="0D5672" w:themeColor="accent1" w:themeShade="80" w:shadow="1"/>
        <w:left w:val="single" w:sz="2" w:space="10" w:color="0D5672" w:themeColor="accent1" w:themeShade="80" w:shadow="1"/>
        <w:bottom w:val="single" w:sz="2" w:space="10" w:color="0D5672" w:themeColor="accent1" w:themeShade="80" w:shadow="1"/>
        <w:right w:val="single" w:sz="2" w:space="10" w:color="0D5672" w:themeColor="accent1" w:themeShade="80" w:shadow="1"/>
      </w:pBdr>
      <w:ind w:left="1152" w:right="1152"/>
    </w:pPr>
    <w:rPr>
      <w:i/>
      <w:iCs/>
      <w:color w:val="0D5672" w:themeColor="accent1" w:themeShade="80"/>
    </w:rPr>
  </w:style>
  <w:style w:type="character" w:styleId="BesuchterLink">
    <w:name w:val="FollowedHyperlink"/>
    <w:basedOn w:val="Absatz-Standardschriftart"/>
    <w:uiPriority w:val="99"/>
    <w:semiHidden/>
    <w:unhideWhenUsed/>
    <w:rsid w:val="00971DEC"/>
    <w:rPr>
      <w:color w:val="215D4B" w:themeColor="accent4" w:themeShade="80"/>
      <w:u w:val="single"/>
    </w:rPr>
  </w:style>
  <w:style w:type="character" w:styleId="Hyperlink">
    <w:name w:val="Hyperlink"/>
    <w:basedOn w:val="Absatz-Standardschriftart"/>
    <w:uiPriority w:val="99"/>
    <w:unhideWhenUsed/>
    <w:rsid w:val="00B66857"/>
    <w:rPr>
      <w:color w:val="2E653E" w:themeColor="accent5" w:themeShade="BF"/>
      <w:u w:val="single"/>
    </w:rPr>
  </w:style>
  <w:style w:type="character" w:styleId="Platzhaltertext">
    <w:name w:val="Placeholder Text"/>
    <w:basedOn w:val="Absatz-Standardschriftart"/>
    <w:uiPriority w:val="99"/>
    <w:semiHidden/>
    <w:rsid w:val="00B66857"/>
    <w:rPr>
      <w:color w:val="595959" w:themeColor="text1" w:themeTint="A6"/>
    </w:rPr>
  </w:style>
  <w:style w:type="paragraph" w:styleId="Kopfzeile">
    <w:name w:val="header"/>
    <w:basedOn w:val="Standard"/>
    <w:link w:val="KopfzeileZchn"/>
    <w:uiPriority w:val="99"/>
    <w:unhideWhenUsed/>
    <w:rsid w:val="008B6008"/>
    <w:pPr>
      <w:spacing w:after="0" w:line="240" w:lineRule="auto"/>
    </w:pPr>
  </w:style>
  <w:style w:type="character" w:customStyle="1" w:styleId="KopfzeileZchn">
    <w:name w:val="Kopfzeile Zchn"/>
    <w:basedOn w:val="Absatz-Standardschriftart"/>
    <w:link w:val="Kopfzeile"/>
    <w:uiPriority w:val="99"/>
    <w:rsid w:val="008B6008"/>
  </w:style>
  <w:style w:type="paragraph" w:styleId="Fuzeile">
    <w:name w:val="footer"/>
    <w:basedOn w:val="Standard"/>
    <w:link w:val="FuzeileZchn"/>
    <w:uiPriority w:val="99"/>
    <w:unhideWhenUsed/>
    <w:rsid w:val="008B6008"/>
    <w:pPr>
      <w:spacing w:after="0" w:line="240" w:lineRule="auto"/>
    </w:pPr>
  </w:style>
  <w:style w:type="character" w:customStyle="1" w:styleId="FuzeileZchn">
    <w:name w:val="Fußzeile Zchn"/>
    <w:basedOn w:val="Absatz-Standardschriftart"/>
    <w:link w:val="Fuzeile"/>
    <w:uiPriority w:val="99"/>
    <w:rsid w:val="008B6008"/>
  </w:style>
  <w:style w:type="paragraph" w:styleId="Verzeichnis1">
    <w:name w:val="toc 1"/>
    <w:basedOn w:val="Standard"/>
    <w:next w:val="Standard"/>
    <w:autoRedefine/>
    <w:uiPriority w:val="39"/>
    <w:unhideWhenUsed/>
    <w:rsid w:val="00BD56B4"/>
    <w:pPr>
      <w:spacing w:after="100"/>
    </w:pPr>
  </w:style>
  <w:style w:type="table" w:styleId="Tabellenraster">
    <w:name w:val="Table Grid"/>
    <w:basedOn w:val="NormaleTabelle"/>
    <w:uiPriority w:val="39"/>
    <w:rsid w:val="001C61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68061C"/>
    <w:pPr>
      <w:spacing w:after="0" w:line="240" w:lineRule="auto"/>
    </w:pPr>
    <w:rPr>
      <w:rFonts w:ascii="Arial" w:hAnsi="Arial"/>
    </w:rPr>
  </w:style>
  <w:style w:type="paragraph" w:styleId="Listenabsatz">
    <w:name w:val="List Paragraph"/>
    <w:basedOn w:val="Standard"/>
    <w:uiPriority w:val="34"/>
    <w:unhideWhenUsed/>
    <w:qFormat/>
    <w:rsid w:val="0068061C"/>
    <w:pPr>
      <w:ind w:left="720"/>
      <w:contextualSpacing/>
    </w:pPr>
  </w:style>
  <w:style w:type="paragraph" w:styleId="Verzeichnis2">
    <w:name w:val="toc 2"/>
    <w:basedOn w:val="Standard"/>
    <w:next w:val="Standard"/>
    <w:autoRedefine/>
    <w:uiPriority w:val="39"/>
    <w:unhideWhenUsed/>
    <w:rsid w:val="00525D5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1330">
      <w:bodyDiv w:val="1"/>
      <w:marLeft w:val="0"/>
      <w:marRight w:val="0"/>
      <w:marTop w:val="0"/>
      <w:marBottom w:val="0"/>
      <w:divBdr>
        <w:top w:val="none" w:sz="0" w:space="0" w:color="auto"/>
        <w:left w:val="none" w:sz="0" w:space="0" w:color="auto"/>
        <w:bottom w:val="none" w:sz="0" w:space="0" w:color="auto"/>
        <w:right w:val="none" w:sz="0" w:space="0" w:color="auto"/>
      </w:divBdr>
      <w:divsChild>
        <w:div w:id="1342662281">
          <w:marLeft w:val="640"/>
          <w:marRight w:val="0"/>
          <w:marTop w:val="0"/>
          <w:marBottom w:val="0"/>
          <w:divBdr>
            <w:top w:val="none" w:sz="0" w:space="0" w:color="auto"/>
            <w:left w:val="none" w:sz="0" w:space="0" w:color="auto"/>
            <w:bottom w:val="none" w:sz="0" w:space="0" w:color="auto"/>
            <w:right w:val="none" w:sz="0" w:space="0" w:color="auto"/>
          </w:divBdr>
        </w:div>
        <w:div w:id="602106141">
          <w:marLeft w:val="640"/>
          <w:marRight w:val="0"/>
          <w:marTop w:val="0"/>
          <w:marBottom w:val="0"/>
          <w:divBdr>
            <w:top w:val="none" w:sz="0" w:space="0" w:color="auto"/>
            <w:left w:val="none" w:sz="0" w:space="0" w:color="auto"/>
            <w:bottom w:val="none" w:sz="0" w:space="0" w:color="auto"/>
            <w:right w:val="none" w:sz="0" w:space="0" w:color="auto"/>
          </w:divBdr>
        </w:div>
        <w:div w:id="759448963">
          <w:marLeft w:val="640"/>
          <w:marRight w:val="0"/>
          <w:marTop w:val="0"/>
          <w:marBottom w:val="0"/>
          <w:divBdr>
            <w:top w:val="none" w:sz="0" w:space="0" w:color="auto"/>
            <w:left w:val="none" w:sz="0" w:space="0" w:color="auto"/>
            <w:bottom w:val="none" w:sz="0" w:space="0" w:color="auto"/>
            <w:right w:val="none" w:sz="0" w:space="0" w:color="auto"/>
          </w:divBdr>
        </w:div>
      </w:divsChild>
    </w:div>
    <w:div w:id="8026942">
      <w:bodyDiv w:val="1"/>
      <w:marLeft w:val="0"/>
      <w:marRight w:val="0"/>
      <w:marTop w:val="0"/>
      <w:marBottom w:val="0"/>
      <w:divBdr>
        <w:top w:val="none" w:sz="0" w:space="0" w:color="auto"/>
        <w:left w:val="none" w:sz="0" w:space="0" w:color="auto"/>
        <w:bottom w:val="none" w:sz="0" w:space="0" w:color="auto"/>
        <w:right w:val="none" w:sz="0" w:space="0" w:color="auto"/>
      </w:divBdr>
      <w:divsChild>
        <w:div w:id="1715420563">
          <w:marLeft w:val="640"/>
          <w:marRight w:val="0"/>
          <w:marTop w:val="0"/>
          <w:marBottom w:val="0"/>
          <w:divBdr>
            <w:top w:val="none" w:sz="0" w:space="0" w:color="auto"/>
            <w:left w:val="none" w:sz="0" w:space="0" w:color="auto"/>
            <w:bottom w:val="none" w:sz="0" w:space="0" w:color="auto"/>
            <w:right w:val="none" w:sz="0" w:space="0" w:color="auto"/>
          </w:divBdr>
        </w:div>
        <w:div w:id="885063727">
          <w:marLeft w:val="640"/>
          <w:marRight w:val="0"/>
          <w:marTop w:val="0"/>
          <w:marBottom w:val="0"/>
          <w:divBdr>
            <w:top w:val="none" w:sz="0" w:space="0" w:color="auto"/>
            <w:left w:val="none" w:sz="0" w:space="0" w:color="auto"/>
            <w:bottom w:val="none" w:sz="0" w:space="0" w:color="auto"/>
            <w:right w:val="none" w:sz="0" w:space="0" w:color="auto"/>
          </w:divBdr>
        </w:div>
        <w:div w:id="449976178">
          <w:marLeft w:val="640"/>
          <w:marRight w:val="0"/>
          <w:marTop w:val="0"/>
          <w:marBottom w:val="0"/>
          <w:divBdr>
            <w:top w:val="none" w:sz="0" w:space="0" w:color="auto"/>
            <w:left w:val="none" w:sz="0" w:space="0" w:color="auto"/>
            <w:bottom w:val="none" w:sz="0" w:space="0" w:color="auto"/>
            <w:right w:val="none" w:sz="0" w:space="0" w:color="auto"/>
          </w:divBdr>
        </w:div>
      </w:divsChild>
    </w:div>
    <w:div w:id="158271515">
      <w:bodyDiv w:val="1"/>
      <w:marLeft w:val="0"/>
      <w:marRight w:val="0"/>
      <w:marTop w:val="0"/>
      <w:marBottom w:val="0"/>
      <w:divBdr>
        <w:top w:val="none" w:sz="0" w:space="0" w:color="auto"/>
        <w:left w:val="none" w:sz="0" w:space="0" w:color="auto"/>
        <w:bottom w:val="none" w:sz="0" w:space="0" w:color="auto"/>
        <w:right w:val="none" w:sz="0" w:space="0" w:color="auto"/>
      </w:divBdr>
      <w:divsChild>
        <w:div w:id="1477406927">
          <w:marLeft w:val="640"/>
          <w:marRight w:val="0"/>
          <w:marTop w:val="0"/>
          <w:marBottom w:val="0"/>
          <w:divBdr>
            <w:top w:val="none" w:sz="0" w:space="0" w:color="auto"/>
            <w:left w:val="none" w:sz="0" w:space="0" w:color="auto"/>
            <w:bottom w:val="none" w:sz="0" w:space="0" w:color="auto"/>
            <w:right w:val="none" w:sz="0" w:space="0" w:color="auto"/>
          </w:divBdr>
        </w:div>
        <w:div w:id="1300185720">
          <w:marLeft w:val="640"/>
          <w:marRight w:val="0"/>
          <w:marTop w:val="0"/>
          <w:marBottom w:val="0"/>
          <w:divBdr>
            <w:top w:val="none" w:sz="0" w:space="0" w:color="auto"/>
            <w:left w:val="none" w:sz="0" w:space="0" w:color="auto"/>
            <w:bottom w:val="none" w:sz="0" w:space="0" w:color="auto"/>
            <w:right w:val="none" w:sz="0" w:space="0" w:color="auto"/>
          </w:divBdr>
        </w:div>
        <w:div w:id="1407651568">
          <w:marLeft w:val="640"/>
          <w:marRight w:val="0"/>
          <w:marTop w:val="0"/>
          <w:marBottom w:val="0"/>
          <w:divBdr>
            <w:top w:val="none" w:sz="0" w:space="0" w:color="auto"/>
            <w:left w:val="none" w:sz="0" w:space="0" w:color="auto"/>
            <w:bottom w:val="none" w:sz="0" w:space="0" w:color="auto"/>
            <w:right w:val="none" w:sz="0" w:space="0" w:color="auto"/>
          </w:divBdr>
        </w:div>
        <w:div w:id="560677603">
          <w:marLeft w:val="640"/>
          <w:marRight w:val="0"/>
          <w:marTop w:val="0"/>
          <w:marBottom w:val="0"/>
          <w:divBdr>
            <w:top w:val="none" w:sz="0" w:space="0" w:color="auto"/>
            <w:left w:val="none" w:sz="0" w:space="0" w:color="auto"/>
            <w:bottom w:val="none" w:sz="0" w:space="0" w:color="auto"/>
            <w:right w:val="none" w:sz="0" w:space="0" w:color="auto"/>
          </w:divBdr>
        </w:div>
        <w:div w:id="2067410464">
          <w:marLeft w:val="640"/>
          <w:marRight w:val="0"/>
          <w:marTop w:val="0"/>
          <w:marBottom w:val="0"/>
          <w:divBdr>
            <w:top w:val="none" w:sz="0" w:space="0" w:color="auto"/>
            <w:left w:val="none" w:sz="0" w:space="0" w:color="auto"/>
            <w:bottom w:val="none" w:sz="0" w:space="0" w:color="auto"/>
            <w:right w:val="none" w:sz="0" w:space="0" w:color="auto"/>
          </w:divBdr>
        </w:div>
      </w:divsChild>
    </w:div>
    <w:div w:id="264046902">
      <w:bodyDiv w:val="1"/>
      <w:marLeft w:val="0"/>
      <w:marRight w:val="0"/>
      <w:marTop w:val="0"/>
      <w:marBottom w:val="0"/>
      <w:divBdr>
        <w:top w:val="none" w:sz="0" w:space="0" w:color="auto"/>
        <w:left w:val="none" w:sz="0" w:space="0" w:color="auto"/>
        <w:bottom w:val="none" w:sz="0" w:space="0" w:color="auto"/>
        <w:right w:val="none" w:sz="0" w:space="0" w:color="auto"/>
      </w:divBdr>
      <w:divsChild>
        <w:div w:id="1249949">
          <w:marLeft w:val="640"/>
          <w:marRight w:val="0"/>
          <w:marTop w:val="0"/>
          <w:marBottom w:val="0"/>
          <w:divBdr>
            <w:top w:val="none" w:sz="0" w:space="0" w:color="auto"/>
            <w:left w:val="none" w:sz="0" w:space="0" w:color="auto"/>
            <w:bottom w:val="none" w:sz="0" w:space="0" w:color="auto"/>
            <w:right w:val="none" w:sz="0" w:space="0" w:color="auto"/>
          </w:divBdr>
        </w:div>
        <w:div w:id="1499807418">
          <w:marLeft w:val="640"/>
          <w:marRight w:val="0"/>
          <w:marTop w:val="0"/>
          <w:marBottom w:val="0"/>
          <w:divBdr>
            <w:top w:val="none" w:sz="0" w:space="0" w:color="auto"/>
            <w:left w:val="none" w:sz="0" w:space="0" w:color="auto"/>
            <w:bottom w:val="none" w:sz="0" w:space="0" w:color="auto"/>
            <w:right w:val="none" w:sz="0" w:space="0" w:color="auto"/>
          </w:divBdr>
        </w:div>
        <w:div w:id="535510631">
          <w:marLeft w:val="640"/>
          <w:marRight w:val="0"/>
          <w:marTop w:val="0"/>
          <w:marBottom w:val="0"/>
          <w:divBdr>
            <w:top w:val="none" w:sz="0" w:space="0" w:color="auto"/>
            <w:left w:val="none" w:sz="0" w:space="0" w:color="auto"/>
            <w:bottom w:val="none" w:sz="0" w:space="0" w:color="auto"/>
            <w:right w:val="none" w:sz="0" w:space="0" w:color="auto"/>
          </w:divBdr>
        </w:div>
      </w:divsChild>
    </w:div>
    <w:div w:id="506555470">
      <w:bodyDiv w:val="1"/>
      <w:marLeft w:val="0"/>
      <w:marRight w:val="0"/>
      <w:marTop w:val="0"/>
      <w:marBottom w:val="0"/>
      <w:divBdr>
        <w:top w:val="none" w:sz="0" w:space="0" w:color="auto"/>
        <w:left w:val="none" w:sz="0" w:space="0" w:color="auto"/>
        <w:bottom w:val="none" w:sz="0" w:space="0" w:color="auto"/>
        <w:right w:val="none" w:sz="0" w:space="0" w:color="auto"/>
      </w:divBdr>
      <w:divsChild>
        <w:div w:id="559094915">
          <w:marLeft w:val="640"/>
          <w:marRight w:val="0"/>
          <w:marTop w:val="0"/>
          <w:marBottom w:val="0"/>
          <w:divBdr>
            <w:top w:val="none" w:sz="0" w:space="0" w:color="auto"/>
            <w:left w:val="none" w:sz="0" w:space="0" w:color="auto"/>
            <w:bottom w:val="none" w:sz="0" w:space="0" w:color="auto"/>
            <w:right w:val="none" w:sz="0" w:space="0" w:color="auto"/>
          </w:divBdr>
        </w:div>
        <w:div w:id="1891720104">
          <w:marLeft w:val="640"/>
          <w:marRight w:val="0"/>
          <w:marTop w:val="0"/>
          <w:marBottom w:val="0"/>
          <w:divBdr>
            <w:top w:val="none" w:sz="0" w:space="0" w:color="auto"/>
            <w:left w:val="none" w:sz="0" w:space="0" w:color="auto"/>
            <w:bottom w:val="none" w:sz="0" w:space="0" w:color="auto"/>
            <w:right w:val="none" w:sz="0" w:space="0" w:color="auto"/>
          </w:divBdr>
        </w:div>
        <w:div w:id="999968302">
          <w:marLeft w:val="640"/>
          <w:marRight w:val="0"/>
          <w:marTop w:val="0"/>
          <w:marBottom w:val="0"/>
          <w:divBdr>
            <w:top w:val="none" w:sz="0" w:space="0" w:color="auto"/>
            <w:left w:val="none" w:sz="0" w:space="0" w:color="auto"/>
            <w:bottom w:val="none" w:sz="0" w:space="0" w:color="auto"/>
            <w:right w:val="none" w:sz="0" w:space="0" w:color="auto"/>
          </w:divBdr>
        </w:div>
      </w:divsChild>
    </w:div>
    <w:div w:id="530847845">
      <w:bodyDiv w:val="1"/>
      <w:marLeft w:val="0"/>
      <w:marRight w:val="0"/>
      <w:marTop w:val="0"/>
      <w:marBottom w:val="0"/>
      <w:divBdr>
        <w:top w:val="none" w:sz="0" w:space="0" w:color="auto"/>
        <w:left w:val="none" w:sz="0" w:space="0" w:color="auto"/>
        <w:bottom w:val="none" w:sz="0" w:space="0" w:color="auto"/>
        <w:right w:val="none" w:sz="0" w:space="0" w:color="auto"/>
      </w:divBdr>
      <w:divsChild>
        <w:div w:id="1298144494">
          <w:marLeft w:val="640"/>
          <w:marRight w:val="0"/>
          <w:marTop w:val="0"/>
          <w:marBottom w:val="0"/>
          <w:divBdr>
            <w:top w:val="none" w:sz="0" w:space="0" w:color="auto"/>
            <w:left w:val="none" w:sz="0" w:space="0" w:color="auto"/>
            <w:bottom w:val="none" w:sz="0" w:space="0" w:color="auto"/>
            <w:right w:val="none" w:sz="0" w:space="0" w:color="auto"/>
          </w:divBdr>
        </w:div>
        <w:div w:id="486750760">
          <w:marLeft w:val="640"/>
          <w:marRight w:val="0"/>
          <w:marTop w:val="0"/>
          <w:marBottom w:val="0"/>
          <w:divBdr>
            <w:top w:val="none" w:sz="0" w:space="0" w:color="auto"/>
            <w:left w:val="none" w:sz="0" w:space="0" w:color="auto"/>
            <w:bottom w:val="none" w:sz="0" w:space="0" w:color="auto"/>
            <w:right w:val="none" w:sz="0" w:space="0" w:color="auto"/>
          </w:divBdr>
        </w:div>
        <w:div w:id="381171974">
          <w:marLeft w:val="640"/>
          <w:marRight w:val="0"/>
          <w:marTop w:val="0"/>
          <w:marBottom w:val="0"/>
          <w:divBdr>
            <w:top w:val="none" w:sz="0" w:space="0" w:color="auto"/>
            <w:left w:val="none" w:sz="0" w:space="0" w:color="auto"/>
            <w:bottom w:val="none" w:sz="0" w:space="0" w:color="auto"/>
            <w:right w:val="none" w:sz="0" w:space="0" w:color="auto"/>
          </w:divBdr>
        </w:div>
      </w:divsChild>
    </w:div>
    <w:div w:id="653950417">
      <w:bodyDiv w:val="1"/>
      <w:marLeft w:val="0"/>
      <w:marRight w:val="0"/>
      <w:marTop w:val="0"/>
      <w:marBottom w:val="0"/>
      <w:divBdr>
        <w:top w:val="none" w:sz="0" w:space="0" w:color="auto"/>
        <w:left w:val="none" w:sz="0" w:space="0" w:color="auto"/>
        <w:bottom w:val="none" w:sz="0" w:space="0" w:color="auto"/>
        <w:right w:val="none" w:sz="0" w:space="0" w:color="auto"/>
      </w:divBdr>
    </w:div>
    <w:div w:id="706179747">
      <w:bodyDiv w:val="1"/>
      <w:marLeft w:val="0"/>
      <w:marRight w:val="0"/>
      <w:marTop w:val="0"/>
      <w:marBottom w:val="0"/>
      <w:divBdr>
        <w:top w:val="none" w:sz="0" w:space="0" w:color="auto"/>
        <w:left w:val="none" w:sz="0" w:space="0" w:color="auto"/>
        <w:bottom w:val="none" w:sz="0" w:space="0" w:color="auto"/>
        <w:right w:val="none" w:sz="0" w:space="0" w:color="auto"/>
      </w:divBdr>
      <w:divsChild>
        <w:div w:id="43339171">
          <w:marLeft w:val="640"/>
          <w:marRight w:val="0"/>
          <w:marTop w:val="0"/>
          <w:marBottom w:val="0"/>
          <w:divBdr>
            <w:top w:val="none" w:sz="0" w:space="0" w:color="auto"/>
            <w:left w:val="none" w:sz="0" w:space="0" w:color="auto"/>
            <w:bottom w:val="none" w:sz="0" w:space="0" w:color="auto"/>
            <w:right w:val="none" w:sz="0" w:space="0" w:color="auto"/>
          </w:divBdr>
        </w:div>
        <w:div w:id="1493905802">
          <w:marLeft w:val="640"/>
          <w:marRight w:val="0"/>
          <w:marTop w:val="0"/>
          <w:marBottom w:val="0"/>
          <w:divBdr>
            <w:top w:val="none" w:sz="0" w:space="0" w:color="auto"/>
            <w:left w:val="none" w:sz="0" w:space="0" w:color="auto"/>
            <w:bottom w:val="none" w:sz="0" w:space="0" w:color="auto"/>
            <w:right w:val="none" w:sz="0" w:space="0" w:color="auto"/>
          </w:divBdr>
        </w:div>
        <w:div w:id="570312014">
          <w:marLeft w:val="640"/>
          <w:marRight w:val="0"/>
          <w:marTop w:val="0"/>
          <w:marBottom w:val="0"/>
          <w:divBdr>
            <w:top w:val="none" w:sz="0" w:space="0" w:color="auto"/>
            <w:left w:val="none" w:sz="0" w:space="0" w:color="auto"/>
            <w:bottom w:val="none" w:sz="0" w:space="0" w:color="auto"/>
            <w:right w:val="none" w:sz="0" w:space="0" w:color="auto"/>
          </w:divBdr>
        </w:div>
      </w:divsChild>
    </w:div>
    <w:div w:id="718748545">
      <w:bodyDiv w:val="1"/>
      <w:marLeft w:val="0"/>
      <w:marRight w:val="0"/>
      <w:marTop w:val="0"/>
      <w:marBottom w:val="0"/>
      <w:divBdr>
        <w:top w:val="none" w:sz="0" w:space="0" w:color="auto"/>
        <w:left w:val="none" w:sz="0" w:space="0" w:color="auto"/>
        <w:bottom w:val="none" w:sz="0" w:space="0" w:color="auto"/>
        <w:right w:val="none" w:sz="0" w:space="0" w:color="auto"/>
      </w:divBdr>
      <w:divsChild>
        <w:div w:id="1024677185">
          <w:marLeft w:val="640"/>
          <w:marRight w:val="0"/>
          <w:marTop w:val="0"/>
          <w:marBottom w:val="0"/>
          <w:divBdr>
            <w:top w:val="none" w:sz="0" w:space="0" w:color="auto"/>
            <w:left w:val="none" w:sz="0" w:space="0" w:color="auto"/>
            <w:bottom w:val="none" w:sz="0" w:space="0" w:color="auto"/>
            <w:right w:val="none" w:sz="0" w:space="0" w:color="auto"/>
          </w:divBdr>
        </w:div>
        <w:div w:id="667171932">
          <w:marLeft w:val="640"/>
          <w:marRight w:val="0"/>
          <w:marTop w:val="0"/>
          <w:marBottom w:val="0"/>
          <w:divBdr>
            <w:top w:val="none" w:sz="0" w:space="0" w:color="auto"/>
            <w:left w:val="none" w:sz="0" w:space="0" w:color="auto"/>
            <w:bottom w:val="none" w:sz="0" w:space="0" w:color="auto"/>
            <w:right w:val="none" w:sz="0" w:space="0" w:color="auto"/>
          </w:divBdr>
        </w:div>
        <w:div w:id="1538010507">
          <w:marLeft w:val="640"/>
          <w:marRight w:val="0"/>
          <w:marTop w:val="0"/>
          <w:marBottom w:val="0"/>
          <w:divBdr>
            <w:top w:val="none" w:sz="0" w:space="0" w:color="auto"/>
            <w:left w:val="none" w:sz="0" w:space="0" w:color="auto"/>
            <w:bottom w:val="none" w:sz="0" w:space="0" w:color="auto"/>
            <w:right w:val="none" w:sz="0" w:space="0" w:color="auto"/>
          </w:divBdr>
        </w:div>
        <w:div w:id="462387885">
          <w:marLeft w:val="640"/>
          <w:marRight w:val="0"/>
          <w:marTop w:val="0"/>
          <w:marBottom w:val="0"/>
          <w:divBdr>
            <w:top w:val="none" w:sz="0" w:space="0" w:color="auto"/>
            <w:left w:val="none" w:sz="0" w:space="0" w:color="auto"/>
            <w:bottom w:val="none" w:sz="0" w:space="0" w:color="auto"/>
            <w:right w:val="none" w:sz="0" w:space="0" w:color="auto"/>
          </w:divBdr>
        </w:div>
      </w:divsChild>
    </w:div>
    <w:div w:id="778187484">
      <w:bodyDiv w:val="1"/>
      <w:marLeft w:val="0"/>
      <w:marRight w:val="0"/>
      <w:marTop w:val="0"/>
      <w:marBottom w:val="0"/>
      <w:divBdr>
        <w:top w:val="none" w:sz="0" w:space="0" w:color="auto"/>
        <w:left w:val="none" w:sz="0" w:space="0" w:color="auto"/>
        <w:bottom w:val="none" w:sz="0" w:space="0" w:color="auto"/>
        <w:right w:val="none" w:sz="0" w:space="0" w:color="auto"/>
      </w:divBdr>
      <w:divsChild>
        <w:div w:id="1246576272">
          <w:marLeft w:val="640"/>
          <w:marRight w:val="0"/>
          <w:marTop w:val="0"/>
          <w:marBottom w:val="0"/>
          <w:divBdr>
            <w:top w:val="none" w:sz="0" w:space="0" w:color="auto"/>
            <w:left w:val="none" w:sz="0" w:space="0" w:color="auto"/>
            <w:bottom w:val="none" w:sz="0" w:space="0" w:color="auto"/>
            <w:right w:val="none" w:sz="0" w:space="0" w:color="auto"/>
          </w:divBdr>
        </w:div>
        <w:div w:id="601643771">
          <w:marLeft w:val="640"/>
          <w:marRight w:val="0"/>
          <w:marTop w:val="0"/>
          <w:marBottom w:val="0"/>
          <w:divBdr>
            <w:top w:val="none" w:sz="0" w:space="0" w:color="auto"/>
            <w:left w:val="none" w:sz="0" w:space="0" w:color="auto"/>
            <w:bottom w:val="none" w:sz="0" w:space="0" w:color="auto"/>
            <w:right w:val="none" w:sz="0" w:space="0" w:color="auto"/>
          </w:divBdr>
        </w:div>
        <w:div w:id="882329458">
          <w:marLeft w:val="640"/>
          <w:marRight w:val="0"/>
          <w:marTop w:val="0"/>
          <w:marBottom w:val="0"/>
          <w:divBdr>
            <w:top w:val="none" w:sz="0" w:space="0" w:color="auto"/>
            <w:left w:val="none" w:sz="0" w:space="0" w:color="auto"/>
            <w:bottom w:val="none" w:sz="0" w:space="0" w:color="auto"/>
            <w:right w:val="none" w:sz="0" w:space="0" w:color="auto"/>
          </w:divBdr>
        </w:div>
        <w:div w:id="1123232455">
          <w:marLeft w:val="640"/>
          <w:marRight w:val="0"/>
          <w:marTop w:val="0"/>
          <w:marBottom w:val="0"/>
          <w:divBdr>
            <w:top w:val="none" w:sz="0" w:space="0" w:color="auto"/>
            <w:left w:val="none" w:sz="0" w:space="0" w:color="auto"/>
            <w:bottom w:val="none" w:sz="0" w:space="0" w:color="auto"/>
            <w:right w:val="none" w:sz="0" w:space="0" w:color="auto"/>
          </w:divBdr>
        </w:div>
      </w:divsChild>
    </w:div>
    <w:div w:id="793014391">
      <w:bodyDiv w:val="1"/>
      <w:marLeft w:val="0"/>
      <w:marRight w:val="0"/>
      <w:marTop w:val="0"/>
      <w:marBottom w:val="0"/>
      <w:divBdr>
        <w:top w:val="none" w:sz="0" w:space="0" w:color="auto"/>
        <w:left w:val="none" w:sz="0" w:space="0" w:color="auto"/>
        <w:bottom w:val="none" w:sz="0" w:space="0" w:color="auto"/>
        <w:right w:val="none" w:sz="0" w:space="0" w:color="auto"/>
      </w:divBdr>
      <w:divsChild>
        <w:div w:id="1904175600">
          <w:marLeft w:val="640"/>
          <w:marRight w:val="0"/>
          <w:marTop w:val="0"/>
          <w:marBottom w:val="0"/>
          <w:divBdr>
            <w:top w:val="none" w:sz="0" w:space="0" w:color="auto"/>
            <w:left w:val="none" w:sz="0" w:space="0" w:color="auto"/>
            <w:bottom w:val="none" w:sz="0" w:space="0" w:color="auto"/>
            <w:right w:val="none" w:sz="0" w:space="0" w:color="auto"/>
          </w:divBdr>
        </w:div>
        <w:div w:id="945889846">
          <w:marLeft w:val="640"/>
          <w:marRight w:val="0"/>
          <w:marTop w:val="0"/>
          <w:marBottom w:val="0"/>
          <w:divBdr>
            <w:top w:val="none" w:sz="0" w:space="0" w:color="auto"/>
            <w:left w:val="none" w:sz="0" w:space="0" w:color="auto"/>
            <w:bottom w:val="none" w:sz="0" w:space="0" w:color="auto"/>
            <w:right w:val="none" w:sz="0" w:space="0" w:color="auto"/>
          </w:divBdr>
        </w:div>
        <w:div w:id="385838168">
          <w:marLeft w:val="640"/>
          <w:marRight w:val="0"/>
          <w:marTop w:val="0"/>
          <w:marBottom w:val="0"/>
          <w:divBdr>
            <w:top w:val="none" w:sz="0" w:space="0" w:color="auto"/>
            <w:left w:val="none" w:sz="0" w:space="0" w:color="auto"/>
            <w:bottom w:val="none" w:sz="0" w:space="0" w:color="auto"/>
            <w:right w:val="none" w:sz="0" w:space="0" w:color="auto"/>
          </w:divBdr>
        </w:div>
        <w:div w:id="416174812">
          <w:marLeft w:val="640"/>
          <w:marRight w:val="0"/>
          <w:marTop w:val="0"/>
          <w:marBottom w:val="0"/>
          <w:divBdr>
            <w:top w:val="none" w:sz="0" w:space="0" w:color="auto"/>
            <w:left w:val="none" w:sz="0" w:space="0" w:color="auto"/>
            <w:bottom w:val="none" w:sz="0" w:space="0" w:color="auto"/>
            <w:right w:val="none" w:sz="0" w:space="0" w:color="auto"/>
          </w:divBdr>
        </w:div>
      </w:divsChild>
    </w:div>
    <w:div w:id="851408183">
      <w:bodyDiv w:val="1"/>
      <w:marLeft w:val="0"/>
      <w:marRight w:val="0"/>
      <w:marTop w:val="0"/>
      <w:marBottom w:val="0"/>
      <w:divBdr>
        <w:top w:val="none" w:sz="0" w:space="0" w:color="auto"/>
        <w:left w:val="none" w:sz="0" w:space="0" w:color="auto"/>
        <w:bottom w:val="none" w:sz="0" w:space="0" w:color="auto"/>
        <w:right w:val="none" w:sz="0" w:space="0" w:color="auto"/>
      </w:divBdr>
      <w:divsChild>
        <w:div w:id="298152243">
          <w:marLeft w:val="640"/>
          <w:marRight w:val="0"/>
          <w:marTop w:val="0"/>
          <w:marBottom w:val="0"/>
          <w:divBdr>
            <w:top w:val="none" w:sz="0" w:space="0" w:color="auto"/>
            <w:left w:val="none" w:sz="0" w:space="0" w:color="auto"/>
            <w:bottom w:val="none" w:sz="0" w:space="0" w:color="auto"/>
            <w:right w:val="none" w:sz="0" w:space="0" w:color="auto"/>
          </w:divBdr>
        </w:div>
        <w:div w:id="274023741">
          <w:marLeft w:val="640"/>
          <w:marRight w:val="0"/>
          <w:marTop w:val="0"/>
          <w:marBottom w:val="0"/>
          <w:divBdr>
            <w:top w:val="none" w:sz="0" w:space="0" w:color="auto"/>
            <w:left w:val="none" w:sz="0" w:space="0" w:color="auto"/>
            <w:bottom w:val="none" w:sz="0" w:space="0" w:color="auto"/>
            <w:right w:val="none" w:sz="0" w:space="0" w:color="auto"/>
          </w:divBdr>
        </w:div>
        <w:div w:id="1752701837">
          <w:marLeft w:val="640"/>
          <w:marRight w:val="0"/>
          <w:marTop w:val="0"/>
          <w:marBottom w:val="0"/>
          <w:divBdr>
            <w:top w:val="none" w:sz="0" w:space="0" w:color="auto"/>
            <w:left w:val="none" w:sz="0" w:space="0" w:color="auto"/>
            <w:bottom w:val="none" w:sz="0" w:space="0" w:color="auto"/>
            <w:right w:val="none" w:sz="0" w:space="0" w:color="auto"/>
          </w:divBdr>
        </w:div>
        <w:div w:id="1339380126">
          <w:marLeft w:val="640"/>
          <w:marRight w:val="0"/>
          <w:marTop w:val="0"/>
          <w:marBottom w:val="0"/>
          <w:divBdr>
            <w:top w:val="none" w:sz="0" w:space="0" w:color="auto"/>
            <w:left w:val="none" w:sz="0" w:space="0" w:color="auto"/>
            <w:bottom w:val="none" w:sz="0" w:space="0" w:color="auto"/>
            <w:right w:val="none" w:sz="0" w:space="0" w:color="auto"/>
          </w:divBdr>
        </w:div>
      </w:divsChild>
    </w:div>
    <w:div w:id="877398233">
      <w:bodyDiv w:val="1"/>
      <w:marLeft w:val="0"/>
      <w:marRight w:val="0"/>
      <w:marTop w:val="0"/>
      <w:marBottom w:val="0"/>
      <w:divBdr>
        <w:top w:val="none" w:sz="0" w:space="0" w:color="auto"/>
        <w:left w:val="none" w:sz="0" w:space="0" w:color="auto"/>
        <w:bottom w:val="none" w:sz="0" w:space="0" w:color="auto"/>
        <w:right w:val="none" w:sz="0" w:space="0" w:color="auto"/>
      </w:divBdr>
      <w:divsChild>
        <w:div w:id="1977368927">
          <w:marLeft w:val="640"/>
          <w:marRight w:val="0"/>
          <w:marTop w:val="0"/>
          <w:marBottom w:val="0"/>
          <w:divBdr>
            <w:top w:val="none" w:sz="0" w:space="0" w:color="auto"/>
            <w:left w:val="none" w:sz="0" w:space="0" w:color="auto"/>
            <w:bottom w:val="none" w:sz="0" w:space="0" w:color="auto"/>
            <w:right w:val="none" w:sz="0" w:space="0" w:color="auto"/>
          </w:divBdr>
        </w:div>
        <w:div w:id="618101220">
          <w:marLeft w:val="640"/>
          <w:marRight w:val="0"/>
          <w:marTop w:val="0"/>
          <w:marBottom w:val="0"/>
          <w:divBdr>
            <w:top w:val="none" w:sz="0" w:space="0" w:color="auto"/>
            <w:left w:val="none" w:sz="0" w:space="0" w:color="auto"/>
            <w:bottom w:val="none" w:sz="0" w:space="0" w:color="auto"/>
            <w:right w:val="none" w:sz="0" w:space="0" w:color="auto"/>
          </w:divBdr>
        </w:div>
        <w:div w:id="1048846466">
          <w:marLeft w:val="640"/>
          <w:marRight w:val="0"/>
          <w:marTop w:val="0"/>
          <w:marBottom w:val="0"/>
          <w:divBdr>
            <w:top w:val="none" w:sz="0" w:space="0" w:color="auto"/>
            <w:left w:val="none" w:sz="0" w:space="0" w:color="auto"/>
            <w:bottom w:val="none" w:sz="0" w:space="0" w:color="auto"/>
            <w:right w:val="none" w:sz="0" w:space="0" w:color="auto"/>
          </w:divBdr>
        </w:div>
        <w:div w:id="1751580771">
          <w:marLeft w:val="640"/>
          <w:marRight w:val="0"/>
          <w:marTop w:val="0"/>
          <w:marBottom w:val="0"/>
          <w:divBdr>
            <w:top w:val="none" w:sz="0" w:space="0" w:color="auto"/>
            <w:left w:val="none" w:sz="0" w:space="0" w:color="auto"/>
            <w:bottom w:val="none" w:sz="0" w:space="0" w:color="auto"/>
            <w:right w:val="none" w:sz="0" w:space="0" w:color="auto"/>
          </w:divBdr>
        </w:div>
      </w:divsChild>
    </w:div>
    <w:div w:id="950163409">
      <w:bodyDiv w:val="1"/>
      <w:marLeft w:val="0"/>
      <w:marRight w:val="0"/>
      <w:marTop w:val="0"/>
      <w:marBottom w:val="0"/>
      <w:divBdr>
        <w:top w:val="none" w:sz="0" w:space="0" w:color="auto"/>
        <w:left w:val="none" w:sz="0" w:space="0" w:color="auto"/>
        <w:bottom w:val="none" w:sz="0" w:space="0" w:color="auto"/>
        <w:right w:val="none" w:sz="0" w:space="0" w:color="auto"/>
      </w:divBdr>
      <w:divsChild>
        <w:div w:id="395326207">
          <w:marLeft w:val="640"/>
          <w:marRight w:val="0"/>
          <w:marTop w:val="0"/>
          <w:marBottom w:val="0"/>
          <w:divBdr>
            <w:top w:val="none" w:sz="0" w:space="0" w:color="auto"/>
            <w:left w:val="none" w:sz="0" w:space="0" w:color="auto"/>
            <w:bottom w:val="none" w:sz="0" w:space="0" w:color="auto"/>
            <w:right w:val="none" w:sz="0" w:space="0" w:color="auto"/>
          </w:divBdr>
        </w:div>
        <w:div w:id="1323241348">
          <w:marLeft w:val="640"/>
          <w:marRight w:val="0"/>
          <w:marTop w:val="0"/>
          <w:marBottom w:val="0"/>
          <w:divBdr>
            <w:top w:val="none" w:sz="0" w:space="0" w:color="auto"/>
            <w:left w:val="none" w:sz="0" w:space="0" w:color="auto"/>
            <w:bottom w:val="none" w:sz="0" w:space="0" w:color="auto"/>
            <w:right w:val="none" w:sz="0" w:space="0" w:color="auto"/>
          </w:divBdr>
        </w:div>
        <w:div w:id="81725281">
          <w:marLeft w:val="640"/>
          <w:marRight w:val="0"/>
          <w:marTop w:val="0"/>
          <w:marBottom w:val="0"/>
          <w:divBdr>
            <w:top w:val="none" w:sz="0" w:space="0" w:color="auto"/>
            <w:left w:val="none" w:sz="0" w:space="0" w:color="auto"/>
            <w:bottom w:val="none" w:sz="0" w:space="0" w:color="auto"/>
            <w:right w:val="none" w:sz="0" w:space="0" w:color="auto"/>
          </w:divBdr>
        </w:div>
      </w:divsChild>
    </w:div>
    <w:div w:id="1035304259">
      <w:bodyDiv w:val="1"/>
      <w:marLeft w:val="0"/>
      <w:marRight w:val="0"/>
      <w:marTop w:val="0"/>
      <w:marBottom w:val="0"/>
      <w:divBdr>
        <w:top w:val="none" w:sz="0" w:space="0" w:color="auto"/>
        <w:left w:val="none" w:sz="0" w:space="0" w:color="auto"/>
        <w:bottom w:val="none" w:sz="0" w:space="0" w:color="auto"/>
        <w:right w:val="none" w:sz="0" w:space="0" w:color="auto"/>
      </w:divBdr>
      <w:divsChild>
        <w:div w:id="1209223438">
          <w:marLeft w:val="640"/>
          <w:marRight w:val="0"/>
          <w:marTop w:val="0"/>
          <w:marBottom w:val="0"/>
          <w:divBdr>
            <w:top w:val="none" w:sz="0" w:space="0" w:color="auto"/>
            <w:left w:val="none" w:sz="0" w:space="0" w:color="auto"/>
            <w:bottom w:val="none" w:sz="0" w:space="0" w:color="auto"/>
            <w:right w:val="none" w:sz="0" w:space="0" w:color="auto"/>
          </w:divBdr>
        </w:div>
        <w:div w:id="2064787928">
          <w:marLeft w:val="640"/>
          <w:marRight w:val="0"/>
          <w:marTop w:val="0"/>
          <w:marBottom w:val="0"/>
          <w:divBdr>
            <w:top w:val="none" w:sz="0" w:space="0" w:color="auto"/>
            <w:left w:val="none" w:sz="0" w:space="0" w:color="auto"/>
            <w:bottom w:val="none" w:sz="0" w:space="0" w:color="auto"/>
            <w:right w:val="none" w:sz="0" w:space="0" w:color="auto"/>
          </w:divBdr>
        </w:div>
        <w:div w:id="85228202">
          <w:marLeft w:val="640"/>
          <w:marRight w:val="0"/>
          <w:marTop w:val="0"/>
          <w:marBottom w:val="0"/>
          <w:divBdr>
            <w:top w:val="none" w:sz="0" w:space="0" w:color="auto"/>
            <w:left w:val="none" w:sz="0" w:space="0" w:color="auto"/>
            <w:bottom w:val="none" w:sz="0" w:space="0" w:color="auto"/>
            <w:right w:val="none" w:sz="0" w:space="0" w:color="auto"/>
          </w:divBdr>
        </w:div>
        <w:div w:id="555122001">
          <w:marLeft w:val="640"/>
          <w:marRight w:val="0"/>
          <w:marTop w:val="0"/>
          <w:marBottom w:val="0"/>
          <w:divBdr>
            <w:top w:val="none" w:sz="0" w:space="0" w:color="auto"/>
            <w:left w:val="none" w:sz="0" w:space="0" w:color="auto"/>
            <w:bottom w:val="none" w:sz="0" w:space="0" w:color="auto"/>
            <w:right w:val="none" w:sz="0" w:space="0" w:color="auto"/>
          </w:divBdr>
        </w:div>
        <w:div w:id="1364553162">
          <w:marLeft w:val="640"/>
          <w:marRight w:val="0"/>
          <w:marTop w:val="0"/>
          <w:marBottom w:val="0"/>
          <w:divBdr>
            <w:top w:val="none" w:sz="0" w:space="0" w:color="auto"/>
            <w:left w:val="none" w:sz="0" w:space="0" w:color="auto"/>
            <w:bottom w:val="none" w:sz="0" w:space="0" w:color="auto"/>
            <w:right w:val="none" w:sz="0" w:space="0" w:color="auto"/>
          </w:divBdr>
        </w:div>
        <w:div w:id="13463893">
          <w:marLeft w:val="640"/>
          <w:marRight w:val="0"/>
          <w:marTop w:val="0"/>
          <w:marBottom w:val="0"/>
          <w:divBdr>
            <w:top w:val="none" w:sz="0" w:space="0" w:color="auto"/>
            <w:left w:val="none" w:sz="0" w:space="0" w:color="auto"/>
            <w:bottom w:val="none" w:sz="0" w:space="0" w:color="auto"/>
            <w:right w:val="none" w:sz="0" w:space="0" w:color="auto"/>
          </w:divBdr>
        </w:div>
      </w:divsChild>
    </w:div>
    <w:div w:id="1129979370">
      <w:bodyDiv w:val="1"/>
      <w:marLeft w:val="0"/>
      <w:marRight w:val="0"/>
      <w:marTop w:val="0"/>
      <w:marBottom w:val="0"/>
      <w:divBdr>
        <w:top w:val="none" w:sz="0" w:space="0" w:color="auto"/>
        <w:left w:val="none" w:sz="0" w:space="0" w:color="auto"/>
        <w:bottom w:val="none" w:sz="0" w:space="0" w:color="auto"/>
        <w:right w:val="none" w:sz="0" w:space="0" w:color="auto"/>
      </w:divBdr>
      <w:divsChild>
        <w:div w:id="1868368545">
          <w:marLeft w:val="640"/>
          <w:marRight w:val="0"/>
          <w:marTop w:val="0"/>
          <w:marBottom w:val="0"/>
          <w:divBdr>
            <w:top w:val="none" w:sz="0" w:space="0" w:color="auto"/>
            <w:left w:val="none" w:sz="0" w:space="0" w:color="auto"/>
            <w:bottom w:val="none" w:sz="0" w:space="0" w:color="auto"/>
            <w:right w:val="none" w:sz="0" w:space="0" w:color="auto"/>
          </w:divBdr>
        </w:div>
        <w:div w:id="1973167006">
          <w:marLeft w:val="640"/>
          <w:marRight w:val="0"/>
          <w:marTop w:val="0"/>
          <w:marBottom w:val="0"/>
          <w:divBdr>
            <w:top w:val="none" w:sz="0" w:space="0" w:color="auto"/>
            <w:left w:val="none" w:sz="0" w:space="0" w:color="auto"/>
            <w:bottom w:val="none" w:sz="0" w:space="0" w:color="auto"/>
            <w:right w:val="none" w:sz="0" w:space="0" w:color="auto"/>
          </w:divBdr>
        </w:div>
        <w:div w:id="1794789633">
          <w:marLeft w:val="640"/>
          <w:marRight w:val="0"/>
          <w:marTop w:val="0"/>
          <w:marBottom w:val="0"/>
          <w:divBdr>
            <w:top w:val="none" w:sz="0" w:space="0" w:color="auto"/>
            <w:left w:val="none" w:sz="0" w:space="0" w:color="auto"/>
            <w:bottom w:val="none" w:sz="0" w:space="0" w:color="auto"/>
            <w:right w:val="none" w:sz="0" w:space="0" w:color="auto"/>
          </w:divBdr>
        </w:div>
        <w:div w:id="2047414460">
          <w:marLeft w:val="640"/>
          <w:marRight w:val="0"/>
          <w:marTop w:val="0"/>
          <w:marBottom w:val="0"/>
          <w:divBdr>
            <w:top w:val="none" w:sz="0" w:space="0" w:color="auto"/>
            <w:left w:val="none" w:sz="0" w:space="0" w:color="auto"/>
            <w:bottom w:val="none" w:sz="0" w:space="0" w:color="auto"/>
            <w:right w:val="none" w:sz="0" w:space="0" w:color="auto"/>
          </w:divBdr>
        </w:div>
      </w:divsChild>
    </w:div>
    <w:div w:id="1153569494">
      <w:bodyDiv w:val="1"/>
      <w:marLeft w:val="0"/>
      <w:marRight w:val="0"/>
      <w:marTop w:val="0"/>
      <w:marBottom w:val="0"/>
      <w:divBdr>
        <w:top w:val="none" w:sz="0" w:space="0" w:color="auto"/>
        <w:left w:val="none" w:sz="0" w:space="0" w:color="auto"/>
        <w:bottom w:val="none" w:sz="0" w:space="0" w:color="auto"/>
        <w:right w:val="none" w:sz="0" w:space="0" w:color="auto"/>
      </w:divBdr>
      <w:divsChild>
        <w:div w:id="1335642732">
          <w:marLeft w:val="640"/>
          <w:marRight w:val="0"/>
          <w:marTop w:val="0"/>
          <w:marBottom w:val="0"/>
          <w:divBdr>
            <w:top w:val="none" w:sz="0" w:space="0" w:color="auto"/>
            <w:left w:val="none" w:sz="0" w:space="0" w:color="auto"/>
            <w:bottom w:val="none" w:sz="0" w:space="0" w:color="auto"/>
            <w:right w:val="none" w:sz="0" w:space="0" w:color="auto"/>
          </w:divBdr>
        </w:div>
        <w:div w:id="100227482">
          <w:marLeft w:val="640"/>
          <w:marRight w:val="0"/>
          <w:marTop w:val="0"/>
          <w:marBottom w:val="0"/>
          <w:divBdr>
            <w:top w:val="none" w:sz="0" w:space="0" w:color="auto"/>
            <w:left w:val="none" w:sz="0" w:space="0" w:color="auto"/>
            <w:bottom w:val="none" w:sz="0" w:space="0" w:color="auto"/>
            <w:right w:val="none" w:sz="0" w:space="0" w:color="auto"/>
          </w:divBdr>
        </w:div>
        <w:div w:id="620764963">
          <w:marLeft w:val="640"/>
          <w:marRight w:val="0"/>
          <w:marTop w:val="0"/>
          <w:marBottom w:val="0"/>
          <w:divBdr>
            <w:top w:val="none" w:sz="0" w:space="0" w:color="auto"/>
            <w:left w:val="none" w:sz="0" w:space="0" w:color="auto"/>
            <w:bottom w:val="none" w:sz="0" w:space="0" w:color="auto"/>
            <w:right w:val="none" w:sz="0" w:space="0" w:color="auto"/>
          </w:divBdr>
        </w:div>
      </w:divsChild>
    </w:div>
    <w:div w:id="1190529420">
      <w:bodyDiv w:val="1"/>
      <w:marLeft w:val="0"/>
      <w:marRight w:val="0"/>
      <w:marTop w:val="0"/>
      <w:marBottom w:val="0"/>
      <w:divBdr>
        <w:top w:val="none" w:sz="0" w:space="0" w:color="auto"/>
        <w:left w:val="none" w:sz="0" w:space="0" w:color="auto"/>
        <w:bottom w:val="none" w:sz="0" w:space="0" w:color="auto"/>
        <w:right w:val="none" w:sz="0" w:space="0" w:color="auto"/>
      </w:divBdr>
      <w:divsChild>
        <w:div w:id="2012099474">
          <w:marLeft w:val="640"/>
          <w:marRight w:val="0"/>
          <w:marTop w:val="0"/>
          <w:marBottom w:val="0"/>
          <w:divBdr>
            <w:top w:val="none" w:sz="0" w:space="0" w:color="auto"/>
            <w:left w:val="none" w:sz="0" w:space="0" w:color="auto"/>
            <w:bottom w:val="none" w:sz="0" w:space="0" w:color="auto"/>
            <w:right w:val="none" w:sz="0" w:space="0" w:color="auto"/>
          </w:divBdr>
        </w:div>
        <w:div w:id="2017339345">
          <w:marLeft w:val="640"/>
          <w:marRight w:val="0"/>
          <w:marTop w:val="0"/>
          <w:marBottom w:val="0"/>
          <w:divBdr>
            <w:top w:val="none" w:sz="0" w:space="0" w:color="auto"/>
            <w:left w:val="none" w:sz="0" w:space="0" w:color="auto"/>
            <w:bottom w:val="none" w:sz="0" w:space="0" w:color="auto"/>
            <w:right w:val="none" w:sz="0" w:space="0" w:color="auto"/>
          </w:divBdr>
        </w:div>
        <w:div w:id="359935713">
          <w:marLeft w:val="640"/>
          <w:marRight w:val="0"/>
          <w:marTop w:val="0"/>
          <w:marBottom w:val="0"/>
          <w:divBdr>
            <w:top w:val="none" w:sz="0" w:space="0" w:color="auto"/>
            <w:left w:val="none" w:sz="0" w:space="0" w:color="auto"/>
            <w:bottom w:val="none" w:sz="0" w:space="0" w:color="auto"/>
            <w:right w:val="none" w:sz="0" w:space="0" w:color="auto"/>
          </w:divBdr>
        </w:div>
      </w:divsChild>
    </w:div>
    <w:div w:id="1287587934">
      <w:bodyDiv w:val="1"/>
      <w:marLeft w:val="0"/>
      <w:marRight w:val="0"/>
      <w:marTop w:val="0"/>
      <w:marBottom w:val="0"/>
      <w:divBdr>
        <w:top w:val="none" w:sz="0" w:space="0" w:color="auto"/>
        <w:left w:val="none" w:sz="0" w:space="0" w:color="auto"/>
        <w:bottom w:val="none" w:sz="0" w:space="0" w:color="auto"/>
        <w:right w:val="none" w:sz="0" w:space="0" w:color="auto"/>
      </w:divBdr>
      <w:divsChild>
        <w:div w:id="970937925">
          <w:marLeft w:val="640"/>
          <w:marRight w:val="0"/>
          <w:marTop w:val="0"/>
          <w:marBottom w:val="0"/>
          <w:divBdr>
            <w:top w:val="none" w:sz="0" w:space="0" w:color="auto"/>
            <w:left w:val="none" w:sz="0" w:space="0" w:color="auto"/>
            <w:bottom w:val="none" w:sz="0" w:space="0" w:color="auto"/>
            <w:right w:val="none" w:sz="0" w:space="0" w:color="auto"/>
          </w:divBdr>
        </w:div>
        <w:div w:id="343899907">
          <w:marLeft w:val="640"/>
          <w:marRight w:val="0"/>
          <w:marTop w:val="0"/>
          <w:marBottom w:val="0"/>
          <w:divBdr>
            <w:top w:val="none" w:sz="0" w:space="0" w:color="auto"/>
            <w:left w:val="none" w:sz="0" w:space="0" w:color="auto"/>
            <w:bottom w:val="none" w:sz="0" w:space="0" w:color="auto"/>
            <w:right w:val="none" w:sz="0" w:space="0" w:color="auto"/>
          </w:divBdr>
        </w:div>
        <w:div w:id="1991010693">
          <w:marLeft w:val="640"/>
          <w:marRight w:val="0"/>
          <w:marTop w:val="0"/>
          <w:marBottom w:val="0"/>
          <w:divBdr>
            <w:top w:val="none" w:sz="0" w:space="0" w:color="auto"/>
            <w:left w:val="none" w:sz="0" w:space="0" w:color="auto"/>
            <w:bottom w:val="none" w:sz="0" w:space="0" w:color="auto"/>
            <w:right w:val="none" w:sz="0" w:space="0" w:color="auto"/>
          </w:divBdr>
        </w:div>
      </w:divsChild>
    </w:div>
    <w:div w:id="1528061608">
      <w:bodyDiv w:val="1"/>
      <w:marLeft w:val="0"/>
      <w:marRight w:val="0"/>
      <w:marTop w:val="0"/>
      <w:marBottom w:val="0"/>
      <w:divBdr>
        <w:top w:val="none" w:sz="0" w:space="0" w:color="auto"/>
        <w:left w:val="none" w:sz="0" w:space="0" w:color="auto"/>
        <w:bottom w:val="none" w:sz="0" w:space="0" w:color="auto"/>
        <w:right w:val="none" w:sz="0" w:space="0" w:color="auto"/>
      </w:divBdr>
    </w:div>
    <w:div w:id="1557473759">
      <w:bodyDiv w:val="1"/>
      <w:marLeft w:val="0"/>
      <w:marRight w:val="0"/>
      <w:marTop w:val="0"/>
      <w:marBottom w:val="0"/>
      <w:divBdr>
        <w:top w:val="none" w:sz="0" w:space="0" w:color="auto"/>
        <w:left w:val="none" w:sz="0" w:space="0" w:color="auto"/>
        <w:bottom w:val="none" w:sz="0" w:space="0" w:color="auto"/>
        <w:right w:val="none" w:sz="0" w:space="0" w:color="auto"/>
      </w:divBdr>
    </w:div>
    <w:div w:id="1693914675">
      <w:bodyDiv w:val="1"/>
      <w:marLeft w:val="0"/>
      <w:marRight w:val="0"/>
      <w:marTop w:val="0"/>
      <w:marBottom w:val="0"/>
      <w:divBdr>
        <w:top w:val="none" w:sz="0" w:space="0" w:color="auto"/>
        <w:left w:val="none" w:sz="0" w:space="0" w:color="auto"/>
        <w:bottom w:val="none" w:sz="0" w:space="0" w:color="auto"/>
        <w:right w:val="none" w:sz="0" w:space="0" w:color="auto"/>
      </w:divBdr>
      <w:divsChild>
        <w:div w:id="1782188850">
          <w:marLeft w:val="640"/>
          <w:marRight w:val="0"/>
          <w:marTop w:val="0"/>
          <w:marBottom w:val="0"/>
          <w:divBdr>
            <w:top w:val="none" w:sz="0" w:space="0" w:color="auto"/>
            <w:left w:val="none" w:sz="0" w:space="0" w:color="auto"/>
            <w:bottom w:val="none" w:sz="0" w:space="0" w:color="auto"/>
            <w:right w:val="none" w:sz="0" w:space="0" w:color="auto"/>
          </w:divBdr>
        </w:div>
        <w:div w:id="1525509263">
          <w:marLeft w:val="640"/>
          <w:marRight w:val="0"/>
          <w:marTop w:val="0"/>
          <w:marBottom w:val="0"/>
          <w:divBdr>
            <w:top w:val="none" w:sz="0" w:space="0" w:color="auto"/>
            <w:left w:val="none" w:sz="0" w:space="0" w:color="auto"/>
            <w:bottom w:val="none" w:sz="0" w:space="0" w:color="auto"/>
            <w:right w:val="none" w:sz="0" w:space="0" w:color="auto"/>
          </w:divBdr>
        </w:div>
        <w:div w:id="542719685">
          <w:marLeft w:val="640"/>
          <w:marRight w:val="0"/>
          <w:marTop w:val="0"/>
          <w:marBottom w:val="0"/>
          <w:divBdr>
            <w:top w:val="none" w:sz="0" w:space="0" w:color="auto"/>
            <w:left w:val="none" w:sz="0" w:space="0" w:color="auto"/>
            <w:bottom w:val="none" w:sz="0" w:space="0" w:color="auto"/>
            <w:right w:val="none" w:sz="0" w:space="0" w:color="auto"/>
          </w:divBdr>
        </w:div>
        <w:div w:id="78216565">
          <w:marLeft w:val="640"/>
          <w:marRight w:val="0"/>
          <w:marTop w:val="0"/>
          <w:marBottom w:val="0"/>
          <w:divBdr>
            <w:top w:val="none" w:sz="0" w:space="0" w:color="auto"/>
            <w:left w:val="none" w:sz="0" w:space="0" w:color="auto"/>
            <w:bottom w:val="none" w:sz="0" w:space="0" w:color="auto"/>
            <w:right w:val="none" w:sz="0" w:space="0" w:color="auto"/>
          </w:divBdr>
        </w:div>
      </w:divsChild>
    </w:div>
    <w:div w:id="1703556068">
      <w:bodyDiv w:val="1"/>
      <w:marLeft w:val="0"/>
      <w:marRight w:val="0"/>
      <w:marTop w:val="0"/>
      <w:marBottom w:val="0"/>
      <w:divBdr>
        <w:top w:val="none" w:sz="0" w:space="0" w:color="auto"/>
        <w:left w:val="none" w:sz="0" w:space="0" w:color="auto"/>
        <w:bottom w:val="none" w:sz="0" w:space="0" w:color="auto"/>
        <w:right w:val="none" w:sz="0" w:space="0" w:color="auto"/>
      </w:divBdr>
      <w:divsChild>
        <w:div w:id="388307973">
          <w:marLeft w:val="640"/>
          <w:marRight w:val="0"/>
          <w:marTop w:val="0"/>
          <w:marBottom w:val="0"/>
          <w:divBdr>
            <w:top w:val="none" w:sz="0" w:space="0" w:color="auto"/>
            <w:left w:val="none" w:sz="0" w:space="0" w:color="auto"/>
            <w:bottom w:val="none" w:sz="0" w:space="0" w:color="auto"/>
            <w:right w:val="none" w:sz="0" w:space="0" w:color="auto"/>
          </w:divBdr>
        </w:div>
        <w:div w:id="1101756438">
          <w:marLeft w:val="640"/>
          <w:marRight w:val="0"/>
          <w:marTop w:val="0"/>
          <w:marBottom w:val="0"/>
          <w:divBdr>
            <w:top w:val="none" w:sz="0" w:space="0" w:color="auto"/>
            <w:left w:val="none" w:sz="0" w:space="0" w:color="auto"/>
            <w:bottom w:val="none" w:sz="0" w:space="0" w:color="auto"/>
            <w:right w:val="none" w:sz="0" w:space="0" w:color="auto"/>
          </w:divBdr>
        </w:div>
        <w:div w:id="1174104693">
          <w:marLeft w:val="640"/>
          <w:marRight w:val="0"/>
          <w:marTop w:val="0"/>
          <w:marBottom w:val="0"/>
          <w:divBdr>
            <w:top w:val="none" w:sz="0" w:space="0" w:color="auto"/>
            <w:left w:val="none" w:sz="0" w:space="0" w:color="auto"/>
            <w:bottom w:val="none" w:sz="0" w:space="0" w:color="auto"/>
            <w:right w:val="none" w:sz="0" w:space="0" w:color="auto"/>
          </w:divBdr>
        </w:div>
      </w:divsChild>
    </w:div>
    <w:div w:id="1760516497">
      <w:bodyDiv w:val="1"/>
      <w:marLeft w:val="0"/>
      <w:marRight w:val="0"/>
      <w:marTop w:val="0"/>
      <w:marBottom w:val="0"/>
      <w:divBdr>
        <w:top w:val="none" w:sz="0" w:space="0" w:color="auto"/>
        <w:left w:val="none" w:sz="0" w:space="0" w:color="auto"/>
        <w:bottom w:val="none" w:sz="0" w:space="0" w:color="auto"/>
        <w:right w:val="none" w:sz="0" w:space="0" w:color="auto"/>
      </w:divBdr>
      <w:divsChild>
        <w:div w:id="393237650">
          <w:marLeft w:val="640"/>
          <w:marRight w:val="0"/>
          <w:marTop w:val="0"/>
          <w:marBottom w:val="0"/>
          <w:divBdr>
            <w:top w:val="none" w:sz="0" w:space="0" w:color="auto"/>
            <w:left w:val="none" w:sz="0" w:space="0" w:color="auto"/>
            <w:bottom w:val="none" w:sz="0" w:space="0" w:color="auto"/>
            <w:right w:val="none" w:sz="0" w:space="0" w:color="auto"/>
          </w:divBdr>
        </w:div>
        <w:div w:id="1735011267">
          <w:marLeft w:val="640"/>
          <w:marRight w:val="0"/>
          <w:marTop w:val="0"/>
          <w:marBottom w:val="0"/>
          <w:divBdr>
            <w:top w:val="none" w:sz="0" w:space="0" w:color="auto"/>
            <w:left w:val="none" w:sz="0" w:space="0" w:color="auto"/>
            <w:bottom w:val="none" w:sz="0" w:space="0" w:color="auto"/>
            <w:right w:val="none" w:sz="0" w:space="0" w:color="auto"/>
          </w:divBdr>
        </w:div>
        <w:div w:id="1480417302">
          <w:marLeft w:val="640"/>
          <w:marRight w:val="0"/>
          <w:marTop w:val="0"/>
          <w:marBottom w:val="0"/>
          <w:divBdr>
            <w:top w:val="none" w:sz="0" w:space="0" w:color="auto"/>
            <w:left w:val="none" w:sz="0" w:space="0" w:color="auto"/>
            <w:bottom w:val="none" w:sz="0" w:space="0" w:color="auto"/>
            <w:right w:val="none" w:sz="0" w:space="0" w:color="auto"/>
          </w:divBdr>
        </w:div>
      </w:divsChild>
    </w:div>
    <w:div w:id="1762333015">
      <w:bodyDiv w:val="1"/>
      <w:marLeft w:val="0"/>
      <w:marRight w:val="0"/>
      <w:marTop w:val="0"/>
      <w:marBottom w:val="0"/>
      <w:divBdr>
        <w:top w:val="none" w:sz="0" w:space="0" w:color="auto"/>
        <w:left w:val="none" w:sz="0" w:space="0" w:color="auto"/>
        <w:bottom w:val="none" w:sz="0" w:space="0" w:color="auto"/>
        <w:right w:val="none" w:sz="0" w:space="0" w:color="auto"/>
      </w:divBdr>
    </w:div>
    <w:div w:id="1789006737">
      <w:bodyDiv w:val="1"/>
      <w:marLeft w:val="0"/>
      <w:marRight w:val="0"/>
      <w:marTop w:val="0"/>
      <w:marBottom w:val="0"/>
      <w:divBdr>
        <w:top w:val="none" w:sz="0" w:space="0" w:color="auto"/>
        <w:left w:val="none" w:sz="0" w:space="0" w:color="auto"/>
        <w:bottom w:val="none" w:sz="0" w:space="0" w:color="auto"/>
        <w:right w:val="none" w:sz="0" w:space="0" w:color="auto"/>
      </w:divBdr>
      <w:divsChild>
        <w:div w:id="1314990101">
          <w:marLeft w:val="640"/>
          <w:marRight w:val="0"/>
          <w:marTop w:val="0"/>
          <w:marBottom w:val="0"/>
          <w:divBdr>
            <w:top w:val="none" w:sz="0" w:space="0" w:color="auto"/>
            <w:left w:val="none" w:sz="0" w:space="0" w:color="auto"/>
            <w:bottom w:val="none" w:sz="0" w:space="0" w:color="auto"/>
            <w:right w:val="none" w:sz="0" w:space="0" w:color="auto"/>
          </w:divBdr>
        </w:div>
        <w:div w:id="229577884">
          <w:marLeft w:val="640"/>
          <w:marRight w:val="0"/>
          <w:marTop w:val="0"/>
          <w:marBottom w:val="0"/>
          <w:divBdr>
            <w:top w:val="none" w:sz="0" w:space="0" w:color="auto"/>
            <w:left w:val="none" w:sz="0" w:space="0" w:color="auto"/>
            <w:bottom w:val="none" w:sz="0" w:space="0" w:color="auto"/>
            <w:right w:val="none" w:sz="0" w:space="0" w:color="auto"/>
          </w:divBdr>
        </w:div>
        <w:div w:id="1343434275">
          <w:marLeft w:val="640"/>
          <w:marRight w:val="0"/>
          <w:marTop w:val="0"/>
          <w:marBottom w:val="0"/>
          <w:divBdr>
            <w:top w:val="none" w:sz="0" w:space="0" w:color="auto"/>
            <w:left w:val="none" w:sz="0" w:space="0" w:color="auto"/>
            <w:bottom w:val="none" w:sz="0" w:space="0" w:color="auto"/>
            <w:right w:val="none" w:sz="0" w:space="0" w:color="auto"/>
          </w:divBdr>
        </w:div>
        <w:div w:id="757143978">
          <w:marLeft w:val="640"/>
          <w:marRight w:val="0"/>
          <w:marTop w:val="0"/>
          <w:marBottom w:val="0"/>
          <w:divBdr>
            <w:top w:val="none" w:sz="0" w:space="0" w:color="auto"/>
            <w:left w:val="none" w:sz="0" w:space="0" w:color="auto"/>
            <w:bottom w:val="none" w:sz="0" w:space="0" w:color="auto"/>
            <w:right w:val="none" w:sz="0" w:space="0" w:color="auto"/>
          </w:divBdr>
        </w:div>
      </w:divsChild>
    </w:div>
    <w:div w:id="1809205590">
      <w:bodyDiv w:val="1"/>
      <w:marLeft w:val="0"/>
      <w:marRight w:val="0"/>
      <w:marTop w:val="0"/>
      <w:marBottom w:val="0"/>
      <w:divBdr>
        <w:top w:val="none" w:sz="0" w:space="0" w:color="auto"/>
        <w:left w:val="none" w:sz="0" w:space="0" w:color="auto"/>
        <w:bottom w:val="none" w:sz="0" w:space="0" w:color="auto"/>
        <w:right w:val="none" w:sz="0" w:space="0" w:color="auto"/>
      </w:divBdr>
    </w:div>
    <w:div w:id="1836727003">
      <w:bodyDiv w:val="1"/>
      <w:marLeft w:val="0"/>
      <w:marRight w:val="0"/>
      <w:marTop w:val="0"/>
      <w:marBottom w:val="0"/>
      <w:divBdr>
        <w:top w:val="none" w:sz="0" w:space="0" w:color="auto"/>
        <w:left w:val="none" w:sz="0" w:space="0" w:color="auto"/>
        <w:bottom w:val="none" w:sz="0" w:space="0" w:color="auto"/>
        <w:right w:val="none" w:sz="0" w:space="0" w:color="auto"/>
      </w:divBdr>
      <w:divsChild>
        <w:div w:id="1458178933">
          <w:marLeft w:val="640"/>
          <w:marRight w:val="0"/>
          <w:marTop w:val="0"/>
          <w:marBottom w:val="0"/>
          <w:divBdr>
            <w:top w:val="none" w:sz="0" w:space="0" w:color="auto"/>
            <w:left w:val="none" w:sz="0" w:space="0" w:color="auto"/>
            <w:bottom w:val="none" w:sz="0" w:space="0" w:color="auto"/>
            <w:right w:val="none" w:sz="0" w:space="0" w:color="auto"/>
          </w:divBdr>
        </w:div>
        <w:div w:id="1736515530">
          <w:marLeft w:val="640"/>
          <w:marRight w:val="0"/>
          <w:marTop w:val="0"/>
          <w:marBottom w:val="0"/>
          <w:divBdr>
            <w:top w:val="none" w:sz="0" w:space="0" w:color="auto"/>
            <w:left w:val="none" w:sz="0" w:space="0" w:color="auto"/>
            <w:bottom w:val="none" w:sz="0" w:space="0" w:color="auto"/>
            <w:right w:val="none" w:sz="0" w:space="0" w:color="auto"/>
          </w:divBdr>
        </w:div>
        <w:div w:id="1291059528">
          <w:marLeft w:val="640"/>
          <w:marRight w:val="0"/>
          <w:marTop w:val="0"/>
          <w:marBottom w:val="0"/>
          <w:divBdr>
            <w:top w:val="none" w:sz="0" w:space="0" w:color="auto"/>
            <w:left w:val="none" w:sz="0" w:space="0" w:color="auto"/>
            <w:bottom w:val="none" w:sz="0" w:space="0" w:color="auto"/>
            <w:right w:val="none" w:sz="0" w:space="0" w:color="auto"/>
          </w:divBdr>
        </w:div>
      </w:divsChild>
    </w:div>
    <w:div w:id="1860510769">
      <w:bodyDiv w:val="1"/>
      <w:marLeft w:val="0"/>
      <w:marRight w:val="0"/>
      <w:marTop w:val="0"/>
      <w:marBottom w:val="0"/>
      <w:divBdr>
        <w:top w:val="none" w:sz="0" w:space="0" w:color="auto"/>
        <w:left w:val="none" w:sz="0" w:space="0" w:color="auto"/>
        <w:bottom w:val="none" w:sz="0" w:space="0" w:color="auto"/>
        <w:right w:val="none" w:sz="0" w:space="0" w:color="auto"/>
      </w:divBdr>
    </w:div>
    <w:div w:id="1866752988">
      <w:bodyDiv w:val="1"/>
      <w:marLeft w:val="0"/>
      <w:marRight w:val="0"/>
      <w:marTop w:val="0"/>
      <w:marBottom w:val="0"/>
      <w:divBdr>
        <w:top w:val="none" w:sz="0" w:space="0" w:color="auto"/>
        <w:left w:val="none" w:sz="0" w:space="0" w:color="auto"/>
        <w:bottom w:val="none" w:sz="0" w:space="0" w:color="auto"/>
        <w:right w:val="none" w:sz="0" w:space="0" w:color="auto"/>
      </w:divBdr>
      <w:divsChild>
        <w:div w:id="1780449177">
          <w:marLeft w:val="640"/>
          <w:marRight w:val="0"/>
          <w:marTop w:val="0"/>
          <w:marBottom w:val="0"/>
          <w:divBdr>
            <w:top w:val="none" w:sz="0" w:space="0" w:color="auto"/>
            <w:left w:val="none" w:sz="0" w:space="0" w:color="auto"/>
            <w:bottom w:val="none" w:sz="0" w:space="0" w:color="auto"/>
            <w:right w:val="none" w:sz="0" w:space="0" w:color="auto"/>
          </w:divBdr>
        </w:div>
        <w:div w:id="644237723">
          <w:marLeft w:val="640"/>
          <w:marRight w:val="0"/>
          <w:marTop w:val="0"/>
          <w:marBottom w:val="0"/>
          <w:divBdr>
            <w:top w:val="none" w:sz="0" w:space="0" w:color="auto"/>
            <w:left w:val="none" w:sz="0" w:space="0" w:color="auto"/>
            <w:bottom w:val="none" w:sz="0" w:space="0" w:color="auto"/>
            <w:right w:val="none" w:sz="0" w:space="0" w:color="auto"/>
          </w:divBdr>
        </w:div>
        <w:div w:id="471794811">
          <w:marLeft w:val="640"/>
          <w:marRight w:val="0"/>
          <w:marTop w:val="0"/>
          <w:marBottom w:val="0"/>
          <w:divBdr>
            <w:top w:val="none" w:sz="0" w:space="0" w:color="auto"/>
            <w:left w:val="none" w:sz="0" w:space="0" w:color="auto"/>
            <w:bottom w:val="none" w:sz="0" w:space="0" w:color="auto"/>
            <w:right w:val="none" w:sz="0" w:space="0" w:color="auto"/>
          </w:divBdr>
        </w:div>
        <w:div w:id="748574212">
          <w:marLeft w:val="640"/>
          <w:marRight w:val="0"/>
          <w:marTop w:val="0"/>
          <w:marBottom w:val="0"/>
          <w:divBdr>
            <w:top w:val="none" w:sz="0" w:space="0" w:color="auto"/>
            <w:left w:val="none" w:sz="0" w:space="0" w:color="auto"/>
            <w:bottom w:val="none" w:sz="0" w:space="0" w:color="auto"/>
            <w:right w:val="none" w:sz="0" w:space="0" w:color="auto"/>
          </w:divBdr>
        </w:div>
      </w:divsChild>
    </w:div>
    <w:div w:id="1867793832">
      <w:bodyDiv w:val="1"/>
      <w:marLeft w:val="0"/>
      <w:marRight w:val="0"/>
      <w:marTop w:val="0"/>
      <w:marBottom w:val="0"/>
      <w:divBdr>
        <w:top w:val="none" w:sz="0" w:space="0" w:color="auto"/>
        <w:left w:val="none" w:sz="0" w:space="0" w:color="auto"/>
        <w:bottom w:val="none" w:sz="0" w:space="0" w:color="auto"/>
        <w:right w:val="none" w:sz="0" w:space="0" w:color="auto"/>
      </w:divBdr>
      <w:divsChild>
        <w:div w:id="1578978256">
          <w:marLeft w:val="640"/>
          <w:marRight w:val="0"/>
          <w:marTop w:val="0"/>
          <w:marBottom w:val="0"/>
          <w:divBdr>
            <w:top w:val="none" w:sz="0" w:space="0" w:color="auto"/>
            <w:left w:val="none" w:sz="0" w:space="0" w:color="auto"/>
            <w:bottom w:val="none" w:sz="0" w:space="0" w:color="auto"/>
            <w:right w:val="none" w:sz="0" w:space="0" w:color="auto"/>
          </w:divBdr>
        </w:div>
        <w:div w:id="222496687">
          <w:marLeft w:val="640"/>
          <w:marRight w:val="0"/>
          <w:marTop w:val="0"/>
          <w:marBottom w:val="0"/>
          <w:divBdr>
            <w:top w:val="none" w:sz="0" w:space="0" w:color="auto"/>
            <w:left w:val="none" w:sz="0" w:space="0" w:color="auto"/>
            <w:bottom w:val="none" w:sz="0" w:space="0" w:color="auto"/>
            <w:right w:val="none" w:sz="0" w:space="0" w:color="auto"/>
          </w:divBdr>
        </w:div>
        <w:div w:id="1403678914">
          <w:marLeft w:val="640"/>
          <w:marRight w:val="0"/>
          <w:marTop w:val="0"/>
          <w:marBottom w:val="0"/>
          <w:divBdr>
            <w:top w:val="none" w:sz="0" w:space="0" w:color="auto"/>
            <w:left w:val="none" w:sz="0" w:space="0" w:color="auto"/>
            <w:bottom w:val="none" w:sz="0" w:space="0" w:color="auto"/>
            <w:right w:val="none" w:sz="0" w:space="0" w:color="auto"/>
          </w:divBdr>
        </w:div>
      </w:divsChild>
    </w:div>
    <w:div w:id="1872457067">
      <w:bodyDiv w:val="1"/>
      <w:marLeft w:val="0"/>
      <w:marRight w:val="0"/>
      <w:marTop w:val="0"/>
      <w:marBottom w:val="0"/>
      <w:divBdr>
        <w:top w:val="none" w:sz="0" w:space="0" w:color="auto"/>
        <w:left w:val="none" w:sz="0" w:space="0" w:color="auto"/>
        <w:bottom w:val="none" w:sz="0" w:space="0" w:color="auto"/>
        <w:right w:val="none" w:sz="0" w:space="0" w:color="auto"/>
      </w:divBdr>
      <w:divsChild>
        <w:div w:id="301927693">
          <w:marLeft w:val="640"/>
          <w:marRight w:val="0"/>
          <w:marTop w:val="0"/>
          <w:marBottom w:val="0"/>
          <w:divBdr>
            <w:top w:val="none" w:sz="0" w:space="0" w:color="auto"/>
            <w:left w:val="none" w:sz="0" w:space="0" w:color="auto"/>
            <w:bottom w:val="none" w:sz="0" w:space="0" w:color="auto"/>
            <w:right w:val="none" w:sz="0" w:space="0" w:color="auto"/>
          </w:divBdr>
        </w:div>
        <w:div w:id="2098477357">
          <w:marLeft w:val="640"/>
          <w:marRight w:val="0"/>
          <w:marTop w:val="0"/>
          <w:marBottom w:val="0"/>
          <w:divBdr>
            <w:top w:val="none" w:sz="0" w:space="0" w:color="auto"/>
            <w:left w:val="none" w:sz="0" w:space="0" w:color="auto"/>
            <w:bottom w:val="none" w:sz="0" w:space="0" w:color="auto"/>
            <w:right w:val="none" w:sz="0" w:space="0" w:color="auto"/>
          </w:divBdr>
        </w:div>
        <w:div w:id="764417779">
          <w:marLeft w:val="640"/>
          <w:marRight w:val="0"/>
          <w:marTop w:val="0"/>
          <w:marBottom w:val="0"/>
          <w:divBdr>
            <w:top w:val="none" w:sz="0" w:space="0" w:color="auto"/>
            <w:left w:val="none" w:sz="0" w:space="0" w:color="auto"/>
            <w:bottom w:val="none" w:sz="0" w:space="0" w:color="auto"/>
            <w:right w:val="none" w:sz="0" w:space="0" w:color="auto"/>
          </w:divBdr>
        </w:div>
        <w:div w:id="897519517">
          <w:marLeft w:val="640"/>
          <w:marRight w:val="0"/>
          <w:marTop w:val="0"/>
          <w:marBottom w:val="0"/>
          <w:divBdr>
            <w:top w:val="none" w:sz="0" w:space="0" w:color="auto"/>
            <w:left w:val="none" w:sz="0" w:space="0" w:color="auto"/>
            <w:bottom w:val="none" w:sz="0" w:space="0" w:color="auto"/>
            <w:right w:val="none" w:sz="0" w:space="0" w:color="auto"/>
          </w:divBdr>
        </w:div>
      </w:divsChild>
    </w:div>
    <w:div w:id="1944150559">
      <w:bodyDiv w:val="1"/>
      <w:marLeft w:val="0"/>
      <w:marRight w:val="0"/>
      <w:marTop w:val="0"/>
      <w:marBottom w:val="0"/>
      <w:divBdr>
        <w:top w:val="none" w:sz="0" w:space="0" w:color="auto"/>
        <w:left w:val="none" w:sz="0" w:space="0" w:color="auto"/>
        <w:bottom w:val="none" w:sz="0" w:space="0" w:color="auto"/>
        <w:right w:val="none" w:sz="0" w:space="0" w:color="auto"/>
      </w:divBdr>
      <w:divsChild>
        <w:div w:id="229847140">
          <w:marLeft w:val="640"/>
          <w:marRight w:val="0"/>
          <w:marTop w:val="0"/>
          <w:marBottom w:val="0"/>
          <w:divBdr>
            <w:top w:val="none" w:sz="0" w:space="0" w:color="auto"/>
            <w:left w:val="none" w:sz="0" w:space="0" w:color="auto"/>
            <w:bottom w:val="none" w:sz="0" w:space="0" w:color="auto"/>
            <w:right w:val="none" w:sz="0" w:space="0" w:color="auto"/>
          </w:divBdr>
        </w:div>
        <w:div w:id="1018895133">
          <w:marLeft w:val="640"/>
          <w:marRight w:val="0"/>
          <w:marTop w:val="0"/>
          <w:marBottom w:val="0"/>
          <w:divBdr>
            <w:top w:val="none" w:sz="0" w:space="0" w:color="auto"/>
            <w:left w:val="none" w:sz="0" w:space="0" w:color="auto"/>
            <w:bottom w:val="none" w:sz="0" w:space="0" w:color="auto"/>
            <w:right w:val="none" w:sz="0" w:space="0" w:color="auto"/>
          </w:divBdr>
        </w:div>
        <w:div w:id="742407355">
          <w:marLeft w:val="640"/>
          <w:marRight w:val="0"/>
          <w:marTop w:val="0"/>
          <w:marBottom w:val="0"/>
          <w:divBdr>
            <w:top w:val="none" w:sz="0" w:space="0" w:color="auto"/>
            <w:left w:val="none" w:sz="0" w:space="0" w:color="auto"/>
            <w:bottom w:val="none" w:sz="0" w:space="0" w:color="auto"/>
            <w:right w:val="none" w:sz="0" w:space="0" w:color="auto"/>
          </w:divBdr>
        </w:div>
        <w:div w:id="1562640419">
          <w:marLeft w:val="640"/>
          <w:marRight w:val="0"/>
          <w:marTop w:val="0"/>
          <w:marBottom w:val="0"/>
          <w:divBdr>
            <w:top w:val="none" w:sz="0" w:space="0" w:color="auto"/>
            <w:left w:val="none" w:sz="0" w:space="0" w:color="auto"/>
            <w:bottom w:val="none" w:sz="0" w:space="0" w:color="auto"/>
            <w:right w:val="none" w:sz="0" w:space="0" w:color="auto"/>
          </w:divBdr>
        </w:div>
      </w:divsChild>
    </w:div>
    <w:div w:id="2002537165">
      <w:bodyDiv w:val="1"/>
      <w:marLeft w:val="0"/>
      <w:marRight w:val="0"/>
      <w:marTop w:val="0"/>
      <w:marBottom w:val="0"/>
      <w:divBdr>
        <w:top w:val="none" w:sz="0" w:space="0" w:color="auto"/>
        <w:left w:val="none" w:sz="0" w:space="0" w:color="auto"/>
        <w:bottom w:val="none" w:sz="0" w:space="0" w:color="auto"/>
        <w:right w:val="none" w:sz="0" w:space="0" w:color="auto"/>
      </w:divBdr>
      <w:divsChild>
        <w:div w:id="1091044536">
          <w:marLeft w:val="640"/>
          <w:marRight w:val="0"/>
          <w:marTop w:val="0"/>
          <w:marBottom w:val="0"/>
          <w:divBdr>
            <w:top w:val="none" w:sz="0" w:space="0" w:color="auto"/>
            <w:left w:val="none" w:sz="0" w:space="0" w:color="auto"/>
            <w:bottom w:val="none" w:sz="0" w:space="0" w:color="auto"/>
            <w:right w:val="none" w:sz="0" w:space="0" w:color="auto"/>
          </w:divBdr>
        </w:div>
        <w:div w:id="926380933">
          <w:marLeft w:val="640"/>
          <w:marRight w:val="0"/>
          <w:marTop w:val="0"/>
          <w:marBottom w:val="0"/>
          <w:divBdr>
            <w:top w:val="none" w:sz="0" w:space="0" w:color="auto"/>
            <w:left w:val="none" w:sz="0" w:space="0" w:color="auto"/>
            <w:bottom w:val="none" w:sz="0" w:space="0" w:color="auto"/>
            <w:right w:val="none" w:sz="0" w:space="0" w:color="auto"/>
          </w:divBdr>
        </w:div>
        <w:div w:id="423112154">
          <w:marLeft w:val="640"/>
          <w:marRight w:val="0"/>
          <w:marTop w:val="0"/>
          <w:marBottom w:val="0"/>
          <w:divBdr>
            <w:top w:val="none" w:sz="0" w:space="0" w:color="auto"/>
            <w:left w:val="none" w:sz="0" w:space="0" w:color="auto"/>
            <w:bottom w:val="none" w:sz="0" w:space="0" w:color="auto"/>
            <w:right w:val="none" w:sz="0" w:space="0" w:color="auto"/>
          </w:divBdr>
        </w:div>
      </w:divsChild>
    </w:div>
    <w:div w:id="2026705579">
      <w:bodyDiv w:val="1"/>
      <w:marLeft w:val="0"/>
      <w:marRight w:val="0"/>
      <w:marTop w:val="0"/>
      <w:marBottom w:val="0"/>
      <w:divBdr>
        <w:top w:val="none" w:sz="0" w:space="0" w:color="auto"/>
        <w:left w:val="none" w:sz="0" w:space="0" w:color="auto"/>
        <w:bottom w:val="none" w:sz="0" w:space="0" w:color="auto"/>
        <w:right w:val="none" w:sz="0" w:space="0" w:color="auto"/>
      </w:divBdr>
      <w:divsChild>
        <w:div w:id="1078752539">
          <w:marLeft w:val="640"/>
          <w:marRight w:val="0"/>
          <w:marTop w:val="0"/>
          <w:marBottom w:val="0"/>
          <w:divBdr>
            <w:top w:val="none" w:sz="0" w:space="0" w:color="auto"/>
            <w:left w:val="none" w:sz="0" w:space="0" w:color="auto"/>
            <w:bottom w:val="none" w:sz="0" w:space="0" w:color="auto"/>
            <w:right w:val="none" w:sz="0" w:space="0" w:color="auto"/>
          </w:divBdr>
        </w:div>
        <w:div w:id="1411804440">
          <w:marLeft w:val="640"/>
          <w:marRight w:val="0"/>
          <w:marTop w:val="0"/>
          <w:marBottom w:val="0"/>
          <w:divBdr>
            <w:top w:val="none" w:sz="0" w:space="0" w:color="auto"/>
            <w:left w:val="none" w:sz="0" w:space="0" w:color="auto"/>
            <w:bottom w:val="none" w:sz="0" w:space="0" w:color="auto"/>
            <w:right w:val="none" w:sz="0" w:space="0" w:color="auto"/>
          </w:divBdr>
        </w:div>
        <w:div w:id="788670799">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eming\AppData\Roaming\Microsoft\Templates\Datenblatt-Design%20(le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lgemein"/>
          <w:gallery w:val="placeholder"/>
        </w:category>
        <w:types>
          <w:type w:val="bbPlcHdr"/>
        </w:types>
        <w:behaviors>
          <w:behavior w:val="content"/>
        </w:behaviors>
        <w:guid w:val="{19095005-4483-459A-A041-BBDA93BB4DD0}"/>
      </w:docPartPr>
      <w:docPartBody>
        <w:p w:rsidR="00663D05" w:rsidRDefault="00663D05">
          <w:r w:rsidRPr="00696CCC">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TKaiti">
    <w:charset w:val="86"/>
    <w:family w:val="auto"/>
    <w:pitch w:val="variable"/>
    <w:sig w:usb0="00000287" w:usb1="080F0000" w:usb2="00000010" w:usb3="00000000" w:csb0="000400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IDFont+F1">
    <w:altName w:val="Yu Gothic"/>
    <w:panose1 w:val="00000000000000000000"/>
    <w:charset w:val="80"/>
    <w:family w:val="auto"/>
    <w:notTrueType/>
    <w:pitch w:val="default"/>
    <w:sig w:usb0="00000001" w:usb1="08070000" w:usb2="00000010" w:usb3="00000000" w:csb0="00020000" w:csb1="00000000"/>
  </w:font>
  <w:font w:name="CIDFont+F2">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D05"/>
    <w:rsid w:val="000B3636"/>
    <w:rsid w:val="003375D7"/>
    <w:rsid w:val="003A1A22"/>
    <w:rsid w:val="004E2508"/>
    <w:rsid w:val="005828DE"/>
    <w:rsid w:val="00663D05"/>
    <w:rsid w:val="006B5F5C"/>
    <w:rsid w:val="006F5F90"/>
    <w:rsid w:val="008E08BA"/>
    <w:rsid w:val="00A06B00"/>
    <w:rsid w:val="00B27657"/>
    <w:rsid w:val="00D07405"/>
    <w:rsid w:val="00DB2D65"/>
    <w:rsid w:val="00FB1B7F"/>
    <w:rsid w:val="00FE130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E08BA"/>
    <w:rPr>
      <w:color w:val="595959" w:themeColor="text1" w:themeTint="A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4"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FEEB7C8-70B6-457D-8A9E-F19A7BAA8E46}">
  <we:reference id="f78a3046-9e99-4300-aa2b-5814002b01a2" version="1.55.1.0" store="EXCatalog" storeType="EXCatalog"/>
  <we:alternateReferences>
    <we:reference id="WA104382081" version="1.55.1.0" store="de-DE" storeType="OMEX"/>
  </we:alternateReferences>
  <we:properties>
    <we:property name="MENDELEY_CITATIONS" value="[{&quot;citationID&quot;:&quot;MENDELEY_CITATION_68fb2b8a-7564-4aca-9f61-1f651672729c&quot;,&quot;properties&quot;:{&quot;noteIndex&quot;:0},&quot;isEdited&quot;:false,&quot;manualOverride&quot;:{&quot;isManuallyOverridden&quot;:false,&quot;citeprocText&quot;:&quot;[1]&quot;,&quot;manualOverrideText&quot;:&quot;&quot;},&quot;citationTag&quot;:&quot;MENDELEY_CITATION_v3_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&quot;,&quot;citationItems&quot;:[{&quot;id&quot;:&quot;48bbaa1b-b9d6-391d-8f98-eaf077aa7194&quot;,&quot;itemData&quot;:{&quot;type&quot;:&quot;article-journal&quot;,&quot;id&quot;:&quot;48bbaa1b-b9d6-391d-8f98-eaf077aa7194&quot;,&quot;title&quot;:&quot;On the hydrogen storage properties and life cycle evaluation of a room temperature hydride for scale-up applications: The case of an AB2-alloy&quot;,&quot;groupId&quot;:&quot;87898256-67d8-3681-84ab-2b2d5d5c3fd8&quot;,&quot;author&quot;:[{&quot;family&quot;:&quot;Puszkiel&quot;,&quot;given&quot;:&quot;J. A.&quot;,&quot;parse-names&quot;:false,&quot;dropping-particle&quot;:&quot;&quot;,&quot;non-dropping-particle&quot;:&quot;&quot;},{&quot;family&quot;:&quot;Neves&quot;,&quot;given&quot;:&quot;A. M.&quot;,&quot;parse-names&quot;:false,&quot;dropping-particle&quot;:&quot;&quot;,&quot;non-dropping-particle&quot;:&quot;&quot;},{&quot;family&quot;:&quot;Warfsmann&quot;,&quot;given&quot;:&quot;J.&quot;,&quot;parse-names&quot;:false,&quot;dropping-particle&quot;:&quot;&quot;,&quot;non-dropping-particle&quot;:&quot;&quot;},{&quot;family&quot;:&quot;Krause&quot;,&quot;given&quot;:&quot;P. S.&quot;,&quot;parse-names&quot;:false,&quot;dropping-particle&quot;:&quot;&quot;,&quot;non-dropping-particle&quot;:&quot;&quot;},{&quot;family&quot;:&quot;Kaufmann&quot;,&quot;given&quot;:&quot;T. F. J.&quot;,&quot;parse-names&quot;:false,&quot;dropping-particle&quot;:&quot;&quot;,&quot;non-dropping-particle&quot;:&quot;&quot;},{&quot;family&quot;:&quot;Robelo Hoberg&quot;,&quot;given&quot;:&quot;A.&quot;,&quot;parse-names&quot;:false,&quot;dropping-particle&quot;:&quot;&quot;,&quot;non-dropping-particle&quot;:&quot;&quot;},{&quot;family&quot;:&quot;Hegen&quot;,&quot;given&quot;:&quot;O.&quot;,&quot;parse-names&quot;:false,&quot;dropping-particle&quot;:&quot;&quot;,&quot;non-dropping-particle&quot;:&quot;&quot;},{&quot;family&quot;:&quot;Kötter&quot;,&quot;given&quot;:&quot;A.&quot;,&quot;parse-names&quot;:false,&quot;dropping-particle&quot;:&quot;&quot;,&quot;non-dropping-particle&quot;:&quot;&quot;},{&quot;family&quot;:&quot;Klassen&quot;,&quot;given&quot;:&quot;T.&quot;,&quot;parse-names&quot;:false,&quot;dropping-particle&quot;:&quot;&quot;,&quot;non-dropping-particle&quot;:&quot;&quot;},{&quot;family&quot;:&quot;Jepsen&quot;,&quot;given&quot;:&quot;J.&quot;,&quot;parse-names&quot;:false,&quot;dropping-particle&quot;:&quot;&quot;,&quot;non-dropping-particle&quot;:&quot;&quot;}],&quot;container-title&quot;:&quot;International Journal of Hydrogen Energy&quot;,&quot;container-title-short&quot;:&quot;Int J Hydrogen Energy&quot;,&quot;accessed&quot;:{&quot;date-parts&quot;:[[2025,3,28]]},&quot;DOI&quot;:&quot;10.1016/J.IJHYDENE.2025.03.161&quot;,&quot;ISSN&quot;:&quot;0360-3199&quot;,&quot;issued&quot;:{&quot;date-parts&quot;:[[2025,5,10]]},&quot;page&quot;:&quot;482-499&quot;,&quot;abstract&quot;:&quot;In this work, 1.25 t of AB2-commercially available hydride-forming alloy is taken as a case study for material selection for large-scale systems. Systematic experimental characterizations, modeling, and life cycle-cost assessment at this industrial scale are performed. Based on the thermodynamic characterization, the equilibrium pressure is calculated by applying the most used Nishizaki and novel 3D representation with 2D-bilinear interpolation approaches, giving accurate values. The kinetic model is comprehensively and successfully developed in a wide range of temperatures and pressures by applying the separable variable method. Life cycle assessment shows that the CO2 emissions of these kinds of systems can be minimized by increasing the share of recycled material and by using waste heat sources for dehydrogenation. The economic analysis clarifies the influence of the components on the economic viability of large hydride-based systems for emergency power supply. Finally, guidelines are proposed for the development of hydride-based integrated renewable energy systems.&quot;,&quot;publisher&quot;:&quot;Pergamon&quot;,&quot;issue&quot;:&quot;March&quot;,&quot;volume&quot;:&quot;118&quot;},&quot;isTemporary&quot;:false,&quot;suppress-author&quot;:false,&quot;composite&quot;:false,&quot;author-only&quot;:false}]},{&quot;citationID&quot;:&quot;MENDELEY_CITATION_01c31bc1-da39-4636-b60f-27041b6f81c3&quot;,&quot;properties&quot;:{&quot;noteIndex&quot;:0},&quot;isEdited&quot;:false,&quot;manualOverride&quot;:{&quot;isManuallyOverridden&quot;:false,&quot;citeprocText&quot;:&quot;[2]&quot;,&quot;manualOverrideText&quot;:&quot;&quot;},&quot;citationTag&quot;:&quot;MENDELEY_CITATION_v3_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&quot;,&quot;citationItems&quot;:[{&quot;id&quot;:&quot;024eb8aa-f28e-3205-875c-2d3ffd0e93a2&quot;,&quot;itemData&quot;:{&quot;type&quot;:&quot;article-journal&quot;,&quot;id&quot;:&quot;024eb8aa-f28e-3205-875c-2d3ffd0e93a2&quot;,&quot;title&quot;:&quot;A Review on Global Sensitivity Analysis Methods&quot;,&quot;author&quot;:[{&quot;family&quot;:&quot;Iooss&quot;,&quot;given&quot;:&quot;Bertrand&quot;,&quot;parse-names&quot;:false,&quot;dropping-particle&quot;:&quot;&quot;,&quot;non-dropping-particle&quot;:&quot;&quot;},{&quot;family&quot;:&quot;Lemaître&quot;,&quot;given&quot;:&quot;Paul&quot;,&quot;parse-names&quot;:false,&quot;dropping-particle&quot;:&quot;&quot;,&quot;non-dropping-particle&quot;:&quot;&quot;}],&quot;container-title&quot;:&quot;Operations Research/ Computer Science Interfaces Series&quot;,&quot;accessed&quot;:{&quot;date-parts&quot;:[[2025,4,25]]},&quot;DOI&quot;:&quot;10.1007/978-1-4899-7547-8_5&quot;,&quot;ISBN&quot;:&quot;978-1-4899-7547-8&quot;,&quot;ISSN&quot;:&quot;1387666X&quot;,&quot;URL&quot;:&quot;https://link.springer.com/chapter/10.1007/978-1-4899-7547-8_5&quot;,&quot;issued&quot;:{&quot;date-parts&quot;:[[2015]]},&quot;page&quot;:&quot;101-122&quot;,&quot;abstract&quot;:&quot;This chapter makes a review, in a complete methodological framework, of various global sensitivity analysis methods of model output. Numerous statistical and probabilistic tools (regression, smoothing, tests, statistical learning, Monte Carlo, …) aim at...&quot;,&quot;publisher&quot;:&quot;Springer, Boston, MA&quot;,&quot;volume&quot;:&quot;59&quot;,&quot;container-title-short&quot;:&quot;&quot;},&quot;isTemporary&quot;:false,&quot;suppress-author&quot;:false,&quot;composite&quot;:false,&quot;author-only&quot;:false}]},{&quot;citationID&quot;:&quot;MENDELEY_CITATION_462c52b2-bc21-44f9-af9a-03514eba8309&quot;,&quot;properties&quot;:{&quot;noteIndex&quot;:0},&quot;isEdited&quot;:false,&quot;manualOverride&quot;:{&quot;isManuallyOverridden&quot;:false,&quot;citeprocText&quot;:&quot;[3]&quot;,&quot;manualOverrideText&quot;:&quot;&quot;},&quot;citationTag&quot;:&quot;MENDELEY_CITATION_v3_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&quot;,&quot;citationItems&quot;:[{&quot;id&quot;:&quot;53b85eec-a921-35bb-9c9f-dba60a313a1c&quot;,&quot;itemData&quot;:{&quot;type&quot;:&quot;book&quot;,&quot;id&quot;:&quot;53b85eec-a921-35bb-9c9f-dba60a313a1c&quot;,&quot;title&quot;:&quot;Handbook of uncertainty quantification&quot;,&quot;container-title&quot;:&quot;Handbook of Uncertainty Quantification&quot;,&quot;accessed&quot;:{&quot;date-parts&quot;:[[2025,4,25]]},&quot;editor&quot;:[{&quot;family&quot;:&quot;Ghanem&quot;,&quot;given&quot;:&quot;Roger&quot;,&quot;parse-names&quot;:false,&quot;dropping-particle&quot;:&quot;&quot;,&quot;non-dropping-particle&quot;:&quot;&quot;},{&quot;family&quot;:&quot;Higdon&quot;,&quot;given&quot;:&quot;David&quot;,&quot;parse-names&quot;:false,&quot;dropping-particle&quot;:&quot;&quot;,&quot;non-dropping-particle&quot;:&quot;&quot;},{&quot;family&quot;:&quot;Owhadi&quot;,&quot;given&quot;:&quot;Houman&quot;,&quot;parse-names&quot;:false,&quot;dropping-particle&quot;:&quot;&quot;,&quot;non-dropping-particle&quot;:&quot;&quot;}],&quot;DOI&quot;:&quot;10.1007/978-3-319-12385-1&quot;,&quot;ISBN&quot;:&quot;9783319123851&quot;,&quot;URL&quot;:&quot;https://www.springerprofessional.de/en/handbook-of-uncertainty-quantification/12448976&quot;,&quot;issued&quot;:{&quot;date-parts&quot;:[[2017,6,16]]},&quot;number-of-pages&quot;:&quot;1-2053&quot;,&quot;abstract&quot;:&quot;The topic of Uncertainty Quantification (UQ) has witnessed massive developments in response to the promise of achieving risk mitigation through scientific prediction. It has led to the integration of ideas from mathematics, statistics and engineering being used to lend credence to predictive assessments of risk but also to design actions (by engineers, scientists and investors) that are consistent with risk aversion. The objective of this Handbook is to facilitate the dissemination of the forefront of UQ ideas to their audiences. We recognize that these audiences are varied, with interests ranging from theory to application, and from research to development and even execution.&quot;,&quot;publisher&quot;:&quot;Springer International Publishing&quot;,&quot;container-title-short&quot;:&quot;&quot;},&quot;isTemporary&quot;:false,&quot;suppress-author&quot;:false,&quot;composite&quot;:false,&quot;author-only&quot;:false}]},{&quot;citationID&quot;:&quot;MENDELEY_CITATION_1f43426d-ef33-4e9c-b599-9769bee4dfb5&quot;,&quot;properties&quot;:{&quot;noteIndex&quot;:0},&quot;isEdited&quot;:false,&quot;manualOverride&quot;:{&quot;isManuallyOverridden&quot;:false,&quot;citeprocText&quot;:&quot;[4]&quot;,&quot;manualOverrideText&quot;:&quot;&quot;},&quot;citationTag&quot;:&quot;MENDELEY_CITATION_v3_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&quot;,&quot;citationItems&quot;:[{&quot;id&quot;:&quot;9b9ef594-309b-349a-80fd-f6b5b6e374ef&quot;,&quot;itemData&quot;:{&quot;type&quot;:&quot;article-journal&quot;,&quot;id&quot;:&quot;9b9ef594-309b-349a-80fd-f6b5b6e374ef&quot;,&quot;title&quot;:&quot;Factorial Sampling Plans for Preliminary Computational Experiments&quot;,&quot;author&quot;:[{&quot;family&quot;:&quot;Morris&quot;,&quot;given&quot;:&quot;Max D.&quot;,&quot;parse-names&quot;:false,&quot;dropping-particle&quot;:&quot;&quot;,&quot;non-dropping-particle&quot;:&quot;&quot;}],&quot;container-title&quot;:&quot;Technometrics&quot;,&quot;accessed&quot;:{&quot;date-parts&quot;:[[2025,4,25]]},&quot;DOI&quot;:&quot;10.2307/1269043&quot;,&quot;ISSN&quot;:&quot;00401706&quot;,&quot;issued&quot;:{&quot;date-parts&quot;:[[1991,5]]},&quot;page&quot;:&quot;161&quot;,&quot;abstract&quot;:&quot;A computational model is a representation of some physical or other system of interest, first expressed mathematically and then implemented in the form of a computer program; it may be viewed as a function of inputs that, when evaluated, produces outputs. Motivation for this article comes from computational models that are deterministic, complicated enough to make classical mathematical analysis impractical and that have a moderate-to-large number of inputs. The problem of designing computational experiments to determine which inputs have important effects on an output is considered. The proposed experimental plans are composed of individually randomized one-factor-at-a-time designs, and data analysis is based on the resulting random sample of observed elementary effects, those changes in an output due solely to changes in a particular input. Advantages of this approach include a lack of reliance on assumptions of relative sparsity of important inputs, monotonicity of outputs with respect to inputs, or adequacy of a low-order polynomial as an approximation to the computational model.&quot;,&quot;publisher&quot;:&quot;JSTOR&quot;,&quot;issue&quot;:&quot;2&quot;,&quot;volume&quot;:&quot;33&quot;,&quot;container-title-short&quot;:&quot;&quot;},&quot;isTemporary&quot;:false,&quot;suppress-author&quot;:false,&quot;composite&quot;:false,&quot;author-only&quot;:false}]},{&quot;citationID&quot;:&quot;MENDELEY_CITATION_e3cb1175-cf6c-44c7-be4b-5dc605413d63&quot;,&quot;properties&quot;:{&quot;noteIndex&quot;:0},&quot;isEdited&quot;:false,&quot;manualOverride&quot;:{&quot;isManuallyOverridden&quot;:false,&quot;citeprocText&quot;:&quot;[5]&quot;,&quot;manualOverrideText&quot;:&quot;&quot;},&quot;citationTag&quot;:&quot;MENDELEY_CITATION_v3_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&quot;,&quot;citationItems&quot;:[{&quot;id&quot;:&quot;fcbdc61b-6387-3dec-ab9a-47583df614d8&quot;,&quot;itemData&quot;:{&quot;type&quot;:&quot;article-journal&quot;,&quot;id&quot;:&quot;fcbdc61b-6387-3dec-ab9a-47583df614d8&quot;,&quot;title&quot;:&quot;Hydrogen storage systems based on hydride-graphite composites: Computer simulation and experimental validation&quot;,&quot;author&quot;:[{&quot;family&quot;:&quot;Herbrig&quot;,&quot;given&quot;:&quot;Kai&quot;,&quot;parse-names&quot;:false,&quot;dropping-particle&quot;:&quot;&quot;,&quot;non-dropping-particle&quot;:&quot;&quot;},{&quot;family&quot;:&quot;Röntzsch&quot;,&quot;given&quot;:&quot;Lars&quot;,&quot;parse-names&quot;:false,&quot;dropping-particle&quot;:&quot;&quot;,&quot;non-dropping-particle&quot;:&quot;&quot;},{&quot;family&quot;:&quot;Pohlmann&quot;,&quot;given&quot;:&quot;Carsten&quot;,&quot;parse-names&quot;:false,&quot;dropping-particle&quot;:&quot;&quot;,&quot;non-dropping-particle&quot;:&quot;&quot;},{&quot;family&quot;:&quot;Weißgärber&quot;,&quot;given&quot;:&quot;Thomas&quot;,&quot;parse-names&quot;:false,&quot;dropping-particle&quot;:&quot;&quot;,&quot;non-dropping-particle&quot;:&quot;&quot;},{&quot;family&quot;:&quot;Kieback&quot;,&quot;given&quot;:&quot;Bernd&quot;,&quot;parse-names&quot;:false,&quot;dropping-particle&quot;:&quot;&quot;,&quot;non-dropping-particle&quot;:&quot;&quot;}],&quot;container-title&quot;:&quot;International Journal of Hydrogen Energy&quot;,&quot;container-title-short&quot;:&quot;Int J Hydrogen Energy&quot;,&quot;DOI&quot;:&quot;10.1016/j.ijhydene.2013.03.104&quot;,&quot;ISSN&quot;:&quot;03603199&quot;,&quot;issued&quot;:{&quot;date-parts&quot;:[[2013,6,10]]},&quot;page&quot;:&quot;7026-7036&quot;,&quot;abstract&quot;:&quot;The design of hydride-based hydrogen storage systems is non-trivial because numerous physical, chemical and engineering principles have to be considered. In particular, gas and heat transport properties of the hydride bed are crucial for a high-dynamic tank operation. Since most hydrides show low intrinsic heat conductivities, auxiliary materials or structures inside the reaction zone are beneficial. For that purpose, hydride-graphite composites with strong anisotropic thermal conductivities have been developed recently. Here, a comprehensive numerical model to simulate the dynamics of hydrogen storage tanks based on pelletized hydride-graphite composites is presented. Among other common characteristics it includes anisotropic thermal conduction properties, convective heat transport as well as local shrinkage and swelling effects in the hydride bed. For experimental validation, a room temperature AB 2-type hydrogen storage alloy was used in form of alloy-graphite pellets whose specific materials parameters were experimentally obtained and implemented into the computer simulation. In view of the thermodynamic properties of the AB2-type alloy, a novel mathematical formalism was developed to describe realistic pressure-composition isotherms. The comparison of experimental and simulation results reveals a good agreement. Thus, the validated model allows predictive studies on tank design and operation scenarios. © 2013, Hydrogen Energy Publications, LLC. Published by Elsevier Ltd. All rights.&quot;,&quot;issue&quot;:&quot;17&quot;,&quot;volume&quot;:&quot;38&quot;},&quot;isTemporary&quot;:false,&quot;suppress-author&quot;:false,&quot;composite&quot;:false,&quot;author-only&quot;:false}]},{&quot;citationID&quot;:&quot;MENDELEY_CITATION_3b7980be-1f90-42df-9626-050efdad7705&quot;,&quot;properties&quot;:{&quot;noteIndex&quot;:0},&quot;isEdited&quot;:false,&quot;manualOverride&quot;:{&quot;isManuallyOverridden&quot;:false,&quot;citeprocText&quot;:&quot;[5,6]&quot;,&quot;manualOverrideText&quot;:&quot;&quot;},&quot;citationTag&quot;:&quot;MENDELEY_CITATION_v3_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&quot;,&quot;citationItems&quot;:[{&quot;id&quot;:&quot;c1b60967-84f4-368a-910e-66be98cf4bfc&quot;,&quot;itemData&quot;:{&quot;type&quot;:&quot;thesis&quot;,&quot;id&quot;:&quot;c1b60967-84f4-368a-910e-66be98cf4bfc&quot;,&quot;title&quot;:&quot;Development of a thermal and hydraulic coupled hydrogen storage system based on metal hydrides for automotive application&quot;,&quot;groupId&quot;:&quot;87898256-67d8-3681-84ab-2b2d5d5c3fd8&quot;,&quot;author&quot;:[{&quot;family&quot;:&quot;Passing&quot;,&quot;given&quot;:&quot;Maximilian&quot;,&quot;parse-names&quot;:false,&quot;dropping-particle&quot;:&quot;&quot;,&quot;non-dropping-particle&quot;:&quot;&quot;}],&quot;issued&quot;:{&quot;date-parts&quot;:[[2024]]},&quot;publisher-place&quot;:&quot;Hamburg&quot;,&quot;number-of-pages&quot;:&quot;1-240&quot;,&quot;genre&quot;:&quot;Doctoral Thesis&quot;,&quot;publisher&quot;:&quot;Helmut-Schmidt-Universität / Universität der Bundeswehr Hamburg&quot;},&quot;isTemporary&quot;:false,&quot;suppress-author&quot;:false,&quot;composite&quot;:false,&quot;author-only&quot;:false},{&quot;id&quot;:&quot;fcbdc61b-6387-3dec-ab9a-47583df614d8&quot;,&quot;itemData&quot;:{&quot;type&quot;:&quot;article-journal&quot;,&quot;id&quot;:&quot;fcbdc61b-6387-3dec-ab9a-47583df614d8&quot;,&quot;title&quot;:&quot;Hydrogen storage systems based on hydride-graphite composites: Computer simulation and experimental validation&quot;,&quot;author&quot;:[{&quot;family&quot;:&quot;Herbrig&quot;,&quot;given&quot;:&quot;Kai&quot;,&quot;parse-names&quot;:false,&quot;dropping-particle&quot;:&quot;&quot;,&quot;non-dropping-particle&quot;:&quot;&quot;},{&quot;family&quot;:&quot;Röntzsch&quot;,&quot;given&quot;:&quot;Lars&quot;,&quot;parse-names&quot;:false,&quot;dropping-particle&quot;:&quot;&quot;,&quot;non-dropping-particle&quot;:&quot;&quot;},{&quot;family&quot;:&quot;Pohlmann&quot;,&quot;given&quot;:&quot;Carsten&quot;,&quot;parse-names&quot;:false,&quot;dropping-particle&quot;:&quot;&quot;,&quot;non-dropping-particle&quot;:&quot;&quot;},{&quot;family&quot;:&quot;Weißgärber&quot;,&quot;given&quot;:&quot;Thomas&quot;,&quot;parse-names&quot;:false,&quot;dropping-particle&quot;:&quot;&quot;,&quot;non-dropping-particle&quot;:&quot;&quot;},{&quot;family&quot;:&quot;Kieback&quot;,&quot;given&quot;:&quot;Bernd&quot;,&quot;parse-names&quot;:false,&quot;dropping-particle&quot;:&quot;&quot;,&quot;non-dropping-particle&quot;:&quot;&quot;}],&quot;container-title&quot;:&quot;International Journal of Hydrogen Energy&quot;,&quot;container-title-short&quot;:&quot;Int J Hydrogen Energy&quot;,&quot;DOI&quot;:&quot;10.1016/j.ijhydene.2013.03.104&quot;,&quot;ISSN&quot;:&quot;03603199&quot;,&quot;issued&quot;:{&quot;date-parts&quot;:[[2013,6,10]]},&quot;page&quot;:&quot;7026-7036&quot;,&quot;abstract&quot;:&quot;The design of hydride-based hydrogen storage systems is non-trivial because numerous physical, chemical and engineering principles have to be considered. In particular, gas and heat transport properties of the hydride bed are crucial for a high-dynamic tank operation. Since most hydrides show low intrinsic heat conductivities, auxiliary materials or structures inside the reaction zone are beneficial. For that purpose, hydride-graphite composites with strong anisotropic thermal conductivities have been developed recently. Here, a comprehensive numerical model to simulate the dynamics of hydrogen storage tanks based on pelletized hydride-graphite composites is presented. Among other common characteristics it includes anisotropic thermal conduction properties, convective heat transport as well as local shrinkage and swelling effects in the hydride bed. For experimental validation, a room temperature AB 2-type hydrogen storage alloy was used in form of alloy-graphite pellets whose specific materials parameters were experimentally obtained and implemented into the computer simulation. In view of the thermodynamic properties of the AB2-type alloy, a novel mathematical formalism was developed to describe realistic pressure-composition isotherms. The comparison of experimental and simulation results reveals a good agreement. Thus, the validated model allows predictive studies on tank design and operation scenarios. © 2013, Hydrogen Energy Publications, LLC. Published by Elsevier Ltd. All rights.&quot;,&quot;issue&quot;:&quot;17&quot;,&quot;volume&quot;:&quot;38&quot;},&quot;isTemporary&quot;:false}]}]"/>
    <we:property name="MENDELEY_CITATIONS_LOCALE_CODE" value="&quot;en-US&quot;"/>
    <we:property name="MENDELEY_CITATIONS_STYLE" value="{&quot;id&quot;:&quot;https://www.zotero.org/styles/elsevier-vancouver&quot;,&quot;title&quot;:&quot;Elsevier - Vancouver&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5B59EB-250B-41EA-88BA-521C65DE6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Datenblatt-Design (leer).dotx</Template>
  <TotalTime>0</TotalTime>
  <Pages>17</Pages>
  <Words>2965</Words>
  <Characters>18685</Characters>
  <Application>Microsoft Office Word</Application>
  <DocSecurity>0</DocSecurity>
  <Lines>155</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Fleming, Lukas</dc:creator>
  <cp:keywords/>
  <dc:description/>
  <cp:lastModifiedBy>Fleming,Lukas</cp:lastModifiedBy>
  <cp:revision>3</cp:revision>
  <dcterms:created xsi:type="dcterms:W3CDTF">2025-05-13T11:14:00Z</dcterms:created>
  <dcterms:modified xsi:type="dcterms:W3CDTF">2025-05-14T14:13:00Z</dcterms:modified>
</cp:coreProperties>
</file>