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929CD" w14:textId="77777777" w:rsidR="009C644C" w:rsidRPr="00743B72" w:rsidRDefault="009C644C" w:rsidP="009C644C">
      <w:pPr>
        <w:ind w:left="567" w:hanging="567"/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1 </w:t>
      </w:r>
    </w:p>
    <w:p w14:paraId="0EA54C88" w14:textId="77777777" w:rsidR="009C644C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7675B394" w14:textId="77777777" w:rsidR="009C644C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1C771B1F" w14:textId="77777777" w:rsidR="009C644C" w:rsidRDefault="009C644C" w:rsidP="009C644C">
      <w:pPr>
        <w:ind w:left="567" w:hanging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4F7E14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2"/>
          <w:szCs w:val="22"/>
          <w:lang w:val="en-GB"/>
        </w:rPr>
        <w:drawing>
          <wp:inline distT="0" distB="0" distL="0" distR="0" wp14:anchorId="4DC4EF34" wp14:editId="171983DF">
            <wp:extent cx="4201047" cy="5729545"/>
            <wp:effectExtent l="0" t="0" r="3175" b="0"/>
            <wp:docPr id="17684878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4878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5494" cy="5735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82C89" w14:textId="77777777" w:rsidR="009C644C" w:rsidRDefault="009C644C" w:rsidP="009C644C">
      <w:pPr>
        <w:ind w:left="567" w:hanging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71B1470D" w14:textId="77777777" w:rsidR="009C644C" w:rsidRPr="00743B72" w:rsidRDefault="009C644C" w:rsidP="009C644C">
      <w:pPr>
        <w:ind w:left="567" w:hanging="567"/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1 </w:t>
      </w:r>
    </w:p>
    <w:p w14:paraId="38FFC246" w14:textId="77777777" w:rsidR="009C644C" w:rsidRPr="00743B72" w:rsidRDefault="009C644C" w:rsidP="009C644C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P-wave velocity model from </w:t>
      </w:r>
      <w:r w:rsidRPr="00743B72"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  <w:t>seismic refraction</w:t>
      </w: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survey.</w:t>
      </w:r>
    </w:p>
    <w:p w14:paraId="46CCB758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Bathymetric map of the study area. The solid red line is the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seismic refraction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survey line and the orange circles represent the OBSs.  </w:t>
      </w: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b,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P-wave velocity model along the survey line determined using first-arrival tomography. The contour interval is 0.5 km/s and is annotated every 1.0 km/s. Area deeper than the ray path coverage were masked.  </w:t>
      </w: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c,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All ray paths used in first-arrival tomography.  </w:t>
      </w: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Travel time misfit (difference between observed and synthetic travel times) for each pick data from OBSs in the final first-arrival tomography model. The vertical axis represents the OBS number and the horizontal axis represents the distance along the survey line. </w:t>
      </w:r>
    </w:p>
    <w:p w14:paraId="36A2827C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br w:type="page"/>
      </w:r>
    </w:p>
    <w:p w14:paraId="1374AEE2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lastRenderedPageBreak/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2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</w:p>
    <w:p w14:paraId="7E65D3CA" w14:textId="77777777" w:rsidR="009C644C" w:rsidRPr="00743B72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37AD55C" w14:textId="77777777" w:rsidR="009C644C" w:rsidRDefault="009C644C" w:rsidP="009C644C">
      <w:pPr>
        <w:ind w:left="567" w:hanging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8F29CD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2"/>
          <w:szCs w:val="22"/>
          <w:lang w:val="en-GB"/>
        </w:rPr>
        <w:drawing>
          <wp:inline distT="0" distB="0" distL="0" distR="0" wp14:anchorId="48E4BDA8" wp14:editId="0A4C9FFD">
            <wp:extent cx="3232376" cy="4682490"/>
            <wp:effectExtent l="0" t="0" r="6350" b="3810"/>
            <wp:docPr id="52067480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6748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73691" cy="47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7F055" w14:textId="77777777" w:rsidR="009C644C" w:rsidRPr="00743B72" w:rsidRDefault="009C644C" w:rsidP="009C644C">
      <w:pPr>
        <w:ind w:left="567" w:hanging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5AABB269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2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</w:p>
    <w:p w14:paraId="07E85591" w14:textId="77777777" w:rsidR="009C644C" w:rsidRPr="00374347" w:rsidRDefault="009C644C" w:rsidP="009C644C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374347">
        <w:rPr>
          <w:rFonts w:ascii="Times New Roman" w:hAnsi="Times New Roman" w:cs="Times New Roman"/>
          <w:b/>
          <w:bCs/>
          <w:sz w:val="22"/>
          <w:szCs w:val="22"/>
        </w:rPr>
        <w:t>Chequerboard</w:t>
      </w:r>
      <w:r w:rsidRPr="00374347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resolution test (CRT). </w:t>
      </w:r>
    </w:p>
    <w:p w14:paraId="772752F8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The horizontal axis represents the distance along the survey line from the westernmost shot point, and the vertical axis represents the depth. The upper figure shows the synthetic chequerboard patterns (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±5% velocity perturbation pattern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given to the final model of the first-arrival tomography and the lower figure shows the recovery of the chequerboard patterns after the CRT. The pattern sizes were as follows: </w:t>
      </w:r>
      <w:r w:rsidRPr="00743B72"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  <w:t>a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15 km (horizontal) and 4 km (vertical), </w:t>
      </w:r>
      <w:r w:rsidRPr="00743B72"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  <w:t>b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,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7.5 km (horizontal) and 2.5 km (vertical). The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green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solid line shows the area of the magma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reservoir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identified in this study and the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green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dashed line shows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the melt zone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The positions of the outer caldera and the two ends of the central lava dome are indicated by red and yellow-green inverted triangles, respectively.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</w:p>
    <w:p w14:paraId="3AA6F63F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br w:type="page"/>
      </w:r>
    </w:p>
    <w:p w14:paraId="324195FF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lastRenderedPageBreak/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3 </w:t>
      </w:r>
    </w:p>
    <w:p w14:paraId="19241994" w14:textId="77777777" w:rsidR="009C644C" w:rsidRPr="00743B72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8F5F040" w14:textId="77777777" w:rsidR="009C644C" w:rsidRDefault="009C644C" w:rsidP="009C644C">
      <w:pPr>
        <w:ind w:left="567" w:hanging="567"/>
        <w:jc w:val="center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</w:pPr>
      <w:r w:rsidRPr="00DF1090">
        <w:rPr>
          <w:rFonts w:ascii="Times New Roman" w:eastAsia="Times New Roman" w:hAnsi="Times New Roman" w:cs="Times New Roman"/>
          <w:noProof/>
          <w:color w:val="000000" w:themeColor="text1"/>
          <w:sz w:val="22"/>
          <w:szCs w:val="22"/>
          <w:lang w:val="en-GB"/>
        </w:rPr>
        <w:drawing>
          <wp:inline distT="0" distB="0" distL="0" distR="0" wp14:anchorId="38A26B1A" wp14:editId="49F39525">
            <wp:extent cx="3218400" cy="4832009"/>
            <wp:effectExtent l="0" t="0" r="0" b="0"/>
            <wp:docPr id="11166343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63438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0641" cy="4850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E848B" w14:textId="77777777" w:rsidR="009C644C" w:rsidRDefault="009C644C" w:rsidP="009C644C">
      <w:pPr>
        <w:ind w:left="567" w:hanging="567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7DFF924C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3 </w:t>
      </w:r>
    </w:p>
    <w:p w14:paraId="509C6A97" w14:textId="77777777" w:rsidR="009C644C" w:rsidRPr="00731EE3" w:rsidRDefault="009C644C" w:rsidP="009C644C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731EE3">
        <w:rPr>
          <w:rFonts w:ascii="Times New Roman" w:hAnsi="Times New Roman" w:cs="Times New Roman"/>
          <w:b/>
          <w:bCs/>
          <w:sz w:val="22"/>
          <w:szCs w:val="22"/>
        </w:rPr>
        <w:t>Monte Carlo type uncertainty analysis.</w:t>
      </w:r>
    </w:p>
    <w:p w14:paraId="1BB1FBCC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604810">
        <w:rPr>
          <w:rFonts w:ascii="Times New Roman" w:hAnsi="Times New Roman" w:cs="Times New Roman"/>
          <w:sz w:val="22"/>
          <w:szCs w:val="22"/>
        </w:rPr>
        <w:t xml:space="preserve">This analysis was performed to evaluate how the tomographic 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Vp</w:t>
      </w:r>
      <w:r w:rsidRPr="00604810">
        <w:rPr>
          <w:rFonts w:ascii="Times New Roman" w:hAnsi="Times New Roman" w:cs="Times New Roman"/>
          <w:sz w:val="22"/>
          <w:szCs w:val="22"/>
        </w:rPr>
        <w:t xml:space="preserve"> model depends on the initial models. The following procedure was used. First, 500 starting models were randomly generated. Second, each starting model was used for first-arrival tomography to obtain the final 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Vp</w:t>
      </w:r>
      <w:r w:rsidRPr="00604810">
        <w:rPr>
          <w:rFonts w:ascii="Times New Roman" w:hAnsi="Times New Roman" w:cs="Times New Roman"/>
          <w:sz w:val="22"/>
          <w:szCs w:val="22"/>
        </w:rPr>
        <w:t xml:space="preserve"> model. Then, the average and standard deviation of the 500 final 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Vp</w:t>
      </w:r>
      <w:r w:rsidRPr="00604810">
        <w:rPr>
          <w:rFonts w:ascii="Times New Roman" w:hAnsi="Times New Roman" w:cs="Times New Roman"/>
          <w:sz w:val="22"/>
          <w:szCs w:val="22"/>
        </w:rPr>
        <w:t xml:space="preserve"> models were calculated.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713E1F">
        <w:rPr>
          <w:rFonts w:ascii="Times New Roman" w:hAnsi="Times New Roman" w:cs="Times New Roman"/>
          <w:b/>
          <w:bCs/>
          <w:sz w:val="22"/>
          <w:szCs w:val="22"/>
        </w:rPr>
        <w:t xml:space="preserve">a, </w:t>
      </w:r>
      <w:r w:rsidRPr="00731EE3">
        <w:rPr>
          <w:rFonts w:ascii="Times New Roman" w:hAnsi="Times New Roman" w:cs="Times New Roman"/>
          <w:sz w:val="22"/>
          <w:szCs w:val="22"/>
        </w:rPr>
        <w:t>Average of 500 starting Vp models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731EE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13E1F">
        <w:rPr>
          <w:rFonts w:ascii="Times New Roman" w:hAnsi="Times New Roman" w:cs="Times New Roman"/>
          <w:b/>
          <w:bCs/>
          <w:sz w:val="22"/>
          <w:szCs w:val="22"/>
        </w:rPr>
        <w:t>b,</w:t>
      </w:r>
      <w:r w:rsidRPr="00731EE3">
        <w:rPr>
          <w:rFonts w:ascii="Times New Roman" w:hAnsi="Times New Roman" w:cs="Times New Roman"/>
          <w:sz w:val="22"/>
          <w:szCs w:val="22"/>
        </w:rPr>
        <w:t xml:space="preserve"> Standard deviation of the 500 starting Vp models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731EE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13E1F">
        <w:rPr>
          <w:rFonts w:ascii="Times New Roman" w:hAnsi="Times New Roman" w:cs="Times New Roman"/>
          <w:b/>
          <w:bCs/>
          <w:sz w:val="22"/>
          <w:szCs w:val="22"/>
        </w:rPr>
        <w:t>c,</w:t>
      </w:r>
      <w:r w:rsidRPr="00731EE3">
        <w:rPr>
          <w:rFonts w:ascii="Times New Roman" w:hAnsi="Times New Roman" w:cs="Times New Roman"/>
          <w:sz w:val="22"/>
          <w:szCs w:val="22"/>
        </w:rPr>
        <w:t xml:space="preserve"> Average of </w:t>
      </w:r>
      <w:r>
        <w:rPr>
          <w:rFonts w:ascii="Times New Roman" w:hAnsi="Times New Roman" w:cs="Times New Roman"/>
          <w:sz w:val="22"/>
          <w:szCs w:val="22"/>
        </w:rPr>
        <w:t xml:space="preserve">the </w:t>
      </w:r>
      <w:r w:rsidRPr="00731EE3">
        <w:rPr>
          <w:rFonts w:ascii="Times New Roman" w:hAnsi="Times New Roman" w:cs="Times New Roman"/>
          <w:sz w:val="22"/>
          <w:szCs w:val="22"/>
        </w:rPr>
        <w:t xml:space="preserve">500 final Vp models, </w:t>
      </w:r>
      <w:r>
        <w:rPr>
          <w:rFonts w:ascii="Times New Roman" w:hAnsi="Times New Roman" w:cs="Times New Roman"/>
          <w:sz w:val="22"/>
          <w:szCs w:val="22"/>
        </w:rPr>
        <w:t xml:space="preserve">which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shows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the same characteristics, such as a low Vp below the caldera, as the final Vp model of Fig. 1b.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</w:t>
      </w:r>
      <w:r w:rsidRPr="00713E1F">
        <w:rPr>
          <w:rFonts w:ascii="Times New Roman" w:hAnsi="Times New Roman" w:cs="Times New Roman"/>
          <w:b/>
          <w:bCs/>
          <w:sz w:val="22"/>
          <w:szCs w:val="22"/>
        </w:rPr>
        <w:t>d,</w:t>
      </w:r>
      <w:r w:rsidRPr="00731EE3">
        <w:rPr>
          <w:rFonts w:ascii="Times New Roman" w:hAnsi="Times New Roman" w:cs="Times New Roman"/>
          <w:sz w:val="22"/>
          <w:szCs w:val="22"/>
        </w:rPr>
        <w:t xml:space="preserve"> Standard deviation of the 500 final Vp models.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The contour interval is 0.1 km/s and the contour line of 0.3 km/s is highlighted as a thick line. The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green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solid line shows the area of the magma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reservoir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identified in this study and the 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green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dashed line shows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the melt zone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The positions of the outer caldera and the two ends of the central lava dome are indicated by red and yellow-green inverted triangles, respectively.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</w:p>
    <w:p w14:paraId="16158BE4" w14:textId="77777777" w:rsidR="009C644C" w:rsidRPr="00906DF6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br w:type="page"/>
      </w:r>
    </w:p>
    <w:p w14:paraId="53A467F1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lastRenderedPageBreak/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4 </w:t>
      </w:r>
    </w:p>
    <w:p w14:paraId="653478A4" w14:textId="77777777" w:rsidR="009C644C" w:rsidRDefault="009C644C" w:rsidP="009C644C">
      <w:pPr>
        <w:rPr>
          <w:rFonts w:ascii="Times New Roman" w:hAnsi="Times New Roman" w:cs="Times New Roman"/>
          <w:sz w:val="22"/>
          <w:szCs w:val="22"/>
        </w:rPr>
      </w:pPr>
    </w:p>
    <w:p w14:paraId="29052198" w14:textId="77777777" w:rsidR="009C644C" w:rsidRDefault="009C644C" w:rsidP="009C644C">
      <w:pPr>
        <w:rPr>
          <w:rFonts w:ascii="Times New Roman" w:hAnsi="Times New Roman" w:cs="Times New Roman"/>
          <w:sz w:val="22"/>
          <w:szCs w:val="22"/>
        </w:rPr>
      </w:pPr>
    </w:p>
    <w:p w14:paraId="44E67AEB" w14:textId="77777777" w:rsidR="009C644C" w:rsidRPr="00FC3D15" w:rsidRDefault="009C644C" w:rsidP="009C644C">
      <w:pPr>
        <w:rPr>
          <w:rFonts w:ascii="Times New Roman" w:hAnsi="Times New Roman" w:cs="Times New Roman"/>
          <w:sz w:val="22"/>
          <w:szCs w:val="22"/>
        </w:rPr>
      </w:pPr>
    </w:p>
    <w:p w14:paraId="590653C6" w14:textId="77777777" w:rsidR="009C644C" w:rsidRDefault="009C644C" w:rsidP="009C644C">
      <w:pPr>
        <w:jc w:val="center"/>
        <w:rPr>
          <w:rFonts w:ascii="Times New Roman" w:hAnsi="Times New Roman" w:cs="Times New Roman"/>
          <w:sz w:val="22"/>
          <w:szCs w:val="22"/>
        </w:rPr>
      </w:pPr>
      <w:r w:rsidRPr="004F7E14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20AD77F9" wp14:editId="39E04288">
            <wp:extent cx="3189600" cy="2689738"/>
            <wp:effectExtent l="0" t="0" r="0" b="3175"/>
            <wp:docPr id="43339706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39706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4539" cy="275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8BAEE" w14:textId="77777777" w:rsidR="009C644C" w:rsidRDefault="009C644C" w:rsidP="009C644C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9B81ACC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  <w:r w:rsidRPr="00743B7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Fig. 4 </w:t>
      </w:r>
    </w:p>
    <w:p w14:paraId="36E8D1E3" w14:textId="77777777" w:rsidR="009C644C" w:rsidRPr="00743B72" w:rsidRDefault="009C644C" w:rsidP="009C644C">
      <w:pPr>
        <w:widowControl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Normalised P-wave velocity (Vp/Vp</w:t>
      </w:r>
      <w:r w:rsidRPr="007202DE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bscript"/>
          <w:lang w:val="en-GB"/>
        </w:rPr>
        <w:t>0</w:t>
      </w:r>
      <w:r w:rsidRPr="00743B7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) and melt volume fraction for different aspect ratios. </w:t>
      </w:r>
    </w:p>
    <w:p w14:paraId="1CC8B9C6" w14:textId="77777777" w:rsidR="009C644C" w:rsidRDefault="009C644C" w:rsidP="009C644C">
      <w:pPr>
        <w:widowControl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This plot represents for a composite of rhyolite and its melt is based on the formula derived by Takei (2002). Bulk and shear moduli and density are taken to be K = 39.8 GPa, G = 30.2 GPa, ρ= 2371 kg/m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3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for rhyolite</w:t>
      </w:r>
      <w:r w:rsidRPr="0026289E">
        <w:rPr>
          <w:rFonts w:ascii="Times New Roman" w:eastAsia="MS Mincho" w:hAnsi="Times New Roman" w:cs="Times New Roman"/>
          <w:color w:val="000000" w:themeColor="text1"/>
          <w:sz w:val="22"/>
          <w:szCs w:val="22"/>
          <w:vertAlign w:val="superscript"/>
          <w:lang w:val="en-GB"/>
        </w:rPr>
        <w:t xml:space="preserve"> </w:t>
      </w:r>
      <w:r w:rsidRPr="004A38A9">
        <w:rPr>
          <w:rFonts w:ascii="Times New Roman" w:eastAsia="MS Mincho" w:hAnsi="Times New Roman" w:cs="Times New Roman"/>
          <w:color w:val="00B0F0"/>
          <w:sz w:val="22"/>
          <w:szCs w:val="22"/>
          <w:vertAlign w:val="superscript"/>
          <w:lang w:val="en-GB"/>
        </w:rPr>
        <w:t>2</w:t>
      </w:r>
      <w:r>
        <w:rPr>
          <w:rFonts w:ascii="Times New Roman" w:eastAsia="MS Mincho" w:hAnsi="Times New Roman" w:cs="Times New Roman"/>
          <w:color w:val="00B0F0"/>
          <w:sz w:val="22"/>
          <w:szCs w:val="22"/>
          <w:vertAlign w:val="superscript"/>
          <w:lang w:val="en-GB"/>
        </w:rPr>
        <w:t>3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and 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k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  <w:lang w:val="en-GB"/>
        </w:rPr>
        <w:t>f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= 13 GPa, 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g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  <w:lang w:val="en-GB"/>
        </w:rPr>
        <w:t>f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= 0 GPa, 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GB"/>
        </w:rPr>
        <w:t>ρ</w:t>
      </w:r>
      <w:r w:rsidRPr="00743B7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vertAlign w:val="subscript"/>
          <w:lang w:val="en-GB"/>
        </w:rPr>
        <w:t>f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= 2290 kg/m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>3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for rhyolite melt</w:t>
      </w:r>
      <w:r w:rsidRPr="009B415D">
        <w:rPr>
          <w:rFonts w:ascii="Times New Roman" w:eastAsia="MS Mincho" w:hAnsi="Times New Roman" w:cs="Times New Roman"/>
          <w:color w:val="000000" w:themeColor="text1"/>
          <w:sz w:val="22"/>
          <w:szCs w:val="22"/>
          <w:vertAlign w:val="superscript"/>
          <w:lang w:val="en-GB"/>
        </w:rPr>
        <w:t xml:space="preserve"> </w:t>
      </w:r>
      <w:r w:rsidRPr="004A38A9">
        <w:rPr>
          <w:rFonts w:ascii="Times New Roman" w:eastAsia="MS Mincho" w:hAnsi="Times New Roman" w:cs="Times New Roman"/>
          <w:color w:val="00B0F0"/>
          <w:sz w:val="22"/>
          <w:szCs w:val="22"/>
          <w:vertAlign w:val="superscript"/>
          <w:lang w:val="en-GB"/>
        </w:rPr>
        <w:t>2</w:t>
      </w:r>
      <w:r>
        <w:rPr>
          <w:rFonts w:ascii="Times New Roman" w:eastAsia="MS Mincho" w:hAnsi="Times New Roman" w:cs="Times New Roman"/>
          <w:color w:val="00B0F0"/>
          <w:sz w:val="22"/>
          <w:szCs w:val="22"/>
          <w:vertAlign w:val="superscript"/>
          <w:lang w:val="en-GB"/>
        </w:rPr>
        <w:t>4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. This plot allows us to estimate the melt fraction from the velocity reduction rate at a melt aspect ratio of 0.09 (red line), for example the melt fractions corresponding to 6% and 13% velocity reduction were estimated to be 3% </w:t>
      </w:r>
      <w:r w:rsidRPr="00FB181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(light green dashed lines with arrows) and 7% (dark green dashed lines with arrows)</w:t>
      </w:r>
      <w:r w:rsidRPr="00743B72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respectively.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</w:t>
      </w:r>
    </w:p>
    <w:p w14:paraId="5B8B9F45" w14:textId="77777777" w:rsidR="009C644C" w:rsidRDefault="009C644C" w:rsidP="009C644C">
      <w:pP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br w:type="page"/>
      </w:r>
    </w:p>
    <w:p w14:paraId="1669F8B4" w14:textId="77777777" w:rsidR="009C644C" w:rsidRDefault="009C644C" w:rsidP="009C644C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lastRenderedPageBreak/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Table 1</w:t>
      </w:r>
    </w:p>
    <w:p w14:paraId="7A76D4AC" w14:textId="77777777" w:rsidR="009C644C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3BC9CF08" w14:textId="77777777" w:rsidR="009C644C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48184C2F" w14:textId="77777777" w:rsidR="009C644C" w:rsidRPr="00743B72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672F7E97" w14:textId="77777777" w:rsidR="009C644C" w:rsidRDefault="009C644C" w:rsidP="009C644C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Extended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D</w:t>
      </w:r>
      <w:r w:rsidRPr="00D42A41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ata</w:t>
      </w:r>
      <w:r w:rsidRPr="007F68F1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Table 1</w:t>
      </w:r>
    </w:p>
    <w:p w14:paraId="241846B1" w14:textId="77777777" w:rsidR="009C644C" w:rsidRPr="00743B72" w:rsidRDefault="009C644C" w:rsidP="009C644C">
      <w:pPr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6E3566"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  <w:t>Parameters for temperature estimation</w:t>
      </w:r>
      <w:r w:rsidRPr="00743B72">
        <w:rPr>
          <w:rFonts w:ascii="Times New Roman" w:eastAsia="MS Mincho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. </w:t>
      </w:r>
    </w:p>
    <w:p w14:paraId="525CB3FD" w14:textId="77777777" w:rsidR="009C644C" w:rsidRPr="00F71653" w:rsidRDefault="009C644C" w:rsidP="009C644C">
      <w:pPr>
        <w:rPr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3402"/>
      </w:tblGrid>
      <w:tr w:rsidR="009C644C" w:rsidRPr="00F71653" w14:paraId="62437A4F" w14:textId="77777777" w:rsidTr="00FD415E">
        <w:tc>
          <w:tcPr>
            <w:tcW w:w="2122" w:type="dxa"/>
          </w:tcPr>
          <w:p w14:paraId="4971D9E2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kern w:val="24"/>
                        <w:lang w:val="en-GB"/>
                      </w:rPr>
                    </m:ctrlPr>
                  </m:sSubPr>
                  <m:e>
                    <m:d>
                      <m:dPr>
                        <m:begChr m:val=""/>
                        <m:endChr m:val="|"/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  <w:kern w:val="24"/>
                            <w:lang w:val="en-GB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24"/>
                                <w:lang w:val="en-GB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color w:val="000000" w:themeColor="text1"/>
                                <w:kern w:val="24"/>
                                <w:lang w:val="en-GB"/>
                              </w:rPr>
                              <m:t>d</m:t>
                            </m:r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color w:val="000000" w:themeColor="text1"/>
                                    <w:kern w:val="24"/>
                                    <w:lang w:val="en-GB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  <w:lang w:val="en-GB"/>
                                  </w:rPr>
                                  <m:t>l</m:t>
                                </m:r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  <w:lang w:val="en-GB"/>
                                  </w:rPr>
                                  <m:t>n</m:t>
                                </m:r>
                              </m:fName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lang w:val="en-GB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  <w:lang w:val="en-GB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  <w:lang w:val="en-GB"/>
                                      </w:rPr>
                                      <m:t>p</m:t>
                                    </m:r>
                                  </m:sub>
                                </m:sSub>
                              </m:e>
                            </m:func>
                          </m:num>
                          <m:den>
                            <m:r>
                              <w:rPr>
                                <w:rFonts w:ascii="Cambria Math" w:hAnsi="Cambria Math"/>
                                <w:color w:val="000000" w:themeColor="text1"/>
                                <w:kern w:val="24"/>
                                <w:lang w:val="en-GB"/>
                              </w:rPr>
                              <m:t>dT</m:t>
                            </m:r>
                          </m:den>
                        </m:f>
                      </m:e>
                    </m:d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anharmonic</m:t>
                    </m:r>
                  </m:sub>
                </m:sSub>
              </m:oMath>
            </m:oMathPara>
          </w:p>
        </w:tc>
        <w:tc>
          <w:tcPr>
            <w:tcW w:w="3118" w:type="dxa"/>
          </w:tcPr>
          <w:p w14:paraId="2FC09F4D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F71653">
              <w:rPr>
                <w:lang w:val="en-GB"/>
              </w:rPr>
              <w:t>-8.1</w:t>
            </w:r>
            <m:oMath>
              <m:r>
                <w:rPr>
                  <w:rFonts w:ascii="Cambria Math" w:hAnsi="Cambria Math"/>
                  <w:lang w:val="en-GB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-5</m:t>
                  </m:r>
                </m:sup>
              </m:sSup>
              <m:r>
                <w:rPr>
                  <w:rFonts w:ascii="Cambria Math" w:hAnsi="Cambria Math"/>
                  <w:color w:val="000000" w:themeColor="text1"/>
                  <w:lang w:val="en-GB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-1</m:t>
                  </m:r>
                </m:sup>
              </m:sSup>
            </m:oMath>
          </w:p>
        </w:tc>
        <w:tc>
          <w:tcPr>
            <w:tcW w:w="3402" w:type="dxa"/>
          </w:tcPr>
          <w:p w14:paraId="0BAC0B8B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107BB3">
              <w:rPr>
                <w:lang w:val="en-GB"/>
              </w:rPr>
              <w:t>Temperature derivative of P-wave velocity</w:t>
            </w:r>
          </w:p>
        </w:tc>
      </w:tr>
      <w:tr w:rsidR="009C644C" w:rsidRPr="00F71653" w14:paraId="5835819F" w14:textId="77777777" w:rsidTr="00FD415E">
        <w:tc>
          <w:tcPr>
            <w:tcW w:w="2122" w:type="dxa"/>
          </w:tcPr>
          <w:p w14:paraId="51B805FC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kern w:val="24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Q</m:t>
                    </m:r>
                  </m:sub>
                  <m:sup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*</m:t>
                    </m:r>
                  </m:sup>
                </m:sSubSup>
              </m:oMath>
            </m:oMathPara>
          </w:p>
        </w:tc>
        <w:tc>
          <w:tcPr>
            <w:tcW w:w="3118" w:type="dxa"/>
          </w:tcPr>
          <w:p w14:paraId="1BCA73DC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F71653">
              <w:rPr>
                <w:lang w:val="en-GB"/>
              </w:rPr>
              <w:t>276</w:t>
            </w:r>
          </w:p>
        </w:tc>
        <w:tc>
          <w:tcPr>
            <w:tcW w:w="3402" w:type="dxa"/>
          </w:tcPr>
          <w:p w14:paraId="40CB7432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107BB3">
              <w:rPr>
                <w:lang w:val="en-GB"/>
              </w:rPr>
              <w:t>ctivation energy</w:t>
            </w:r>
          </w:p>
        </w:tc>
      </w:tr>
      <w:tr w:rsidR="009C644C" w:rsidRPr="00F71653" w14:paraId="32A20B44" w14:textId="77777777" w:rsidTr="00FD415E">
        <w:tc>
          <w:tcPr>
            <w:tcW w:w="2122" w:type="dxa"/>
          </w:tcPr>
          <w:p w14:paraId="17BA9A57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m:oMathPara>
              <m:oMath>
                <m:r>
                  <w:rPr>
                    <w:rFonts w:ascii="Cambria Math" w:eastAsia="Cambria Math" w:hAnsi="Cambria Math"/>
                    <w:color w:val="000000" w:themeColor="text1"/>
                    <w:kern w:val="24"/>
                    <w:lang w:val="en-GB"/>
                  </w:rPr>
                  <m:t>R</m:t>
                </m:r>
              </m:oMath>
            </m:oMathPara>
          </w:p>
        </w:tc>
        <w:tc>
          <w:tcPr>
            <w:tcW w:w="3118" w:type="dxa"/>
          </w:tcPr>
          <w:p w14:paraId="6CBFAC75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F71653">
              <w:rPr>
                <w:lang w:val="en-GB"/>
              </w:rPr>
              <w:t>8.31</w:t>
            </w:r>
          </w:p>
        </w:tc>
        <w:tc>
          <w:tcPr>
            <w:tcW w:w="3402" w:type="dxa"/>
          </w:tcPr>
          <w:p w14:paraId="1047EED5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</w:t>
            </w:r>
            <w:r w:rsidRPr="00107BB3">
              <w:rPr>
                <w:lang w:val="en-GB"/>
              </w:rPr>
              <w:t>as constant</w:t>
            </w:r>
          </w:p>
        </w:tc>
      </w:tr>
      <w:tr w:rsidR="009C644C" w:rsidRPr="00F71653" w14:paraId="6D7FC342" w14:textId="77777777" w:rsidTr="00FD415E">
        <w:tc>
          <w:tcPr>
            <w:tcW w:w="2122" w:type="dxa"/>
          </w:tcPr>
          <w:p w14:paraId="0D96F7CA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m:oMathPara>
              <m:oMath>
                <m:r>
                  <w:rPr>
                    <w:rFonts w:ascii="Cambria Math" w:eastAsia="Cambria Math" w:hAnsi="Cambria Math"/>
                    <w:color w:val="000000" w:themeColor="text1"/>
                    <w:kern w:val="24"/>
                    <w:lang w:val="en-GB"/>
                  </w:rPr>
                  <m:t>Q</m:t>
                </m:r>
              </m:oMath>
            </m:oMathPara>
          </w:p>
        </w:tc>
        <w:tc>
          <w:tcPr>
            <w:tcW w:w="3118" w:type="dxa"/>
          </w:tcPr>
          <w:p w14:paraId="73ACA9D1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F71653">
              <w:rPr>
                <w:lang w:val="en-GB"/>
              </w:rPr>
              <w:t>100</w:t>
            </w:r>
          </w:p>
        </w:tc>
        <w:tc>
          <w:tcPr>
            <w:tcW w:w="3402" w:type="dxa"/>
          </w:tcPr>
          <w:p w14:paraId="41FBA1EC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107BB3">
              <w:rPr>
                <w:lang w:val="en-GB"/>
              </w:rPr>
              <w:t>ttenuation coefficient</w:t>
            </w:r>
          </w:p>
        </w:tc>
      </w:tr>
      <w:tr w:rsidR="009C644C" w:rsidRPr="00F71653" w14:paraId="7ACF97D0" w14:textId="77777777" w:rsidTr="00FD415E">
        <w:trPr>
          <w:trHeight w:val="595"/>
        </w:trPr>
        <w:tc>
          <w:tcPr>
            <w:tcW w:w="2122" w:type="dxa"/>
          </w:tcPr>
          <w:p w14:paraId="5972A3BA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  <w:kern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dT</m:t>
                    </m: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kern w:val="24"/>
                        <w:lang w:val="en-GB"/>
                      </w:rPr>
                      <m:t>dz</m:t>
                    </m:r>
                  </m:den>
                </m:f>
              </m:oMath>
            </m:oMathPara>
          </w:p>
        </w:tc>
        <w:tc>
          <w:tcPr>
            <w:tcW w:w="3118" w:type="dxa"/>
          </w:tcPr>
          <w:p w14:paraId="1DFFEE04" w14:textId="77777777" w:rsidR="009C644C" w:rsidRPr="00F71653" w:rsidRDefault="009C644C" w:rsidP="00FD415E">
            <w:pPr>
              <w:jc w:val="center"/>
              <w:rPr>
                <w:lang w:val="en-GB"/>
              </w:rPr>
            </w:pPr>
            <w:r w:rsidRPr="00F71653">
              <w:rPr>
                <w:color w:val="000000" w:themeColor="text1"/>
                <w:lang w:val="en-GB"/>
              </w:rPr>
              <w:t xml:space="preserve">30 </w:t>
            </w:r>
            <m:oMath>
              <m:r>
                <w:rPr>
                  <w:rFonts w:ascii="Cambria Math" w:hAnsi="Cambria Math"/>
                  <w:color w:val="000000" w:themeColor="text1"/>
                  <w:lang w:val="en-GB"/>
                </w:rPr>
                <m:t>K</m:t>
              </m:r>
            </m:oMath>
            <w:r w:rsidRPr="00F71653">
              <w:rPr>
                <w:color w:val="000000" w:themeColor="text1"/>
                <w:lang w:val="en-GB"/>
              </w:rPr>
              <w:t>/km,</w:t>
            </w:r>
            <w:r>
              <w:rPr>
                <w:color w:val="000000" w:themeColor="text1"/>
                <w:lang w:val="en-GB"/>
              </w:rPr>
              <w:t xml:space="preserve"> </w:t>
            </w:r>
            <w:r w:rsidRPr="00F71653">
              <w:rPr>
                <w:color w:val="000000" w:themeColor="text1"/>
                <w:lang w:val="en-GB"/>
              </w:rPr>
              <w:t xml:space="preserve">40 </w:t>
            </w:r>
            <m:oMath>
              <m:r>
                <w:rPr>
                  <w:rFonts w:ascii="Cambria Math" w:hAnsi="Cambria Math"/>
                  <w:color w:val="000000" w:themeColor="text1"/>
                  <w:lang w:val="en-GB"/>
                </w:rPr>
                <m:t>K</m:t>
              </m:r>
            </m:oMath>
            <w:r w:rsidRPr="00F71653">
              <w:rPr>
                <w:color w:val="000000" w:themeColor="text1"/>
                <w:lang w:val="en-GB"/>
              </w:rPr>
              <w:t>/km,</w:t>
            </w:r>
            <w:r>
              <w:rPr>
                <w:color w:val="000000" w:themeColor="text1"/>
                <w:lang w:val="en-GB"/>
              </w:rPr>
              <w:t xml:space="preserve"> </w:t>
            </w:r>
            <w:r w:rsidRPr="00F71653">
              <w:rPr>
                <w:color w:val="000000" w:themeColor="text1"/>
                <w:lang w:val="en-GB"/>
              </w:rPr>
              <w:t xml:space="preserve">50 </w:t>
            </w:r>
            <m:oMath>
              <m:r>
                <w:rPr>
                  <w:rFonts w:ascii="Cambria Math" w:hAnsi="Cambria Math"/>
                  <w:color w:val="000000" w:themeColor="text1"/>
                  <w:lang w:val="en-GB"/>
                </w:rPr>
                <m:t>K</m:t>
              </m:r>
            </m:oMath>
            <w:r w:rsidRPr="00F71653">
              <w:rPr>
                <w:color w:val="000000" w:themeColor="text1"/>
                <w:lang w:val="en-GB"/>
              </w:rPr>
              <w:t>/km</w:t>
            </w:r>
          </w:p>
        </w:tc>
        <w:tc>
          <w:tcPr>
            <w:tcW w:w="3402" w:type="dxa"/>
          </w:tcPr>
          <w:p w14:paraId="7E5AC1F4" w14:textId="77777777" w:rsidR="009C644C" w:rsidRPr="00F71653" w:rsidRDefault="009C644C" w:rsidP="00FD415E">
            <w:pPr>
              <w:jc w:val="center"/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B</w:t>
            </w:r>
            <w:r w:rsidRPr="00107BB3">
              <w:rPr>
                <w:color w:val="000000" w:themeColor="text1"/>
                <w:lang w:val="en-GB"/>
              </w:rPr>
              <w:t>ackground geothermal gradient</w:t>
            </w:r>
          </w:p>
        </w:tc>
      </w:tr>
    </w:tbl>
    <w:p w14:paraId="08FFEF3E" w14:textId="77777777" w:rsidR="009C644C" w:rsidRDefault="009C644C" w:rsidP="009C644C">
      <w:pPr>
        <w:rPr>
          <w:rFonts w:ascii="MS Mincho" w:eastAsia="MS Mincho" w:hAnsi="MS Mincho"/>
          <w:sz w:val="22"/>
          <w:szCs w:val="22"/>
          <w:lang w:val="en-GB"/>
        </w:rPr>
      </w:pPr>
    </w:p>
    <w:p w14:paraId="5D89C78F" w14:textId="77777777" w:rsidR="009C644C" w:rsidRDefault="009C644C" w:rsidP="009C644C">
      <w:pPr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</w:pP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These parameters were used to estimate temperatures from low-velocity anomalies beneath the Kikai Caldera Volcano. These values were based on temperature estimates from the low-velocity anomaly beneath Santorini Volcano</w:t>
      </w:r>
      <w:r w:rsidRPr="00F06A03">
        <w:rPr>
          <w:rFonts w:ascii="Times New Roman" w:eastAsia="MS Mincho" w:hAnsi="Times New Roman" w:cs="Times New Roman"/>
          <w:color w:val="000000" w:themeColor="text1"/>
          <w:sz w:val="22"/>
          <w:szCs w:val="22"/>
          <w:vertAlign w:val="superscript"/>
          <w:lang w:val="en-GB"/>
        </w:rPr>
        <w:t xml:space="preserve"> </w:t>
      </w:r>
      <w:r w:rsidRPr="004A38A9">
        <w:rPr>
          <w:rFonts w:ascii="Times New Roman" w:eastAsia="MS Mincho" w:hAnsi="Times New Roman" w:cs="Times New Roman"/>
          <w:color w:val="00B0F0"/>
          <w:sz w:val="22"/>
          <w:szCs w:val="22"/>
          <w:vertAlign w:val="superscript"/>
          <w:lang w:val="en-GB"/>
        </w:rPr>
        <w:t>6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. As the background geothermal gradient was expected to vary significantly from region to region, a general gradient of 30 K/km to a higher gradient of 50 K/km was used</w:t>
      </w:r>
      <w:r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,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>but</w:t>
      </w:r>
      <w:r w:rsidRPr="00743B72"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  <w:t xml:space="preserve"> no significant differences were found.</w:t>
      </w:r>
    </w:p>
    <w:p w14:paraId="09B98EF8" w14:textId="77777777" w:rsidR="009C644C" w:rsidRDefault="009C644C" w:rsidP="009C644C">
      <w:pPr>
        <w:ind w:left="567" w:hanging="567"/>
        <w:rPr>
          <w:rFonts w:ascii="Times New Roman" w:eastAsia="MS Mincho" w:hAnsi="Times New Roman" w:cs="Times New Roman"/>
          <w:color w:val="000000" w:themeColor="text1"/>
          <w:sz w:val="22"/>
          <w:szCs w:val="22"/>
          <w:lang w:val="en-GB"/>
        </w:rPr>
      </w:pPr>
    </w:p>
    <w:p w14:paraId="2EAE87A7" w14:textId="77777777" w:rsidR="009C644C" w:rsidRPr="003B1D6B" w:rsidRDefault="009C644C" w:rsidP="009C644C">
      <w:pPr>
        <w:ind w:left="567" w:hanging="567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7896D70C" w14:textId="77777777" w:rsidR="009C644C" w:rsidRPr="004F7E14" w:rsidRDefault="009C644C" w:rsidP="009C644C">
      <w:pPr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  <w:lang w:val="en-GB"/>
        </w:rPr>
      </w:pPr>
    </w:p>
    <w:p w14:paraId="78117F0F" w14:textId="77777777" w:rsidR="00DE6AE2" w:rsidRPr="009C644C" w:rsidRDefault="00DE6AE2">
      <w:pPr>
        <w:rPr>
          <w:lang w:val="en-GB"/>
        </w:rPr>
      </w:pPr>
    </w:p>
    <w:sectPr w:rsidR="00DE6AE2" w:rsidRPr="009C644C" w:rsidSect="009C644C">
      <w:footerReference w:type="even" r:id="rId8"/>
      <w:footerReference w:type="default" r:id="rId9"/>
      <w:footerReference w:type="first" r:id="rId10"/>
      <w:pgSz w:w="11906" w:h="16838"/>
      <w:pgMar w:top="1701" w:right="1418" w:bottom="1701" w:left="1418" w:header="851" w:footer="992" w:gutter="0"/>
      <w:pgNumType w:start="1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15770182"/>
      <w:docPartObj>
        <w:docPartGallery w:val="Page Numbers (Bottom of Page)"/>
        <w:docPartUnique/>
      </w:docPartObj>
    </w:sdtPr>
    <w:sdtContent>
      <w:p w14:paraId="6B652249" w14:textId="77777777" w:rsidR="00000000" w:rsidRDefault="00000000" w:rsidP="00AC596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5446592"/>
      <w:docPartObj>
        <w:docPartGallery w:val="Page Numbers (Bottom of Page)"/>
        <w:docPartUnique/>
      </w:docPartObj>
    </w:sdtPr>
    <w:sdtContent>
      <w:p w14:paraId="21E14448" w14:textId="77777777" w:rsidR="00000000" w:rsidRDefault="00000000" w:rsidP="00AC596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18108033"/>
      <w:docPartObj>
        <w:docPartGallery w:val="Page Numbers (Bottom of Page)"/>
        <w:docPartUnique/>
      </w:docPartObj>
    </w:sdtPr>
    <w:sdtContent>
      <w:p w14:paraId="5A053813" w14:textId="77777777" w:rsidR="00000000" w:rsidRDefault="00000000" w:rsidP="00AC596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5451A6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  <w:p w14:paraId="1712B1A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color w:val="000000"/>
      </w:rPr>
    </w:pPr>
  </w:p>
  <w:p w14:paraId="4336B534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96159282"/>
      <w:docPartObj>
        <w:docPartGallery w:val="Page Numbers (Bottom of Page)"/>
        <w:docPartUnique/>
      </w:docPartObj>
    </w:sdtPr>
    <w:sdtContent>
      <w:p w14:paraId="351459F0" w14:textId="77777777" w:rsidR="00000000" w:rsidRDefault="00000000" w:rsidP="00F335D1">
        <w:pPr>
          <w:pStyle w:val="Footer"/>
          <w:framePr w:wrap="none" w:vAnchor="text" w:hAnchor="margin" w:xAlign="center" w:y="1"/>
          <w:jc w:val="cen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8CB0E59" w14:textId="77777777" w:rsidR="00000000" w:rsidRDefault="00000000" w:rsidP="00F335D1">
    <w:pPr>
      <w:pStyle w:val="Footer"/>
      <w:framePr w:wrap="none" w:vAnchor="text" w:hAnchor="margin" w:xAlign="center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10121165"/>
      <w:docPartObj>
        <w:docPartGallery w:val="Page Numbers (Bottom of Page)"/>
        <w:docPartUnique/>
      </w:docPartObj>
    </w:sdtPr>
    <w:sdtContent>
      <w:p w14:paraId="7BB6DDEB" w14:textId="77777777" w:rsidR="00000000" w:rsidRDefault="00000000" w:rsidP="00AC596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t>1</w:t>
        </w:r>
      </w:p>
    </w:sdtContent>
  </w:sdt>
  <w:p w14:paraId="316C71A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4C"/>
    <w:rsid w:val="00195413"/>
    <w:rsid w:val="003D0186"/>
    <w:rsid w:val="007278E4"/>
    <w:rsid w:val="009C644C"/>
    <w:rsid w:val="00A3738C"/>
    <w:rsid w:val="00BC6C35"/>
    <w:rsid w:val="00CB270D"/>
    <w:rsid w:val="00CF7583"/>
    <w:rsid w:val="00DE6AE2"/>
    <w:rsid w:val="00EC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3D2D3"/>
  <w15:chartTrackingRefBased/>
  <w15:docId w15:val="{9816313F-064E-449A-B4C4-FF187E6D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44C"/>
    <w:pPr>
      <w:widowControl w:val="0"/>
      <w:spacing w:after="0" w:line="240" w:lineRule="auto"/>
      <w:jc w:val="both"/>
    </w:pPr>
    <w:rPr>
      <w:rFonts w:ascii="Yu Mincho" w:eastAsia="Yu Mincho" w:hAnsi="Yu Mincho" w:cs="Yu Mincho"/>
      <w:kern w:val="0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644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44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44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44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44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44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44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44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44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44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6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44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6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44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6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44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6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4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4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C644C"/>
    <w:pPr>
      <w:widowControl w:val="0"/>
      <w:spacing w:after="0" w:line="240" w:lineRule="auto"/>
      <w:jc w:val="both"/>
    </w:pPr>
    <w:rPr>
      <w:rFonts w:ascii="Yu Mincho" w:eastAsia="Yu Mincho" w:hAnsi="Yu Mincho" w:cs="Yu Mincho"/>
      <w:kern w:val="0"/>
      <w:sz w:val="21"/>
      <w:szCs w:val="21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C644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C644C"/>
    <w:rPr>
      <w:rFonts w:ascii="Yu Mincho" w:eastAsia="Yu Mincho" w:hAnsi="Yu Mincho" w:cs="Yu Mincho"/>
      <w:kern w:val="0"/>
      <w:sz w:val="21"/>
      <w:szCs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C64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3.xml"/><Relationship Id="rId4" Type="http://schemas.openxmlformats.org/officeDocument/2006/relationships/image" Target="media/image1.em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645</Words>
  <Characters>3682</Characters>
  <Application>Microsoft Office Word</Application>
  <DocSecurity>0</DocSecurity>
  <Lines>30</Lines>
  <Paragraphs>8</Paragraphs>
  <ScaleCrop>false</ScaleCrop>
  <Company>Springer Nature</Company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2025-06-16T08:17:00Z</dcterms:created>
  <dcterms:modified xsi:type="dcterms:W3CDTF">2025-06-16T08:17:00Z</dcterms:modified>
</cp:coreProperties>
</file>