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2463B1" w14:textId="77777777" w:rsidR="008D7D9B" w:rsidRPr="00A16B2D" w:rsidRDefault="008D7D9B" w:rsidP="008D7D9B">
      <w:pPr>
        <w:rPr>
          <w:rFonts w:asciiTheme="majorHAnsi" w:hAnsiTheme="majorHAnsi"/>
        </w:rPr>
      </w:pPr>
      <w:r w:rsidRPr="00A16B2D">
        <w:rPr>
          <w:rFonts w:asciiTheme="majorHAnsi" w:hAnsiTheme="majorHAnsi"/>
        </w:rPr>
        <w:t xml:space="preserve">Table </w:t>
      </w:r>
      <w:r w:rsidRPr="00A16B2D">
        <w:rPr>
          <w:rFonts w:asciiTheme="majorHAnsi" w:hAnsiTheme="majorHAnsi"/>
        </w:rPr>
        <w:fldChar w:fldCharType="begin"/>
      </w:r>
      <w:r w:rsidRPr="00A16B2D">
        <w:rPr>
          <w:rFonts w:asciiTheme="majorHAnsi" w:hAnsiTheme="majorHAnsi"/>
        </w:rPr>
        <w:instrText xml:space="preserve"> SEQ Table \* ARABIC </w:instrText>
      </w:r>
      <w:r w:rsidRPr="00A16B2D">
        <w:rPr>
          <w:rFonts w:asciiTheme="majorHAnsi" w:hAnsiTheme="majorHAnsi"/>
        </w:rPr>
        <w:fldChar w:fldCharType="separate"/>
      </w:r>
      <w:r w:rsidRPr="00A16B2D">
        <w:rPr>
          <w:rFonts w:asciiTheme="majorHAnsi" w:hAnsiTheme="majorHAnsi"/>
          <w:noProof/>
        </w:rPr>
        <w:t>1</w:t>
      </w:r>
      <w:r w:rsidRPr="00A16B2D">
        <w:rPr>
          <w:rFonts w:asciiTheme="majorHAnsi" w:hAnsiTheme="majorHAnsi"/>
        </w:rPr>
        <w:fldChar w:fldCharType="end"/>
      </w:r>
      <w:r w:rsidRPr="00A16B2D">
        <w:rPr>
          <w:rFonts w:asciiTheme="majorHAnsi" w:hAnsiTheme="majorHAnsi"/>
        </w:rPr>
        <w:t xml:space="preserve">: Baseline </w:t>
      </w:r>
      <w:r>
        <w:rPr>
          <w:rFonts w:asciiTheme="majorHAnsi" w:hAnsiTheme="majorHAnsi"/>
        </w:rPr>
        <w:t>c</w:t>
      </w:r>
      <w:r w:rsidRPr="00A16B2D">
        <w:rPr>
          <w:rFonts w:asciiTheme="majorHAnsi" w:hAnsiTheme="majorHAnsi"/>
        </w:rPr>
        <w:t>haracteristics</w:t>
      </w:r>
      <w:r>
        <w:rPr>
          <w:rFonts w:asciiTheme="majorHAnsi" w:hAnsiTheme="majorHAnsi"/>
        </w:rPr>
        <w:t xml:space="preserve"> of the osteosarcopenia groups.</w:t>
      </w:r>
    </w:p>
    <w:tbl>
      <w:tblPr>
        <w:tblStyle w:val="TableGrid"/>
        <w:tblW w:w="9776" w:type="dxa"/>
        <w:tblLook w:val="04A0" w:firstRow="1" w:lastRow="0" w:firstColumn="1" w:lastColumn="0" w:noHBand="0" w:noVBand="1"/>
      </w:tblPr>
      <w:tblGrid>
        <w:gridCol w:w="2830"/>
        <w:gridCol w:w="1633"/>
        <w:gridCol w:w="1776"/>
        <w:gridCol w:w="1365"/>
        <w:gridCol w:w="1322"/>
        <w:gridCol w:w="850"/>
      </w:tblGrid>
      <w:tr w:rsidR="008D7D9B" w:rsidRPr="00A16B2D" w14:paraId="6955D5AC" w14:textId="77777777" w:rsidTr="007E4F30">
        <w:trPr>
          <w:trHeight w:val="571"/>
        </w:trPr>
        <w:tc>
          <w:tcPr>
            <w:tcW w:w="2830" w:type="dxa"/>
            <w:vAlign w:val="center"/>
          </w:tcPr>
          <w:p w14:paraId="29117B7B" w14:textId="77777777" w:rsidR="008D7D9B" w:rsidRPr="00A16B2D" w:rsidRDefault="008D7D9B" w:rsidP="007E4F30">
            <w:pPr>
              <w:rPr>
                <w:rFonts w:asciiTheme="majorHAnsi" w:hAnsiTheme="majorHAnsi" w:cs="Times New Roman"/>
                <w:sz w:val="16"/>
                <w:szCs w:val="16"/>
              </w:rPr>
            </w:pPr>
          </w:p>
        </w:tc>
        <w:tc>
          <w:tcPr>
            <w:tcW w:w="1633" w:type="dxa"/>
            <w:vAlign w:val="center"/>
          </w:tcPr>
          <w:p w14:paraId="1EBAF307"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No sarcopenia, no osteoporosis</w:t>
            </w:r>
          </w:p>
        </w:tc>
        <w:tc>
          <w:tcPr>
            <w:tcW w:w="0" w:type="auto"/>
            <w:vAlign w:val="center"/>
          </w:tcPr>
          <w:p w14:paraId="050A291D"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Probable sarcopenia only</w:t>
            </w:r>
          </w:p>
        </w:tc>
        <w:tc>
          <w:tcPr>
            <w:tcW w:w="0" w:type="auto"/>
            <w:vAlign w:val="center"/>
          </w:tcPr>
          <w:p w14:paraId="71D801A4"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Osteoporosis only</w:t>
            </w:r>
          </w:p>
        </w:tc>
        <w:tc>
          <w:tcPr>
            <w:tcW w:w="0" w:type="auto"/>
            <w:vAlign w:val="center"/>
          </w:tcPr>
          <w:p w14:paraId="06C3F50E"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Osteosarcopenia</w:t>
            </w:r>
          </w:p>
        </w:tc>
        <w:tc>
          <w:tcPr>
            <w:tcW w:w="850" w:type="dxa"/>
            <w:vAlign w:val="center"/>
          </w:tcPr>
          <w:p w14:paraId="269CD2F5"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p-value</w:t>
            </w:r>
          </w:p>
        </w:tc>
      </w:tr>
      <w:tr w:rsidR="008D7D9B" w:rsidRPr="00A16B2D" w14:paraId="454A2D6F" w14:textId="77777777" w:rsidTr="007E4F30">
        <w:trPr>
          <w:trHeight w:val="278"/>
        </w:trPr>
        <w:tc>
          <w:tcPr>
            <w:tcW w:w="2830" w:type="dxa"/>
            <w:vAlign w:val="center"/>
          </w:tcPr>
          <w:p w14:paraId="1CF30B11" w14:textId="77777777" w:rsidR="008D7D9B" w:rsidRPr="00A16B2D" w:rsidRDefault="008D7D9B" w:rsidP="007E4F30">
            <w:pPr>
              <w:rPr>
                <w:rFonts w:asciiTheme="majorHAnsi" w:hAnsiTheme="majorHAnsi" w:cs="Times New Roman"/>
                <w:sz w:val="16"/>
                <w:szCs w:val="16"/>
              </w:rPr>
            </w:pPr>
            <w:r w:rsidRPr="00A16B2D">
              <w:rPr>
                <w:rFonts w:asciiTheme="majorHAnsi" w:hAnsiTheme="majorHAnsi" w:cs="Times New Roman"/>
                <w:sz w:val="16"/>
                <w:szCs w:val="16"/>
              </w:rPr>
              <w:t>Number of subjects</w:t>
            </w:r>
          </w:p>
        </w:tc>
        <w:tc>
          <w:tcPr>
            <w:tcW w:w="1633" w:type="dxa"/>
            <w:vAlign w:val="center"/>
          </w:tcPr>
          <w:p w14:paraId="32FC4E03"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1602</w:t>
            </w:r>
          </w:p>
        </w:tc>
        <w:tc>
          <w:tcPr>
            <w:tcW w:w="0" w:type="auto"/>
            <w:vAlign w:val="center"/>
          </w:tcPr>
          <w:p w14:paraId="1449A3D5"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234</w:t>
            </w:r>
          </w:p>
        </w:tc>
        <w:tc>
          <w:tcPr>
            <w:tcW w:w="0" w:type="auto"/>
            <w:vAlign w:val="center"/>
          </w:tcPr>
          <w:p w14:paraId="681ED494"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184</w:t>
            </w:r>
          </w:p>
        </w:tc>
        <w:tc>
          <w:tcPr>
            <w:tcW w:w="0" w:type="auto"/>
            <w:vAlign w:val="center"/>
          </w:tcPr>
          <w:p w14:paraId="01CE266F"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122</w:t>
            </w:r>
          </w:p>
        </w:tc>
        <w:tc>
          <w:tcPr>
            <w:tcW w:w="850" w:type="dxa"/>
            <w:vAlign w:val="center"/>
          </w:tcPr>
          <w:p w14:paraId="5CA51CAE" w14:textId="77777777" w:rsidR="008D7D9B" w:rsidRPr="00A16B2D" w:rsidRDefault="008D7D9B" w:rsidP="007E4F30">
            <w:pPr>
              <w:jc w:val="center"/>
              <w:rPr>
                <w:rFonts w:asciiTheme="majorHAnsi" w:hAnsiTheme="majorHAnsi" w:cs="Times New Roman"/>
                <w:sz w:val="16"/>
                <w:szCs w:val="16"/>
              </w:rPr>
            </w:pPr>
          </w:p>
        </w:tc>
      </w:tr>
      <w:tr w:rsidR="008D7D9B" w:rsidRPr="00A16B2D" w14:paraId="5CC968F9" w14:textId="77777777" w:rsidTr="007E4F30">
        <w:trPr>
          <w:trHeight w:val="278"/>
        </w:trPr>
        <w:tc>
          <w:tcPr>
            <w:tcW w:w="2830" w:type="dxa"/>
            <w:vAlign w:val="center"/>
          </w:tcPr>
          <w:p w14:paraId="49BDCD38" w14:textId="77777777" w:rsidR="008D7D9B" w:rsidRPr="00A16B2D" w:rsidRDefault="008D7D9B" w:rsidP="007E4F30">
            <w:pPr>
              <w:rPr>
                <w:rFonts w:asciiTheme="majorHAnsi" w:hAnsiTheme="majorHAnsi" w:cs="Times New Roman"/>
                <w:sz w:val="16"/>
                <w:szCs w:val="16"/>
              </w:rPr>
            </w:pPr>
            <w:r w:rsidRPr="00A16B2D">
              <w:rPr>
                <w:rFonts w:asciiTheme="majorHAnsi" w:hAnsiTheme="majorHAnsi" w:cs="Times New Roman"/>
                <w:sz w:val="16"/>
                <w:szCs w:val="16"/>
              </w:rPr>
              <w:t>Age</w:t>
            </w:r>
            <w:r>
              <w:rPr>
                <w:rFonts w:asciiTheme="majorHAnsi" w:hAnsiTheme="majorHAnsi" w:cs="Times New Roman"/>
                <w:sz w:val="16"/>
                <w:szCs w:val="16"/>
              </w:rPr>
              <w:t xml:space="preserve"> (years)</w:t>
            </w:r>
            <w:r w:rsidRPr="00A16B2D">
              <w:rPr>
                <w:rFonts w:asciiTheme="majorHAnsi" w:hAnsiTheme="majorHAnsi" w:cs="Times New Roman"/>
                <w:sz w:val="16"/>
                <w:szCs w:val="16"/>
              </w:rPr>
              <w:t>, mean (SD)</w:t>
            </w:r>
          </w:p>
        </w:tc>
        <w:tc>
          <w:tcPr>
            <w:tcW w:w="1633" w:type="dxa"/>
            <w:vAlign w:val="center"/>
          </w:tcPr>
          <w:p w14:paraId="1176CBA4"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65.3 (7.8)</w:t>
            </w:r>
          </w:p>
        </w:tc>
        <w:tc>
          <w:tcPr>
            <w:tcW w:w="0" w:type="auto"/>
            <w:vAlign w:val="center"/>
          </w:tcPr>
          <w:p w14:paraId="156F1471"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75.2 (9.5)</w:t>
            </w:r>
          </w:p>
        </w:tc>
        <w:tc>
          <w:tcPr>
            <w:tcW w:w="0" w:type="auto"/>
            <w:vAlign w:val="center"/>
          </w:tcPr>
          <w:p w14:paraId="616FFFED"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72.5 (9.1)</w:t>
            </w:r>
          </w:p>
        </w:tc>
        <w:tc>
          <w:tcPr>
            <w:tcW w:w="0" w:type="auto"/>
            <w:vAlign w:val="center"/>
          </w:tcPr>
          <w:p w14:paraId="20BA0EE0"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80.4 (8.6)</w:t>
            </w:r>
          </w:p>
        </w:tc>
        <w:tc>
          <w:tcPr>
            <w:tcW w:w="850" w:type="dxa"/>
            <w:vAlign w:val="center"/>
          </w:tcPr>
          <w:p w14:paraId="1CD970CF"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&lt;0.001</w:t>
            </w:r>
          </w:p>
        </w:tc>
      </w:tr>
      <w:tr w:rsidR="008D7D9B" w:rsidRPr="00A16B2D" w14:paraId="43C8442E" w14:textId="77777777" w:rsidTr="007E4F30">
        <w:trPr>
          <w:trHeight w:val="278"/>
        </w:trPr>
        <w:tc>
          <w:tcPr>
            <w:tcW w:w="2830" w:type="dxa"/>
            <w:vAlign w:val="center"/>
          </w:tcPr>
          <w:p w14:paraId="35CD0601" w14:textId="77777777" w:rsidR="008D7D9B" w:rsidRPr="00A16B2D" w:rsidRDefault="008D7D9B" w:rsidP="007E4F30">
            <w:pPr>
              <w:rPr>
                <w:rFonts w:asciiTheme="majorHAnsi" w:hAnsiTheme="majorHAnsi" w:cs="Times New Roman"/>
                <w:sz w:val="16"/>
                <w:szCs w:val="16"/>
              </w:rPr>
            </w:pPr>
            <w:r w:rsidRPr="00A16B2D">
              <w:rPr>
                <w:rFonts w:asciiTheme="majorHAnsi" w:eastAsia="Times New Roman" w:hAnsiTheme="majorHAnsi" w:cs="Times New Roman"/>
                <w:sz w:val="16"/>
                <w:szCs w:val="16"/>
              </w:rPr>
              <w:t>Female, n (%)</w:t>
            </w:r>
          </w:p>
        </w:tc>
        <w:tc>
          <w:tcPr>
            <w:tcW w:w="1633" w:type="dxa"/>
            <w:vAlign w:val="center"/>
          </w:tcPr>
          <w:p w14:paraId="156C1D45"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781 (48.8)</w:t>
            </w:r>
          </w:p>
        </w:tc>
        <w:tc>
          <w:tcPr>
            <w:tcW w:w="0" w:type="auto"/>
            <w:vAlign w:val="center"/>
          </w:tcPr>
          <w:p w14:paraId="6FABAFCA"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147 (62.8)</w:t>
            </w:r>
          </w:p>
        </w:tc>
        <w:tc>
          <w:tcPr>
            <w:tcW w:w="0" w:type="auto"/>
            <w:vAlign w:val="center"/>
          </w:tcPr>
          <w:p w14:paraId="2883BC6A"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166 (90.2)</w:t>
            </w:r>
          </w:p>
        </w:tc>
        <w:tc>
          <w:tcPr>
            <w:tcW w:w="0" w:type="auto"/>
            <w:vAlign w:val="center"/>
          </w:tcPr>
          <w:p w14:paraId="60DFF4DD"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107 (87.7)</w:t>
            </w:r>
          </w:p>
        </w:tc>
        <w:tc>
          <w:tcPr>
            <w:tcW w:w="850" w:type="dxa"/>
            <w:vAlign w:val="center"/>
          </w:tcPr>
          <w:p w14:paraId="0AC1B1A2"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&lt;0.001</w:t>
            </w:r>
          </w:p>
        </w:tc>
      </w:tr>
      <w:tr w:rsidR="008D7D9B" w:rsidRPr="00A16B2D" w14:paraId="0B6F6BE6" w14:textId="77777777" w:rsidTr="007E4F30">
        <w:trPr>
          <w:trHeight w:val="278"/>
        </w:trPr>
        <w:tc>
          <w:tcPr>
            <w:tcW w:w="2830" w:type="dxa"/>
            <w:vAlign w:val="center"/>
          </w:tcPr>
          <w:p w14:paraId="74EC789E" w14:textId="77777777" w:rsidR="008D7D9B" w:rsidRPr="00EC1FA4" w:rsidRDefault="008D7D9B" w:rsidP="007E4F30">
            <w:pPr>
              <w:rPr>
                <w:rFonts w:asciiTheme="majorHAnsi" w:hAnsiTheme="majorHAnsi" w:cs="Times New Roman"/>
                <w:sz w:val="16"/>
                <w:szCs w:val="16"/>
              </w:rPr>
            </w:pPr>
            <w:r w:rsidRPr="0015551C">
              <w:rPr>
                <w:rFonts w:asciiTheme="majorHAnsi" w:eastAsia="Times New Roman" w:hAnsiTheme="majorHAnsi" w:cs="Times New Roman"/>
                <w:sz w:val="16"/>
                <w:szCs w:val="16"/>
              </w:rPr>
              <w:t>Education</w:t>
            </w:r>
          </w:p>
        </w:tc>
        <w:tc>
          <w:tcPr>
            <w:tcW w:w="1633" w:type="dxa"/>
            <w:vAlign w:val="center"/>
          </w:tcPr>
          <w:p w14:paraId="2EDC326C" w14:textId="77777777" w:rsidR="008D7D9B" w:rsidRPr="00A16B2D" w:rsidRDefault="008D7D9B" w:rsidP="007E4F30">
            <w:pPr>
              <w:jc w:val="center"/>
              <w:rPr>
                <w:rFonts w:asciiTheme="majorHAnsi" w:hAnsiTheme="majorHAnsi" w:cs="Times New Roman"/>
                <w:sz w:val="16"/>
                <w:szCs w:val="16"/>
              </w:rPr>
            </w:pPr>
          </w:p>
        </w:tc>
        <w:tc>
          <w:tcPr>
            <w:tcW w:w="0" w:type="auto"/>
            <w:vAlign w:val="center"/>
          </w:tcPr>
          <w:p w14:paraId="508717CC" w14:textId="77777777" w:rsidR="008D7D9B" w:rsidRPr="00A16B2D" w:rsidRDefault="008D7D9B" w:rsidP="007E4F30">
            <w:pPr>
              <w:jc w:val="center"/>
              <w:rPr>
                <w:rFonts w:asciiTheme="majorHAnsi" w:hAnsiTheme="majorHAnsi" w:cs="Times New Roman"/>
                <w:sz w:val="16"/>
                <w:szCs w:val="16"/>
              </w:rPr>
            </w:pPr>
          </w:p>
        </w:tc>
        <w:tc>
          <w:tcPr>
            <w:tcW w:w="0" w:type="auto"/>
            <w:vAlign w:val="center"/>
          </w:tcPr>
          <w:p w14:paraId="69A8E0A6" w14:textId="77777777" w:rsidR="008D7D9B" w:rsidRPr="00A16B2D" w:rsidRDefault="008D7D9B" w:rsidP="007E4F30">
            <w:pPr>
              <w:jc w:val="center"/>
              <w:rPr>
                <w:rFonts w:asciiTheme="majorHAnsi" w:hAnsiTheme="majorHAnsi" w:cs="Times New Roman"/>
                <w:sz w:val="16"/>
                <w:szCs w:val="16"/>
              </w:rPr>
            </w:pPr>
          </w:p>
        </w:tc>
        <w:tc>
          <w:tcPr>
            <w:tcW w:w="0" w:type="auto"/>
            <w:vAlign w:val="center"/>
          </w:tcPr>
          <w:p w14:paraId="0EBF1D98" w14:textId="77777777" w:rsidR="008D7D9B" w:rsidRPr="00A16B2D" w:rsidRDefault="008D7D9B" w:rsidP="007E4F30">
            <w:pPr>
              <w:jc w:val="center"/>
              <w:rPr>
                <w:rFonts w:asciiTheme="majorHAnsi" w:hAnsiTheme="majorHAnsi" w:cs="Times New Roman"/>
                <w:sz w:val="16"/>
                <w:szCs w:val="16"/>
              </w:rPr>
            </w:pPr>
          </w:p>
        </w:tc>
        <w:tc>
          <w:tcPr>
            <w:tcW w:w="850" w:type="dxa"/>
            <w:vAlign w:val="center"/>
          </w:tcPr>
          <w:p w14:paraId="54DF092A" w14:textId="77777777" w:rsidR="008D7D9B" w:rsidRPr="00A16B2D" w:rsidRDefault="008D7D9B" w:rsidP="007E4F30">
            <w:pPr>
              <w:jc w:val="center"/>
              <w:rPr>
                <w:rFonts w:asciiTheme="majorHAnsi" w:hAnsiTheme="majorHAnsi" w:cs="Times New Roman"/>
                <w:sz w:val="16"/>
                <w:szCs w:val="16"/>
              </w:rPr>
            </w:pPr>
          </w:p>
        </w:tc>
      </w:tr>
      <w:tr w:rsidR="008D7D9B" w:rsidRPr="00A16B2D" w14:paraId="42C9CE9C" w14:textId="77777777" w:rsidTr="007E4F30">
        <w:trPr>
          <w:trHeight w:val="278"/>
        </w:trPr>
        <w:tc>
          <w:tcPr>
            <w:tcW w:w="2830" w:type="dxa"/>
            <w:vAlign w:val="center"/>
          </w:tcPr>
          <w:p w14:paraId="4C8B0FA6" w14:textId="77777777" w:rsidR="008D7D9B" w:rsidRPr="00A16B2D" w:rsidRDefault="008D7D9B" w:rsidP="007E4F30">
            <w:pPr>
              <w:ind w:left="284"/>
              <w:rPr>
                <w:rFonts w:asciiTheme="majorHAnsi" w:hAnsiTheme="majorHAnsi" w:cs="Times New Roman"/>
                <w:sz w:val="16"/>
                <w:szCs w:val="16"/>
              </w:rPr>
            </w:pPr>
            <w:r>
              <w:rPr>
                <w:rFonts w:asciiTheme="majorHAnsi" w:eastAsia="Times New Roman" w:hAnsiTheme="majorHAnsi" w:cs="Times New Roman"/>
                <w:sz w:val="16"/>
                <w:szCs w:val="16"/>
              </w:rPr>
              <w:t>Higher</w:t>
            </w:r>
            <w:r w:rsidRPr="00A16B2D">
              <w:rPr>
                <w:rFonts w:asciiTheme="majorHAnsi" w:eastAsia="Times New Roman" w:hAnsiTheme="majorHAnsi" w:cs="Times New Roman"/>
                <w:sz w:val="16"/>
                <w:szCs w:val="16"/>
              </w:rPr>
              <w:t>, n (%)</w:t>
            </w:r>
          </w:p>
        </w:tc>
        <w:tc>
          <w:tcPr>
            <w:tcW w:w="1633" w:type="dxa"/>
            <w:vAlign w:val="center"/>
          </w:tcPr>
          <w:p w14:paraId="0DE43CE2"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277 (17.4)</w:t>
            </w:r>
          </w:p>
        </w:tc>
        <w:tc>
          <w:tcPr>
            <w:tcW w:w="0" w:type="auto"/>
            <w:vAlign w:val="center"/>
          </w:tcPr>
          <w:p w14:paraId="08005AF5"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24 (10.3)</w:t>
            </w:r>
          </w:p>
        </w:tc>
        <w:tc>
          <w:tcPr>
            <w:tcW w:w="0" w:type="auto"/>
            <w:vAlign w:val="center"/>
          </w:tcPr>
          <w:p w14:paraId="10AE2CF8"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20 (10.9)</w:t>
            </w:r>
          </w:p>
        </w:tc>
        <w:tc>
          <w:tcPr>
            <w:tcW w:w="0" w:type="auto"/>
            <w:vAlign w:val="center"/>
          </w:tcPr>
          <w:p w14:paraId="04FFCFE8"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12 (9.9)</w:t>
            </w:r>
          </w:p>
        </w:tc>
        <w:tc>
          <w:tcPr>
            <w:tcW w:w="850" w:type="dxa"/>
            <w:vAlign w:val="center"/>
          </w:tcPr>
          <w:p w14:paraId="64D7B864"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&lt;0.001</w:t>
            </w:r>
          </w:p>
        </w:tc>
      </w:tr>
      <w:tr w:rsidR="008D7D9B" w:rsidRPr="00A16B2D" w14:paraId="028A87D8" w14:textId="77777777" w:rsidTr="007E4F30">
        <w:trPr>
          <w:trHeight w:val="278"/>
        </w:trPr>
        <w:tc>
          <w:tcPr>
            <w:tcW w:w="2830" w:type="dxa"/>
            <w:vAlign w:val="center"/>
          </w:tcPr>
          <w:p w14:paraId="5308214B" w14:textId="77777777" w:rsidR="008D7D9B" w:rsidRPr="00A16B2D" w:rsidRDefault="008D7D9B" w:rsidP="007E4F30">
            <w:pPr>
              <w:ind w:left="284"/>
              <w:rPr>
                <w:rFonts w:asciiTheme="majorHAnsi" w:hAnsiTheme="majorHAnsi" w:cs="Times New Roman"/>
                <w:sz w:val="16"/>
                <w:szCs w:val="16"/>
              </w:rPr>
            </w:pPr>
            <w:r>
              <w:rPr>
                <w:rFonts w:asciiTheme="majorHAnsi" w:eastAsia="Times New Roman" w:hAnsiTheme="majorHAnsi" w:cs="Times New Roman"/>
                <w:sz w:val="16"/>
                <w:szCs w:val="16"/>
              </w:rPr>
              <w:t>Secondary</w:t>
            </w:r>
            <w:r w:rsidRPr="00A16B2D">
              <w:rPr>
                <w:rFonts w:asciiTheme="majorHAnsi" w:eastAsia="Times New Roman" w:hAnsiTheme="majorHAnsi" w:cs="Times New Roman"/>
                <w:sz w:val="16"/>
                <w:szCs w:val="16"/>
              </w:rPr>
              <w:t>, n (%)</w:t>
            </w:r>
          </w:p>
        </w:tc>
        <w:tc>
          <w:tcPr>
            <w:tcW w:w="1633" w:type="dxa"/>
            <w:vAlign w:val="center"/>
          </w:tcPr>
          <w:p w14:paraId="79F2264A"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350 (21.9)</w:t>
            </w:r>
          </w:p>
        </w:tc>
        <w:tc>
          <w:tcPr>
            <w:tcW w:w="0" w:type="auto"/>
            <w:vAlign w:val="center"/>
          </w:tcPr>
          <w:p w14:paraId="59B3E23D"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36 (15.5)</w:t>
            </w:r>
          </w:p>
        </w:tc>
        <w:tc>
          <w:tcPr>
            <w:tcW w:w="0" w:type="auto"/>
            <w:vAlign w:val="center"/>
          </w:tcPr>
          <w:p w14:paraId="64FB13A7"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48 (26.1)</w:t>
            </w:r>
          </w:p>
        </w:tc>
        <w:tc>
          <w:tcPr>
            <w:tcW w:w="0" w:type="auto"/>
            <w:vAlign w:val="center"/>
          </w:tcPr>
          <w:p w14:paraId="0F2DD12D"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19 (15.7)</w:t>
            </w:r>
          </w:p>
        </w:tc>
        <w:tc>
          <w:tcPr>
            <w:tcW w:w="850" w:type="dxa"/>
            <w:vAlign w:val="center"/>
          </w:tcPr>
          <w:p w14:paraId="6BBE6737" w14:textId="77777777" w:rsidR="008D7D9B" w:rsidRPr="00A16B2D" w:rsidRDefault="008D7D9B" w:rsidP="007E4F30">
            <w:pPr>
              <w:jc w:val="center"/>
              <w:rPr>
                <w:rFonts w:asciiTheme="majorHAnsi" w:hAnsiTheme="majorHAnsi" w:cs="Times New Roman"/>
                <w:sz w:val="16"/>
                <w:szCs w:val="16"/>
              </w:rPr>
            </w:pPr>
          </w:p>
        </w:tc>
      </w:tr>
      <w:tr w:rsidR="008D7D9B" w:rsidRPr="00A16B2D" w14:paraId="5518291C" w14:textId="77777777" w:rsidTr="007E4F30">
        <w:trPr>
          <w:trHeight w:val="268"/>
        </w:trPr>
        <w:tc>
          <w:tcPr>
            <w:tcW w:w="2830" w:type="dxa"/>
            <w:vAlign w:val="center"/>
          </w:tcPr>
          <w:p w14:paraId="178A1B73" w14:textId="77777777" w:rsidR="008D7D9B" w:rsidRPr="00A16B2D" w:rsidRDefault="008D7D9B" w:rsidP="007E4F30">
            <w:pPr>
              <w:ind w:left="284"/>
              <w:rPr>
                <w:rFonts w:asciiTheme="majorHAnsi" w:hAnsiTheme="majorHAnsi" w:cs="Times New Roman"/>
                <w:sz w:val="16"/>
                <w:szCs w:val="16"/>
              </w:rPr>
            </w:pPr>
            <w:r>
              <w:rPr>
                <w:rFonts w:asciiTheme="majorHAnsi" w:eastAsia="Times New Roman" w:hAnsiTheme="majorHAnsi" w:cs="Times New Roman"/>
                <w:sz w:val="16"/>
                <w:szCs w:val="16"/>
              </w:rPr>
              <w:t>Basic</w:t>
            </w:r>
            <w:r w:rsidRPr="00A16B2D">
              <w:rPr>
                <w:rFonts w:asciiTheme="majorHAnsi" w:eastAsia="Times New Roman" w:hAnsiTheme="majorHAnsi" w:cs="Times New Roman"/>
                <w:sz w:val="16"/>
                <w:szCs w:val="16"/>
              </w:rPr>
              <w:t>, n (%)</w:t>
            </w:r>
          </w:p>
        </w:tc>
        <w:tc>
          <w:tcPr>
            <w:tcW w:w="1633" w:type="dxa"/>
            <w:vAlign w:val="center"/>
          </w:tcPr>
          <w:p w14:paraId="284BC42D"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970 (60.7)</w:t>
            </w:r>
          </w:p>
        </w:tc>
        <w:tc>
          <w:tcPr>
            <w:tcW w:w="0" w:type="auto"/>
            <w:vAlign w:val="center"/>
          </w:tcPr>
          <w:p w14:paraId="7DB1C211"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173 (74.3)</w:t>
            </w:r>
          </w:p>
        </w:tc>
        <w:tc>
          <w:tcPr>
            <w:tcW w:w="0" w:type="auto"/>
            <w:vAlign w:val="center"/>
          </w:tcPr>
          <w:p w14:paraId="276F1092"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116 (63.0)</w:t>
            </w:r>
          </w:p>
        </w:tc>
        <w:tc>
          <w:tcPr>
            <w:tcW w:w="0" w:type="auto"/>
            <w:vAlign w:val="center"/>
          </w:tcPr>
          <w:p w14:paraId="6ADB7765"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90 (74.4)</w:t>
            </w:r>
          </w:p>
        </w:tc>
        <w:tc>
          <w:tcPr>
            <w:tcW w:w="850" w:type="dxa"/>
            <w:vAlign w:val="center"/>
          </w:tcPr>
          <w:p w14:paraId="00804D0A" w14:textId="77777777" w:rsidR="008D7D9B" w:rsidRPr="00A16B2D" w:rsidRDefault="008D7D9B" w:rsidP="007E4F30">
            <w:pPr>
              <w:jc w:val="center"/>
              <w:rPr>
                <w:rFonts w:asciiTheme="majorHAnsi" w:hAnsiTheme="majorHAnsi" w:cs="Times New Roman"/>
                <w:sz w:val="16"/>
                <w:szCs w:val="16"/>
              </w:rPr>
            </w:pPr>
          </w:p>
        </w:tc>
      </w:tr>
      <w:tr w:rsidR="008D7D9B" w:rsidRPr="00A16B2D" w14:paraId="5F336776" w14:textId="77777777" w:rsidTr="007E4F30">
        <w:trPr>
          <w:trHeight w:val="268"/>
        </w:trPr>
        <w:tc>
          <w:tcPr>
            <w:tcW w:w="2830" w:type="dxa"/>
            <w:vAlign w:val="center"/>
          </w:tcPr>
          <w:p w14:paraId="1AEE0505" w14:textId="77777777" w:rsidR="008D7D9B" w:rsidRPr="00A16B2D" w:rsidRDefault="008D7D9B" w:rsidP="007E4F30">
            <w:pPr>
              <w:rPr>
                <w:rFonts w:asciiTheme="majorHAnsi" w:eastAsia="Times New Roman" w:hAnsiTheme="majorHAnsi" w:cs="Times New Roman"/>
                <w:sz w:val="16"/>
                <w:szCs w:val="16"/>
              </w:rPr>
            </w:pPr>
            <w:r w:rsidRPr="00A16B2D">
              <w:rPr>
                <w:rFonts w:asciiTheme="majorHAnsi" w:eastAsia="Times New Roman" w:hAnsiTheme="majorHAnsi" w:cs="Times New Roman"/>
                <w:sz w:val="16"/>
                <w:szCs w:val="16"/>
              </w:rPr>
              <w:t>Current or past</w:t>
            </w:r>
            <w:r>
              <w:rPr>
                <w:rFonts w:asciiTheme="majorHAnsi" w:eastAsia="Times New Roman" w:hAnsiTheme="majorHAnsi" w:cs="Times New Roman"/>
                <w:sz w:val="16"/>
                <w:szCs w:val="16"/>
              </w:rPr>
              <w:t xml:space="preserve"> smoking</w:t>
            </w:r>
            <w:r w:rsidRPr="00A16B2D">
              <w:rPr>
                <w:rFonts w:asciiTheme="majorHAnsi" w:eastAsia="Times New Roman" w:hAnsiTheme="majorHAnsi" w:cs="Times New Roman"/>
                <w:sz w:val="16"/>
                <w:szCs w:val="16"/>
              </w:rPr>
              <w:t>, n (%)</w:t>
            </w:r>
          </w:p>
        </w:tc>
        <w:tc>
          <w:tcPr>
            <w:tcW w:w="1633" w:type="dxa"/>
            <w:vAlign w:val="center"/>
          </w:tcPr>
          <w:p w14:paraId="38435AB2"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692 (43.3)</w:t>
            </w:r>
          </w:p>
        </w:tc>
        <w:tc>
          <w:tcPr>
            <w:tcW w:w="0" w:type="auto"/>
            <w:vAlign w:val="center"/>
          </w:tcPr>
          <w:p w14:paraId="0AFB3C41"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93 (39.9)</w:t>
            </w:r>
          </w:p>
        </w:tc>
        <w:tc>
          <w:tcPr>
            <w:tcW w:w="0" w:type="auto"/>
            <w:vAlign w:val="center"/>
          </w:tcPr>
          <w:p w14:paraId="63433811"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43 (23.5)</w:t>
            </w:r>
          </w:p>
        </w:tc>
        <w:tc>
          <w:tcPr>
            <w:tcW w:w="0" w:type="auto"/>
            <w:vAlign w:val="center"/>
          </w:tcPr>
          <w:p w14:paraId="24CAD5B2"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27 (22.5)</w:t>
            </w:r>
          </w:p>
        </w:tc>
        <w:tc>
          <w:tcPr>
            <w:tcW w:w="850" w:type="dxa"/>
            <w:vAlign w:val="center"/>
          </w:tcPr>
          <w:p w14:paraId="1474C843"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&lt;0.001</w:t>
            </w:r>
          </w:p>
        </w:tc>
      </w:tr>
      <w:tr w:rsidR="008D7D9B" w:rsidRPr="00A16B2D" w14:paraId="5A6BE2DB" w14:textId="77777777" w:rsidTr="007E4F30">
        <w:trPr>
          <w:trHeight w:val="268"/>
        </w:trPr>
        <w:tc>
          <w:tcPr>
            <w:tcW w:w="2830" w:type="dxa"/>
            <w:vAlign w:val="center"/>
          </w:tcPr>
          <w:p w14:paraId="521511C0" w14:textId="77777777" w:rsidR="008D7D9B" w:rsidRPr="00EC1FA4" w:rsidRDefault="008D7D9B" w:rsidP="007E4F30">
            <w:pPr>
              <w:rPr>
                <w:rFonts w:asciiTheme="majorHAnsi" w:eastAsia="Times New Roman" w:hAnsiTheme="majorHAnsi" w:cs="Times New Roman"/>
                <w:sz w:val="16"/>
                <w:szCs w:val="16"/>
              </w:rPr>
            </w:pPr>
            <w:r w:rsidRPr="0015551C">
              <w:rPr>
                <w:rFonts w:asciiTheme="majorHAnsi" w:eastAsia="Times New Roman" w:hAnsiTheme="majorHAnsi" w:cs="Times New Roman"/>
                <w:sz w:val="16"/>
                <w:szCs w:val="16"/>
              </w:rPr>
              <w:t>Physical activity</w:t>
            </w:r>
          </w:p>
        </w:tc>
        <w:tc>
          <w:tcPr>
            <w:tcW w:w="1633" w:type="dxa"/>
            <w:vAlign w:val="center"/>
          </w:tcPr>
          <w:p w14:paraId="0D56E492" w14:textId="77777777" w:rsidR="008D7D9B" w:rsidRPr="00A16B2D" w:rsidRDefault="008D7D9B" w:rsidP="007E4F30">
            <w:pPr>
              <w:jc w:val="center"/>
              <w:rPr>
                <w:rFonts w:asciiTheme="majorHAnsi" w:hAnsiTheme="majorHAnsi" w:cs="Times New Roman"/>
                <w:sz w:val="16"/>
                <w:szCs w:val="16"/>
              </w:rPr>
            </w:pPr>
          </w:p>
        </w:tc>
        <w:tc>
          <w:tcPr>
            <w:tcW w:w="0" w:type="auto"/>
            <w:vAlign w:val="center"/>
          </w:tcPr>
          <w:p w14:paraId="598B6524" w14:textId="77777777" w:rsidR="008D7D9B" w:rsidRPr="00A16B2D" w:rsidRDefault="008D7D9B" w:rsidP="007E4F30">
            <w:pPr>
              <w:jc w:val="center"/>
              <w:rPr>
                <w:rFonts w:asciiTheme="majorHAnsi" w:hAnsiTheme="majorHAnsi" w:cs="Times New Roman"/>
                <w:sz w:val="16"/>
                <w:szCs w:val="16"/>
              </w:rPr>
            </w:pPr>
          </w:p>
        </w:tc>
        <w:tc>
          <w:tcPr>
            <w:tcW w:w="0" w:type="auto"/>
            <w:vAlign w:val="center"/>
          </w:tcPr>
          <w:p w14:paraId="53B40772" w14:textId="77777777" w:rsidR="008D7D9B" w:rsidRPr="00A16B2D" w:rsidRDefault="008D7D9B" w:rsidP="007E4F30">
            <w:pPr>
              <w:jc w:val="center"/>
              <w:rPr>
                <w:rFonts w:asciiTheme="majorHAnsi" w:hAnsiTheme="majorHAnsi" w:cs="Times New Roman"/>
                <w:sz w:val="16"/>
                <w:szCs w:val="16"/>
              </w:rPr>
            </w:pPr>
          </w:p>
        </w:tc>
        <w:tc>
          <w:tcPr>
            <w:tcW w:w="0" w:type="auto"/>
            <w:vAlign w:val="center"/>
          </w:tcPr>
          <w:p w14:paraId="3C8E736F" w14:textId="77777777" w:rsidR="008D7D9B" w:rsidRPr="00A16B2D" w:rsidRDefault="008D7D9B" w:rsidP="007E4F30">
            <w:pPr>
              <w:jc w:val="center"/>
              <w:rPr>
                <w:rFonts w:asciiTheme="majorHAnsi" w:hAnsiTheme="majorHAnsi" w:cs="Times New Roman"/>
                <w:sz w:val="16"/>
                <w:szCs w:val="16"/>
              </w:rPr>
            </w:pPr>
          </w:p>
        </w:tc>
        <w:tc>
          <w:tcPr>
            <w:tcW w:w="850" w:type="dxa"/>
            <w:vAlign w:val="center"/>
          </w:tcPr>
          <w:p w14:paraId="3FEF4D0E" w14:textId="77777777" w:rsidR="008D7D9B" w:rsidRPr="00A16B2D" w:rsidRDefault="008D7D9B" w:rsidP="007E4F30">
            <w:pPr>
              <w:jc w:val="center"/>
              <w:rPr>
                <w:rFonts w:asciiTheme="majorHAnsi" w:hAnsiTheme="majorHAnsi" w:cs="Times New Roman"/>
                <w:sz w:val="16"/>
                <w:szCs w:val="16"/>
              </w:rPr>
            </w:pPr>
          </w:p>
        </w:tc>
      </w:tr>
      <w:tr w:rsidR="008D7D9B" w:rsidRPr="00A16B2D" w14:paraId="603CC2EE" w14:textId="77777777" w:rsidTr="007E4F30">
        <w:trPr>
          <w:trHeight w:val="268"/>
        </w:trPr>
        <w:tc>
          <w:tcPr>
            <w:tcW w:w="2830" w:type="dxa"/>
            <w:vAlign w:val="center"/>
          </w:tcPr>
          <w:p w14:paraId="77EAE46A" w14:textId="77777777" w:rsidR="008D7D9B" w:rsidRPr="00A16B2D" w:rsidRDefault="008D7D9B" w:rsidP="007E4F30">
            <w:pPr>
              <w:ind w:left="284"/>
              <w:rPr>
                <w:rFonts w:asciiTheme="majorHAnsi" w:eastAsia="Times New Roman" w:hAnsiTheme="majorHAnsi" w:cs="Times New Roman"/>
                <w:sz w:val="16"/>
                <w:szCs w:val="16"/>
              </w:rPr>
            </w:pPr>
            <w:r w:rsidRPr="00A16B2D">
              <w:rPr>
                <w:rFonts w:asciiTheme="majorHAnsi" w:eastAsia="Times New Roman" w:hAnsiTheme="majorHAnsi" w:cs="Times New Roman"/>
                <w:sz w:val="16"/>
                <w:szCs w:val="16"/>
              </w:rPr>
              <w:t>Exercise training, n (%)</w:t>
            </w:r>
          </w:p>
        </w:tc>
        <w:tc>
          <w:tcPr>
            <w:tcW w:w="1633" w:type="dxa"/>
            <w:vAlign w:val="center"/>
          </w:tcPr>
          <w:p w14:paraId="0949B630"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243 (15.5)</w:t>
            </w:r>
          </w:p>
        </w:tc>
        <w:tc>
          <w:tcPr>
            <w:tcW w:w="0" w:type="auto"/>
            <w:vAlign w:val="center"/>
          </w:tcPr>
          <w:p w14:paraId="6BDF16B1"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11 (5.3)</w:t>
            </w:r>
          </w:p>
        </w:tc>
        <w:tc>
          <w:tcPr>
            <w:tcW w:w="0" w:type="auto"/>
            <w:vAlign w:val="center"/>
          </w:tcPr>
          <w:p w14:paraId="68767A89"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18 (10.3)</w:t>
            </w:r>
          </w:p>
        </w:tc>
        <w:tc>
          <w:tcPr>
            <w:tcW w:w="0" w:type="auto"/>
            <w:vAlign w:val="center"/>
          </w:tcPr>
          <w:p w14:paraId="2447CBE3"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3 (2.9)</w:t>
            </w:r>
          </w:p>
        </w:tc>
        <w:tc>
          <w:tcPr>
            <w:tcW w:w="850" w:type="dxa"/>
            <w:vAlign w:val="center"/>
          </w:tcPr>
          <w:p w14:paraId="71658F70"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&lt;0.001</w:t>
            </w:r>
          </w:p>
        </w:tc>
      </w:tr>
      <w:tr w:rsidR="008D7D9B" w:rsidRPr="00A16B2D" w14:paraId="7DBD3208" w14:textId="77777777" w:rsidTr="007E4F30">
        <w:trPr>
          <w:trHeight w:val="268"/>
        </w:trPr>
        <w:tc>
          <w:tcPr>
            <w:tcW w:w="2830" w:type="dxa"/>
            <w:vAlign w:val="center"/>
          </w:tcPr>
          <w:p w14:paraId="160F1F6C" w14:textId="77777777" w:rsidR="008D7D9B" w:rsidRPr="00A16B2D" w:rsidRDefault="008D7D9B" w:rsidP="007E4F30">
            <w:pPr>
              <w:ind w:left="284"/>
              <w:rPr>
                <w:rFonts w:asciiTheme="majorHAnsi" w:eastAsia="Times New Roman" w:hAnsiTheme="majorHAnsi" w:cs="Times New Roman"/>
                <w:sz w:val="16"/>
                <w:szCs w:val="16"/>
              </w:rPr>
            </w:pPr>
            <w:r w:rsidRPr="00A16B2D">
              <w:rPr>
                <w:rFonts w:asciiTheme="majorHAnsi" w:eastAsia="Times New Roman" w:hAnsiTheme="majorHAnsi" w:cs="Times New Roman"/>
                <w:sz w:val="16"/>
                <w:szCs w:val="16"/>
              </w:rPr>
              <w:t>Active, n (%)</w:t>
            </w:r>
          </w:p>
        </w:tc>
        <w:tc>
          <w:tcPr>
            <w:tcW w:w="1633" w:type="dxa"/>
            <w:vAlign w:val="center"/>
          </w:tcPr>
          <w:p w14:paraId="5D35287B"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965 (61.6)</w:t>
            </w:r>
          </w:p>
        </w:tc>
        <w:tc>
          <w:tcPr>
            <w:tcW w:w="0" w:type="auto"/>
            <w:vAlign w:val="center"/>
          </w:tcPr>
          <w:p w14:paraId="5B5EE401"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92 (44.0)</w:t>
            </w:r>
          </w:p>
        </w:tc>
        <w:tc>
          <w:tcPr>
            <w:tcW w:w="0" w:type="auto"/>
            <w:vAlign w:val="center"/>
          </w:tcPr>
          <w:p w14:paraId="625DD4BA"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93 (53.1)</w:t>
            </w:r>
          </w:p>
        </w:tc>
        <w:tc>
          <w:tcPr>
            <w:tcW w:w="0" w:type="auto"/>
            <w:vAlign w:val="center"/>
          </w:tcPr>
          <w:p w14:paraId="44B6BFA8"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28 (27.2)</w:t>
            </w:r>
          </w:p>
        </w:tc>
        <w:tc>
          <w:tcPr>
            <w:tcW w:w="850" w:type="dxa"/>
            <w:vAlign w:val="center"/>
          </w:tcPr>
          <w:p w14:paraId="31E372F0" w14:textId="77777777" w:rsidR="008D7D9B" w:rsidRPr="00A16B2D" w:rsidRDefault="008D7D9B" w:rsidP="007E4F30">
            <w:pPr>
              <w:jc w:val="center"/>
              <w:rPr>
                <w:rFonts w:asciiTheme="majorHAnsi" w:hAnsiTheme="majorHAnsi" w:cs="Times New Roman"/>
                <w:sz w:val="16"/>
                <w:szCs w:val="16"/>
              </w:rPr>
            </w:pPr>
          </w:p>
        </w:tc>
      </w:tr>
      <w:tr w:rsidR="008D7D9B" w:rsidRPr="00A16B2D" w14:paraId="13A0A506" w14:textId="77777777" w:rsidTr="007E4F30">
        <w:trPr>
          <w:trHeight w:val="268"/>
        </w:trPr>
        <w:tc>
          <w:tcPr>
            <w:tcW w:w="2830" w:type="dxa"/>
            <w:vAlign w:val="center"/>
          </w:tcPr>
          <w:p w14:paraId="5E355CBB" w14:textId="77777777" w:rsidR="008D7D9B" w:rsidRPr="00A16B2D" w:rsidRDefault="008D7D9B" w:rsidP="007E4F30">
            <w:pPr>
              <w:ind w:left="284"/>
              <w:rPr>
                <w:rFonts w:asciiTheme="majorHAnsi" w:eastAsia="Times New Roman" w:hAnsiTheme="majorHAnsi" w:cs="Times New Roman"/>
                <w:sz w:val="16"/>
                <w:szCs w:val="16"/>
              </w:rPr>
            </w:pPr>
            <w:r w:rsidRPr="00A16B2D">
              <w:rPr>
                <w:rFonts w:asciiTheme="majorHAnsi" w:eastAsia="Times New Roman" w:hAnsiTheme="majorHAnsi" w:cs="Times New Roman"/>
                <w:sz w:val="16"/>
                <w:szCs w:val="16"/>
              </w:rPr>
              <w:t>Inactive, n (%)</w:t>
            </w:r>
          </w:p>
        </w:tc>
        <w:tc>
          <w:tcPr>
            <w:tcW w:w="1633" w:type="dxa"/>
            <w:vAlign w:val="center"/>
          </w:tcPr>
          <w:p w14:paraId="40336DA4"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106 (22.9)</w:t>
            </w:r>
          </w:p>
        </w:tc>
        <w:tc>
          <w:tcPr>
            <w:tcW w:w="0" w:type="auto"/>
            <w:vAlign w:val="center"/>
          </w:tcPr>
          <w:p w14:paraId="10020226"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106 (50.7)</w:t>
            </w:r>
          </w:p>
        </w:tc>
        <w:tc>
          <w:tcPr>
            <w:tcW w:w="0" w:type="auto"/>
            <w:vAlign w:val="center"/>
          </w:tcPr>
          <w:p w14:paraId="38192FEA"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64 (36.6)</w:t>
            </w:r>
          </w:p>
        </w:tc>
        <w:tc>
          <w:tcPr>
            <w:tcW w:w="0" w:type="auto"/>
            <w:vAlign w:val="center"/>
          </w:tcPr>
          <w:p w14:paraId="3950021E"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72 (69.9)</w:t>
            </w:r>
          </w:p>
        </w:tc>
        <w:tc>
          <w:tcPr>
            <w:tcW w:w="850" w:type="dxa"/>
            <w:vAlign w:val="center"/>
          </w:tcPr>
          <w:p w14:paraId="4D6E1822" w14:textId="77777777" w:rsidR="008D7D9B" w:rsidRPr="00A16B2D" w:rsidRDefault="008D7D9B" w:rsidP="007E4F30">
            <w:pPr>
              <w:jc w:val="center"/>
              <w:rPr>
                <w:rFonts w:asciiTheme="majorHAnsi" w:hAnsiTheme="majorHAnsi" w:cs="Times New Roman"/>
                <w:sz w:val="16"/>
                <w:szCs w:val="16"/>
              </w:rPr>
            </w:pPr>
          </w:p>
        </w:tc>
      </w:tr>
      <w:tr w:rsidR="008D7D9B" w:rsidRPr="00A16B2D" w14:paraId="1D795A63" w14:textId="77777777" w:rsidTr="007E4F30">
        <w:trPr>
          <w:trHeight w:val="268"/>
        </w:trPr>
        <w:tc>
          <w:tcPr>
            <w:tcW w:w="2830" w:type="dxa"/>
            <w:vAlign w:val="center"/>
          </w:tcPr>
          <w:p w14:paraId="14E79466" w14:textId="77777777" w:rsidR="008D7D9B" w:rsidRPr="00A16B2D" w:rsidRDefault="008D7D9B" w:rsidP="007E4F30">
            <w:pPr>
              <w:rPr>
                <w:rFonts w:asciiTheme="majorHAnsi" w:eastAsia="Times New Roman" w:hAnsiTheme="majorHAnsi" w:cs="Times New Roman"/>
                <w:sz w:val="16"/>
                <w:szCs w:val="16"/>
              </w:rPr>
            </w:pPr>
            <w:r w:rsidRPr="00A16B2D">
              <w:rPr>
                <w:rFonts w:asciiTheme="majorHAnsi" w:eastAsia="Times New Roman" w:hAnsiTheme="majorHAnsi" w:cs="Times New Roman"/>
                <w:sz w:val="16"/>
                <w:szCs w:val="16"/>
              </w:rPr>
              <w:t>Mobility limitation, n (%)</w:t>
            </w:r>
          </w:p>
        </w:tc>
        <w:tc>
          <w:tcPr>
            <w:tcW w:w="1633" w:type="dxa"/>
            <w:vAlign w:val="center"/>
          </w:tcPr>
          <w:p w14:paraId="1334CFE5"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267 (16.7)</w:t>
            </w:r>
          </w:p>
        </w:tc>
        <w:tc>
          <w:tcPr>
            <w:tcW w:w="0" w:type="auto"/>
            <w:vAlign w:val="center"/>
          </w:tcPr>
          <w:p w14:paraId="6C183890"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129 (55.8)</w:t>
            </w:r>
          </w:p>
        </w:tc>
        <w:tc>
          <w:tcPr>
            <w:tcW w:w="0" w:type="auto"/>
            <w:vAlign w:val="center"/>
          </w:tcPr>
          <w:p w14:paraId="783EEB3D"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77 (42.5)</w:t>
            </w:r>
          </w:p>
        </w:tc>
        <w:tc>
          <w:tcPr>
            <w:tcW w:w="0" w:type="auto"/>
            <w:vAlign w:val="center"/>
          </w:tcPr>
          <w:p w14:paraId="20D377FA"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96 (81.4)</w:t>
            </w:r>
          </w:p>
        </w:tc>
        <w:tc>
          <w:tcPr>
            <w:tcW w:w="850" w:type="dxa"/>
            <w:vAlign w:val="center"/>
          </w:tcPr>
          <w:p w14:paraId="6BAE6C30" w14:textId="77777777" w:rsidR="008D7D9B" w:rsidRPr="00A16B2D" w:rsidRDefault="008D7D9B" w:rsidP="007E4F30">
            <w:pPr>
              <w:jc w:val="center"/>
              <w:rPr>
                <w:rFonts w:asciiTheme="majorHAnsi" w:hAnsiTheme="majorHAnsi" w:cs="Times New Roman"/>
                <w:sz w:val="16"/>
                <w:szCs w:val="16"/>
              </w:rPr>
            </w:pPr>
            <w:r w:rsidRPr="00A16B2D">
              <w:rPr>
                <w:rFonts w:asciiTheme="majorHAnsi" w:hAnsiTheme="majorHAnsi" w:cs="Times New Roman"/>
                <w:sz w:val="16"/>
                <w:szCs w:val="16"/>
              </w:rPr>
              <w:t>&lt;0.001</w:t>
            </w:r>
          </w:p>
        </w:tc>
      </w:tr>
    </w:tbl>
    <w:p w14:paraId="538D3FA3" w14:textId="77777777" w:rsidR="008D7D9B" w:rsidRDefault="008D7D9B" w:rsidP="008D7D9B">
      <w:pPr>
        <w:rPr>
          <w:rFonts w:asciiTheme="majorHAnsi" w:hAnsiTheme="majorHAnsi"/>
          <w:color w:val="000000"/>
        </w:rPr>
      </w:pPr>
    </w:p>
    <w:p w14:paraId="30E7AF07" w14:textId="77777777" w:rsidR="008D7D9B" w:rsidRPr="00A16B2D" w:rsidRDefault="008D7D9B" w:rsidP="008D7D9B">
      <w:pPr>
        <w:pStyle w:val="Caption"/>
        <w:keepNext/>
        <w:rPr>
          <w:rFonts w:asciiTheme="majorHAnsi" w:hAnsiTheme="majorHAnsi"/>
        </w:rPr>
      </w:pPr>
      <w:bookmarkStart w:id="0" w:name="_Hlk182724599"/>
      <w:r w:rsidRPr="00A16B2D">
        <w:rPr>
          <w:rFonts w:asciiTheme="majorHAnsi" w:hAnsiTheme="majorHAnsi"/>
        </w:rPr>
        <w:t xml:space="preserve">Table </w:t>
      </w:r>
      <w:r w:rsidRPr="00A16B2D">
        <w:rPr>
          <w:rFonts w:asciiTheme="majorHAnsi" w:hAnsiTheme="majorHAnsi"/>
        </w:rPr>
        <w:fldChar w:fldCharType="begin"/>
      </w:r>
      <w:r w:rsidRPr="00A16B2D">
        <w:rPr>
          <w:rFonts w:asciiTheme="majorHAnsi" w:hAnsiTheme="majorHAnsi"/>
        </w:rPr>
        <w:instrText xml:space="preserve"> SEQ Table \* ARABIC </w:instrText>
      </w:r>
      <w:r w:rsidRPr="00A16B2D">
        <w:rPr>
          <w:rFonts w:asciiTheme="majorHAnsi" w:hAnsiTheme="majorHAnsi"/>
        </w:rPr>
        <w:fldChar w:fldCharType="separate"/>
      </w:r>
      <w:r w:rsidRPr="00A16B2D">
        <w:rPr>
          <w:rFonts w:asciiTheme="majorHAnsi" w:hAnsiTheme="majorHAnsi"/>
          <w:noProof/>
        </w:rPr>
        <w:t>2</w:t>
      </w:r>
      <w:r w:rsidRPr="00A16B2D">
        <w:rPr>
          <w:rFonts w:asciiTheme="majorHAnsi" w:hAnsiTheme="majorHAnsi"/>
        </w:rPr>
        <w:fldChar w:fldCharType="end"/>
      </w:r>
      <w:r w:rsidRPr="00A16B2D">
        <w:rPr>
          <w:rFonts w:asciiTheme="majorHAnsi" w:hAnsiTheme="majorHAnsi"/>
        </w:rPr>
        <w:t xml:space="preserve">: </w:t>
      </w:r>
      <w:r>
        <w:rPr>
          <w:rFonts w:asciiTheme="majorHAnsi" w:hAnsiTheme="majorHAnsi"/>
        </w:rPr>
        <w:t>Hazard ratios of any fracture, major osteoporotic fracture, hip fracture and death</w:t>
      </w:r>
      <w:r w:rsidRPr="00A16B2D">
        <w:rPr>
          <w:rFonts w:asciiTheme="majorHAnsi" w:hAnsiTheme="majorHAnsi"/>
        </w:rPr>
        <w:t xml:space="preserve"> </w:t>
      </w:r>
      <w:r>
        <w:rPr>
          <w:rFonts w:asciiTheme="majorHAnsi" w:hAnsiTheme="majorHAnsi"/>
        </w:rPr>
        <w:t>a</w:t>
      </w:r>
      <w:r w:rsidRPr="00A16B2D">
        <w:rPr>
          <w:rFonts w:asciiTheme="majorHAnsi" w:hAnsiTheme="majorHAnsi"/>
        </w:rPr>
        <w:t xml:space="preserve">cross </w:t>
      </w:r>
      <w:r>
        <w:rPr>
          <w:rFonts w:asciiTheme="majorHAnsi" w:hAnsiTheme="majorHAnsi"/>
        </w:rPr>
        <w:t>o</w:t>
      </w:r>
      <w:r w:rsidRPr="00A16B2D">
        <w:rPr>
          <w:rFonts w:asciiTheme="majorHAnsi" w:hAnsiTheme="majorHAnsi"/>
        </w:rPr>
        <w:t xml:space="preserve">steosarcopenia </w:t>
      </w:r>
      <w:r>
        <w:rPr>
          <w:rFonts w:asciiTheme="majorHAnsi" w:hAnsiTheme="majorHAnsi"/>
        </w:rPr>
        <w:t>g</w:t>
      </w:r>
      <w:r w:rsidRPr="00A16B2D">
        <w:rPr>
          <w:rFonts w:asciiTheme="majorHAnsi" w:hAnsiTheme="majorHAnsi"/>
        </w:rPr>
        <w:t>roups</w:t>
      </w:r>
    </w:p>
    <w:tbl>
      <w:tblPr>
        <w:tblStyle w:val="TableGrid"/>
        <w:tblW w:w="14879" w:type="dxa"/>
        <w:tblLayout w:type="fixed"/>
        <w:tblLook w:val="04A0" w:firstRow="1" w:lastRow="0" w:firstColumn="1" w:lastColumn="0" w:noHBand="0" w:noVBand="1"/>
      </w:tblPr>
      <w:tblGrid>
        <w:gridCol w:w="1985"/>
        <w:gridCol w:w="1838"/>
        <w:gridCol w:w="708"/>
        <w:gridCol w:w="1418"/>
        <w:gridCol w:w="2232"/>
        <w:gridCol w:w="2233"/>
        <w:gridCol w:w="2232"/>
        <w:gridCol w:w="2233"/>
      </w:tblGrid>
      <w:tr w:rsidR="008D7D9B" w:rsidRPr="00A16B2D" w14:paraId="755133AD" w14:textId="77777777" w:rsidTr="00B623C7">
        <w:trPr>
          <w:trHeight w:val="264"/>
        </w:trPr>
        <w:tc>
          <w:tcPr>
            <w:tcW w:w="1985" w:type="dxa"/>
            <w:noWrap/>
            <w:vAlign w:val="center"/>
            <w:hideMark/>
          </w:tcPr>
          <w:p w14:paraId="43327B7B" w14:textId="77777777" w:rsidR="008D7D9B" w:rsidRPr="00A16B2D" w:rsidRDefault="008D7D9B" w:rsidP="007E4F30">
            <w:pPr>
              <w:rPr>
                <w:rFonts w:asciiTheme="majorHAnsi" w:eastAsia="Times New Roman" w:hAnsiTheme="majorHAnsi" w:cs="Times New Roman"/>
                <w:kern w:val="0"/>
                <w:sz w:val="16"/>
                <w:szCs w:val="16"/>
                <w:lang w:eastAsia="fi-FI"/>
                <w14:ligatures w14:val="none"/>
              </w:rPr>
            </w:pPr>
          </w:p>
        </w:tc>
        <w:tc>
          <w:tcPr>
            <w:tcW w:w="1838" w:type="dxa"/>
            <w:noWrap/>
            <w:vAlign w:val="center"/>
            <w:hideMark/>
          </w:tcPr>
          <w:p w14:paraId="02B7F2A8" w14:textId="77777777" w:rsidR="008D7D9B" w:rsidRPr="00A16B2D" w:rsidRDefault="008D7D9B" w:rsidP="007E4F30">
            <w:pPr>
              <w:rPr>
                <w:rFonts w:asciiTheme="majorHAnsi" w:eastAsia="Times New Roman" w:hAnsiTheme="majorHAnsi" w:cs="Times New Roman"/>
                <w:kern w:val="0"/>
                <w:sz w:val="16"/>
                <w:szCs w:val="16"/>
                <w:lang w:eastAsia="fi-FI"/>
                <w14:ligatures w14:val="none"/>
              </w:rPr>
            </w:pPr>
          </w:p>
        </w:tc>
        <w:tc>
          <w:tcPr>
            <w:tcW w:w="708" w:type="dxa"/>
            <w:noWrap/>
            <w:vAlign w:val="center"/>
            <w:hideMark/>
          </w:tcPr>
          <w:p w14:paraId="65E4C9C1" w14:textId="77777777" w:rsidR="008D7D9B" w:rsidRPr="00A16B2D" w:rsidRDefault="008D7D9B" w:rsidP="007E4F30">
            <w:pPr>
              <w:rPr>
                <w:rFonts w:asciiTheme="majorHAnsi" w:eastAsia="Times New Roman" w:hAnsiTheme="majorHAnsi" w:cs="Times New Roman"/>
                <w:kern w:val="0"/>
                <w:sz w:val="16"/>
                <w:szCs w:val="16"/>
                <w:lang w:eastAsia="fi-FI"/>
                <w14:ligatures w14:val="none"/>
              </w:rPr>
            </w:pPr>
          </w:p>
        </w:tc>
        <w:tc>
          <w:tcPr>
            <w:tcW w:w="1418" w:type="dxa"/>
            <w:noWrap/>
            <w:vAlign w:val="center"/>
            <w:hideMark/>
          </w:tcPr>
          <w:p w14:paraId="151CF032" w14:textId="77777777" w:rsidR="008D7D9B" w:rsidRPr="00A16B2D" w:rsidRDefault="008D7D9B" w:rsidP="007E4F30">
            <w:pPr>
              <w:jc w:val="center"/>
              <w:rPr>
                <w:rFonts w:asciiTheme="majorHAnsi" w:eastAsia="Times New Roman" w:hAnsiTheme="majorHAnsi" w:cs="Times New Roman"/>
                <w:kern w:val="0"/>
                <w:sz w:val="16"/>
                <w:szCs w:val="16"/>
                <w:lang w:eastAsia="fi-FI"/>
                <w14:ligatures w14:val="none"/>
              </w:rPr>
            </w:pPr>
          </w:p>
        </w:tc>
        <w:tc>
          <w:tcPr>
            <w:tcW w:w="2232" w:type="dxa"/>
            <w:noWrap/>
            <w:vAlign w:val="center"/>
            <w:hideMark/>
          </w:tcPr>
          <w:p w14:paraId="12377B0B" w14:textId="77777777" w:rsidR="008D7D9B" w:rsidRPr="00A16B2D" w:rsidRDefault="008D7D9B" w:rsidP="007E4F30">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Model 1</w:t>
            </w:r>
            <w:r w:rsidRPr="00A16B2D">
              <w:rPr>
                <w:rStyle w:val="FootnoteReference"/>
                <w:rFonts w:asciiTheme="majorHAnsi" w:eastAsia="Times New Roman" w:hAnsiTheme="majorHAnsi" w:cs="Times New Roman"/>
                <w:color w:val="000000"/>
                <w:kern w:val="0"/>
                <w:sz w:val="16"/>
                <w:szCs w:val="16"/>
                <w:lang w:eastAsia="fi-FI"/>
                <w14:ligatures w14:val="none"/>
              </w:rPr>
              <w:footnoteReference w:id="1"/>
            </w:r>
          </w:p>
        </w:tc>
        <w:tc>
          <w:tcPr>
            <w:tcW w:w="2233" w:type="dxa"/>
            <w:noWrap/>
            <w:vAlign w:val="center"/>
            <w:hideMark/>
          </w:tcPr>
          <w:p w14:paraId="75781668" w14:textId="77777777" w:rsidR="008D7D9B" w:rsidRPr="00A16B2D" w:rsidRDefault="008D7D9B" w:rsidP="007E4F30">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Model 2</w:t>
            </w:r>
            <w:r w:rsidRPr="00A16B2D">
              <w:rPr>
                <w:rStyle w:val="FootnoteReference"/>
                <w:rFonts w:asciiTheme="majorHAnsi" w:eastAsia="Times New Roman" w:hAnsiTheme="majorHAnsi" w:cs="Times New Roman"/>
                <w:color w:val="000000"/>
                <w:kern w:val="0"/>
                <w:sz w:val="16"/>
                <w:szCs w:val="16"/>
                <w:lang w:eastAsia="fi-FI"/>
                <w14:ligatures w14:val="none"/>
              </w:rPr>
              <w:footnoteReference w:id="2"/>
            </w:r>
          </w:p>
        </w:tc>
        <w:tc>
          <w:tcPr>
            <w:tcW w:w="2232" w:type="dxa"/>
            <w:noWrap/>
            <w:vAlign w:val="center"/>
            <w:hideMark/>
          </w:tcPr>
          <w:p w14:paraId="1B008394" w14:textId="77777777" w:rsidR="008D7D9B" w:rsidRPr="00A16B2D" w:rsidRDefault="008D7D9B" w:rsidP="007E4F30">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Model 3</w:t>
            </w:r>
            <w:r w:rsidRPr="00A16B2D">
              <w:rPr>
                <w:rStyle w:val="FootnoteReference"/>
                <w:rFonts w:asciiTheme="majorHAnsi" w:eastAsia="Times New Roman" w:hAnsiTheme="majorHAnsi" w:cs="Times New Roman"/>
                <w:color w:val="000000"/>
                <w:kern w:val="0"/>
                <w:sz w:val="16"/>
                <w:szCs w:val="16"/>
                <w:lang w:eastAsia="fi-FI"/>
                <w14:ligatures w14:val="none"/>
              </w:rPr>
              <w:footnoteReference w:id="3"/>
            </w:r>
          </w:p>
        </w:tc>
        <w:tc>
          <w:tcPr>
            <w:tcW w:w="2233" w:type="dxa"/>
            <w:noWrap/>
            <w:vAlign w:val="center"/>
            <w:hideMark/>
          </w:tcPr>
          <w:p w14:paraId="7DC4788A" w14:textId="77777777" w:rsidR="008D7D9B" w:rsidRPr="00A16B2D" w:rsidRDefault="008D7D9B" w:rsidP="007E4F30">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 xml:space="preserve">Model </w:t>
            </w:r>
            <w:r>
              <w:rPr>
                <w:rFonts w:asciiTheme="majorHAnsi" w:eastAsia="Times New Roman" w:hAnsiTheme="majorHAnsi" w:cs="Times New Roman"/>
                <w:color w:val="000000"/>
                <w:kern w:val="0"/>
                <w:sz w:val="16"/>
                <w:szCs w:val="16"/>
                <w:lang w:eastAsia="fi-FI"/>
                <w14:ligatures w14:val="none"/>
              </w:rPr>
              <w:t>4</w:t>
            </w:r>
            <w:r w:rsidRPr="00A16B2D">
              <w:rPr>
                <w:rStyle w:val="FootnoteReference"/>
                <w:rFonts w:asciiTheme="majorHAnsi" w:eastAsia="Times New Roman" w:hAnsiTheme="majorHAnsi" w:cs="Times New Roman"/>
                <w:color w:val="000000"/>
                <w:kern w:val="0"/>
                <w:sz w:val="16"/>
                <w:szCs w:val="16"/>
                <w:lang w:eastAsia="fi-FI"/>
                <w14:ligatures w14:val="none"/>
              </w:rPr>
              <w:footnoteReference w:id="4"/>
            </w:r>
          </w:p>
        </w:tc>
      </w:tr>
      <w:tr w:rsidR="008D7D9B" w:rsidRPr="00A16B2D" w14:paraId="2E08BCB4" w14:textId="77777777" w:rsidTr="00B623C7">
        <w:trPr>
          <w:trHeight w:val="264"/>
        </w:trPr>
        <w:tc>
          <w:tcPr>
            <w:tcW w:w="1985" w:type="dxa"/>
            <w:noWrap/>
            <w:vAlign w:val="center"/>
            <w:hideMark/>
          </w:tcPr>
          <w:p w14:paraId="47386344" w14:textId="77777777" w:rsidR="008D7D9B" w:rsidRPr="00A16B2D" w:rsidRDefault="008D7D9B" w:rsidP="007E4F30">
            <w:pPr>
              <w:jc w:val="center"/>
              <w:rPr>
                <w:rFonts w:asciiTheme="majorHAnsi" w:eastAsia="Times New Roman" w:hAnsiTheme="majorHAnsi" w:cs="Times New Roman"/>
                <w:color w:val="000000"/>
                <w:kern w:val="0"/>
                <w:sz w:val="16"/>
                <w:szCs w:val="16"/>
                <w:lang w:eastAsia="fi-FI"/>
                <w14:ligatures w14:val="none"/>
              </w:rPr>
            </w:pPr>
          </w:p>
        </w:tc>
        <w:tc>
          <w:tcPr>
            <w:tcW w:w="1838" w:type="dxa"/>
            <w:noWrap/>
            <w:vAlign w:val="center"/>
            <w:hideMark/>
          </w:tcPr>
          <w:p w14:paraId="59450570" w14:textId="77777777" w:rsidR="008D7D9B" w:rsidRPr="00A16B2D" w:rsidRDefault="008D7D9B" w:rsidP="007E4F30">
            <w:pPr>
              <w:rPr>
                <w:rFonts w:asciiTheme="majorHAnsi" w:eastAsia="Times New Roman" w:hAnsiTheme="majorHAnsi" w:cs="Times New Roman"/>
                <w:kern w:val="0"/>
                <w:sz w:val="16"/>
                <w:szCs w:val="16"/>
                <w:lang w:eastAsia="fi-FI"/>
                <w14:ligatures w14:val="none"/>
              </w:rPr>
            </w:pPr>
          </w:p>
        </w:tc>
        <w:tc>
          <w:tcPr>
            <w:tcW w:w="708" w:type="dxa"/>
            <w:noWrap/>
            <w:vAlign w:val="center"/>
            <w:hideMark/>
          </w:tcPr>
          <w:p w14:paraId="47EE7C71" w14:textId="77777777" w:rsidR="008D7D9B" w:rsidRPr="00A16B2D" w:rsidRDefault="008D7D9B" w:rsidP="007E4F30">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n</w:t>
            </w:r>
          </w:p>
        </w:tc>
        <w:tc>
          <w:tcPr>
            <w:tcW w:w="1418" w:type="dxa"/>
            <w:noWrap/>
            <w:vAlign w:val="center"/>
            <w:hideMark/>
          </w:tcPr>
          <w:p w14:paraId="2328E454" w14:textId="77777777" w:rsidR="008D7D9B" w:rsidRPr="00A16B2D" w:rsidRDefault="008D7D9B" w:rsidP="007E4F30">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Number of events (%</w:t>
            </w:r>
            <w:r w:rsidRPr="00A16B2D">
              <w:rPr>
                <w:rStyle w:val="FootnoteReference"/>
                <w:rFonts w:asciiTheme="majorHAnsi" w:eastAsia="Times New Roman" w:hAnsiTheme="majorHAnsi" w:cs="Times New Roman"/>
                <w:color w:val="000000"/>
                <w:kern w:val="0"/>
                <w:sz w:val="16"/>
                <w:szCs w:val="16"/>
                <w:lang w:eastAsia="fi-FI"/>
                <w14:ligatures w14:val="none"/>
              </w:rPr>
              <w:footnoteReference w:id="5"/>
            </w:r>
            <w:r w:rsidRPr="00A16B2D">
              <w:rPr>
                <w:rFonts w:asciiTheme="majorHAnsi" w:eastAsia="Times New Roman" w:hAnsiTheme="majorHAnsi" w:cs="Times New Roman"/>
                <w:color w:val="000000"/>
                <w:kern w:val="0"/>
                <w:sz w:val="16"/>
                <w:szCs w:val="16"/>
                <w:lang w:eastAsia="fi-FI"/>
                <w14:ligatures w14:val="none"/>
              </w:rPr>
              <w:t>)</w:t>
            </w:r>
          </w:p>
        </w:tc>
        <w:tc>
          <w:tcPr>
            <w:tcW w:w="2232" w:type="dxa"/>
            <w:noWrap/>
            <w:vAlign w:val="center"/>
            <w:hideMark/>
          </w:tcPr>
          <w:p w14:paraId="72CC25DB" w14:textId="77777777" w:rsidR="008D7D9B" w:rsidRPr="00A16B2D" w:rsidRDefault="008D7D9B" w:rsidP="007E4F30">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HR (95% CI)</w:t>
            </w:r>
          </w:p>
        </w:tc>
        <w:tc>
          <w:tcPr>
            <w:tcW w:w="2233" w:type="dxa"/>
            <w:noWrap/>
            <w:vAlign w:val="center"/>
            <w:hideMark/>
          </w:tcPr>
          <w:p w14:paraId="1CD53D5E" w14:textId="77777777" w:rsidR="008D7D9B" w:rsidRPr="00A16B2D" w:rsidRDefault="008D7D9B" w:rsidP="007E4F30">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HR (95% CI)</w:t>
            </w:r>
          </w:p>
        </w:tc>
        <w:tc>
          <w:tcPr>
            <w:tcW w:w="2232" w:type="dxa"/>
            <w:noWrap/>
            <w:vAlign w:val="center"/>
            <w:hideMark/>
          </w:tcPr>
          <w:p w14:paraId="3BA00DE6" w14:textId="77777777" w:rsidR="008D7D9B" w:rsidRPr="00A16B2D" w:rsidRDefault="008D7D9B" w:rsidP="007E4F30">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HR (95% CI)</w:t>
            </w:r>
          </w:p>
        </w:tc>
        <w:tc>
          <w:tcPr>
            <w:tcW w:w="2233" w:type="dxa"/>
            <w:noWrap/>
            <w:vAlign w:val="center"/>
            <w:hideMark/>
          </w:tcPr>
          <w:p w14:paraId="064206BA" w14:textId="77777777" w:rsidR="008D7D9B" w:rsidRPr="00A16B2D" w:rsidRDefault="008D7D9B" w:rsidP="007E4F30">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HR (95% CI)</w:t>
            </w:r>
          </w:p>
        </w:tc>
      </w:tr>
      <w:tr w:rsidR="00B623C7" w:rsidRPr="00A16B2D" w14:paraId="2EAFB399" w14:textId="77777777" w:rsidTr="00B623C7">
        <w:trPr>
          <w:trHeight w:val="264"/>
        </w:trPr>
        <w:tc>
          <w:tcPr>
            <w:tcW w:w="1985" w:type="dxa"/>
            <w:noWrap/>
            <w:vAlign w:val="center"/>
            <w:hideMark/>
          </w:tcPr>
          <w:p w14:paraId="203C0289" w14:textId="71862707" w:rsidR="00B623C7" w:rsidRPr="00A16B2D" w:rsidRDefault="00B623C7" w:rsidP="00B623C7">
            <w:pP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Any</w:t>
            </w:r>
            <w:r w:rsidR="0003578D">
              <w:rPr>
                <w:rFonts w:asciiTheme="majorHAnsi" w:eastAsia="Times New Roman" w:hAnsiTheme="majorHAnsi" w:cs="Times New Roman"/>
                <w:color w:val="000000"/>
                <w:kern w:val="0"/>
                <w:sz w:val="16"/>
                <w:szCs w:val="16"/>
                <w:lang w:eastAsia="fi-FI"/>
                <w14:ligatures w14:val="none"/>
              </w:rPr>
              <w:t xml:space="preserve"> low-energy</w:t>
            </w:r>
            <w:r w:rsidRPr="00A16B2D">
              <w:rPr>
                <w:rFonts w:asciiTheme="majorHAnsi" w:eastAsia="Times New Roman" w:hAnsiTheme="majorHAnsi" w:cs="Times New Roman"/>
                <w:color w:val="000000"/>
                <w:kern w:val="0"/>
                <w:sz w:val="16"/>
                <w:szCs w:val="16"/>
                <w:lang w:eastAsia="fi-FI"/>
                <w14:ligatures w14:val="none"/>
              </w:rPr>
              <w:t xml:space="preserve"> fracture</w:t>
            </w:r>
          </w:p>
        </w:tc>
        <w:tc>
          <w:tcPr>
            <w:tcW w:w="1838" w:type="dxa"/>
            <w:noWrap/>
            <w:vAlign w:val="center"/>
            <w:hideMark/>
          </w:tcPr>
          <w:p w14:paraId="3939FDA3" w14:textId="77777777" w:rsidR="00B623C7" w:rsidRPr="00A16B2D" w:rsidRDefault="00B623C7" w:rsidP="00B623C7">
            <w:pPr>
              <w:rPr>
                <w:rFonts w:asciiTheme="majorHAnsi" w:eastAsia="Times New Roman" w:hAnsiTheme="majorHAnsi" w:cs="Times New Roman"/>
                <w:color w:val="000000"/>
                <w:kern w:val="0"/>
                <w:sz w:val="16"/>
                <w:szCs w:val="16"/>
                <w:lang w:eastAsia="fi-FI"/>
                <w14:ligatures w14:val="none"/>
              </w:rPr>
            </w:pPr>
            <w:r>
              <w:rPr>
                <w:rFonts w:asciiTheme="majorHAnsi" w:eastAsia="Times New Roman" w:hAnsiTheme="majorHAnsi" w:cs="Times New Roman"/>
                <w:color w:val="000000"/>
                <w:kern w:val="0"/>
                <w:sz w:val="16"/>
                <w:szCs w:val="16"/>
                <w:lang w:eastAsia="fi-FI"/>
                <w14:ligatures w14:val="none"/>
              </w:rPr>
              <w:t>No sarcopenia</w:t>
            </w:r>
            <w:r w:rsidRPr="00A16B2D">
              <w:rPr>
                <w:rFonts w:asciiTheme="majorHAnsi" w:eastAsia="Times New Roman" w:hAnsiTheme="majorHAnsi" w:cs="Times New Roman"/>
                <w:color w:val="000000"/>
                <w:kern w:val="0"/>
                <w:sz w:val="16"/>
                <w:szCs w:val="16"/>
                <w:lang w:eastAsia="fi-FI"/>
                <w14:ligatures w14:val="none"/>
              </w:rPr>
              <w:t>, no osteoporosis</w:t>
            </w:r>
          </w:p>
        </w:tc>
        <w:tc>
          <w:tcPr>
            <w:tcW w:w="708" w:type="dxa"/>
            <w:noWrap/>
            <w:vAlign w:val="center"/>
            <w:hideMark/>
          </w:tcPr>
          <w:p w14:paraId="00C43514" w14:textId="77777777" w:rsidR="00B623C7" w:rsidRPr="00A16B2D" w:rsidRDefault="00B623C7" w:rsidP="00B623C7">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1602</w:t>
            </w:r>
          </w:p>
        </w:tc>
        <w:tc>
          <w:tcPr>
            <w:tcW w:w="1418" w:type="dxa"/>
            <w:noWrap/>
            <w:vAlign w:val="center"/>
            <w:hideMark/>
          </w:tcPr>
          <w:p w14:paraId="0234F219" w14:textId="6BB0F3D0" w:rsidR="00B623C7" w:rsidRPr="00A16B2D" w:rsidRDefault="00B623C7" w:rsidP="00B623C7">
            <w:pPr>
              <w:jc w:val="center"/>
              <w:rPr>
                <w:rFonts w:asciiTheme="majorHAnsi" w:eastAsia="Times New Roman" w:hAnsiTheme="majorHAnsi" w:cs="Times New Roman"/>
                <w:color w:val="000000"/>
                <w:kern w:val="0"/>
                <w:sz w:val="16"/>
                <w:szCs w:val="16"/>
                <w:lang w:eastAsia="fi-FI"/>
                <w14:ligatures w14:val="none"/>
              </w:rPr>
            </w:pPr>
            <w:r w:rsidRPr="00590CCD">
              <w:rPr>
                <w:color w:val="000000"/>
                <w:sz w:val="16"/>
                <w:szCs w:val="16"/>
              </w:rPr>
              <w:t>291 (18.2)</w:t>
            </w:r>
          </w:p>
        </w:tc>
        <w:tc>
          <w:tcPr>
            <w:tcW w:w="2232" w:type="dxa"/>
            <w:noWrap/>
            <w:vAlign w:val="center"/>
            <w:hideMark/>
          </w:tcPr>
          <w:p w14:paraId="4438548B" w14:textId="77777777" w:rsidR="00B623C7" w:rsidRPr="00A16B2D" w:rsidRDefault="00B623C7" w:rsidP="00B623C7">
            <w:pPr>
              <w:jc w:val="center"/>
              <w:rPr>
                <w:rFonts w:asciiTheme="majorHAnsi" w:eastAsia="Times New Roman" w:hAnsiTheme="majorHAnsi" w:cs="Times New Roman"/>
                <w:color w:val="000000"/>
                <w:kern w:val="0"/>
                <w:sz w:val="16"/>
                <w:szCs w:val="16"/>
                <w:lang w:eastAsia="fi-FI"/>
                <w14:ligatures w14:val="none"/>
              </w:rPr>
            </w:pPr>
            <w:r>
              <w:rPr>
                <w:rFonts w:asciiTheme="majorHAnsi" w:eastAsia="Times New Roman" w:hAnsiTheme="majorHAnsi" w:cs="Times New Roman"/>
                <w:color w:val="000000"/>
                <w:kern w:val="0"/>
                <w:sz w:val="16"/>
                <w:szCs w:val="16"/>
                <w:lang w:eastAsia="fi-FI"/>
                <w14:ligatures w14:val="none"/>
              </w:rPr>
              <w:t>1.00 (Reference)</w:t>
            </w:r>
          </w:p>
        </w:tc>
        <w:tc>
          <w:tcPr>
            <w:tcW w:w="2233" w:type="dxa"/>
            <w:noWrap/>
            <w:vAlign w:val="center"/>
            <w:hideMark/>
          </w:tcPr>
          <w:p w14:paraId="401024F5" w14:textId="77777777" w:rsidR="00B623C7" w:rsidRPr="00A16B2D" w:rsidRDefault="00B623C7" w:rsidP="00B623C7">
            <w:pPr>
              <w:jc w:val="center"/>
              <w:rPr>
                <w:rFonts w:asciiTheme="majorHAnsi" w:eastAsia="Times New Roman" w:hAnsiTheme="majorHAnsi" w:cs="Times New Roman"/>
                <w:color w:val="000000"/>
                <w:kern w:val="0"/>
                <w:sz w:val="16"/>
                <w:szCs w:val="16"/>
                <w:lang w:eastAsia="fi-FI"/>
                <w14:ligatures w14:val="none"/>
              </w:rPr>
            </w:pPr>
            <w:r>
              <w:rPr>
                <w:rFonts w:asciiTheme="majorHAnsi" w:eastAsia="Times New Roman" w:hAnsiTheme="majorHAnsi" w:cs="Times New Roman"/>
                <w:color w:val="000000"/>
                <w:kern w:val="0"/>
                <w:sz w:val="16"/>
                <w:szCs w:val="16"/>
                <w:lang w:eastAsia="fi-FI"/>
                <w14:ligatures w14:val="none"/>
              </w:rPr>
              <w:t>1.00 (Reference)</w:t>
            </w:r>
          </w:p>
        </w:tc>
        <w:tc>
          <w:tcPr>
            <w:tcW w:w="2232" w:type="dxa"/>
            <w:noWrap/>
            <w:vAlign w:val="center"/>
            <w:hideMark/>
          </w:tcPr>
          <w:p w14:paraId="4666AF08" w14:textId="77777777" w:rsidR="00B623C7" w:rsidRPr="00A16B2D" w:rsidRDefault="00B623C7" w:rsidP="00B623C7">
            <w:pPr>
              <w:jc w:val="center"/>
              <w:rPr>
                <w:rFonts w:asciiTheme="majorHAnsi" w:eastAsia="Times New Roman" w:hAnsiTheme="majorHAnsi" w:cs="Times New Roman"/>
                <w:color w:val="000000"/>
                <w:kern w:val="0"/>
                <w:sz w:val="16"/>
                <w:szCs w:val="16"/>
                <w:lang w:eastAsia="fi-FI"/>
                <w14:ligatures w14:val="none"/>
              </w:rPr>
            </w:pPr>
            <w:r>
              <w:rPr>
                <w:rFonts w:asciiTheme="majorHAnsi" w:eastAsia="Times New Roman" w:hAnsiTheme="majorHAnsi" w:cs="Times New Roman"/>
                <w:color w:val="000000"/>
                <w:kern w:val="0"/>
                <w:sz w:val="16"/>
                <w:szCs w:val="16"/>
                <w:lang w:eastAsia="fi-FI"/>
                <w14:ligatures w14:val="none"/>
              </w:rPr>
              <w:t>1.00 (Reference)</w:t>
            </w:r>
          </w:p>
        </w:tc>
        <w:tc>
          <w:tcPr>
            <w:tcW w:w="2233" w:type="dxa"/>
            <w:noWrap/>
            <w:vAlign w:val="center"/>
            <w:hideMark/>
          </w:tcPr>
          <w:p w14:paraId="6C55B28D" w14:textId="50D496DC" w:rsidR="00B623C7" w:rsidRPr="00A16B2D" w:rsidRDefault="00B623C7" w:rsidP="00B623C7">
            <w:pPr>
              <w:jc w:val="center"/>
              <w:rPr>
                <w:rFonts w:asciiTheme="majorHAnsi" w:eastAsia="Times New Roman" w:hAnsiTheme="majorHAnsi" w:cs="Times New Roman"/>
                <w:color w:val="000000"/>
                <w:kern w:val="0"/>
                <w:sz w:val="16"/>
                <w:szCs w:val="16"/>
                <w:lang w:eastAsia="fi-FI"/>
                <w14:ligatures w14:val="none"/>
              </w:rPr>
            </w:pPr>
            <w:r>
              <w:rPr>
                <w:color w:val="000000"/>
                <w:sz w:val="16"/>
                <w:szCs w:val="16"/>
              </w:rPr>
              <w:t>1.0 (Reference)</w:t>
            </w:r>
          </w:p>
        </w:tc>
      </w:tr>
      <w:tr w:rsidR="00B623C7" w:rsidRPr="00A16B2D" w14:paraId="7C8152FA" w14:textId="77777777" w:rsidTr="00B623C7">
        <w:trPr>
          <w:trHeight w:val="264"/>
        </w:trPr>
        <w:tc>
          <w:tcPr>
            <w:tcW w:w="1985" w:type="dxa"/>
            <w:noWrap/>
            <w:vAlign w:val="center"/>
            <w:hideMark/>
          </w:tcPr>
          <w:p w14:paraId="2589CF79" w14:textId="77777777" w:rsidR="00B623C7" w:rsidRPr="00A16B2D" w:rsidRDefault="00B623C7" w:rsidP="00B623C7">
            <w:pPr>
              <w:jc w:val="center"/>
              <w:rPr>
                <w:rFonts w:asciiTheme="majorHAnsi" w:eastAsia="Times New Roman" w:hAnsiTheme="majorHAnsi" w:cs="Times New Roman"/>
                <w:color w:val="000000"/>
                <w:kern w:val="0"/>
                <w:sz w:val="16"/>
                <w:szCs w:val="16"/>
                <w:lang w:eastAsia="fi-FI"/>
                <w14:ligatures w14:val="none"/>
              </w:rPr>
            </w:pPr>
          </w:p>
        </w:tc>
        <w:tc>
          <w:tcPr>
            <w:tcW w:w="1838" w:type="dxa"/>
            <w:noWrap/>
            <w:vAlign w:val="center"/>
            <w:hideMark/>
          </w:tcPr>
          <w:p w14:paraId="32E91519" w14:textId="77777777" w:rsidR="00B623C7" w:rsidRPr="00A16B2D" w:rsidRDefault="00B623C7" w:rsidP="00B623C7">
            <w:pPr>
              <w:rPr>
                <w:rFonts w:asciiTheme="majorHAnsi" w:eastAsia="Times New Roman" w:hAnsiTheme="majorHAnsi" w:cs="Times New Roman"/>
                <w:color w:val="000000"/>
                <w:kern w:val="0"/>
                <w:sz w:val="16"/>
                <w:szCs w:val="16"/>
                <w:lang w:eastAsia="fi-FI"/>
                <w14:ligatures w14:val="none"/>
              </w:rPr>
            </w:pPr>
            <w:r>
              <w:rPr>
                <w:rFonts w:asciiTheme="majorHAnsi" w:eastAsia="Times New Roman" w:hAnsiTheme="majorHAnsi" w:cs="Times New Roman"/>
                <w:color w:val="000000"/>
                <w:kern w:val="0"/>
                <w:sz w:val="16"/>
                <w:szCs w:val="16"/>
                <w:lang w:eastAsia="fi-FI"/>
                <w14:ligatures w14:val="none"/>
              </w:rPr>
              <w:t>Probable sarcopenia only</w:t>
            </w:r>
          </w:p>
        </w:tc>
        <w:tc>
          <w:tcPr>
            <w:tcW w:w="708" w:type="dxa"/>
            <w:noWrap/>
            <w:vAlign w:val="center"/>
            <w:hideMark/>
          </w:tcPr>
          <w:p w14:paraId="32DB2624" w14:textId="77777777" w:rsidR="00B623C7" w:rsidRPr="00A16B2D" w:rsidRDefault="00B623C7" w:rsidP="00B623C7">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234</w:t>
            </w:r>
          </w:p>
        </w:tc>
        <w:tc>
          <w:tcPr>
            <w:tcW w:w="1418" w:type="dxa"/>
            <w:noWrap/>
            <w:vAlign w:val="center"/>
            <w:hideMark/>
          </w:tcPr>
          <w:p w14:paraId="1C53068D" w14:textId="053E6E5A" w:rsidR="00B623C7" w:rsidRPr="00A16B2D" w:rsidRDefault="00B623C7" w:rsidP="00B623C7">
            <w:pPr>
              <w:jc w:val="center"/>
              <w:rPr>
                <w:rFonts w:asciiTheme="majorHAnsi" w:eastAsia="Times New Roman" w:hAnsiTheme="majorHAnsi" w:cs="Times New Roman"/>
                <w:color w:val="000000"/>
                <w:kern w:val="0"/>
                <w:sz w:val="16"/>
                <w:szCs w:val="16"/>
                <w:lang w:eastAsia="fi-FI"/>
                <w14:ligatures w14:val="none"/>
              </w:rPr>
            </w:pPr>
            <w:r w:rsidRPr="00590CCD">
              <w:rPr>
                <w:color w:val="000000"/>
                <w:sz w:val="16"/>
                <w:szCs w:val="16"/>
              </w:rPr>
              <w:t>60 (25.6)</w:t>
            </w:r>
          </w:p>
        </w:tc>
        <w:tc>
          <w:tcPr>
            <w:tcW w:w="2232" w:type="dxa"/>
            <w:noWrap/>
            <w:vAlign w:val="center"/>
          </w:tcPr>
          <w:p w14:paraId="382F1009" w14:textId="35086530" w:rsidR="00B623C7" w:rsidRPr="00A16B2D" w:rsidRDefault="004931C5" w:rsidP="00B623C7">
            <w:pPr>
              <w:jc w:val="center"/>
              <w:rPr>
                <w:rFonts w:asciiTheme="majorHAnsi" w:eastAsia="Times New Roman" w:hAnsiTheme="majorHAnsi" w:cs="Times New Roman"/>
                <w:b/>
                <w:bCs/>
                <w:color w:val="000000"/>
                <w:kern w:val="0"/>
                <w:sz w:val="16"/>
                <w:szCs w:val="16"/>
                <w:lang w:eastAsia="fi-FI"/>
                <w14:ligatures w14:val="none"/>
              </w:rPr>
            </w:pPr>
            <w:r>
              <w:rPr>
                <w:rFonts w:asciiTheme="majorHAnsi" w:eastAsia="Times New Roman" w:hAnsiTheme="majorHAnsi" w:cs="Times New Roman"/>
                <w:b/>
                <w:bCs/>
                <w:color w:val="000000"/>
                <w:kern w:val="0"/>
                <w:sz w:val="16"/>
                <w:szCs w:val="16"/>
                <w:lang w:eastAsia="fi-FI"/>
                <w14:ligatures w14:val="none"/>
              </w:rPr>
              <w:t>1.64 (1.22 – 2.20)</w:t>
            </w:r>
          </w:p>
        </w:tc>
        <w:tc>
          <w:tcPr>
            <w:tcW w:w="2233" w:type="dxa"/>
            <w:noWrap/>
            <w:vAlign w:val="center"/>
          </w:tcPr>
          <w:p w14:paraId="008707AF" w14:textId="2F9D8E4D" w:rsidR="00B623C7" w:rsidRPr="00A16B2D" w:rsidRDefault="004931C5" w:rsidP="00B623C7">
            <w:pPr>
              <w:jc w:val="center"/>
              <w:rPr>
                <w:rFonts w:asciiTheme="majorHAnsi" w:eastAsia="Times New Roman" w:hAnsiTheme="majorHAnsi" w:cs="Times New Roman"/>
                <w:b/>
                <w:bCs/>
                <w:color w:val="000000"/>
                <w:kern w:val="0"/>
                <w:sz w:val="16"/>
                <w:szCs w:val="16"/>
                <w:lang w:eastAsia="fi-FI"/>
                <w14:ligatures w14:val="none"/>
              </w:rPr>
            </w:pPr>
            <w:r>
              <w:rPr>
                <w:rFonts w:asciiTheme="majorHAnsi" w:eastAsia="Times New Roman" w:hAnsiTheme="majorHAnsi" w:cs="Times New Roman"/>
                <w:b/>
                <w:bCs/>
                <w:color w:val="000000"/>
                <w:kern w:val="0"/>
                <w:sz w:val="16"/>
                <w:szCs w:val="16"/>
                <w:lang w:eastAsia="fi-FI"/>
                <w14:ligatures w14:val="none"/>
              </w:rPr>
              <w:t xml:space="preserve">1.58 (1.16 </w:t>
            </w:r>
            <w:r w:rsidR="002204CA">
              <w:rPr>
                <w:rFonts w:asciiTheme="majorHAnsi" w:eastAsia="Times New Roman" w:hAnsiTheme="majorHAnsi" w:cs="Times New Roman"/>
                <w:b/>
                <w:bCs/>
                <w:color w:val="000000"/>
                <w:kern w:val="0"/>
                <w:sz w:val="16"/>
                <w:szCs w:val="16"/>
                <w:lang w:eastAsia="fi-FI"/>
                <w14:ligatures w14:val="none"/>
              </w:rPr>
              <w:t>–</w:t>
            </w:r>
            <w:r>
              <w:rPr>
                <w:rFonts w:asciiTheme="majorHAnsi" w:eastAsia="Times New Roman" w:hAnsiTheme="majorHAnsi" w:cs="Times New Roman"/>
                <w:b/>
                <w:bCs/>
                <w:color w:val="000000"/>
                <w:kern w:val="0"/>
                <w:sz w:val="16"/>
                <w:szCs w:val="16"/>
                <w:lang w:eastAsia="fi-FI"/>
                <w14:ligatures w14:val="none"/>
              </w:rPr>
              <w:t xml:space="preserve"> </w:t>
            </w:r>
            <w:r w:rsidR="002204CA">
              <w:rPr>
                <w:rFonts w:asciiTheme="majorHAnsi" w:eastAsia="Times New Roman" w:hAnsiTheme="majorHAnsi" w:cs="Times New Roman"/>
                <w:b/>
                <w:bCs/>
                <w:color w:val="000000"/>
                <w:kern w:val="0"/>
                <w:sz w:val="16"/>
                <w:szCs w:val="16"/>
                <w:lang w:eastAsia="fi-FI"/>
                <w14:ligatures w14:val="none"/>
              </w:rPr>
              <w:t>2.16)</w:t>
            </w:r>
          </w:p>
        </w:tc>
        <w:tc>
          <w:tcPr>
            <w:tcW w:w="2232" w:type="dxa"/>
            <w:noWrap/>
            <w:vAlign w:val="center"/>
          </w:tcPr>
          <w:p w14:paraId="573E72F4" w14:textId="6AB9C659" w:rsidR="00B623C7" w:rsidRPr="00A16B2D" w:rsidRDefault="002204CA" w:rsidP="00B623C7">
            <w:pPr>
              <w:jc w:val="center"/>
              <w:rPr>
                <w:rFonts w:asciiTheme="majorHAnsi" w:eastAsia="Times New Roman" w:hAnsiTheme="majorHAnsi" w:cs="Times New Roman"/>
                <w:b/>
                <w:bCs/>
                <w:color w:val="000000"/>
                <w:kern w:val="0"/>
                <w:sz w:val="16"/>
                <w:szCs w:val="16"/>
                <w:lang w:eastAsia="fi-FI"/>
                <w14:ligatures w14:val="none"/>
              </w:rPr>
            </w:pPr>
            <w:r>
              <w:rPr>
                <w:rFonts w:asciiTheme="majorHAnsi" w:eastAsia="Times New Roman" w:hAnsiTheme="majorHAnsi" w:cs="Times New Roman"/>
                <w:b/>
                <w:bCs/>
                <w:color w:val="000000"/>
                <w:kern w:val="0"/>
                <w:sz w:val="16"/>
                <w:szCs w:val="16"/>
                <w:lang w:eastAsia="fi-FI"/>
                <w14:ligatures w14:val="none"/>
              </w:rPr>
              <w:t>1.56 (1.14 – 2.14)</w:t>
            </w:r>
          </w:p>
        </w:tc>
        <w:tc>
          <w:tcPr>
            <w:tcW w:w="2233" w:type="dxa"/>
            <w:noWrap/>
            <w:vAlign w:val="center"/>
            <w:hideMark/>
          </w:tcPr>
          <w:p w14:paraId="11CCE531" w14:textId="1D42E915" w:rsidR="00B623C7" w:rsidRPr="00A16B2D" w:rsidRDefault="00B623C7" w:rsidP="00B623C7">
            <w:pPr>
              <w:jc w:val="center"/>
              <w:rPr>
                <w:rFonts w:asciiTheme="majorHAnsi" w:eastAsia="Times New Roman" w:hAnsiTheme="majorHAnsi" w:cs="Times New Roman"/>
                <w:color w:val="000000"/>
                <w:kern w:val="0"/>
                <w:sz w:val="16"/>
                <w:szCs w:val="16"/>
                <w:lang w:eastAsia="fi-FI"/>
                <w14:ligatures w14:val="none"/>
              </w:rPr>
            </w:pPr>
            <w:r w:rsidRPr="00590CCD">
              <w:rPr>
                <w:color w:val="000000"/>
                <w:sz w:val="16"/>
                <w:szCs w:val="16"/>
              </w:rPr>
              <w:t>1.25 (0.90 - 1.74)</w:t>
            </w:r>
          </w:p>
        </w:tc>
      </w:tr>
      <w:tr w:rsidR="00B623C7" w:rsidRPr="00A16B2D" w14:paraId="0C869C52" w14:textId="77777777" w:rsidTr="00B623C7">
        <w:trPr>
          <w:trHeight w:val="264"/>
        </w:trPr>
        <w:tc>
          <w:tcPr>
            <w:tcW w:w="1985" w:type="dxa"/>
            <w:noWrap/>
            <w:vAlign w:val="center"/>
            <w:hideMark/>
          </w:tcPr>
          <w:p w14:paraId="08593A48" w14:textId="77777777" w:rsidR="00B623C7" w:rsidRPr="00A16B2D" w:rsidRDefault="00B623C7" w:rsidP="00B623C7">
            <w:pPr>
              <w:jc w:val="center"/>
              <w:rPr>
                <w:rFonts w:asciiTheme="majorHAnsi" w:eastAsia="Times New Roman" w:hAnsiTheme="majorHAnsi" w:cs="Times New Roman"/>
                <w:color w:val="000000"/>
                <w:kern w:val="0"/>
                <w:sz w:val="16"/>
                <w:szCs w:val="16"/>
                <w:lang w:eastAsia="fi-FI"/>
                <w14:ligatures w14:val="none"/>
              </w:rPr>
            </w:pPr>
          </w:p>
        </w:tc>
        <w:tc>
          <w:tcPr>
            <w:tcW w:w="1838" w:type="dxa"/>
            <w:noWrap/>
            <w:vAlign w:val="center"/>
            <w:hideMark/>
          </w:tcPr>
          <w:p w14:paraId="621DA090" w14:textId="77777777" w:rsidR="00B623C7" w:rsidRPr="00A16B2D" w:rsidRDefault="00B623C7" w:rsidP="00B623C7">
            <w:pP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Osteoporosis only</w:t>
            </w:r>
          </w:p>
        </w:tc>
        <w:tc>
          <w:tcPr>
            <w:tcW w:w="708" w:type="dxa"/>
            <w:noWrap/>
            <w:vAlign w:val="center"/>
            <w:hideMark/>
          </w:tcPr>
          <w:p w14:paraId="25A5AE4C" w14:textId="77777777" w:rsidR="00B623C7" w:rsidRPr="00A16B2D" w:rsidRDefault="00B623C7" w:rsidP="00B623C7">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184</w:t>
            </w:r>
          </w:p>
        </w:tc>
        <w:tc>
          <w:tcPr>
            <w:tcW w:w="1418" w:type="dxa"/>
            <w:noWrap/>
            <w:vAlign w:val="center"/>
            <w:hideMark/>
          </w:tcPr>
          <w:p w14:paraId="601C685B" w14:textId="1F94E4C7" w:rsidR="00B623C7" w:rsidRPr="00A16B2D" w:rsidRDefault="00B623C7" w:rsidP="00B623C7">
            <w:pPr>
              <w:jc w:val="center"/>
              <w:rPr>
                <w:rFonts w:asciiTheme="majorHAnsi" w:eastAsia="Times New Roman" w:hAnsiTheme="majorHAnsi" w:cs="Times New Roman"/>
                <w:color w:val="000000"/>
                <w:kern w:val="0"/>
                <w:sz w:val="16"/>
                <w:szCs w:val="16"/>
                <w:lang w:eastAsia="fi-FI"/>
                <w14:ligatures w14:val="none"/>
              </w:rPr>
            </w:pPr>
            <w:r w:rsidRPr="00590CCD">
              <w:rPr>
                <w:color w:val="000000"/>
                <w:sz w:val="16"/>
                <w:szCs w:val="16"/>
              </w:rPr>
              <w:t>79 (42.9)</w:t>
            </w:r>
          </w:p>
        </w:tc>
        <w:tc>
          <w:tcPr>
            <w:tcW w:w="2232" w:type="dxa"/>
            <w:noWrap/>
            <w:vAlign w:val="center"/>
          </w:tcPr>
          <w:p w14:paraId="3CDC6797" w14:textId="17E150D7" w:rsidR="00B623C7" w:rsidRPr="00A16B2D" w:rsidRDefault="004931C5" w:rsidP="00B623C7">
            <w:pPr>
              <w:jc w:val="center"/>
              <w:rPr>
                <w:rFonts w:asciiTheme="majorHAnsi" w:eastAsia="Times New Roman" w:hAnsiTheme="majorHAnsi" w:cs="Times New Roman"/>
                <w:b/>
                <w:bCs/>
                <w:color w:val="000000"/>
                <w:kern w:val="0"/>
                <w:sz w:val="16"/>
                <w:szCs w:val="16"/>
                <w:lang w:eastAsia="fi-FI"/>
                <w14:ligatures w14:val="none"/>
              </w:rPr>
            </w:pPr>
            <w:r>
              <w:rPr>
                <w:rFonts w:asciiTheme="majorHAnsi" w:eastAsia="Times New Roman" w:hAnsiTheme="majorHAnsi" w:cs="Times New Roman"/>
                <w:b/>
                <w:bCs/>
                <w:color w:val="000000"/>
                <w:kern w:val="0"/>
                <w:sz w:val="16"/>
                <w:szCs w:val="16"/>
                <w:lang w:eastAsia="fi-FI"/>
                <w14:ligatures w14:val="none"/>
              </w:rPr>
              <w:t>2.30 (1.75 – 3.03)</w:t>
            </w:r>
          </w:p>
        </w:tc>
        <w:tc>
          <w:tcPr>
            <w:tcW w:w="2233" w:type="dxa"/>
            <w:noWrap/>
            <w:vAlign w:val="center"/>
          </w:tcPr>
          <w:p w14:paraId="6E7EE159" w14:textId="7165D650" w:rsidR="00B623C7" w:rsidRPr="00A16B2D" w:rsidRDefault="002204CA" w:rsidP="00B623C7">
            <w:pPr>
              <w:jc w:val="center"/>
              <w:rPr>
                <w:rFonts w:asciiTheme="majorHAnsi" w:eastAsia="Times New Roman" w:hAnsiTheme="majorHAnsi" w:cs="Times New Roman"/>
                <w:b/>
                <w:bCs/>
                <w:color w:val="000000"/>
                <w:kern w:val="0"/>
                <w:sz w:val="16"/>
                <w:szCs w:val="16"/>
                <w:lang w:eastAsia="fi-FI"/>
                <w14:ligatures w14:val="none"/>
              </w:rPr>
            </w:pPr>
            <w:r>
              <w:rPr>
                <w:rFonts w:asciiTheme="majorHAnsi" w:eastAsia="Times New Roman" w:hAnsiTheme="majorHAnsi" w:cs="Times New Roman"/>
                <w:b/>
                <w:bCs/>
                <w:color w:val="000000"/>
                <w:kern w:val="0"/>
                <w:sz w:val="16"/>
                <w:szCs w:val="16"/>
                <w:lang w:eastAsia="fi-FI"/>
                <w14:ligatures w14:val="none"/>
              </w:rPr>
              <w:t>2.25 (1.70 – 2.98)</w:t>
            </w:r>
          </w:p>
        </w:tc>
        <w:tc>
          <w:tcPr>
            <w:tcW w:w="2232" w:type="dxa"/>
            <w:noWrap/>
            <w:vAlign w:val="center"/>
          </w:tcPr>
          <w:p w14:paraId="1497F6D7" w14:textId="05B95F5F" w:rsidR="00B623C7" w:rsidRPr="00A16B2D" w:rsidRDefault="002204CA" w:rsidP="00B623C7">
            <w:pPr>
              <w:jc w:val="center"/>
              <w:rPr>
                <w:rFonts w:asciiTheme="majorHAnsi" w:eastAsia="Times New Roman" w:hAnsiTheme="majorHAnsi" w:cs="Times New Roman"/>
                <w:b/>
                <w:bCs/>
                <w:color w:val="000000"/>
                <w:kern w:val="0"/>
                <w:sz w:val="16"/>
                <w:szCs w:val="16"/>
                <w:lang w:eastAsia="fi-FI"/>
                <w14:ligatures w14:val="none"/>
              </w:rPr>
            </w:pPr>
            <w:r>
              <w:rPr>
                <w:rFonts w:asciiTheme="majorHAnsi" w:eastAsia="Times New Roman" w:hAnsiTheme="majorHAnsi" w:cs="Times New Roman"/>
                <w:b/>
                <w:bCs/>
                <w:color w:val="000000"/>
                <w:kern w:val="0"/>
                <w:sz w:val="16"/>
                <w:szCs w:val="16"/>
                <w:lang w:eastAsia="fi-FI"/>
                <w14:ligatures w14:val="none"/>
              </w:rPr>
              <w:t>2.22 (1.67 – 2.95)</w:t>
            </w:r>
          </w:p>
        </w:tc>
        <w:tc>
          <w:tcPr>
            <w:tcW w:w="2233" w:type="dxa"/>
            <w:noWrap/>
            <w:vAlign w:val="center"/>
            <w:hideMark/>
          </w:tcPr>
          <w:p w14:paraId="24E551FA" w14:textId="00ADA273" w:rsidR="00B623C7" w:rsidRPr="00A16B2D" w:rsidRDefault="00B623C7" w:rsidP="00B623C7">
            <w:pPr>
              <w:jc w:val="center"/>
              <w:rPr>
                <w:rFonts w:asciiTheme="majorHAnsi" w:eastAsia="Times New Roman" w:hAnsiTheme="majorHAnsi" w:cs="Times New Roman"/>
                <w:b/>
                <w:bCs/>
                <w:color w:val="000000"/>
                <w:kern w:val="0"/>
                <w:sz w:val="16"/>
                <w:szCs w:val="16"/>
                <w:lang w:eastAsia="fi-FI"/>
                <w14:ligatures w14:val="none"/>
              </w:rPr>
            </w:pPr>
            <w:r w:rsidRPr="00590CCD">
              <w:rPr>
                <w:b/>
                <w:bCs/>
                <w:color w:val="000000"/>
                <w:sz w:val="16"/>
                <w:szCs w:val="16"/>
              </w:rPr>
              <w:t>1.99 (1.48 - 2.68)</w:t>
            </w:r>
          </w:p>
        </w:tc>
      </w:tr>
      <w:tr w:rsidR="00B623C7" w:rsidRPr="00A16B2D" w14:paraId="00C228D8" w14:textId="77777777" w:rsidTr="00B623C7">
        <w:trPr>
          <w:trHeight w:val="264"/>
        </w:trPr>
        <w:tc>
          <w:tcPr>
            <w:tcW w:w="1985" w:type="dxa"/>
            <w:noWrap/>
            <w:vAlign w:val="center"/>
            <w:hideMark/>
          </w:tcPr>
          <w:p w14:paraId="2327A79E" w14:textId="77777777" w:rsidR="00B623C7" w:rsidRPr="00A16B2D" w:rsidRDefault="00B623C7" w:rsidP="00B623C7">
            <w:pPr>
              <w:jc w:val="center"/>
              <w:rPr>
                <w:rFonts w:asciiTheme="majorHAnsi" w:eastAsia="Times New Roman" w:hAnsiTheme="majorHAnsi" w:cs="Times New Roman"/>
                <w:b/>
                <w:bCs/>
                <w:color w:val="000000"/>
                <w:kern w:val="0"/>
                <w:sz w:val="16"/>
                <w:szCs w:val="16"/>
                <w:lang w:eastAsia="fi-FI"/>
                <w14:ligatures w14:val="none"/>
              </w:rPr>
            </w:pPr>
          </w:p>
        </w:tc>
        <w:tc>
          <w:tcPr>
            <w:tcW w:w="1838" w:type="dxa"/>
            <w:noWrap/>
            <w:vAlign w:val="center"/>
            <w:hideMark/>
          </w:tcPr>
          <w:p w14:paraId="43562A38" w14:textId="77777777" w:rsidR="00B623C7" w:rsidRPr="00A16B2D" w:rsidRDefault="00B623C7" w:rsidP="00B623C7">
            <w:pP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Osteosarcopenia</w:t>
            </w:r>
          </w:p>
        </w:tc>
        <w:tc>
          <w:tcPr>
            <w:tcW w:w="708" w:type="dxa"/>
            <w:noWrap/>
            <w:vAlign w:val="center"/>
            <w:hideMark/>
          </w:tcPr>
          <w:p w14:paraId="5B9E8DAB" w14:textId="77777777" w:rsidR="00B623C7" w:rsidRPr="00A16B2D" w:rsidRDefault="00B623C7" w:rsidP="00B623C7">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122</w:t>
            </w:r>
          </w:p>
        </w:tc>
        <w:tc>
          <w:tcPr>
            <w:tcW w:w="1418" w:type="dxa"/>
            <w:noWrap/>
            <w:vAlign w:val="center"/>
            <w:hideMark/>
          </w:tcPr>
          <w:p w14:paraId="6CADC577" w14:textId="1F561811" w:rsidR="00B623C7" w:rsidRPr="00A16B2D" w:rsidRDefault="00B623C7" w:rsidP="00B623C7">
            <w:pPr>
              <w:jc w:val="center"/>
              <w:rPr>
                <w:rFonts w:asciiTheme="majorHAnsi" w:eastAsia="Times New Roman" w:hAnsiTheme="majorHAnsi" w:cs="Times New Roman"/>
                <w:color w:val="000000"/>
                <w:kern w:val="0"/>
                <w:sz w:val="16"/>
                <w:szCs w:val="16"/>
                <w:lang w:eastAsia="fi-FI"/>
                <w14:ligatures w14:val="none"/>
              </w:rPr>
            </w:pPr>
            <w:r w:rsidRPr="00590CCD">
              <w:rPr>
                <w:color w:val="000000"/>
                <w:sz w:val="16"/>
                <w:szCs w:val="16"/>
              </w:rPr>
              <w:t>36 (29.5)</w:t>
            </w:r>
          </w:p>
        </w:tc>
        <w:tc>
          <w:tcPr>
            <w:tcW w:w="2232" w:type="dxa"/>
            <w:noWrap/>
            <w:vAlign w:val="center"/>
          </w:tcPr>
          <w:p w14:paraId="617D5918" w14:textId="64205E1B" w:rsidR="00B623C7" w:rsidRPr="00A16B2D" w:rsidRDefault="004931C5" w:rsidP="00B623C7">
            <w:pPr>
              <w:jc w:val="center"/>
              <w:rPr>
                <w:rFonts w:asciiTheme="majorHAnsi" w:eastAsia="Times New Roman" w:hAnsiTheme="majorHAnsi" w:cs="Times New Roman"/>
                <w:b/>
                <w:bCs/>
                <w:color w:val="000000"/>
                <w:kern w:val="0"/>
                <w:sz w:val="16"/>
                <w:szCs w:val="16"/>
                <w:lang w:eastAsia="fi-FI"/>
                <w14:ligatures w14:val="none"/>
              </w:rPr>
            </w:pPr>
            <w:r>
              <w:rPr>
                <w:rFonts w:asciiTheme="majorHAnsi" w:eastAsia="Times New Roman" w:hAnsiTheme="majorHAnsi" w:cs="Times New Roman"/>
                <w:b/>
                <w:bCs/>
                <w:color w:val="000000"/>
                <w:kern w:val="0"/>
                <w:sz w:val="16"/>
                <w:szCs w:val="16"/>
                <w:lang w:eastAsia="fi-FI"/>
                <w14:ligatures w14:val="none"/>
              </w:rPr>
              <w:t>2.15 (1.45 – 3.18)</w:t>
            </w:r>
          </w:p>
        </w:tc>
        <w:tc>
          <w:tcPr>
            <w:tcW w:w="2233" w:type="dxa"/>
            <w:noWrap/>
            <w:vAlign w:val="center"/>
          </w:tcPr>
          <w:p w14:paraId="20CFD918" w14:textId="562F1521" w:rsidR="00B623C7" w:rsidRPr="00A16B2D" w:rsidRDefault="002204CA" w:rsidP="00B623C7">
            <w:pPr>
              <w:jc w:val="center"/>
              <w:rPr>
                <w:rFonts w:asciiTheme="majorHAnsi" w:eastAsia="Times New Roman" w:hAnsiTheme="majorHAnsi" w:cs="Times New Roman"/>
                <w:b/>
                <w:bCs/>
                <w:color w:val="000000"/>
                <w:kern w:val="0"/>
                <w:sz w:val="16"/>
                <w:szCs w:val="16"/>
                <w:lang w:eastAsia="fi-FI"/>
                <w14:ligatures w14:val="none"/>
              </w:rPr>
            </w:pPr>
            <w:r>
              <w:rPr>
                <w:rFonts w:asciiTheme="majorHAnsi" w:eastAsia="Times New Roman" w:hAnsiTheme="majorHAnsi" w:cs="Times New Roman"/>
                <w:b/>
                <w:bCs/>
                <w:color w:val="000000"/>
                <w:kern w:val="0"/>
                <w:sz w:val="16"/>
                <w:szCs w:val="16"/>
                <w:lang w:eastAsia="fi-FI"/>
                <w14:ligatures w14:val="none"/>
              </w:rPr>
              <w:t>2.13 (1.41 – 3.21)</w:t>
            </w:r>
          </w:p>
        </w:tc>
        <w:tc>
          <w:tcPr>
            <w:tcW w:w="2232" w:type="dxa"/>
            <w:noWrap/>
            <w:vAlign w:val="center"/>
          </w:tcPr>
          <w:p w14:paraId="60C82C5B" w14:textId="5D8D928F" w:rsidR="00B623C7" w:rsidRPr="00A16B2D" w:rsidRDefault="002204CA" w:rsidP="00B623C7">
            <w:pPr>
              <w:jc w:val="center"/>
              <w:rPr>
                <w:rFonts w:asciiTheme="majorHAnsi" w:eastAsia="Times New Roman" w:hAnsiTheme="majorHAnsi" w:cs="Times New Roman"/>
                <w:b/>
                <w:bCs/>
                <w:color w:val="000000"/>
                <w:kern w:val="0"/>
                <w:sz w:val="16"/>
                <w:szCs w:val="16"/>
                <w:lang w:eastAsia="fi-FI"/>
                <w14:ligatures w14:val="none"/>
              </w:rPr>
            </w:pPr>
            <w:r>
              <w:rPr>
                <w:rFonts w:asciiTheme="majorHAnsi" w:eastAsia="Times New Roman" w:hAnsiTheme="majorHAnsi" w:cs="Times New Roman"/>
                <w:b/>
                <w:bCs/>
                <w:color w:val="000000"/>
                <w:kern w:val="0"/>
                <w:sz w:val="16"/>
                <w:szCs w:val="16"/>
                <w:lang w:eastAsia="fi-FI"/>
                <w14:ligatures w14:val="none"/>
              </w:rPr>
              <w:t>2.04 (1.33 – 3.15)</w:t>
            </w:r>
          </w:p>
        </w:tc>
        <w:tc>
          <w:tcPr>
            <w:tcW w:w="2233" w:type="dxa"/>
            <w:noWrap/>
            <w:vAlign w:val="center"/>
            <w:hideMark/>
          </w:tcPr>
          <w:p w14:paraId="7A5A9990" w14:textId="7E1C4BBF" w:rsidR="00B623C7" w:rsidRPr="00A16B2D" w:rsidRDefault="00B623C7" w:rsidP="00B623C7">
            <w:pPr>
              <w:jc w:val="center"/>
              <w:rPr>
                <w:rFonts w:asciiTheme="majorHAnsi" w:eastAsia="Times New Roman" w:hAnsiTheme="majorHAnsi" w:cs="Times New Roman"/>
                <w:color w:val="000000"/>
                <w:kern w:val="0"/>
                <w:sz w:val="16"/>
                <w:szCs w:val="16"/>
                <w:lang w:eastAsia="fi-FI"/>
                <w14:ligatures w14:val="none"/>
              </w:rPr>
            </w:pPr>
            <w:r w:rsidRPr="00590CCD">
              <w:rPr>
                <w:color w:val="000000"/>
                <w:sz w:val="16"/>
                <w:szCs w:val="16"/>
              </w:rPr>
              <w:t>1.35 (0.83 - 2.19)</w:t>
            </w:r>
          </w:p>
        </w:tc>
      </w:tr>
      <w:tr w:rsidR="00B623C7" w:rsidRPr="00A16B2D" w14:paraId="4CC93184" w14:textId="77777777" w:rsidTr="00B623C7">
        <w:trPr>
          <w:trHeight w:val="264"/>
        </w:trPr>
        <w:tc>
          <w:tcPr>
            <w:tcW w:w="1985" w:type="dxa"/>
            <w:noWrap/>
            <w:vAlign w:val="center"/>
            <w:hideMark/>
          </w:tcPr>
          <w:p w14:paraId="33A59FF1" w14:textId="77777777" w:rsidR="00B623C7" w:rsidRPr="00A16B2D" w:rsidRDefault="00B623C7" w:rsidP="00B623C7">
            <w:pPr>
              <w:jc w:val="center"/>
              <w:rPr>
                <w:rFonts w:asciiTheme="majorHAnsi" w:eastAsia="Times New Roman" w:hAnsiTheme="majorHAnsi" w:cs="Times New Roman"/>
                <w:color w:val="000000"/>
                <w:kern w:val="0"/>
                <w:sz w:val="16"/>
                <w:szCs w:val="16"/>
                <w:lang w:eastAsia="fi-FI"/>
                <w14:ligatures w14:val="none"/>
              </w:rPr>
            </w:pPr>
          </w:p>
        </w:tc>
        <w:tc>
          <w:tcPr>
            <w:tcW w:w="1838" w:type="dxa"/>
            <w:noWrap/>
            <w:vAlign w:val="center"/>
            <w:hideMark/>
          </w:tcPr>
          <w:p w14:paraId="73F5A03D" w14:textId="77777777" w:rsidR="00B623C7" w:rsidRPr="00A16B2D" w:rsidRDefault="00B623C7" w:rsidP="00B623C7">
            <w:pPr>
              <w:rPr>
                <w:rFonts w:asciiTheme="majorHAnsi" w:eastAsia="Times New Roman" w:hAnsiTheme="majorHAnsi" w:cs="Times New Roman"/>
                <w:kern w:val="0"/>
                <w:sz w:val="16"/>
                <w:szCs w:val="16"/>
                <w:lang w:eastAsia="fi-FI"/>
                <w14:ligatures w14:val="none"/>
              </w:rPr>
            </w:pPr>
          </w:p>
        </w:tc>
        <w:tc>
          <w:tcPr>
            <w:tcW w:w="708" w:type="dxa"/>
            <w:noWrap/>
            <w:vAlign w:val="center"/>
            <w:hideMark/>
          </w:tcPr>
          <w:p w14:paraId="311138A3" w14:textId="77777777" w:rsidR="00B623C7" w:rsidRPr="00A16B2D" w:rsidRDefault="00B623C7" w:rsidP="00B623C7">
            <w:pPr>
              <w:rPr>
                <w:rFonts w:asciiTheme="majorHAnsi" w:eastAsia="Times New Roman" w:hAnsiTheme="majorHAnsi" w:cs="Times New Roman"/>
                <w:kern w:val="0"/>
                <w:sz w:val="16"/>
                <w:szCs w:val="16"/>
                <w:lang w:eastAsia="fi-FI"/>
                <w14:ligatures w14:val="none"/>
              </w:rPr>
            </w:pPr>
          </w:p>
        </w:tc>
        <w:tc>
          <w:tcPr>
            <w:tcW w:w="1418" w:type="dxa"/>
            <w:noWrap/>
            <w:vAlign w:val="center"/>
            <w:hideMark/>
          </w:tcPr>
          <w:p w14:paraId="7CB699CE" w14:textId="77777777" w:rsidR="00B623C7" w:rsidRPr="00A16B2D" w:rsidRDefault="00B623C7" w:rsidP="00B623C7">
            <w:pPr>
              <w:jc w:val="center"/>
              <w:rPr>
                <w:rFonts w:asciiTheme="majorHAnsi" w:eastAsia="Times New Roman" w:hAnsiTheme="majorHAnsi" w:cs="Times New Roman"/>
                <w:kern w:val="0"/>
                <w:sz w:val="16"/>
                <w:szCs w:val="16"/>
                <w:lang w:eastAsia="fi-FI"/>
                <w14:ligatures w14:val="none"/>
              </w:rPr>
            </w:pPr>
          </w:p>
        </w:tc>
        <w:tc>
          <w:tcPr>
            <w:tcW w:w="2232" w:type="dxa"/>
            <w:noWrap/>
            <w:vAlign w:val="center"/>
            <w:hideMark/>
          </w:tcPr>
          <w:p w14:paraId="043776D1" w14:textId="77777777" w:rsidR="00B623C7" w:rsidRPr="00A16B2D" w:rsidRDefault="00B623C7" w:rsidP="00B623C7">
            <w:pPr>
              <w:jc w:val="center"/>
              <w:rPr>
                <w:rFonts w:asciiTheme="majorHAnsi" w:eastAsia="Times New Roman" w:hAnsiTheme="majorHAnsi" w:cs="Times New Roman"/>
                <w:kern w:val="0"/>
                <w:sz w:val="16"/>
                <w:szCs w:val="16"/>
                <w:lang w:eastAsia="fi-FI"/>
                <w14:ligatures w14:val="none"/>
              </w:rPr>
            </w:pPr>
          </w:p>
        </w:tc>
        <w:tc>
          <w:tcPr>
            <w:tcW w:w="2233" w:type="dxa"/>
            <w:noWrap/>
            <w:vAlign w:val="center"/>
            <w:hideMark/>
          </w:tcPr>
          <w:p w14:paraId="5ED5D085" w14:textId="77777777" w:rsidR="00B623C7" w:rsidRPr="00A16B2D" w:rsidRDefault="00B623C7" w:rsidP="00B623C7">
            <w:pPr>
              <w:jc w:val="center"/>
              <w:rPr>
                <w:rFonts w:asciiTheme="majorHAnsi" w:eastAsia="Times New Roman" w:hAnsiTheme="majorHAnsi" w:cs="Times New Roman"/>
                <w:kern w:val="0"/>
                <w:sz w:val="16"/>
                <w:szCs w:val="16"/>
                <w:lang w:eastAsia="fi-FI"/>
                <w14:ligatures w14:val="none"/>
              </w:rPr>
            </w:pPr>
          </w:p>
        </w:tc>
        <w:tc>
          <w:tcPr>
            <w:tcW w:w="2232" w:type="dxa"/>
            <w:noWrap/>
            <w:vAlign w:val="center"/>
            <w:hideMark/>
          </w:tcPr>
          <w:p w14:paraId="4BAD58AE" w14:textId="77777777" w:rsidR="00B623C7" w:rsidRPr="00A16B2D" w:rsidRDefault="00B623C7" w:rsidP="00B623C7">
            <w:pPr>
              <w:jc w:val="center"/>
              <w:rPr>
                <w:rFonts w:asciiTheme="majorHAnsi" w:eastAsia="Times New Roman" w:hAnsiTheme="majorHAnsi" w:cs="Times New Roman"/>
                <w:kern w:val="0"/>
                <w:sz w:val="16"/>
                <w:szCs w:val="16"/>
                <w:lang w:eastAsia="fi-FI"/>
                <w14:ligatures w14:val="none"/>
              </w:rPr>
            </w:pPr>
          </w:p>
        </w:tc>
        <w:tc>
          <w:tcPr>
            <w:tcW w:w="2233" w:type="dxa"/>
            <w:noWrap/>
            <w:vAlign w:val="center"/>
            <w:hideMark/>
          </w:tcPr>
          <w:p w14:paraId="542FE74C" w14:textId="77777777" w:rsidR="00B623C7" w:rsidRPr="00A16B2D" w:rsidRDefault="00B623C7" w:rsidP="00B623C7">
            <w:pPr>
              <w:jc w:val="center"/>
              <w:rPr>
                <w:rFonts w:asciiTheme="majorHAnsi" w:eastAsia="Times New Roman" w:hAnsiTheme="majorHAnsi" w:cs="Times New Roman"/>
                <w:kern w:val="0"/>
                <w:sz w:val="16"/>
                <w:szCs w:val="16"/>
                <w:lang w:eastAsia="fi-FI"/>
                <w14:ligatures w14:val="none"/>
              </w:rPr>
            </w:pPr>
          </w:p>
        </w:tc>
      </w:tr>
      <w:tr w:rsidR="00B623C7" w:rsidRPr="00A16B2D" w14:paraId="40C2124C" w14:textId="77777777" w:rsidTr="00B623C7">
        <w:trPr>
          <w:trHeight w:val="264"/>
        </w:trPr>
        <w:tc>
          <w:tcPr>
            <w:tcW w:w="1985" w:type="dxa"/>
            <w:noWrap/>
            <w:vAlign w:val="center"/>
            <w:hideMark/>
          </w:tcPr>
          <w:p w14:paraId="5D7D65CD" w14:textId="77777777" w:rsidR="00B623C7" w:rsidRPr="00A16B2D" w:rsidRDefault="00B623C7" w:rsidP="00B623C7">
            <w:pP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Major osteoporotic fracture</w:t>
            </w:r>
          </w:p>
        </w:tc>
        <w:tc>
          <w:tcPr>
            <w:tcW w:w="1838" w:type="dxa"/>
            <w:noWrap/>
            <w:vAlign w:val="center"/>
            <w:hideMark/>
          </w:tcPr>
          <w:p w14:paraId="2EB742F0" w14:textId="77777777" w:rsidR="00B623C7" w:rsidRPr="00A16B2D" w:rsidRDefault="00B623C7" w:rsidP="00B623C7">
            <w:pPr>
              <w:rPr>
                <w:rFonts w:asciiTheme="majorHAnsi" w:eastAsia="Times New Roman" w:hAnsiTheme="majorHAnsi" w:cs="Times New Roman"/>
                <w:color w:val="000000"/>
                <w:kern w:val="0"/>
                <w:sz w:val="16"/>
                <w:szCs w:val="16"/>
                <w:lang w:eastAsia="fi-FI"/>
                <w14:ligatures w14:val="none"/>
              </w:rPr>
            </w:pPr>
            <w:r>
              <w:rPr>
                <w:rFonts w:asciiTheme="majorHAnsi" w:eastAsia="Times New Roman" w:hAnsiTheme="majorHAnsi" w:cs="Times New Roman"/>
                <w:color w:val="000000"/>
                <w:kern w:val="0"/>
                <w:sz w:val="16"/>
                <w:szCs w:val="16"/>
                <w:lang w:eastAsia="fi-FI"/>
                <w14:ligatures w14:val="none"/>
              </w:rPr>
              <w:t>No sarcopenia</w:t>
            </w:r>
            <w:r w:rsidRPr="00A16B2D">
              <w:rPr>
                <w:rFonts w:asciiTheme="majorHAnsi" w:eastAsia="Times New Roman" w:hAnsiTheme="majorHAnsi" w:cs="Times New Roman"/>
                <w:color w:val="000000"/>
                <w:kern w:val="0"/>
                <w:sz w:val="16"/>
                <w:szCs w:val="16"/>
                <w:lang w:eastAsia="fi-FI"/>
                <w14:ligatures w14:val="none"/>
              </w:rPr>
              <w:t>, no osteoporosis</w:t>
            </w:r>
          </w:p>
        </w:tc>
        <w:tc>
          <w:tcPr>
            <w:tcW w:w="708" w:type="dxa"/>
            <w:noWrap/>
            <w:vAlign w:val="center"/>
            <w:hideMark/>
          </w:tcPr>
          <w:p w14:paraId="478FC661" w14:textId="77777777" w:rsidR="00B623C7" w:rsidRPr="00A16B2D" w:rsidRDefault="00B623C7" w:rsidP="00B623C7">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1602</w:t>
            </w:r>
          </w:p>
        </w:tc>
        <w:tc>
          <w:tcPr>
            <w:tcW w:w="1418" w:type="dxa"/>
            <w:noWrap/>
            <w:vAlign w:val="center"/>
            <w:hideMark/>
          </w:tcPr>
          <w:p w14:paraId="71BA653B" w14:textId="1C3976A5" w:rsidR="00B623C7" w:rsidRPr="00A16B2D" w:rsidRDefault="00B623C7" w:rsidP="00B623C7">
            <w:pPr>
              <w:jc w:val="center"/>
              <w:rPr>
                <w:rFonts w:asciiTheme="majorHAnsi" w:eastAsia="Times New Roman" w:hAnsiTheme="majorHAnsi" w:cs="Times New Roman"/>
                <w:color w:val="000000"/>
                <w:kern w:val="0"/>
                <w:sz w:val="16"/>
                <w:szCs w:val="16"/>
                <w:lang w:eastAsia="fi-FI"/>
                <w14:ligatures w14:val="none"/>
              </w:rPr>
            </w:pPr>
            <w:r w:rsidRPr="00590CCD">
              <w:rPr>
                <w:color w:val="000000"/>
                <w:sz w:val="16"/>
                <w:szCs w:val="16"/>
              </w:rPr>
              <w:t>187 (11.7)</w:t>
            </w:r>
          </w:p>
        </w:tc>
        <w:tc>
          <w:tcPr>
            <w:tcW w:w="2232" w:type="dxa"/>
            <w:noWrap/>
            <w:vAlign w:val="center"/>
            <w:hideMark/>
          </w:tcPr>
          <w:p w14:paraId="16CA7B27" w14:textId="77777777" w:rsidR="00B623C7" w:rsidRPr="00A16B2D" w:rsidRDefault="00B623C7" w:rsidP="00B623C7">
            <w:pPr>
              <w:jc w:val="center"/>
              <w:rPr>
                <w:rFonts w:asciiTheme="majorHAnsi" w:eastAsia="Times New Roman" w:hAnsiTheme="majorHAnsi" w:cs="Times New Roman"/>
                <w:color w:val="000000"/>
                <w:kern w:val="0"/>
                <w:sz w:val="16"/>
                <w:szCs w:val="16"/>
                <w:lang w:eastAsia="fi-FI"/>
                <w14:ligatures w14:val="none"/>
              </w:rPr>
            </w:pPr>
            <w:r>
              <w:rPr>
                <w:rFonts w:asciiTheme="majorHAnsi" w:eastAsia="Times New Roman" w:hAnsiTheme="majorHAnsi" w:cs="Times New Roman"/>
                <w:color w:val="000000"/>
                <w:kern w:val="0"/>
                <w:sz w:val="16"/>
                <w:szCs w:val="16"/>
                <w:lang w:eastAsia="fi-FI"/>
                <w14:ligatures w14:val="none"/>
              </w:rPr>
              <w:t>1.00 (Reference)</w:t>
            </w:r>
          </w:p>
        </w:tc>
        <w:tc>
          <w:tcPr>
            <w:tcW w:w="2233" w:type="dxa"/>
            <w:noWrap/>
            <w:vAlign w:val="center"/>
            <w:hideMark/>
          </w:tcPr>
          <w:p w14:paraId="70E33E3D" w14:textId="77777777" w:rsidR="00B623C7" w:rsidRPr="00A16B2D" w:rsidRDefault="00B623C7" w:rsidP="00B623C7">
            <w:pPr>
              <w:jc w:val="center"/>
              <w:rPr>
                <w:rFonts w:asciiTheme="majorHAnsi" w:eastAsia="Times New Roman" w:hAnsiTheme="majorHAnsi" w:cs="Times New Roman"/>
                <w:color w:val="000000"/>
                <w:kern w:val="0"/>
                <w:sz w:val="16"/>
                <w:szCs w:val="16"/>
                <w:lang w:eastAsia="fi-FI"/>
                <w14:ligatures w14:val="none"/>
              </w:rPr>
            </w:pPr>
            <w:r>
              <w:rPr>
                <w:rFonts w:asciiTheme="majorHAnsi" w:eastAsia="Times New Roman" w:hAnsiTheme="majorHAnsi" w:cs="Times New Roman"/>
                <w:color w:val="000000"/>
                <w:kern w:val="0"/>
                <w:sz w:val="16"/>
                <w:szCs w:val="16"/>
                <w:lang w:eastAsia="fi-FI"/>
                <w14:ligatures w14:val="none"/>
              </w:rPr>
              <w:t>1.00 (Reference)</w:t>
            </w:r>
          </w:p>
        </w:tc>
        <w:tc>
          <w:tcPr>
            <w:tcW w:w="2232" w:type="dxa"/>
            <w:noWrap/>
            <w:vAlign w:val="center"/>
            <w:hideMark/>
          </w:tcPr>
          <w:p w14:paraId="58D79768" w14:textId="77777777" w:rsidR="00B623C7" w:rsidRPr="00A16B2D" w:rsidRDefault="00B623C7" w:rsidP="00B623C7">
            <w:pPr>
              <w:jc w:val="center"/>
              <w:rPr>
                <w:rFonts w:asciiTheme="majorHAnsi" w:eastAsia="Times New Roman" w:hAnsiTheme="majorHAnsi" w:cs="Times New Roman"/>
                <w:color w:val="000000"/>
                <w:kern w:val="0"/>
                <w:sz w:val="16"/>
                <w:szCs w:val="16"/>
                <w:lang w:eastAsia="fi-FI"/>
                <w14:ligatures w14:val="none"/>
              </w:rPr>
            </w:pPr>
            <w:r>
              <w:rPr>
                <w:rFonts w:asciiTheme="majorHAnsi" w:eastAsia="Times New Roman" w:hAnsiTheme="majorHAnsi" w:cs="Times New Roman"/>
                <w:color w:val="000000"/>
                <w:kern w:val="0"/>
                <w:sz w:val="16"/>
                <w:szCs w:val="16"/>
                <w:lang w:eastAsia="fi-FI"/>
                <w14:ligatures w14:val="none"/>
              </w:rPr>
              <w:t>1.00 (Reference)</w:t>
            </w:r>
          </w:p>
        </w:tc>
        <w:tc>
          <w:tcPr>
            <w:tcW w:w="2233" w:type="dxa"/>
            <w:noWrap/>
            <w:vAlign w:val="center"/>
            <w:hideMark/>
          </w:tcPr>
          <w:p w14:paraId="61D84453" w14:textId="0495DB84" w:rsidR="00B623C7" w:rsidRPr="00A16B2D" w:rsidRDefault="00B623C7" w:rsidP="00B623C7">
            <w:pPr>
              <w:jc w:val="center"/>
              <w:rPr>
                <w:rFonts w:asciiTheme="majorHAnsi" w:eastAsia="Times New Roman" w:hAnsiTheme="majorHAnsi" w:cs="Times New Roman"/>
                <w:color w:val="000000"/>
                <w:kern w:val="0"/>
                <w:sz w:val="16"/>
                <w:szCs w:val="16"/>
                <w:lang w:eastAsia="fi-FI"/>
                <w14:ligatures w14:val="none"/>
              </w:rPr>
            </w:pPr>
            <w:r>
              <w:rPr>
                <w:color w:val="000000"/>
                <w:sz w:val="16"/>
                <w:szCs w:val="16"/>
              </w:rPr>
              <w:t>1.0 (Reference)</w:t>
            </w:r>
          </w:p>
        </w:tc>
      </w:tr>
      <w:tr w:rsidR="004931C5" w:rsidRPr="00A16B2D" w14:paraId="67BD9E89" w14:textId="77777777" w:rsidTr="00B623C7">
        <w:trPr>
          <w:trHeight w:val="264"/>
        </w:trPr>
        <w:tc>
          <w:tcPr>
            <w:tcW w:w="1985" w:type="dxa"/>
            <w:noWrap/>
            <w:vAlign w:val="center"/>
            <w:hideMark/>
          </w:tcPr>
          <w:p w14:paraId="7044C7E5"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p>
        </w:tc>
        <w:tc>
          <w:tcPr>
            <w:tcW w:w="1838" w:type="dxa"/>
            <w:noWrap/>
            <w:vAlign w:val="center"/>
            <w:hideMark/>
          </w:tcPr>
          <w:p w14:paraId="19B597AD" w14:textId="77777777" w:rsidR="004931C5" w:rsidRPr="00A16B2D" w:rsidRDefault="004931C5" w:rsidP="004931C5">
            <w:pPr>
              <w:rPr>
                <w:rFonts w:asciiTheme="majorHAnsi" w:eastAsia="Times New Roman" w:hAnsiTheme="majorHAnsi" w:cs="Times New Roman"/>
                <w:color w:val="000000"/>
                <w:kern w:val="0"/>
                <w:sz w:val="16"/>
                <w:szCs w:val="16"/>
                <w:lang w:eastAsia="fi-FI"/>
                <w14:ligatures w14:val="none"/>
              </w:rPr>
            </w:pPr>
            <w:r>
              <w:rPr>
                <w:rFonts w:asciiTheme="majorHAnsi" w:eastAsia="Times New Roman" w:hAnsiTheme="majorHAnsi" w:cs="Times New Roman"/>
                <w:color w:val="000000"/>
                <w:kern w:val="0"/>
                <w:sz w:val="16"/>
                <w:szCs w:val="16"/>
                <w:lang w:eastAsia="fi-FI"/>
                <w14:ligatures w14:val="none"/>
              </w:rPr>
              <w:t>Probable sarcopenia only</w:t>
            </w:r>
          </w:p>
        </w:tc>
        <w:tc>
          <w:tcPr>
            <w:tcW w:w="708" w:type="dxa"/>
            <w:noWrap/>
            <w:vAlign w:val="center"/>
            <w:hideMark/>
          </w:tcPr>
          <w:p w14:paraId="66888882"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234</w:t>
            </w:r>
          </w:p>
        </w:tc>
        <w:tc>
          <w:tcPr>
            <w:tcW w:w="1418" w:type="dxa"/>
            <w:noWrap/>
            <w:vAlign w:val="center"/>
            <w:hideMark/>
          </w:tcPr>
          <w:p w14:paraId="1EE9DA11" w14:textId="264A0C18"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590CCD">
              <w:rPr>
                <w:color w:val="000000"/>
                <w:sz w:val="16"/>
                <w:szCs w:val="16"/>
              </w:rPr>
              <w:t>40 (17.1)</w:t>
            </w:r>
          </w:p>
        </w:tc>
        <w:tc>
          <w:tcPr>
            <w:tcW w:w="2232" w:type="dxa"/>
            <w:noWrap/>
            <w:vAlign w:val="center"/>
          </w:tcPr>
          <w:p w14:paraId="0C5F74CD" w14:textId="5FB81E63" w:rsidR="004931C5" w:rsidRPr="00A16B2D" w:rsidRDefault="004931C5" w:rsidP="004931C5">
            <w:pPr>
              <w:jc w:val="center"/>
              <w:rPr>
                <w:rFonts w:asciiTheme="majorHAnsi" w:eastAsia="Times New Roman" w:hAnsiTheme="majorHAnsi" w:cs="Times New Roman"/>
                <w:b/>
                <w:bCs/>
                <w:color w:val="000000"/>
                <w:kern w:val="0"/>
                <w:sz w:val="16"/>
                <w:szCs w:val="16"/>
                <w:lang w:eastAsia="fi-FI"/>
                <w14:ligatures w14:val="none"/>
              </w:rPr>
            </w:pPr>
            <w:r>
              <w:rPr>
                <w:rFonts w:asciiTheme="majorHAnsi" w:eastAsia="Times New Roman" w:hAnsiTheme="majorHAnsi" w:cs="Times New Roman"/>
                <w:b/>
                <w:bCs/>
                <w:color w:val="000000"/>
                <w:kern w:val="0"/>
                <w:sz w:val="16"/>
                <w:szCs w:val="16"/>
                <w:lang w:eastAsia="fi-FI"/>
                <w14:ligatures w14:val="none"/>
              </w:rPr>
              <w:t>1.50 (1.04 – 2.16)</w:t>
            </w:r>
          </w:p>
        </w:tc>
        <w:tc>
          <w:tcPr>
            <w:tcW w:w="2233" w:type="dxa"/>
            <w:noWrap/>
            <w:vAlign w:val="center"/>
          </w:tcPr>
          <w:p w14:paraId="45109FE8" w14:textId="356817B9" w:rsidR="004931C5" w:rsidRPr="00A16B2D" w:rsidRDefault="002204CA" w:rsidP="004931C5">
            <w:pPr>
              <w:jc w:val="center"/>
              <w:rPr>
                <w:rFonts w:asciiTheme="majorHAnsi" w:eastAsia="Times New Roman" w:hAnsiTheme="majorHAnsi" w:cs="Times New Roman"/>
                <w:color w:val="000000"/>
                <w:kern w:val="0"/>
                <w:sz w:val="16"/>
                <w:szCs w:val="16"/>
                <w:lang w:eastAsia="fi-FI"/>
                <w14:ligatures w14:val="none"/>
              </w:rPr>
            </w:pPr>
            <w:r>
              <w:rPr>
                <w:rFonts w:asciiTheme="majorHAnsi" w:eastAsia="Times New Roman" w:hAnsiTheme="majorHAnsi" w:cs="Times New Roman"/>
                <w:color w:val="000000"/>
                <w:kern w:val="0"/>
                <w:sz w:val="16"/>
                <w:szCs w:val="16"/>
                <w:lang w:eastAsia="fi-FI"/>
                <w14:ligatures w14:val="none"/>
              </w:rPr>
              <w:t>1.36 (0.92 – 2.00)</w:t>
            </w:r>
          </w:p>
        </w:tc>
        <w:tc>
          <w:tcPr>
            <w:tcW w:w="2232" w:type="dxa"/>
            <w:noWrap/>
            <w:vAlign w:val="center"/>
          </w:tcPr>
          <w:p w14:paraId="29D37368" w14:textId="3C935ADF" w:rsidR="004931C5" w:rsidRPr="00A16B2D" w:rsidRDefault="002204CA" w:rsidP="004931C5">
            <w:pPr>
              <w:jc w:val="center"/>
              <w:rPr>
                <w:rFonts w:asciiTheme="majorHAnsi" w:eastAsia="Times New Roman" w:hAnsiTheme="majorHAnsi" w:cs="Times New Roman"/>
                <w:color w:val="000000"/>
                <w:kern w:val="0"/>
                <w:sz w:val="16"/>
                <w:szCs w:val="16"/>
                <w:lang w:eastAsia="fi-FI"/>
                <w14:ligatures w14:val="none"/>
              </w:rPr>
            </w:pPr>
            <w:r>
              <w:rPr>
                <w:rFonts w:asciiTheme="majorHAnsi" w:eastAsia="Times New Roman" w:hAnsiTheme="majorHAnsi" w:cs="Times New Roman"/>
                <w:color w:val="000000"/>
                <w:kern w:val="0"/>
                <w:sz w:val="16"/>
                <w:szCs w:val="16"/>
                <w:lang w:eastAsia="fi-FI"/>
                <w14:ligatures w14:val="none"/>
              </w:rPr>
              <w:t>1.32 (0.89 – 1.96)</w:t>
            </w:r>
          </w:p>
        </w:tc>
        <w:tc>
          <w:tcPr>
            <w:tcW w:w="2233" w:type="dxa"/>
            <w:noWrap/>
            <w:vAlign w:val="center"/>
            <w:hideMark/>
          </w:tcPr>
          <w:p w14:paraId="2FFF1461" w14:textId="6B91F7F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590CCD">
              <w:rPr>
                <w:color w:val="000000"/>
                <w:sz w:val="16"/>
                <w:szCs w:val="16"/>
              </w:rPr>
              <w:t>1.03 (0.68 - 1.56)</w:t>
            </w:r>
          </w:p>
        </w:tc>
      </w:tr>
      <w:tr w:rsidR="004931C5" w:rsidRPr="00A16B2D" w14:paraId="6BBB43E5" w14:textId="77777777" w:rsidTr="00B623C7">
        <w:trPr>
          <w:trHeight w:val="264"/>
        </w:trPr>
        <w:tc>
          <w:tcPr>
            <w:tcW w:w="1985" w:type="dxa"/>
            <w:noWrap/>
            <w:vAlign w:val="center"/>
            <w:hideMark/>
          </w:tcPr>
          <w:p w14:paraId="7077CAAE"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p>
        </w:tc>
        <w:tc>
          <w:tcPr>
            <w:tcW w:w="1838" w:type="dxa"/>
            <w:noWrap/>
            <w:vAlign w:val="center"/>
            <w:hideMark/>
          </w:tcPr>
          <w:p w14:paraId="3EA7580B" w14:textId="77777777" w:rsidR="004931C5" w:rsidRPr="00A16B2D" w:rsidRDefault="004931C5" w:rsidP="004931C5">
            <w:pP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Osteoporosis only</w:t>
            </w:r>
          </w:p>
        </w:tc>
        <w:tc>
          <w:tcPr>
            <w:tcW w:w="708" w:type="dxa"/>
            <w:noWrap/>
            <w:vAlign w:val="center"/>
            <w:hideMark/>
          </w:tcPr>
          <w:p w14:paraId="34E967F4"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184</w:t>
            </w:r>
          </w:p>
        </w:tc>
        <w:tc>
          <w:tcPr>
            <w:tcW w:w="1418" w:type="dxa"/>
            <w:noWrap/>
            <w:vAlign w:val="center"/>
            <w:hideMark/>
          </w:tcPr>
          <w:p w14:paraId="7945B9D4" w14:textId="0EF8E1C8"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590CCD">
              <w:rPr>
                <w:color w:val="000000"/>
                <w:sz w:val="16"/>
                <w:szCs w:val="16"/>
              </w:rPr>
              <w:t>63 (34.2)</w:t>
            </w:r>
          </w:p>
        </w:tc>
        <w:tc>
          <w:tcPr>
            <w:tcW w:w="2232" w:type="dxa"/>
            <w:noWrap/>
            <w:vAlign w:val="center"/>
          </w:tcPr>
          <w:p w14:paraId="02F6F115" w14:textId="3572AD55" w:rsidR="004931C5" w:rsidRPr="00A16B2D" w:rsidRDefault="004931C5" w:rsidP="004931C5">
            <w:pPr>
              <w:jc w:val="center"/>
              <w:rPr>
                <w:rFonts w:asciiTheme="majorHAnsi" w:eastAsia="Times New Roman" w:hAnsiTheme="majorHAnsi" w:cs="Times New Roman"/>
                <w:b/>
                <w:bCs/>
                <w:color w:val="000000"/>
                <w:kern w:val="0"/>
                <w:sz w:val="16"/>
                <w:szCs w:val="16"/>
                <w:lang w:eastAsia="fi-FI"/>
                <w14:ligatures w14:val="none"/>
              </w:rPr>
            </w:pPr>
            <w:r>
              <w:rPr>
                <w:rFonts w:asciiTheme="majorHAnsi" w:eastAsia="Times New Roman" w:hAnsiTheme="majorHAnsi" w:cs="Times New Roman"/>
                <w:b/>
                <w:bCs/>
                <w:color w:val="000000"/>
                <w:kern w:val="0"/>
                <w:sz w:val="16"/>
                <w:szCs w:val="16"/>
                <w:lang w:eastAsia="fi-FI"/>
                <w14:ligatures w14:val="none"/>
              </w:rPr>
              <w:t>2.36 (1.72 – 3.23)</w:t>
            </w:r>
          </w:p>
        </w:tc>
        <w:tc>
          <w:tcPr>
            <w:tcW w:w="2233" w:type="dxa"/>
            <w:noWrap/>
            <w:vAlign w:val="center"/>
          </w:tcPr>
          <w:p w14:paraId="568B57DE" w14:textId="2CD2A8C4" w:rsidR="004931C5" w:rsidRPr="00A16B2D" w:rsidRDefault="002204CA" w:rsidP="004931C5">
            <w:pPr>
              <w:jc w:val="center"/>
              <w:rPr>
                <w:rFonts w:asciiTheme="majorHAnsi" w:eastAsia="Times New Roman" w:hAnsiTheme="majorHAnsi" w:cs="Times New Roman"/>
                <w:b/>
                <w:bCs/>
                <w:color w:val="000000"/>
                <w:kern w:val="0"/>
                <w:sz w:val="16"/>
                <w:szCs w:val="16"/>
                <w:lang w:eastAsia="fi-FI"/>
                <w14:ligatures w14:val="none"/>
              </w:rPr>
            </w:pPr>
            <w:r>
              <w:rPr>
                <w:rFonts w:asciiTheme="majorHAnsi" w:eastAsia="Times New Roman" w:hAnsiTheme="majorHAnsi" w:cs="Times New Roman"/>
                <w:b/>
                <w:bCs/>
                <w:color w:val="000000"/>
                <w:kern w:val="0"/>
                <w:sz w:val="16"/>
                <w:szCs w:val="16"/>
                <w:lang w:eastAsia="fi-FI"/>
                <w14:ligatures w14:val="none"/>
              </w:rPr>
              <w:t>2.32 (1.68 – 3.20)</w:t>
            </w:r>
          </w:p>
        </w:tc>
        <w:tc>
          <w:tcPr>
            <w:tcW w:w="2232" w:type="dxa"/>
            <w:noWrap/>
            <w:vAlign w:val="center"/>
          </w:tcPr>
          <w:p w14:paraId="3AB6C40E" w14:textId="253736EC" w:rsidR="004931C5" w:rsidRPr="00A16B2D" w:rsidRDefault="002204CA" w:rsidP="004931C5">
            <w:pPr>
              <w:jc w:val="center"/>
              <w:rPr>
                <w:rFonts w:asciiTheme="majorHAnsi" w:eastAsia="Times New Roman" w:hAnsiTheme="majorHAnsi" w:cs="Times New Roman"/>
                <w:b/>
                <w:bCs/>
                <w:color w:val="000000"/>
                <w:kern w:val="0"/>
                <w:sz w:val="16"/>
                <w:szCs w:val="16"/>
                <w:lang w:eastAsia="fi-FI"/>
                <w14:ligatures w14:val="none"/>
              </w:rPr>
            </w:pPr>
            <w:r>
              <w:rPr>
                <w:rFonts w:asciiTheme="majorHAnsi" w:eastAsia="Times New Roman" w:hAnsiTheme="majorHAnsi" w:cs="Times New Roman"/>
                <w:b/>
                <w:bCs/>
                <w:color w:val="000000"/>
                <w:kern w:val="0"/>
                <w:sz w:val="16"/>
                <w:szCs w:val="16"/>
                <w:lang w:eastAsia="fi-FI"/>
                <w14:ligatures w14:val="none"/>
              </w:rPr>
              <w:t>2.26 (1.63 – 3.14)</w:t>
            </w:r>
          </w:p>
        </w:tc>
        <w:tc>
          <w:tcPr>
            <w:tcW w:w="2233" w:type="dxa"/>
            <w:noWrap/>
            <w:vAlign w:val="center"/>
            <w:hideMark/>
          </w:tcPr>
          <w:p w14:paraId="108C26DA" w14:textId="66E9B4DA" w:rsidR="004931C5" w:rsidRPr="00A16B2D" w:rsidRDefault="004931C5" w:rsidP="004931C5">
            <w:pPr>
              <w:jc w:val="center"/>
              <w:rPr>
                <w:rFonts w:asciiTheme="majorHAnsi" w:eastAsia="Times New Roman" w:hAnsiTheme="majorHAnsi" w:cs="Times New Roman"/>
                <w:b/>
                <w:bCs/>
                <w:color w:val="000000"/>
                <w:kern w:val="0"/>
                <w:sz w:val="16"/>
                <w:szCs w:val="16"/>
                <w:lang w:eastAsia="fi-FI"/>
                <w14:ligatures w14:val="none"/>
              </w:rPr>
            </w:pPr>
            <w:r w:rsidRPr="00590CCD">
              <w:rPr>
                <w:b/>
                <w:bCs/>
                <w:color w:val="000000"/>
                <w:sz w:val="16"/>
                <w:szCs w:val="16"/>
              </w:rPr>
              <w:t>2.00 (1.39 - 2.87)</w:t>
            </w:r>
          </w:p>
        </w:tc>
      </w:tr>
      <w:tr w:rsidR="004931C5" w:rsidRPr="00A16B2D" w14:paraId="0F96E00A" w14:textId="77777777" w:rsidTr="00B623C7">
        <w:trPr>
          <w:trHeight w:val="264"/>
        </w:trPr>
        <w:tc>
          <w:tcPr>
            <w:tcW w:w="1985" w:type="dxa"/>
            <w:noWrap/>
            <w:vAlign w:val="center"/>
            <w:hideMark/>
          </w:tcPr>
          <w:p w14:paraId="0A28AC12" w14:textId="77777777" w:rsidR="004931C5" w:rsidRPr="00A16B2D" w:rsidRDefault="004931C5" w:rsidP="004931C5">
            <w:pPr>
              <w:jc w:val="center"/>
              <w:rPr>
                <w:rFonts w:asciiTheme="majorHAnsi" w:eastAsia="Times New Roman" w:hAnsiTheme="majorHAnsi" w:cs="Times New Roman"/>
                <w:b/>
                <w:bCs/>
                <w:color w:val="000000"/>
                <w:kern w:val="0"/>
                <w:sz w:val="16"/>
                <w:szCs w:val="16"/>
                <w:lang w:eastAsia="fi-FI"/>
                <w14:ligatures w14:val="none"/>
              </w:rPr>
            </w:pPr>
          </w:p>
        </w:tc>
        <w:tc>
          <w:tcPr>
            <w:tcW w:w="1838" w:type="dxa"/>
            <w:noWrap/>
            <w:vAlign w:val="center"/>
            <w:hideMark/>
          </w:tcPr>
          <w:p w14:paraId="555DD606" w14:textId="77777777" w:rsidR="004931C5" w:rsidRPr="00A16B2D" w:rsidRDefault="004931C5" w:rsidP="004931C5">
            <w:pP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Osteosarcopenia</w:t>
            </w:r>
          </w:p>
        </w:tc>
        <w:tc>
          <w:tcPr>
            <w:tcW w:w="708" w:type="dxa"/>
            <w:noWrap/>
            <w:vAlign w:val="center"/>
            <w:hideMark/>
          </w:tcPr>
          <w:p w14:paraId="0BE899D2"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122</w:t>
            </w:r>
          </w:p>
        </w:tc>
        <w:tc>
          <w:tcPr>
            <w:tcW w:w="1418" w:type="dxa"/>
            <w:noWrap/>
            <w:vAlign w:val="center"/>
            <w:hideMark/>
          </w:tcPr>
          <w:p w14:paraId="7561C781" w14:textId="2E1EA056"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590CCD">
              <w:rPr>
                <w:color w:val="000000"/>
                <w:sz w:val="16"/>
                <w:szCs w:val="16"/>
              </w:rPr>
              <w:t>31 (25.4)</w:t>
            </w:r>
          </w:p>
        </w:tc>
        <w:tc>
          <w:tcPr>
            <w:tcW w:w="2232" w:type="dxa"/>
            <w:noWrap/>
            <w:vAlign w:val="center"/>
          </w:tcPr>
          <w:p w14:paraId="432FA53C" w14:textId="0B7068E7" w:rsidR="004931C5" w:rsidRPr="00A16B2D" w:rsidRDefault="004931C5" w:rsidP="004931C5">
            <w:pPr>
              <w:jc w:val="center"/>
              <w:rPr>
                <w:rFonts w:asciiTheme="majorHAnsi" w:eastAsia="Times New Roman" w:hAnsiTheme="majorHAnsi" w:cs="Times New Roman"/>
                <w:b/>
                <w:bCs/>
                <w:color w:val="000000"/>
                <w:kern w:val="0"/>
                <w:sz w:val="16"/>
                <w:szCs w:val="16"/>
                <w:lang w:eastAsia="fi-FI"/>
                <w14:ligatures w14:val="none"/>
              </w:rPr>
            </w:pPr>
            <w:r>
              <w:rPr>
                <w:rFonts w:asciiTheme="majorHAnsi" w:eastAsia="Times New Roman" w:hAnsiTheme="majorHAnsi" w:cs="Times New Roman"/>
                <w:b/>
                <w:bCs/>
                <w:color w:val="000000"/>
                <w:kern w:val="0"/>
                <w:sz w:val="16"/>
                <w:szCs w:val="16"/>
                <w:lang w:eastAsia="fi-FI"/>
                <w14:ligatures w14:val="none"/>
              </w:rPr>
              <w:t>2.32 (1.49 – 3.61)</w:t>
            </w:r>
          </w:p>
        </w:tc>
        <w:tc>
          <w:tcPr>
            <w:tcW w:w="2233" w:type="dxa"/>
            <w:noWrap/>
            <w:vAlign w:val="center"/>
          </w:tcPr>
          <w:p w14:paraId="15E2D4ED" w14:textId="2BC9095C" w:rsidR="004931C5" w:rsidRPr="00A16B2D" w:rsidRDefault="002204CA" w:rsidP="004931C5">
            <w:pPr>
              <w:jc w:val="center"/>
              <w:rPr>
                <w:rFonts w:asciiTheme="majorHAnsi" w:eastAsia="Times New Roman" w:hAnsiTheme="majorHAnsi" w:cs="Times New Roman"/>
                <w:b/>
                <w:bCs/>
                <w:color w:val="000000"/>
                <w:kern w:val="0"/>
                <w:sz w:val="16"/>
                <w:szCs w:val="16"/>
                <w:lang w:eastAsia="fi-FI"/>
                <w14:ligatures w14:val="none"/>
              </w:rPr>
            </w:pPr>
            <w:r>
              <w:rPr>
                <w:rFonts w:asciiTheme="majorHAnsi" w:eastAsia="Times New Roman" w:hAnsiTheme="majorHAnsi" w:cs="Times New Roman"/>
                <w:b/>
                <w:bCs/>
                <w:color w:val="000000"/>
                <w:kern w:val="0"/>
                <w:sz w:val="16"/>
                <w:szCs w:val="16"/>
                <w:lang w:eastAsia="fi-FI"/>
                <w14:ligatures w14:val="none"/>
              </w:rPr>
              <w:t>2.25 (1.42 – 3.56)</w:t>
            </w:r>
          </w:p>
        </w:tc>
        <w:tc>
          <w:tcPr>
            <w:tcW w:w="2232" w:type="dxa"/>
            <w:noWrap/>
            <w:vAlign w:val="center"/>
          </w:tcPr>
          <w:p w14:paraId="3A0F51AE" w14:textId="57C623E9" w:rsidR="004931C5" w:rsidRPr="00A16B2D" w:rsidRDefault="002204CA" w:rsidP="004931C5">
            <w:pPr>
              <w:jc w:val="center"/>
              <w:rPr>
                <w:rFonts w:asciiTheme="majorHAnsi" w:eastAsia="Times New Roman" w:hAnsiTheme="majorHAnsi" w:cs="Times New Roman"/>
                <w:b/>
                <w:bCs/>
                <w:color w:val="000000"/>
                <w:kern w:val="0"/>
                <w:sz w:val="16"/>
                <w:szCs w:val="16"/>
                <w:lang w:eastAsia="fi-FI"/>
                <w14:ligatures w14:val="none"/>
              </w:rPr>
            </w:pPr>
            <w:r>
              <w:rPr>
                <w:rFonts w:asciiTheme="majorHAnsi" w:eastAsia="Times New Roman" w:hAnsiTheme="majorHAnsi" w:cs="Times New Roman"/>
                <w:b/>
                <w:bCs/>
                <w:color w:val="000000"/>
                <w:kern w:val="0"/>
                <w:sz w:val="16"/>
                <w:szCs w:val="16"/>
                <w:lang w:eastAsia="fi-FI"/>
                <w14:ligatures w14:val="none"/>
              </w:rPr>
              <w:t>2.13 (1.32 – 3.44)</w:t>
            </w:r>
          </w:p>
        </w:tc>
        <w:tc>
          <w:tcPr>
            <w:tcW w:w="2233" w:type="dxa"/>
            <w:noWrap/>
            <w:vAlign w:val="center"/>
            <w:hideMark/>
          </w:tcPr>
          <w:p w14:paraId="78BD41EB" w14:textId="648338B8"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590CCD">
              <w:rPr>
                <w:color w:val="000000"/>
                <w:sz w:val="16"/>
                <w:szCs w:val="16"/>
              </w:rPr>
              <w:t>1.35 (0.78 - 2.31)</w:t>
            </w:r>
          </w:p>
        </w:tc>
      </w:tr>
      <w:tr w:rsidR="004931C5" w:rsidRPr="00A16B2D" w14:paraId="12E99D32" w14:textId="77777777" w:rsidTr="00B623C7">
        <w:trPr>
          <w:trHeight w:val="264"/>
        </w:trPr>
        <w:tc>
          <w:tcPr>
            <w:tcW w:w="1985" w:type="dxa"/>
            <w:noWrap/>
            <w:vAlign w:val="center"/>
            <w:hideMark/>
          </w:tcPr>
          <w:p w14:paraId="2A1DA94A"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p>
        </w:tc>
        <w:tc>
          <w:tcPr>
            <w:tcW w:w="1838" w:type="dxa"/>
            <w:noWrap/>
            <w:vAlign w:val="center"/>
            <w:hideMark/>
          </w:tcPr>
          <w:p w14:paraId="4EF44490" w14:textId="77777777" w:rsidR="004931C5" w:rsidRPr="00A16B2D" w:rsidRDefault="004931C5" w:rsidP="004931C5">
            <w:pPr>
              <w:rPr>
                <w:rFonts w:asciiTheme="majorHAnsi" w:eastAsia="Times New Roman" w:hAnsiTheme="majorHAnsi" w:cs="Times New Roman"/>
                <w:kern w:val="0"/>
                <w:sz w:val="16"/>
                <w:szCs w:val="16"/>
                <w:lang w:eastAsia="fi-FI"/>
                <w14:ligatures w14:val="none"/>
              </w:rPr>
            </w:pPr>
          </w:p>
        </w:tc>
        <w:tc>
          <w:tcPr>
            <w:tcW w:w="708" w:type="dxa"/>
            <w:noWrap/>
            <w:vAlign w:val="center"/>
            <w:hideMark/>
          </w:tcPr>
          <w:p w14:paraId="0BF7297F" w14:textId="77777777" w:rsidR="004931C5" w:rsidRPr="00A16B2D" w:rsidRDefault="004931C5" w:rsidP="004931C5">
            <w:pPr>
              <w:rPr>
                <w:rFonts w:asciiTheme="majorHAnsi" w:eastAsia="Times New Roman" w:hAnsiTheme="majorHAnsi" w:cs="Times New Roman"/>
                <w:kern w:val="0"/>
                <w:sz w:val="16"/>
                <w:szCs w:val="16"/>
                <w:lang w:eastAsia="fi-FI"/>
                <w14:ligatures w14:val="none"/>
              </w:rPr>
            </w:pPr>
          </w:p>
        </w:tc>
        <w:tc>
          <w:tcPr>
            <w:tcW w:w="1418" w:type="dxa"/>
            <w:noWrap/>
            <w:vAlign w:val="center"/>
            <w:hideMark/>
          </w:tcPr>
          <w:p w14:paraId="23FFB72B" w14:textId="77777777" w:rsidR="004931C5" w:rsidRPr="00A16B2D" w:rsidRDefault="004931C5" w:rsidP="004931C5">
            <w:pPr>
              <w:jc w:val="center"/>
              <w:rPr>
                <w:rFonts w:asciiTheme="majorHAnsi" w:eastAsia="Times New Roman" w:hAnsiTheme="majorHAnsi" w:cs="Times New Roman"/>
                <w:kern w:val="0"/>
                <w:sz w:val="16"/>
                <w:szCs w:val="16"/>
                <w:lang w:eastAsia="fi-FI"/>
                <w14:ligatures w14:val="none"/>
              </w:rPr>
            </w:pPr>
          </w:p>
        </w:tc>
        <w:tc>
          <w:tcPr>
            <w:tcW w:w="2232" w:type="dxa"/>
            <w:noWrap/>
            <w:vAlign w:val="center"/>
          </w:tcPr>
          <w:p w14:paraId="2422B1C8" w14:textId="77777777" w:rsidR="004931C5" w:rsidRPr="00A16B2D" w:rsidRDefault="004931C5" w:rsidP="004931C5">
            <w:pPr>
              <w:jc w:val="center"/>
              <w:rPr>
                <w:rFonts w:asciiTheme="majorHAnsi" w:eastAsia="Times New Roman" w:hAnsiTheme="majorHAnsi" w:cs="Times New Roman"/>
                <w:kern w:val="0"/>
                <w:sz w:val="16"/>
                <w:szCs w:val="16"/>
                <w:lang w:eastAsia="fi-FI"/>
                <w14:ligatures w14:val="none"/>
              </w:rPr>
            </w:pPr>
          </w:p>
        </w:tc>
        <w:tc>
          <w:tcPr>
            <w:tcW w:w="2233" w:type="dxa"/>
            <w:noWrap/>
            <w:vAlign w:val="center"/>
          </w:tcPr>
          <w:p w14:paraId="620B123B" w14:textId="77777777" w:rsidR="004931C5" w:rsidRPr="00A16B2D" w:rsidRDefault="004931C5" w:rsidP="004931C5">
            <w:pPr>
              <w:jc w:val="center"/>
              <w:rPr>
                <w:rFonts w:asciiTheme="majorHAnsi" w:eastAsia="Times New Roman" w:hAnsiTheme="majorHAnsi" w:cs="Times New Roman"/>
                <w:kern w:val="0"/>
                <w:sz w:val="16"/>
                <w:szCs w:val="16"/>
                <w:lang w:eastAsia="fi-FI"/>
                <w14:ligatures w14:val="none"/>
              </w:rPr>
            </w:pPr>
          </w:p>
        </w:tc>
        <w:tc>
          <w:tcPr>
            <w:tcW w:w="2232" w:type="dxa"/>
            <w:noWrap/>
            <w:vAlign w:val="center"/>
          </w:tcPr>
          <w:p w14:paraId="5DC753B3" w14:textId="77777777" w:rsidR="004931C5" w:rsidRPr="00A16B2D" w:rsidRDefault="004931C5" w:rsidP="004931C5">
            <w:pPr>
              <w:jc w:val="center"/>
              <w:rPr>
                <w:rFonts w:asciiTheme="majorHAnsi" w:eastAsia="Times New Roman" w:hAnsiTheme="majorHAnsi" w:cs="Times New Roman"/>
                <w:kern w:val="0"/>
                <w:sz w:val="16"/>
                <w:szCs w:val="16"/>
                <w:lang w:eastAsia="fi-FI"/>
                <w14:ligatures w14:val="none"/>
              </w:rPr>
            </w:pPr>
          </w:p>
        </w:tc>
        <w:tc>
          <w:tcPr>
            <w:tcW w:w="2233" w:type="dxa"/>
            <w:noWrap/>
            <w:vAlign w:val="center"/>
            <w:hideMark/>
          </w:tcPr>
          <w:p w14:paraId="42E2D3F1" w14:textId="77777777" w:rsidR="004931C5" w:rsidRPr="00A16B2D" w:rsidRDefault="004931C5" w:rsidP="004931C5">
            <w:pPr>
              <w:jc w:val="center"/>
              <w:rPr>
                <w:rFonts w:asciiTheme="majorHAnsi" w:eastAsia="Times New Roman" w:hAnsiTheme="majorHAnsi" w:cs="Times New Roman"/>
                <w:kern w:val="0"/>
                <w:sz w:val="16"/>
                <w:szCs w:val="16"/>
                <w:lang w:eastAsia="fi-FI"/>
                <w14:ligatures w14:val="none"/>
              </w:rPr>
            </w:pPr>
          </w:p>
        </w:tc>
      </w:tr>
      <w:tr w:rsidR="004931C5" w:rsidRPr="00A16B2D" w14:paraId="2E11ADCA" w14:textId="77777777" w:rsidTr="00B623C7">
        <w:trPr>
          <w:trHeight w:val="264"/>
        </w:trPr>
        <w:tc>
          <w:tcPr>
            <w:tcW w:w="1985" w:type="dxa"/>
            <w:noWrap/>
            <w:vAlign w:val="center"/>
            <w:hideMark/>
          </w:tcPr>
          <w:p w14:paraId="27403612" w14:textId="77777777" w:rsidR="004931C5" w:rsidRPr="00A16B2D" w:rsidRDefault="004931C5" w:rsidP="004931C5">
            <w:pP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Hip fracture</w:t>
            </w:r>
          </w:p>
        </w:tc>
        <w:tc>
          <w:tcPr>
            <w:tcW w:w="1838" w:type="dxa"/>
            <w:noWrap/>
            <w:vAlign w:val="center"/>
            <w:hideMark/>
          </w:tcPr>
          <w:p w14:paraId="65671F23" w14:textId="77777777" w:rsidR="004931C5" w:rsidRPr="00A16B2D" w:rsidRDefault="004931C5" w:rsidP="004931C5">
            <w:pPr>
              <w:rPr>
                <w:rFonts w:asciiTheme="majorHAnsi" w:eastAsia="Times New Roman" w:hAnsiTheme="majorHAnsi" w:cs="Times New Roman"/>
                <w:color w:val="000000"/>
                <w:kern w:val="0"/>
                <w:sz w:val="16"/>
                <w:szCs w:val="16"/>
                <w:lang w:eastAsia="fi-FI"/>
                <w14:ligatures w14:val="none"/>
              </w:rPr>
            </w:pPr>
            <w:r>
              <w:rPr>
                <w:rFonts w:asciiTheme="majorHAnsi" w:eastAsia="Times New Roman" w:hAnsiTheme="majorHAnsi" w:cs="Times New Roman"/>
                <w:color w:val="000000"/>
                <w:kern w:val="0"/>
                <w:sz w:val="16"/>
                <w:szCs w:val="16"/>
                <w:lang w:eastAsia="fi-FI"/>
                <w14:ligatures w14:val="none"/>
              </w:rPr>
              <w:t>No sarcopenia</w:t>
            </w:r>
            <w:r w:rsidRPr="00A16B2D">
              <w:rPr>
                <w:rFonts w:asciiTheme="majorHAnsi" w:eastAsia="Times New Roman" w:hAnsiTheme="majorHAnsi" w:cs="Times New Roman"/>
                <w:color w:val="000000"/>
                <w:kern w:val="0"/>
                <w:sz w:val="16"/>
                <w:szCs w:val="16"/>
                <w:lang w:eastAsia="fi-FI"/>
                <w14:ligatures w14:val="none"/>
              </w:rPr>
              <w:t>, no osteoporosis</w:t>
            </w:r>
          </w:p>
        </w:tc>
        <w:tc>
          <w:tcPr>
            <w:tcW w:w="708" w:type="dxa"/>
            <w:noWrap/>
            <w:vAlign w:val="center"/>
            <w:hideMark/>
          </w:tcPr>
          <w:p w14:paraId="4022704F"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1602</w:t>
            </w:r>
          </w:p>
        </w:tc>
        <w:tc>
          <w:tcPr>
            <w:tcW w:w="1418" w:type="dxa"/>
            <w:noWrap/>
            <w:vAlign w:val="center"/>
            <w:hideMark/>
          </w:tcPr>
          <w:p w14:paraId="043B6470" w14:textId="58337AE6"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590CCD">
              <w:rPr>
                <w:color w:val="000000"/>
                <w:sz w:val="16"/>
                <w:szCs w:val="16"/>
              </w:rPr>
              <w:t>81 (5.1)</w:t>
            </w:r>
          </w:p>
        </w:tc>
        <w:tc>
          <w:tcPr>
            <w:tcW w:w="2232" w:type="dxa"/>
            <w:noWrap/>
            <w:vAlign w:val="center"/>
            <w:hideMark/>
          </w:tcPr>
          <w:p w14:paraId="7588D914"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Pr>
                <w:rFonts w:asciiTheme="majorHAnsi" w:eastAsia="Times New Roman" w:hAnsiTheme="majorHAnsi" w:cs="Times New Roman"/>
                <w:color w:val="000000"/>
                <w:kern w:val="0"/>
                <w:sz w:val="16"/>
                <w:szCs w:val="16"/>
                <w:lang w:eastAsia="fi-FI"/>
                <w14:ligatures w14:val="none"/>
              </w:rPr>
              <w:t>1.00 (Reference)</w:t>
            </w:r>
          </w:p>
        </w:tc>
        <w:tc>
          <w:tcPr>
            <w:tcW w:w="2233" w:type="dxa"/>
            <w:noWrap/>
            <w:vAlign w:val="center"/>
            <w:hideMark/>
          </w:tcPr>
          <w:p w14:paraId="1DFCBD8B"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Pr>
                <w:rFonts w:asciiTheme="majorHAnsi" w:eastAsia="Times New Roman" w:hAnsiTheme="majorHAnsi" w:cs="Times New Roman"/>
                <w:color w:val="000000"/>
                <w:kern w:val="0"/>
                <w:sz w:val="16"/>
                <w:szCs w:val="16"/>
                <w:lang w:eastAsia="fi-FI"/>
                <w14:ligatures w14:val="none"/>
              </w:rPr>
              <w:t>1.00 (Reference)</w:t>
            </w:r>
          </w:p>
        </w:tc>
        <w:tc>
          <w:tcPr>
            <w:tcW w:w="2232" w:type="dxa"/>
            <w:noWrap/>
            <w:vAlign w:val="center"/>
            <w:hideMark/>
          </w:tcPr>
          <w:p w14:paraId="040038EB"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Pr>
                <w:rFonts w:asciiTheme="majorHAnsi" w:eastAsia="Times New Roman" w:hAnsiTheme="majorHAnsi" w:cs="Times New Roman"/>
                <w:color w:val="000000"/>
                <w:kern w:val="0"/>
                <w:sz w:val="16"/>
                <w:szCs w:val="16"/>
                <w:lang w:eastAsia="fi-FI"/>
                <w14:ligatures w14:val="none"/>
              </w:rPr>
              <w:t>1.00 (Reference)</w:t>
            </w:r>
          </w:p>
        </w:tc>
        <w:tc>
          <w:tcPr>
            <w:tcW w:w="2233" w:type="dxa"/>
            <w:noWrap/>
            <w:vAlign w:val="center"/>
            <w:hideMark/>
          </w:tcPr>
          <w:p w14:paraId="1794446C" w14:textId="0CEC975C"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Pr>
                <w:color w:val="000000"/>
                <w:sz w:val="16"/>
                <w:szCs w:val="16"/>
              </w:rPr>
              <w:t>1.0 (Reference)</w:t>
            </w:r>
          </w:p>
        </w:tc>
      </w:tr>
      <w:tr w:rsidR="004931C5" w:rsidRPr="00A16B2D" w14:paraId="4609BE20" w14:textId="77777777" w:rsidTr="00B623C7">
        <w:trPr>
          <w:trHeight w:val="264"/>
        </w:trPr>
        <w:tc>
          <w:tcPr>
            <w:tcW w:w="1985" w:type="dxa"/>
            <w:noWrap/>
            <w:vAlign w:val="center"/>
            <w:hideMark/>
          </w:tcPr>
          <w:p w14:paraId="7744EDF4"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p>
        </w:tc>
        <w:tc>
          <w:tcPr>
            <w:tcW w:w="1838" w:type="dxa"/>
            <w:noWrap/>
            <w:vAlign w:val="center"/>
            <w:hideMark/>
          </w:tcPr>
          <w:p w14:paraId="2A69A619" w14:textId="77777777" w:rsidR="004931C5" w:rsidRPr="00A16B2D" w:rsidRDefault="004931C5" w:rsidP="004931C5">
            <w:pPr>
              <w:rPr>
                <w:rFonts w:asciiTheme="majorHAnsi" w:eastAsia="Times New Roman" w:hAnsiTheme="majorHAnsi" w:cs="Times New Roman"/>
                <w:color w:val="000000"/>
                <w:kern w:val="0"/>
                <w:sz w:val="16"/>
                <w:szCs w:val="16"/>
                <w:lang w:eastAsia="fi-FI"/>
                <w14:ligatures w14:val="none"/>
              </w:rPr>
            </w:pPr>
            <w:r>
              <w:rPr>
                <w:rFonts w:asciiTheme="majorHAnsi" w:eastAsia="Times New Roman" w:hAnsiTheme="majorHAnsi" w:cs="Times New Roman"/>
                <w:color w:val="000000"/>
                <w:kern w:val="0"/>
                <w:sz w:val="16"/>
                <w:szCs w:val="16"/>
                <w:lang w:eastAsia="fi-FI"/>
                <w14:ligatures w14:val="none"/>
              </w:rPr>
              <w:t>Probable sarcopenia only</w:t>
            </w:r>
          </w:p>
        </w:tc>
        <w:tc>
          <w:tcPr>
            <w:tcW w:w="708" w:type="dxa"/>
            <w:noWrap/>
            <w:vAlign w:val="center"/>
            <w:hideMark/>
          </w:tcPr>
          <w:p w14:paraId="3215DBAF"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234</w:t>
            </w:r>
          </w:p>
        </w:tc>
        <w:tc>
          <w:tcPr>
            <w:tcW w:w="1418" w:type="dxa"/>
            <w:noWrap/>
            <w:vAlign w:val="center"/>
            <w:hideMark/>
          </w:tcPr>
          <w:p w14:paraId="0B9990CF" w14:textId="4C3BE3EB"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590CCD">
              <w:rPr>
                <w:color w:val="000000"/>
                <w:sz w:val="16"/>
                <w:szCs w:val="16"/>
              </w:rPr>
              <w:t>19 (8.1)</w:t>
            </w:r>
          </w:p>
        </w:tc>
        <w:tc>
          <w:tcPr>
            <w:tcW w:w="2232" w:type="dxa"/>
            <w:noWrap/>
            <w:vAlign w:val="center"/>
          </w:tcPr>
          <w:p w14:paraId="1D550C93" w14:textId="03913C6B" w:rsidR="004931C5" w:rsidRPr="004931C5"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4931C5">
              <w:rPr>
                <w:rFonts w:asciiTheme="majorHAnsi" w:eastAsia="Times New Roman" w:hAnsiTheme="majorHAnsi" w:cs="Times New Roman"/>
                <w:color w:val="000000"/>
                <w:kern w:val="0"/>
                <w:sz w:val="16"/>
                <w:szCs w:val="16"/>
                <w:lang w:eastAsia="fi-FI"/>
                <w14:ligatures w14:val="none"/>
              </w:rPr>
              <w:t>1.42 (0.83 – 2.43)</w:t>
            </w:r>
          </w:p>
        </w:tc>
        <w:tc>
          <w:tcPr>
            <w:tcW w:w="2233" w:type="dxa"/>
            <w:noWrap/>
            <w:vAlign w:val="center"/>
          </w:tcPr>
          <w:p w14:paraId="62D01FCB" w14:textId="72E80EA5" w:rsidR="004931C5" w:rsidRPr="00A16B2D" w:rsidRDefault="002204CA" w:rsidP="004931C5">
            <w:pPr>
              <w:jc w:val="center"/>
              <w:rPr>
                <w:rFonts w:asciiTheme="majorHAnsi" w:eastAsia="Times New Roman" w:hAnsiTheme="majorHAnsi" w:cs="Times New Roman"/>
                <w:color w:val="000000"/>
                <w:kern w:val="0"/>
                <w:sz w:val="16"/>
                <w:szCs w:val="16"/>
                <w:lang w:eastAsia="fi-FI"/>
                <w14:ligatures w14:val="none"/>
              </w:rPr>
            </w:pPr>
            <w:r>
              <w:rPr>
                <w:rFonts w:asciiTheme="majorHAnsi" w:eastAsia="Times New Roman" w:hAnsiTheme="majorHAnsi" w:cs="Times New Roman"/>
                <w:color w:val="000000"/>
                <w:kern w:val="0"/>
                <w:sz w:val="16"/>
                <w:szCs w:val="16"/>
                <w:lang w:eastAsia="fi-FI"/>
                <w14:ligatures w14:val="none"/>
              </w:rPr>
              <w:t>1.15 (0.64 – 2.08)</w:t>
            </w:r>
          </w:p>
        </w:tc>
        <w:tc>
          <w:tcPr>
            <w:tcW w:w="2232" w:type="dxa"/>
            <w:noWrap/>
            <w:vAlign w:val="center"/>
          </w:tcPr>
          <w:p w14:paraId="65609805" w14:textId="1F68CF1F" w:rsidR="004931C5" w:rsidRPr="00A16B2D" w:rsidRDefault="002204CA" w:rsidP="004931C5">
            <w:pPr>
              <w:jc w:val="center"/>
              <w:rPr>
                <w:rFonts w:asciiTheme="majorHAnsi" w:eastAsia="Times New Roman" w:hAnsiTheme="majorHAnsi" w:cs="Times New Roman"/>
                <w:color w:val="000000"/>
                <w:kern w:val="0"/>
                <w:sz w:val="16"/>
                <w:szCs w:val="16"/>
                <w:lang w:eastAsia="fi-FI"/>
                <w14:ligatures w14:val="none"/>
              </w:rPr>
            </w:pPr>
            <w:r>
              <w:rPr>
                <w:rFonts w:asciiTheme="majorHAnsi" w:eastAsia="Times New Roman" w:hAnsiTheme="majorHAnsi" w:cs="Times New Roman"/>
                <w:color w:val="000000"/>
                <w:kern w:val="0"/>
                <w:sz w:val="16"/>
                <w:szCs w:val="16"/>
                <w:lang w:eastAsia="fi-FI"/>
                <w14:ligatures w14:val="none"/>
              </w:rPr>
              <w:t>1.14 (0.62 – 2.10)</w:t>
            </w:r>
          </w:p>
        </w:tc>
        <w:tc>
          <w:tcPr>
            <w:tcW w:w="2233" w:type="dxa"/>
            <w:noWrap/>
            <w:vAlign w:val="center"/>
            <w:hideMark/>
          </w:tcPr>
          <w:p w14:paraId="45B4D986" w14:textId="5EF4E763"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590CCD">
              <w:rPr>
                <w:color w:val="000000"/>
                <w:sz w:val="16"/>
                <w:szCs w:val="16"/>
              </w:rPr>
              <w:t>0.83 (0.44 - 1.56)</w:t>
            </w:r>
          </w:p>
        </w:tc>
      </w:tr>
      <w:tr w:rsidR="004931C5" w:rsidRPr="00A16B2D" w14:paraId="021A4574" w14:textId="77777777" w:rsidTr="00B623C7">
        <w:trPr>
          <w:trHeight w:val="264"/>
        </w:trPr>
        <w:tc>
          <w:tcPr>
            <w:tcW w:w="1985" w:type="dxa"/>
            <w:noWrap/>
            <w:vAlign w:val="center"/>
            <w:hideMark/>
          </w:tcPr>
          <w:p w14:paraId="7ECFA04C"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p>
        </w:tc>
        <w:tc>
          <w:tcPr>
            <w:tcW w:w="1838" w:type="dxa"/>
            <w:noWrap/>
            <w:vAlign w:val="center"/>
            <w:hideMark/>
          </w:tcPr>
          <w:p w14:paraId="7E45792B" w14:textId="77777777" w:rsidR="004931C5" w:rsidRPr="00A16B2D" w:rsidRDefault="004931C5" w:rsidP="004931C5">
            <w:pP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Osteoporosis only</w:t>
            </w:r>
          </w:p>
        </w:tc>
        <w:tc>
          <w:tcPr>
            <w:tcW w:w="708" w:type="dxa"/>
            <w:noWrap/>
            <w:vAlign w:val="center"/>
            <w:hideMark/>
          </w:tcPr>
          <w:p w14:paraId="4A4666AC"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184</w:t>
            </w:r>
          </w:p>
        </w:tc>
        <w:tc>
          <w:tcPr>
            <w:tcW w:w="1418" w:type="dxa"/>
            <w:noWrap/>
            <w:vAlign w:val="center"/>
            <w:hideMark/>
          </w:tcPr>
          <w:p w14:paraId="09DDBEA9" w14:textId="0DF7E26C"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590CCD">
              <w:rPr>
                <w:color w:val="000000"/>
                <w:sz w:val="16"/>
                <w:szCs w:val="16"/>
              </w:rPr>
              <w:t>28 (15.2)</w:t>
            </w:r>
          </w:p>
        </w:tc>
        <w:tc>
          <w:tcPr>
            <w:tcW w:w="2232" w:type="dxa"/>
            <w:noWrap/>
            <w:vAlign w:val="center"/>
          </w:tcPr>
          <w:p w14:paraId="1AE81BA2" w14:textId="7BED6CC1" w:rsidR="004931C5" w:rsidRPr="00A16B2D" w:rsidRDefault="004931C5" w:rsidP="004931C5">
            <w:pPr>
              <w:jc w:val="center"/>
              <w:rPr>
                <w:rFonts w:asciiTheme="majorHAnsi" w:eastAsia="Times New Roman" w:hAnsiTheme="majorHAnsi" w:cs="Times New Roman"/>
                <w:b/>
                <w:bCs/>
                <w:color w:val="000000"/>
                <w:kern w:val="0"/>
                <w:sz w:val="16"/>
                <w:szCs w:val="16"/>
                <w:lang w:eastAsia="fi-FI"/>
                <w14:ligatures w14:val="none"/>
              </w:rPr>
            </w:pPr>
            <w:r>
              <w:rPr>
                <w:rFonts w:asciiTheme="majorHAnsi" w:eastAsia="Times New Roman" w:hAnsiTheme="majorHAnsi" w:cs="Times New Roman"/>
                <w:b/>
                <w:bCs/>
                <w:color w:val="000000"/>
                <w:kern w:val="0"/>
                <w:sz w:val="16"/>
                <w:szCs w:val="16"/>
                <w:lang w:eastAsia="fi-FI"/>
                <w14:ligatures w14:val="none"/>
              </w:rPr>
              <w:t>2.12 (1.31 – 3.42)</w:t>
            </w:r>
          </w:p>
        </w:tc>
        <w:tc>
          <w:tcPr>
            <w:tcW w:w="2233" w:type="dxa"/>
            <w:noWrap/>
            <w:vAlign w:val="center"/>
          </w:tcPr>
          <w:p w14:paraId="5578DF35" w14:textId="189F02C2" w:rsidR="004931C5" w:rsidRPr="00A16B2D" w:rsidRDefault="002204CA" w:rsidP="004931C5">
            <w:pPr>
              <w:jc w:val="center"/>
              <w:rPr>
                <w:rFonts w:asciiTheme="majorHAnsi" w:eastAsia="Times New Roman" w:hAnsiTheme="majorHAnsi" w:cs="Times New Roman"/>
                <w:b/>
                <w:bCs/>
                <w:color w:val="000000"/>
                <w:kern w:val="0"/>
                <w:sz w:val="16"/>
                <w:szCs w:val="16"/>
                <w:lang w:eastAsia="fi-FI"/>
                <w14:ligatures w14:val="none"/>
              </w:rPr>
            </w:pPr>
            <w:r>
              <w:rPr>
                <w:rFonts w:asciiTheme="majorHAnsi" w:eastAsia="Times New Roman" w:hAnsiTheme="majorHAnsi" w:cs="Times New Roman"/>
                <w:b/>
                <w:bCs/>
                <w:color w:val="000000"/>
                <w:kern w:val="0"/>
                <w:sz w:val="16"/>
                <w:szCs w:val="16"/>
                <w:lang w:eastAsia="fi-FI"/>
                <w14:ligatures w14:val="none"/>
              </w:rPr>
              <w:t>2.03 (1.24 – 3.33)</w:t>
            </w:r>
          </w:p>
        </w:tc>
        <w:tc>
          <w:tcPr>
            <w:tcW w:w="2232" w:type="dxa"/>
            <w:noWrap/>
            <w:vAlign w:val="center"/>
          </w:tcPr>
          <w:p w14:paraId="1917C76D" w14:textId="79F42BAD" w:rsidR="004931C5" w:rsidRPr="00A16B2D" w:rsidRDefault="002204CA" w:rsidP="004931C5">
            <w:pPr>
              <w:jc w:val="center"/>
              <w:rPr>
                <w:rFonts w:asciiTheme="majorHAnsi" w:eastAsia="Times New Roman" w:hAnsiTheme="majorHAnsi" w:cs="Times New Roman"/>
                <w:b/>
                <w:bCs/>
                <w:color w:val="000000"/>
                <w:kern w:val="0"/>
                <w:sz w:val="16"/>
                <w:szCs w:val="16"/>
                <w:lang w:eastAsia="fi-FI"/>
                <w14:ligatures w14:val="none"/>
              </w:rPr>
            </w:pPr>
            <w:r>
              <w:rPr>
                <w:rFonts w:asciiTheme="majorHAnsi" w:eastAsia="Times New Roman" w:hAnsiTheme="majorHAnsi" w:cs="Times New Roman"/>
                <w:b/>
                <w:bCs/>
                <w:color w:val="000000"/>
                <w:kern w:val="0"/>
                <w:sz w:val="16"/>
                <w:szCs w:val="16"/>
                <w:lang w:eastAsia="fi-FI"/>
                <w14:ligatures w14:val="none"/>
              </w:rPr>
              <w:t>2.15 (1.30 – 3.53)</w:t>
            </w:r>
          </w:p>
        </w:tc>
        <w:tc>
          <w:tcPr>
            <w:tcW w:w="2233" w:type="dxa"/>
            <w:noWrap/>
            <w:vAlign w:val="center"/>
            <w:hideMark/>
          </w:tcPr>
          <w:p w14:paraId="404A6BE7" w14:textId="463C602E"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590CCD">
              <w:rPr>
                <w:b/>
                <w:bCs/>
                <w:color w:val="000000"/>
                <w:sz w:val="16"/>
                <w:szCs w:val="16"/>
              </w:rPr>
              <w:t>1.80 (1.02 - 3.19)</w:t>
            </w:r>
          </w:p>
        </w:tc>
      </w:tr>
      <w:tr w:rsidR="004931C5" w:rsidRPr="00A16B2D" w14:paraId="14E0CF01" w14:textId="77777777" w:rsidTr="00B623C7">
        <w:trPr>
          <w:trHeight w:val="264"/>
        </w:trPr>
        <w:tc>
          <w:tcPr>
            <w:tcW w:w="1985" w:type="dxa"/>
            <w:noWrap/>
            <w:vAlign w:val="center"/>
            <w:hideMark/>
          </w:tcPr>
          <w:p w14:paraId="44E72006"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p>
        </w:tc>
        <w:tc>
          <w:tcPr>
            <w:tcW w:w="1838" w:type="dxa"/>
            <w:noWrap/>
            <w:vAlign w:val="center"/>
            <w:hideMark/>
          </w:tcPr>
          <w:p w14:paraId="71C45873" w14:textId="77777777" w:rsidR="004931C5" w:rsidRPr="00A16B2D" w:rsidRDefault="004931C5" w:rsidP="004931C5">
            <w:pP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Osteosarcopenia</w:t>
            </w:r>
          </w:p>
        </w:tc>
        <w:tc>
          <w:tcPr>
            <w:tcW w:w="708" w:type="dxa"/>
            <w:noWrap/>
            <w:vAlign w:val="center"/>
            <w:hideMark/>
          </w:tcPr>
          <w:p w14:paraId="1482358E"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122</w:t>
            </w:r>
          </w:p>
        </w:tc>
        <w:tc>
          <w:tcPr>
            <w:tcW w:w="1418" w:type="dxa"/>
            <w:noWrap/>
            <w:vAlign w:val="center"/>
            <w:hideMark/>
          </w:tcPr>
          <w:p w14:paraId="624D5323" w14:textId="53931BF9"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590CCD">
              <w:rPr>
                <w:color w:val="000000"/>
                <w:sz w:val="16"/>
                <w:szCs w:val="16"/>
              </w:rPr>
              <w:t>17 (13.9)</w:t>
            </w:r>
          </w:p>
        </w:tc>
        <w:tc>
          <w:tcPr>
            <w:tcW w:w="2232" w:type="dxa"/>
            <w:noWrap/>
            <w:vAlign w:val="center"/>
          </w:tcPr>
          <w:p w14:paraId="4B7B5BA7" w14:textId="10DF6CC5" w:rsidR="004931C5" w:rsidRPr="00A16B2D" w:rsidRDefault="004931C5" w:rsidP="004931C5">
            <w:pPr>
              <w:jc w:val="center"/>
              <w:rPr>
                <w:rFonts w:asciiTheme="majorHAnsi" w:eastAsia="Times New Roman" w:hAnsiTheme="majorHAnsi" w:cs="Times New Roman"/>
                <w:b/>
                <w:bCs/>
                <w:color w:val="000000"/>
                <w:kern w:val="0"/>
                <w:sz w:val="16"/>
                <w:szCs w:val="16"/>
                <w:lang w:eastAsia="fi-FI"/>
                <w14:ligatures w14:val="none"/>
              </w:rPr>
            </w:pPr>
            <w:r>
              <w:rPr>
                <w:rFonts w:asciiTheme="majorHAnsi" w:eastAsia="Times New Roman" w:hAnsiTheme="majorHAnsi" w:cs="Times New Roman"/>
                <w:b/>
                <w:bCs/>
                <w:color w:val="000000"/>
                <w:kern w:val="0"/>
                <w:sz w:val="16"/>
                <w:szCs w:val="16"/>
                <w:lang w:eastAsia="fi-FI"/>
                <w14:ligatures w14:val="none"/>
              </w:rPr>
              <w:t>2.30 (1.24 – 4.25)</w:t>
            </w:r>
          </w:p>
        </w:tc>
        <w:tc>
          <w:tcPr>
            <w:tcW w:w="2233" w:type="dxa"/>
            <w:noWrap/>
            <w:vAlign w:val="center"/>
          </w:tcPr>
          <w:p w14:paraId="5677EBC2" w14:textId="4113A221" w:rsidR="004931C5" w:rsidRPr="00A16B2D" w:rsidRDefault="002204CA" w:rsidP="004931C5">
            <w:pPr>
              <w:jc w:val="center"/>
              <w:rPr>
                <w:rFonts w:asciiTheme="majorHAnsi" w:eastAsia="Times New Roman" w:hAnsiTheme="majorHAnsi" w:cs="Times New Roman"/>
                <w:b/>
                <w:bCs/>
                <w:color w:val="000000"/>
                <w:kern w:val="0"/>
                <w:sz w:val="16"/>
                <w:szCs w:val="16"/>
                <w:lang w:eastAsia="fi-FI"/>
                <w14:ligatures w14:val="none"/>
              </w:rPr>
            </w:pPr>
            <w:r>
              <w:rPr>
                <w:rFonts w:asciiTheme="majorHAnsi" w:eastAsia="Times New Roman" w:hAnsiTheme="majorHAnsi" w:cs="Times New Roman"/>
                <w:b/>
                <w:bCs/>
                <w:color w:val="000000"/>
                <w:kern w:val="0"/>
                <w:sz w:val="16"/>
                <w:szCs w:val="16"/>
                <w:lang w:eastAsia="fi-FI"/>
                <w14:ligatures w14:val="none"/>
              </w:rPr>
              <w:t>1.94 (1.01 – 3.76)</w:t>
            </w:r>
          </w:p>
        </w:tc>
        <w:tc>
          <w:tcPr>
            <w:tcW w:w="2232" w:type="dxa"/>
            <w:noWrap/>
            <w:vAlign w:val="center"/>
          </w:tcPr>
          <w:p w14:paraId="519C665D" w14:textId="1192CB9A" w:rsidR="004931C5" w:rsidRPr="002204CA" w:rsidRDefault="002204CA" w:rsidP="004931C5">
            <w:pPr>
              <w:jc w:val="center"/>
              <w:rPr>
                <w:rFonts w:asciiTheme="majorHAnsi" w:eastAsia="Times New Roman" w:hAnsiTheme="majorHAnsi" w:cs="Times New Roman"/>
                <w:color w:val="000000"/>
                <w:kern w:val="0"/>
                <w:sz w:val="16"/>
                <w:szCs w:val="16"/>
                <w:lang w:eastAsia="fi-FI"/>
                <w14:ligatures w14:val="none"/>
              </w:rPr>
            </w:pPr>
            <w:r w:rsidRPr="002204CA">
              <w:rPr>
                <w:rFonts w:asciiTheme="majorHAnsi" w:eastAsia="Times New Roman" w:hAnsiTheme="majorHAnsi" w:cs="Times New Roman"/>
                <w:color w:val="000000"/>
                <w:kern w:val="0"/>
                <w:sz w:val="16"/>
                <w:szCs w:val="16"/>
                <w:lang w:eastAsia="fi-FI"/>
                <w14:ligatures w14:val="none"/>
              </w:rPr>
              <w:t>1.83 (0.91 – 3.72)</w:t>
            </w:r>
          </w:p>
        </w:tc>
        <w:tc>
          <w:tcPr>
            <w:tcW w:w="2233" w:type="dxa"/>
            <w:noWrap/>
            <w:vAlign w:val="center"/>
            <w:hideMark/>
          </w:tcPr>
          <w:p w14:paraId="780FE568" w14:textId="3819D546"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590CCD">
              <w:rPr>
                <w:color w:val="000000"/>
                <w:sz w:val="16"/>
                <w:szCs w:val="16"/>
              </w:rPr>
              <w:t>1.12 (0.51 - 2.47)</w:t>
            </w:r>
          </w:p>
        </w:tc>
      </w:tr>
      <w:tr w:rsidR="004931C5" w:rsidRPr="00A16B2D" w14:paraId="6971602F" w14:textId="77777777" w:rsidTr="00B623C7">
        <w:trPr>
          <w:trHeight w:val="264"/>
        </w:trPr>
        <w:tc>
          <w:tcPr>
            <w:tcW w:w="1985" w:type="dxa"/>
            <w:noWrap/>
            <w:vAlign w:val="center"/>
            <w:hideMark/>
          </w:tcPr>
          <w:p w14:paraId="0F721589"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p>
        </w:tc>
        <w:tc>
          <w:tcPr>
            <w:tcW w:w="1838" w:type="dxa"/>
            <w:noWrap/>
            <w:vAlign w:val="center"/>
            <w:hideMark/>
          </w:tcPr>
          <w:p w14:paraId="26B0D6C7" w14:textId="77777777" w:rsidR="004931C5" w:rsidRPr="00A16B2D" w:rsidRDefault="004931C5" w:rsidP="004931C5">
            <w:pPr>
              <w:rPr>
                <w:rFonts w:asciiTheme="majorHAnsi" w:eastAsia="Times New Roman" w:hAnsiTheme="majorHAnsi" w:cs="Times New Roman"/>
                <w:kern w:val="0"/>
                <w:sz w:val="16"/>
                <w:szCs w:val="16"/>
                <w:lang w:eastAsia="fi-FI"/>
                <w14:ligatures w14:val="none"/>
              </w:rPr>
            </w:pPr>
          </w:p>
        </w:tc>
        <w:tc>
          <w:tcPr>
            <w:tcW w:w="708" w:type="dxa"/>
            <w:noWrap/>
            <w:vAlign w:val="center"/>
            <w:hideMark/>
          </w:tcPr>
          <w:p w14:paraId="692C57FF" w14:textId="77777777" w:rsidR="004931C5" w:rsidRPr="00A16B2D" w:rsidRDefault="004931C5" w:rsidP="004931C5">
            <w:pPr>
              <w:rPr>
                <w:rFonts w:asciiTheme="majorHAnsi" w:eastAsia="Times New Roman" w:hAnsiTheme="majorHAnsi" w:cs="Times New Roman"/>
                <w:kern w:val="0"/>
                <w:sz w:val="16"/>
                <w:szCs w:val="16"/>
                <w:lang w:eastAsia="fi-FI"/>
                <w14:ligatures w14:val="none"/>
              </w:rPr>
            </w:pPr>
          </w:p>
        </w:tc>
        <w:tc>
          <w:tcPr>
            <w:tcW w:w="1418" w:type="dxa"/>
            <w:noWrap/>
            <w:vAlign w:val="center"/>
            <w:hideMark/>
          </w:tcPr>
          <w:p w14:paraId="6538CB51" w14:textId="77777777" w:rsidR="004931C5" w:rsidRPr="00A16B2D" w:rsidRDefault="004931C5" w:rsidP="004931C5">
            <w:pPr>
              <w:jc w:val="center"/>
              <w:rPr>
                <w:rFonts w:asciiTheme="majorHAnsi" w:eastAsia="Times New Roman" w:hAnsiTheme="majorHAnsi" w:cs="Times New Roman"/>
                <w:kern w:val="0"/>
                <w:sz w:val="16"/>
                <w:szCs w:val="16"/>
                <w:lang w:eastAsia="fi-FI"/>
                <w14:ligatures w14:val="none"/>
              </w:rPr>
            </w:pPr>
          </w:p>
        </w:tc>
        <w:tc>
          <w:tcPr>
            <w:tcW w:w="2232" w:type="dxa"/>
            <w:noWrap/>
            <w:vAlign w:val="center"/>
            <w:hideMark/>
          </w:tcPr>
          <w:p w14:paraId="4EDCE207" w14:textId="77777777" w:rsidR="004931C5" w:rsidRPr="00A16B2D" w:rsidRDefault="004931C5" w:rsidP="004931C5">
            <w:pPr>
              <w:jc w:val="center"/>
              <w:rPr>
                <w:rFonts w:asciiTheme="majorHAnsi" w:eastAsia="Times New Roman" w:hAnsiTheme="majorHAnsi" w:cs="Times New Roman"/>
                <w:kern w:val="0"/>
                <w:sz w:val="16"/>
                <w:szCs w:val="16"/>
                <w:lang w:eastAsia="fi-FI"/>
                <w14:ligatures w14:val="none"/>
              </w:rPr>
            </w:pPr>
          </w:p>
        </w:tc>
        <w:tc>
          <w:tcPr>
            <w:tcW w:w="2233" w:type="dxa"/>
            <w:noWrap/>
            <w:vAlign w:val="center"/>
            <w:hideMark/>
          </w:tcPr>
          <w:p w14:paraId="0AD80D33" w14:textId="77777777" w:rsidR="004931C5" w:rsidRPr="00A16B2D" w:rsidRDefault="004931C5" w:rsidP="004931C5">
            <w:pPr>
              <w:jc w:val="center"/>
              <w:rPr>
                <w:rFonts w:asciiTheme="majorHAnsi" w:eastAsia="Times New Roman" w:hAnsiTheme="majorHAnsi" w:cs="Times New Roman"/>
                <w:kern w:val="0"/>
                <w:sz w:val="16"/>
                <w:szCs w:val="16"/>
                <w:lang w:eastAsia="fi-FI"/>
                <w14:ligatures w14:val="none"/>
              </w:rPr>
            </w:pPr>
          </w:p>
        </w:tc>
        <w:tc>
          <w:tcPr>
            <w:tcW w:w="2232" w:type="dxa"/>
            <w:noWrap/>
            <w:vAlign w:val="center"/>
            <w:hideMark/>
          </w:tcPr>
          <w:p w14:paraId="1D7F0B29" w14:textId="77777777" w:rsidR="004931C5" w:rsidRPr="00A16B2D" w:rsidRDefault="004931C5" w:rsidP="004931C5">
            <w:pPr>
              <w:jc w:val="center"/>
              <w:rPr>
                <w:rFonts w:asciiTheme="majorHAnsi" w:eastAsia="Times New Roman" w:hAnsiTheme="majorHAnsi" w:cs="Times New Roman"/>
                <w:kern w:val="0"/>
                <w:sz w:val="16"/>
                <w:szCs w:val="16"/>
                <w:lang w:eastAsia="fi-FI"/>
                <w14:ligatures w14:val="none"/>
              </w:rPr>
            </w:pPr>
          </w:p>
        </w:tc>
        <w:tc>
          <w:tcPr>
            <w:tcW w:w="2233" w:type="dxa"/>
            <w:noWrap/>
            <w:vAlign w:val="center"/>
            <w:hideMark/>
          </w:tcPr>
          <w:p w14:paraId="2DDBEF20" w14:textId="77777777" w:rsidR="004931C5" w:rsidRPr="00A16B2D" w:rsidRDefault="004931C5" w:rsidP="004931C5">
            <w:pPr>
              <w:jc w:val="center"/>
              <w:rPr>
                <w:rFonts w:asciiTheme="majorHAnsi" w:eastAsia="Times New Roman" w:hAnsiTheme="majorHAnsi" w:cs="Times New Roman"/>
                <w:kern w:val="0"/>
                <w:sz w:val="16"/>
                <w:szCs w:val="16"/>
                <w:lang w:eastAsia="fi-FI"/>
                <w14:ligatures w14:val="none"/>
              </w:rPr>
            </w:pPr>
          </w:p>
        </w:tc>
      </w:tr>
      <w:tr w:rsidR="004931C5" w:rsidRPr="00A16B2D" w14:paraId="33D3A528" w14:textId="77777777" w:rsidTr="00B623C7">
        <w:trPr>
          <w:trHeight w:val="264"/>
        </w:trPr>
        <w:tc>
          <w:tcPr>
            <w:tcW w:w="1985" w:type="dxa"/>
            <w:noWrap/>
            <w:vAlign w:val="center"/>
            <w:hideMark/>
          </w:tcPr>
          <w:p w14:paraId="3D83E8CE" w14:textId="77777777" w:rsidR="004931C5" w:rsidRPr="00A16B2D" w:rsidRDefault="004931C5" w:rsidP="004931C5">
            <w:pP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Death</w:t>
            </w:r>
          </w:p>
        </w:tc>
        <w:tc>
          <w:tcPr>
            <w:tcW w:w="1838" w:type="dxa"/>
            <w:noWrap/>
            <w:vAlign w:val="center"/>
            <w:hideMark/>
          </w:tcPr>
          <w:p w14:paraId="0886F8BC" w14:textId="77777777" w:rsidR="004931C5" w:rsidRPr="00A16B2D" w:rsidRDefault="004931C5" w:rsidP="004931C5">
            <w:pPr>
              <w:rPr>
                <w:rFonts w:asciiTheme="majorHAnsi" w:eastAsia="Times New Roman" w:hAnsiTheme="majorHAnsi" w:cs="Times New Roman"/>
                <w:color w:val="000000"/>
                <w:kern w:val="0"/>
                <w:sz w:val="16"/>
                <w:szCs w:val="16"/>
                <w:lang w:eastAsia="fi-FI"/>
                <w14:ligatures w14:val="none"/>
              </w:rPr>
            </w:pPr>
            <w:r>
              <w:rPr>
                <w:rFonts w:asciiTheme="majorHAnsi" w:eastAsia="Times New Roman" w:hAnsiTheme="majorHAnsi" w:cs="Times New Roman"/>
                <w:color w:val="000000"/>
                <w:kern w:val="0"/>
                <w:sz w:val="16"/>
                <w:szCs w:val="16"/>
                <w:lang w:eastAsia="fi-FI"/>
                <w14:ligatures w14:val="none"/>
              </w:rPr>
              <w:t>No sarcopenia</w:t>
            </w:r>
            <w:r w:rsidRPr="00A16B2D">
              <w:rPr>
                <w:rFonts w:asciiTheme="majorHAnsi" w:eastAsia="Times New Roman" w:hAnsiTheme="majorHAnsi" w:cs="Times New Roman"/>
                <w:color w:val="000000"/>
                <w:kern w:val="0"/>
                <w:sz w:val="16"/>
                <w:szCs w:val="16"/>
                <w:lang w:eastAsia="fi-FI"/>
                <w14:ligatures w14:val="none"/>
              </w:rPr>
              <w:t>, no osteoporosis</w:t>
            </w:r>
          </w:p>
        </w:tc>
        <w:tc>
          <w:tcPr>
            <w:tcW w:w="708" w:type="dxa"/>
            <w:noWrap/>
            <w:vAlign w:val="center"/>
            <w:hideMark/>
          </w:tcPr>
          <w:p w14:paraId="3D010C3B"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1602</w:t>
            </w:r>
          </w:p>
        </w:tc>
        <w:tc>
          <w:tcPr>
            <w:tcW w:w="1418" w:type="dxa"/>
            <w:noWrap/>
            <w:vAlign w:val="center"/>
            <w:hideMark/>
          </w:tcPr>
          <w:p w14:paraId="6C3EF54B"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712 (44.4)</w:t>
            </w:r>
          </w:p>
        </w:tc>
        <w:tc>
          <w:tcPr>
            <w:tcW w:w="2232" w:type="dxa"/>
            <w:noWrap/>
            <w:vAlign w:val="center"/>
            <w:hideMark/>
          </w:tcPr>
          <w:p w14:paraId="4655317C"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Pr>
                <w:rFonts w:asciiTheme="majorHAnsi" w:eastAsia="Times New Roman" w:hAnsiTheme="majorHAnsi" w:cs="Times New Roman"/>
                <w:color w:val="000000"/>
                <w:kern w:val="0"/>
                <w:sz w:val="16"/>
                <w:szCs w:val="16"/>
                <w:lang w:eastAsia="fi-FI"/>
                <w14:ligatures w14:val="none"/>
              </w:rPr>
              <w:t>1.00 (Reference)</w:t>
            </w:r>
          </w:p>
        </w:tc>
        <w:tc>
          <w:tcPr>
            <w:tcW w:w="2233" w:type="dxa"/>
            <w:noWrap/>
            <w:vAlign w:val="center"/>
            <w:hideMark/>
          </w:tcPr>
          <w:p w14:paraId="4D5849F9"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Pr>
                <w:rFonts w:asciiTheme="majorHAnsi" w:eastAsia="Times New Roman" w:hAnsiTheme="majorHAnsi" w:cs="Times New Roman"/>
                <w:color w:val="000000"/>
                <w:kern w:val="0"/>
                <w:sz w:val="16"/>
                <w:szCs w:val="16"/>
                <w:lang w:eastAsia="fi-FI"/>
                <w14:ligatures w14:val="none"/>
              </w:rPr>
              <w:t>1.00 (Reference)</w:t>
            </w:r>
          </w:p>
        </w:tc>
        <w:tc>
          <w:tcPr>
            <w:tcW w:w="2232" w:type="dxa"/>
            <w:noWrap/>
            <w:vAlign w:val="center"/>
            <w:hideMark/>
          </w:tcPr>
          <w:p w14:paraId="4F1AACD3"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Pr>
                <w:rFonts w:asciiTheme="majorHAnsi" w:eastAsia="Times New Roman" w:hAnsiTheme="majorHAnsi" w:cs="Times New Roman"/>
                <w:color w:val="000000"/>
                <w:kern w:val="0"/>
                <w:sz w:val="16"/>
                <w:szCs w:val="16"/>
                <w:lang w:eastAsia="fi-FI"/>
                <w14:ligatures w14:val="none"/>
              </w:rPr>
              <w:t>1.00 (Reference)</w:t>
            </w:r>
          </w:p>
        </w:tc>
        <w:tc>
          <w:tcPr>
            <w:tcW w:w="2233" w:type="dxa"/>
            <w:noWrap/>
            <w:vAlign w:val="center"/>
            <w:hideMark/>
          </w:tcPr>
          <w:p w14:paraId="4D64EC8C"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n/a</w:t>
            </w:r>
          </w:p>
        </w:tc>
      </w:tr>
      <w:tr w:rsidR="004931C5" w:rsidRPr="00A16B2D" w14:paraId="70AC51DD" w14:textId="77777777" w:rsidTr="00B623C7">
        <w:trPr>
          <w:trHeight w:val="264"/>
        </w:trPr>
        <w:tc>
          <w:tcPr>
            <w:tcW w:w="1985" w:type="dxa"/>
            <w:noWrap/>
            <w:vAlign w:val="center"/>
            <w:hideMark/>
          </w:tcPr>
          <w:p w14:paraId="5973B164"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p>
        </w:tc>
        <w:tc>
          <w:tcPr>
            <w:tcW w:w="1838" w:type="dxa"/>
            <w:noWrap/>
            <w:vAlign w:val="center"/>
            <w:hideMark/>
          </w:tcPr>
          <w:p w14:paraId="46693C91" w14:textId="77777777" w:rsidR="004931C5" w:rsidRPr="00A16B2D" w:rsidRDefault="004931C5" w:rsidP="004931C5">
            <w:pPr>
              <w:rPr>
                <w:rFonts w:asciiTheme="majorHAnsi" w:eastAsia="Times New Roman" w:hAnsiTheme="majorHAnsi" w:cs="Times New Roman"/>
                <w:color w:val="000000"/>
                <w:kern w:val="0"/>
                <w:sz w:val="16"/>
                <w:szCs w:val="16"/>
                <w:lang w:eastAsia="fi-FI"/>
                <w14:ligatures w14:val="none"/>
              </w:rPr>
            </w:pPr>
            <w:r>
              <w:rPr>
                <w:rFonts w:asciiTheme="majorHAnsi" w:eastAsia="Times New Roman" w:hAnsiTheme="majorHAnsi" w:cs="Times New Roman"/>
                <w:color w:val="000000"/>
                <w:kern w:val="0"/>
                <w:sz w:val="16"/>
                <w:szCs w:val="16"/>
                <w:lang w:eastAsia="fi-FI"/>
                <w14:ligatures w14:val="none"/>
              </w:rPr>
              <w:t>Probable sarcopenia only</w:t>
            </w:r>
          </w:p>
        </w:tc>
        <w:tc>
          <w:tcPr>
            <w:tcW w:w="708" w:type="dxa"/>
            <w:noWrap/>
            <w:vAlign w:val="center"/>
            <w:hideMark/>
          </w:tcPr>
          <w:p w14:paraId="4E456E73"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234</w:t>
            </w:r>
          </w:p>
        </w:tc>
        <w:tc>
          <w:tcPr>
            <w:tcW w:w="1418" w:type="dxa"/>
            <w:noWrap/>
            <w:vAlign w:val="center"/>
            <w:hideMark/>
          </w:tcPr>
          <w:p w14:paraId="58AB2192"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234 (100)</w:t>
            </w:r>
          </w:p>
        </w:tc>
        <w:tc>
          <w:tcPr>
            <w:tcW w:w="2232" w:type="dxa"/>
            <w:noWrap/>
            <w:vAlign w:val="center"/>
            <w:hideMark/>
          </w:tcPr>
          <w:p w14:paraId="3833B82E" w14:textId="77777777" w:rsidR="004931C5" w:rsidRPr="00A16B2D" w:rsidRDefault="004931C5" w:rsidP="004931C5">
            <w:pPr>
              <w:jc w:val="center"/>
              <w:rPr>
                <w:rFonts w:asciiTheme="majorHAnsi" w:eastAsia="Times New Roman" w:hAnsiTheme="majorHAnsi" w:cs="Times New Roman"/>
                <w:b/>
                <w:bCs/>
                <w:color w:val="000000"/>
                <w:kern w:val="0"/>
                <w:sz w:val="16"/>
                <w:szCs w:val="16"/>
                <w:lang w:eastAsia="fi-FI"/>
                <w14:ligatures w14:val="none"/>
              </w:rPr>
            </w:pPr>
            <w:r w:rsidRPr="00A16B2D">
              <w:rPr>
                <w:rFonts w:asciiTheme="majorHAnsi" w:eastAsia="Times New Roman" w:hAnsiTheme="majorHAnsi" w:cs="Times New Roman"/>
                <w:b/>
                <w:bCs/>
                <w:color w:val="000000"/>
                <w:kern w:val="0"/>
                <w:sz w:val="16"/>
                <w:szCs w:val="16"/>
                <w:lang w:eastAsia="fi-FI"/>
                <w14:ligatures w14:val="none"/>
              </w:rPr>
              <w:t>1.87 (1.57 – 2.22)</w:t>
            </w:r>
          </w:p>
        </w:tc>
        <w:tc>
          <w:tcPr>
            <w:tcW w:w="2233" w:type="dxa"/>
            <w:noWrap/>
            <w:vAlign w:val="center"/>
            <w:hideMark/>
          </w:tcPr>
          <w:p w14:paraId="332D83E5" w14:textId="77777777" w:rsidR="004931C5" w:rsidRPr="00A16B2D" w:rsidRDefault="004931C5" w:rsidP="004931C5">
            <w:pPr>
              <w:jc w:val="center"/>
              <w:rPr>
                <w:rFonts w:asciiTheme="majorHAnsi" w:eastAsia="Times New Roman" w:hAnsiTheme="majorHAnsi" w:cs="Times New Roman"/>
                <w:b/>
                <w:bCs/>
                <w:color w:val="000000"/>
                <w:kern w:val="0"/>
                <w:sz w:val="16"/>
                <w:szCs w:val="16"/>
                <w:lang w:eastAsia="fi-FI"/>
                <w14:ligatures w14:val="none"/>
              </w:rPr>
            </w:pPr>
            <w:r w:rsidRPr="00A16B2D">
              <w:rPr>
                <w:rFonts w:asciiTheme="majorHAnsi" w:eastAsia="Times New Roman" w:hAnsiTheme="majorHAnsi" w:cs="Times New Roman"/>
                <w:b/>
                <w:bCs/>
                <w:color w:val="000000"/>
                <w:kern w:val="0"/>
                <w:sz w:val="16"/>
                <w:szCs w:val="16"/>
                <w:lang w:eastAsia="fi-FI"/>
                <w14:ligatures w14:val="none"/>
              </w:rPr>
              <w:t>1.71 (1.41 – 2.09)</w:t>
            </w:r>
          </w:p>
        </w:tc>
        <w:tc>
          <w:tcPr>
            <w:tcW w:w="2232" w:type="dxa"/>
            <w:noWrap/>
            <w:vAlign w:val="center"/>
            <w:hideMark/>
          </w:tcPr>
          <w:p w14:paraId="7429B118" w14:textId="77777777" w:rsidR="004931C5" w:rsidRPr="00A16B2D" w:rsidRDefault="004931C5" w:rsidP="004931C5">
            <w:pPr>
              <w:jc w:val="center"/>
              <w:rPr>
                <w:rFonts w:asciiTheme="majorHAnsi" w:eastAsia="Times New Roman" w:hAnsiTheme="majorHAnsi" w:cs="Times New Roman"/>
                <w:b/>
                <w:bCs/>
                <w:color w:val="000000"/>
                <w:kern w:val="0"/>
                <w:sz w:val="16"/>
                <w:szCs w:val="16"/>
                <w:lang w:eastAsia="fi-FI"/>
                <w14:ligatures w14:val="none"/>
              </w:rPr>
            </w:pPr>
            <w:r w:rsidRPr="00A16B2D">
              <w:rPr>
                <w:rFonts w:asciiTheme="majorHAnsi" w:eastAsia="Times New Roman" w:hAnsiTheme="majorHAnsi" w:cs="Times New Roman"/>
                <w:b/>
                <w:bCs/>
                <w:color w:val="000000"/>
                <w:kern w:val="0"/>
                <w:sz w:val="16"/>
                <w:szCs w:val="16"/>
                <w:lang w:eastAsia="fi-FI"/>
                <w14:ligatures w14:val="none"/>
              </w:rPr>
              <w:t>1.56 (1.27 – 1.91)</w:t>
            </w:r>
          </w:p>
        </w:tc>
        <w:tc>
          <w:tcPr>
            <w:tcW w:w="2233" w:type="dxa"/>
            <w:noWrap/>
            <w:vAlign w:val="center"/>
            <w:hideMark/>
          </w:tcPr>
          <w:p w14:paraId="7E7BDBCD"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n/a</w:t>
            </w:r>
          </w:p>
        </w:tc>
      </w:tr>
      <w:tr w:rsidR="004931C5" w:rsidRPr="00A16B2D" w14:paraId="5F999CB5" w14:textId="77777777" w:rsidTr="00B623C7">
        <w:trPr>
          <w:trHeight w:val="264"/>
        </w:trPr>
        <w:tc>
          <w:tcPr>
            <w:tcW w:w="1985" w:type="dxa"/>
            <w:noWrap/>
            <w:vAlign w:val="center"/>
            <w:hideMark/>
          </w:tcPr>
          <w:p w14:paraId="1DCD7802"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p>
        </w:tc>
        <w:tc>
          <w:tcPr>
            <w:tcW w:w="1838" w:type="dxa"/>
            <w:noWrap/>
            <w:vAlign w:val="center"/>
            <w:hideMark/>
          </w:tcPr>
          <w:p w14:paraId="6E81ADC7" w14:textId="77777777" w:rsidR="004931C5" w:rsidRPr="00A16B2D" w:rsidRDefault="004931C5" w:rsidP="004931C5">
            <w:pP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Osteoporosis only</w:t>
            </w:r>
          </w:p>
        </w:tc>
        <w:tc>
          <w:tcPr>
            <w:tcW w:w="708" w:type="dxa"/>
            <w:noWrap/>
            <w:vAlign w:val="center"/>
            <w:hideMark/>
          </w:tcPr>
          <w:p w14:paraId="7FF4AF50"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184</w:t>
            </w:r>
          </w:p>
        </w:tc>
        <w:tc>
          <w:tcPr>
            <w:tcW w:w="1418" w:type="dxa"/>
            <w:noWrap/>
            <w:vAlign w:val="center"/>
            <w:hideMark/>
          </w:tcPr>
          <w:p w14:paraId="68F6925C"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184 (100)</w:t>
            </w:r>
          </w:p>
        </w:tc>
        <w:tc>
          <w:tcPr>
            <w:tcW w:w="2232" w:type="dxa"/>
            <w:noWrap/>
            <w:vAlign w:val="center"/>
            <w:hideMark/>
          </w:tcPr>
          <w:p w14:paraId="5659CED4" w14:textId="77777777" w:rsidR="004931C5" w:rsidRPr="00A16B2D" w:rsidRDefault="004931C5" w:rsidP="004931C5">
            <w:pPr>
              <w:jc w:val="center"/>
              <w:rPr>
                <w:rFonts w:asciiTheme="majorHAnsi" w:eastAsia="Times New Roman" w:hAnsiTheme="majorHAnsi" w:cs="Times New Roman"/>
                <w:b/>
                <w:bCs/>
                <w:color w:val="000000"/>
                <w:kern w:val="0"/>
                <w:sz w:val="16"/>
                <w:szCs w:val="16"/>
                <w:lang w:eastAsia="fi-FI"/>
                <w14:ligatures w14:val="none"/>
              </w:rPr>
            </w:pPr>
            <w:r w:rsidRPr="00A16B2D">
              <w:rPr>
                <w:rFonts w:asciiTheme="majorHAnsi" w:eastAsia="Times New Roman" w:hAnsiTheme="majorHAnsi" w:cs="Times New Roman"/>
                <w:b/>
                <w:bCs/>
                <w:color w:val="000000"/>
                <w:kern w:val="0"/>
                <w:sz w:val="16"/>
                <w:szCs w:val="16"/>
                <w:lang w:eastAsia="fi-FI"/>
                <w14:ligatures w14:val="none"/>
              </w:rPr>
              <w:t>1.44 (1.17 – 1.76)</w:t>
            </w:r>
          </w:p>
        </w:tc>
        <w:tc>
          <w:tcPr>
            <w:tcW w:w="2233" w:type="dxa"/>
            <w:noWrap/>
            <w:vAlign w:val="center"/>
            <w:hideMark/>
          </w:tcPr>
          <w:p w14:paraId="4E607B13" w14:textId="77777777" w:rsidR="004931C5" w:rsidRPr="00A16B2D" w:rsidRDefault="004931C5" w:rsidP="004931C5">
            <w:pPr>
              <w:jc w:val="center"/>
              <w:rPr>
                <w:rFonts w:asciiTheme="majorHAnsi" w:eastAsia="Times New Roman" w:hAnsiTheme="majorHAnsi" w:cs="Times New Roman"/>
                <w:b/>
                <w:bCs/>
                <w:color w:val="000000"/>
                <w:kern w:val="0"/>
                <w:sz w:val="16"/>
                <w:szCs w:val="16"/>
                <w:lang w:eastAsia="fi-FI"/>
                <w14:ligatures w14:val="none"/>
              </w:rPr>
            </w:pPr>
            <w:r w:rsidRPr="00A16B2D">
              <w:rPr>
                <w:rFonts w:asciiTheme="majorHAnsi" w:eastAsia="Times New Roman" w:hAnsiTheme="majorHAnsi" w:cs="Times New Roman"/>
                <w:b/>
                <w:bCs/>
                <w:color w:val="000000"/>
                <w:kern w:val="0"/>
                <w:sz w:val="16"/>
                <w:szCs w:val="16"/>
                <w:lang w:eastAsia="fi-FI"/>
                <w14:ligatures w14:val="none"/>
              </w:rPr>
              <w:t>1.46 (1.17 – 1.83)</w:t>
            </w:r>
          </w:p>
        </w:tc>
        <w:tc>
          <w:tcPr>
            <w:tcW w:w="2232" w:type="dxa"/>
            <w:noWrap/>
            <w:vAlign w:val="center"/>
            <w:hideMark/>
          </w:tcPr>
          <w:p w14:paraId="665E5C7F" w14:textId="77777777" w:rsidR="004931C5" w:rsidRPr="00A16B2D" w:rsidRDefault="004931C5" w:rsidP="004931C5">
            <w:pPr>
              <w:jc w:val="center"/>
              <w:rPr>
                <w:rFonts w:asciiTheme="majorHAnsi" w:eastAsia="Times New Roman" w:hAnsiTheme="majorHAnsi" w:cs="Times New Roman"/>
                <w:b/>
                <w:bCs/>
                <w:color w:val="000000"/>
                <w:kern w:val="0"/>
                <w:sz w:val="16"/>
                <w:szCs w:val="16"/>
                <w:lang w:eastAsia="fi-FI"/>
                <w14:ligatures w14:val="none"/>
              </w:rPr>
            </w:pPr>
            <w:r w:rsidRPr="00A16B2D">
              <w:rPr>
                <w:rFonts w:asciiTheme="majorHAnsi" w:eastAsia="Times New Roman" w:hAnsiTheme="majorHAnsi" w:cs="Times New Roman"/>
                <w:b/>
                <w:bCs/>
                <w:color w:val="000000"/>
                <w:kern w:val="0"/>
                <w:sz w:val="16"/>
                <w:szCs w:val="16"/>
                <w:lang w:eastAsia="fi-FI"/>
                <w14:ligatures w14:val="none"/>
              </w:rPr>
              <w:t>1.36 (1.07 – 1.72)</w:t>
            </w:r>
          </w:p>
        </w:tc>
        <w:tc>
          <w:tcPr>
            <w:tcW w:w="2233" w:type="dxa"/>
            <w:noWrap/>
            <w:vAlign w:val="center"/>
            <w:hideMark/>
          </w:tcPr>
          <w:p w14:paraId="4D0F50BF"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n/a</w:t>
            </w:r>
          </w:p>
        </w:tc>
      </w:tr>
      <w:tr w:rsidR="004931C5" w:rsidRPr="00A16B2D" w14:paraId="2BCA719B" w14:textId="77777777" w:rsidTr="00B623C7">
        <w:trPr>
          <w:trHeight w:val="264"/>
        </w:trPr>
        <w:tc>
          <w:tcPr>
            <w:tcW w:w="1985" w:type="dxa"/>
            <w:noWrap/>
            <w:vAlign w:val="center"/>
            <w:hideMark/>
          </w:tcPr>
          <w:p w14:paraId="231DA61F"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p>
        </w:tc>
        <w:tc>
          <w:tcPr>
            <w:tcW w:w="1838" w:type="dxa"/>
            <w:noWrap/>
            <w:vAlign w:val="center"/>
            <w:hideMark/>
          </w:tcPr>
          <w:p w14:paraId="437AA8FC" w14:textId="77777777" w:rsidR="004931C5" w:rsidRPr="00A16B2D" w:rsidRDefault="004931C5" w:rsidP="004931C5">
            <w:pP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Osteosarcopenia</w:t>
            </w:r>
          </w:p>
        </w:tc>
        <w:tc>
          <w:tcPr>
            <w:tcW w:w="708" w:type="dxa"/>
            <w:noWrap/>
            <w:vAlign w:val="center"/>
            <w:hideMark/>
          </w:tcPr>
          <w:p w14:paraId="53B1AE74"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122</w:t>
            </w:r>
          </w:p>
        </w:tc>
        <w:tc>
          <w:tcPr>
            <w:tcW w:w="1418" w:type="dxa"/>
            <w:noWrap/>
            <w:vAlign w:val="center"/>
            <w:hideMark/>
          </w:tcPr>
          <w:p w14:paraId="627E68FD"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116 (95.1)</w:t>
            </w:r>
          </w:p>
        </w:tc>
        <w:tc>
          <w:tcPr>
            <w:tcW w:w="2232" w:type="dxa"/>
            <w:noWrap/>
            <w:vAlign w:val="center"/>
            <w:hideMark/>
          </w:tcPr>
          <w:p w14:paraId="268E8B60" w14:textId="77777777" w:rsidR="004931C5" w:rsidRPr="00A16B2D" w:rsidRDefault="004931C5" w:rsidP="004931C5">
            <w:pPr>
              <w:jc w:val="center"/>
              <w:rPr>
                <w:rFonts w:asciiTheme="majorHAnsi" w:eastAsia="Times New Roman" w:hAnsiTheme="majorHAnsi" w:cs="Times New Roman"/>
                <w:b/>
                <w:bCs/>
                <w:color w:val="000000"/>
                <w:kern w:val="0"/>
                <w:sz w:val="16"/>
                <w:szCs w:val="16"/>
                <w:lang w:eastAsia="fi-FI"/>
                <w14:ligatures w14:val="none"/>
              </w:rPr>
            </w:pPr>
            <w:r w:rsidRPr="00A16B2D">
              <w:rPr>
                <w:rFonts w:asciiTheme="majorHAnsi" w:eastAsia="Times New Roman" w:hAnsiTheme="majorHAnsi" w:cs="Times New Roman"/>
                <w:b/>
                <w:bCs/>
                <w:color w:val="000000"/>
                <w:kern w:val="0"/>
                <w:sz w:val="16"/>
                <w:szCs w:val="16"/>
                <w:lang w:eastAsia="fi-FI"/>
                <w14:ligatures w14:val="none"/>
              </w:rPr>
              <w:t>2.38 (1.89 – 2.99)</w:t>
            </w:r>
          </w:p>
        </w:tc>
        <w:tc>
          <w:tcPr>
            <w:tcW w:w="2233" w:type="dxa"/>
            <w:noWrap/>
            <w:vAlign w:val="center"/>
            <w:hideMark/>
          </w:tcPr>
          <w:p w14:paraId="4585B712" w14:textId="77777777" w:rsidR="004931C5" w:rsidRPr="00A16B2D" w:rsidRDefault="004931C5" w:rsidP="004931C5">
            <w:pPr>
              <w:jc w:val="center"/>
              <w:rPr>
                <w:rFonts w:asciiTheme="majorHAnsi" w:eastAsia="Times New Roman" w:hAnsiTheme="majorHAnsi" w:cs="Times New Roman"/>
                <w:b/>
                <w:bCs/>
                <w:color w:val="000000"/>
                <w:kern w:val="0"/>
                <w:sz w:val="16"/>
                <w:szCs w:val="16"/>
                <w:lang w:eastAsia="fi-FI"/>
                <w14:ligatures w14:val="none"/>
              </w:rPr>
            </w:pPr>
            <w:r w:rsidRPr="00A16B2D">
              <w:rPr>
                <w:rFonts w:asciiTheme="majorHAnsi" w:eastAsia="Times New Roman" w:hAnsiTheme="majorHAnsi" w:cs="Times New Roman"/>
                <w:b/>
                <w:bCs/>
                <w:color w:val="000000"/>
                <w:kern w:val="0"/>
                <w:sz w:val="16"/>
                <w:szCs w:val="16"/>
                <w:lang w:eastAsia="fi-FI"/>
                <w14:ligatures w14:val="none"/>
              </w:rPr>
              <w:t>2.24 (1.72 – 2.92)</w:t>
            </w:r>
          </w:p>
        </w:tc>
        <w:tc>
          <w:tcPr>
            <w:tcW w:w="2232" w:type="dxa"/>
            <w:noWrap/>
            <w:vAlign w:val="center"/>
            <w:hideMark/>
          </w:tcPr>
          <w:p w14:paraId="35CCF52C" w14:textId="77777777" w:rsidR="004931C5" w:rsidRPr="00A16B2D" w:rsidRDefault="004931C5" w:rsidP="004931C5">
            <w:pPr>
              <w:jc w:val="center"/>
              <w:rPr>
                <w:rFonts w:asciiTheme="majorHAnsi" w:eastAsia="Times New Roman" w:hAnsiTheme="majorHAnsi" w:cs="Times New Roman"/>
                <w:b/>
                <w:bCs/>
                <w:color w:val="000000"/>
                <w:kern w:val="0"/>
                <w:sz w:val="16"/>
                <w:szCs w:val="16"/>
                <w:lang w:eastAsia="fi-FI"/>
                <w14:ligatures w14:val="none"/>
              </w:rPr>
            </w:pPr>
            <w:r w:rsidRPr="00A16B2D">
              <w:rPr>
                <w:rFonts w:asciiTheme="majorHAnsi" w:eastAsia="Times New Roman" w:hAnsiTheme="majorHAnsi" w:cs="Times New Roman"/>
                <w:b/>
                <w:bCs/>
                <w:color w:val="000000"/>
                <w:kern w:val="0"/>
                <w:sz w:val="16"/>
                <w:szCs w:val="16"/>
                <w:lang w:eastAsia="fi-FI"/>
                <w14:ligatures w14:val="none"/>
              </w:rPr>
              <w:t>1.96 (1.50 – 2.57)</w:t>
            </w:r>
          </w:p>
        </w:tc>
        <w:tc>
          <w:tcPr>
            <w:tcW w:w="2233" w:type="dxa"/>
            <w:noWrap/>
            <w:vAlign w:val="center"/>
            <w:hideMark/>
          </w:tcPr>
          <w:p w14:paraId="12E66557" w14:textId="77777777" w:rsidR="004931C5" w:rsidRPr="00A16B2D" w:rsidRDefault="004931C5" w:rsidP="004931C5">
            <w:pPr>
              <w:jc w:val="center"/>
              <w:rPr>
                <w:rFonts w:asciiTheme="majorHAnsi" w:eastAsia="Times New Roman" w:hAnsiTheme="majorHAnsi" w:cs="Times New Roman"/>
                <w:color w:val="000000"/>
                <w:kern w:val="0"/>
                <w:sz w:val="16"/>
                <w:szCs w:val="16"/>
                <w:lang w:eastAsia="fi-FI"/>
                <w14:ligatures w14:val="none"/>
              </w:rPr>
            </w:pPr>
            <w:r w:rsidRPr="00A16B2D">
              <w:rPr>
                <w:rFonts w:asciiTheme="majorHAnsi" w:eastAsia="Times New Roman" w:hAnsiTheme="majorHAnsi" w:cs="Times New Roman"/>
                <w:color w:val="000000"/>
                <w:kern w:val="0"/>
                <w:sz w:val="16"/>
                <w:szCs w:val="16"/>
                <w:lang w:eastAsia="fi-FI"/>
                <w14:ligatures w14:val="none"/>
              </w:rPr>
              <w:t>n/a</w:t>
            </w:r>
          </w:p>
        </w:tc>
      </w:tr>
    </w:tbl>
    <w:bookmarkEnd w:id="0"/>
    <w:p w14:paraId="74A2ED38" w14:textId="77777777" w:rsidR="008D7D9B" w:rsidRPr="00A84876" w:rsidRDefault="008D7D9B" w:rsidP="008D7D9B">
      <w:pPr>
        <w:pStyle w:val="Caption"/>
        <w:keepNext/>
        <w:rPr>
          <w:rFonts w:asciiTheme="majorHAnsi" w:hAnsiTheme="majorHAnsi"/>
        </w:rPr>
      </w:pPr>
      <w:r w:rsidRPr="00A16B2D">
        <w:rPr>
          <w:rFonts w:asciiTheme="majorHAnsi" w:hAnsiTheme="majorHAnsi"/>
        </w:rPr>
        <w:t>Table</w:t>
      </w:r>
      <w:r>
        <w:rPr>
          <w:rFonts w:asciiTheme="majorHAnsi" w:hAnsiTheme="majorHAnsi"/>
        </w:rPr>
        <w:t xml:space="preserve"> 3</w:t>
      </w:r>
      <w:r w:rsidRPr="00A16B2D">
        <w:rPr>
          <w:rFonts w:asciiTheme="majorHAnsi" w:hAnsiTheme="majorHAnsi"/>
        </w:rPr>
        <w:t xml:space="preserve">: </w:t>
      </w:r>
      <w:r>
        <w:rPr>
          <w:rFonts w:asciiTheme="majorHAnsi" w:hAnsiTheme="majorHAnsi"/>
        </w:rPr>
        <w:t>Osteosarcopenia group used as 1.0 (Reference). Hazard ratios of any fracture, major osteoporotic fracture, hip fracture and death</w:t>
      </w:r>
      <w:r w:rsidRPr="00A16B2D">
        <w:rPr>
          <w:rFonts w:asciiTheme="majorHAnsi" w:hAnsiTheme="majorHAnsi"/>
        </w:rPr>
        <w:t xml:space="preserve"> </w:t>
      </w:r>
      <w:r>
        <w:rPr>
          <w:rFonts w:asciiTheme="majorHAnsi" w:hAnsiTheme="majorHAnsi"/>
        </w:rPr>
        <w:t>a</w:t>
      </w:r>
      <w:r w:rsidRPr="00A16B2D">
        <w:rPr>
          <w:rFonts w:asciiTheme="majorHAnsi" w:hAnsiTheme="majorHAnsi"/>
        </w:rPr>
        <w:t xml:space="preserve">cross </w:t>
      </w:r>
      <w:r>
        <w:rPr>
          <w:rFonts w:asciiTheme="majorHAnsi" w:hAnsiTheme="majorHAnsi"/>
        </w:rPr>
        <w:t>o</w:t>
      </w:r>
      <w:r w:rsidRPr="00A16B2D">
        <w:rPr>
          <w:rFonts w:asciiTheme="majorHAnsi" w:hAnsiTheme="majorHAnsi"/>
        </w:rPr>
        <w:t xml:space="preserve">steosarcopenia </w:t>
      </w:r>
      <w:r>
        <w:rPr>
          <w:rFonts w:asciiTheme="majorHAnsi" w:hAnsiTheme="majorHAnsi"/>
        </w:rPr>
        <w:t>g</w:t>
      </w:r>
      <w:r w:rsidRPr="00A16B2D">
        <w:rPr>
          <w:rFonts w:asciiTheme="majorHAnsi" w:hAnsiTheme="majorHAnsi"/>
        </w:rPr>
        <w:t>roups</w:t>
      </w:r>
      <w:r>
        <w:rPr>
          <w:rFonts w:asciiTheme="majorHAnsi" w:hAnsiTheme="majorHAnsi"/>
        </w:rPr>
        <w:t>.</w:t>
      </w:r>
    </w:p>
    <w:tbl>
      <w:tblPr>
        <w:tblStyle w:val="TableGrid"/>
        <w:tblW w:w="14737" w:type="dxa"/>
        <w:tblLayout w:type="fixed"/>
        <w:tblLook w:val="04A0" w:firstRow="1" w:lastRow="0" w:firstColumn="1" w:lastColumn="0" w:noHBand="0" w:noVBand="1"/>
      </w:tblPr>
      <w:tblGrid>
        <w:gridCol w:w="2122"/>
        <w:gridCol w:w="1984"/>
        <w:gridCol w:w="709"/>
        <w:gridCol w:w="1843"/>
        <w:gridCol w:w="2019"/>
        <w:gridCol w:w="2020"/>
        <w:gridCol w:w="2020"/>
        <w:gridCol w:w="2020"/>
      </w:tblGrid>
      <w:tr w:rsidR="008D7D9B" w:rsidRPr="00A84876" w14:paraId="67E28478" w14:textId="77777777" w:rsidTr="001267C9">
        <w:trPr>
          <w:trHeight w:val="264"/>
        </w:trPr>
        <w:tc>
          <w:tcPr>
            <w:tcW w:w="2122" w:type="dxa"/>
            <w:noWrap/>
            <w:vAlign w:val="center"/>
            <w:hideMark/>
          </w:tcPr>
          <w:p w14:paraId="2973838B" w14:textId="77777777" w:rsidR="008D7D9B" w:rsidRPr="00A84876" w:rsidRDefault="008D7D9B" w:rsidP="007E4F30">
            <w:pPr>
              <w:rPr>
                <w:rFonts w:eastAsia="Times New Roman" w:cs="Times New Roman"/>
                <w:kern w:val="0"/>
                <w:sz w:val="16"/>
                <w:szCs w:val="16"/>
                <w:lang w:eastAsia="fi-FI"/>
                <w14:ligatures w14:val="none"/>
              </w:rPr>
            </w:pPr>
          </w:p>
        </w:tc>
        <w:tc>
          <w:tcPr>
            <w:tcW w:w="1984" w:type="dxa"/>
            <w:noWrap/>
            <w:vAlign w:val="center"/>
            <w:hideMark/>
          </w:tcPr>
          <w:p w14:paraId="4F8A2B42" w14:textId="77777777" w:rsidR="008D7D9B" w:rsidRPr="00A84876" w:rsidRDefault="008D7D9B" w:rsidP="007E4F30">
            <w:pPr>
              <w:rPr>
                <w:rFonts w:eastAsia="Times New Roman" w:cs="Times New Roman"/>
                <w:kern w:val="0"/>
                <w:sz w:val="16"/>
                <w:szCs w:val="16"/>
                <w:lang w:eastAsia="fi-FI"/>
                <w14:ligatures w14:val="none"/>
              </w:rPr>
            </w:pPr>
          </w:p>
        </w:tc>
        <w:tc>
          <w:tcPr>
            <w:tcW w:w="709" w:type="dxa"/>
            <w:noWrap/>
            <w:vAlign w:val="center"/>
            <w:hideMark/>
          </w:tcPr>
          <w:p w14:paraId="02AA72EC" w14:textId="77777777" w:rsidR="008D7D9B" w:rsidRPr="00A84876" w:rsidRDefault="008D7D9B" w:rsidP="007E4F30">
            <w:pPr>
              <w:jc w:val="center"/>
              <w:rPr>
                <w:rFonts w:eastAsia="Times New Roman" w:cs="Times New Roman"/>
                <w:kern w:val="0"/>
                <w:sz w:val="16"/>
                <w:szCs w:val="16"/>
                <w:lang w:eastAsia="fi-FI"/>
                <w14:ligatures w14:val="none"/>
              </w:rPr>
            </w:pPr>
          </w:p>
        </w:tc>
        <w:tc>
          <w:tcPr>
            <w:tcW w:w="1843" w:type="dxa"/>
            <w:noWrap/>
            <w:vAlign w:val="center"/>
            <w:hideMark/>
          </w:tcPr>
          <w:p w14:paraId="60078972" w14:textId="77777777" w:rsidR="008D7D9B" w:rsidRPr="00A84876" w:rsidRDefault="008D7D9B" w:rsidP="007E4F30">
            <w:pPr>
              <w:jc w:val="center"/>
              <w:rPr>
                <w:rFonts w:eastAsia="Times New Roman" w:cs="Times New Roman"/>
                <w:kern w:val="0"/>
                <w:sz w:val="16"/>
                <w:szCs w:val="16"/>
                <w:lang w:eastAsia="fi-FI"/>
                <w14:ligatures w14:val="none"/>
              </w:rPr>
            </w:pPr>
          </w:p>
        </w:tc>
        <w:tc>
          <w:tcPr>
            <w:tcW w:w="2019" w:type="dxa"/>
            <w:vAlign w:val="center"/>
          </w:tcPr>
          <w:p w14:paraId="1C30BFB9" w14:textId="77777777" w:rsidR="008D7D9B" w:rsidRPr="00A84876" w:rsidRDefault="008D7D9B" w:rsidP="007E4F30">
            <w:pPr>
              <w:jc w:val="center"/>
              <w:rPr>
                <w:rFonts w:eastAsia="Times New Roman" w:cs="Times New Roman"/>
                <w:color w:val="000000"/>
                <w:kern w:val="0"/>
                <w:sz w:val="16"/>
                <w:szCs w:val="16"/>
                <w:lang w:eastAsia="fi-FI"/>
                <w14:ligatures w14:val="none"/>
              </w:rPr>
            </w:pPr>
            <w:r>
              <w:rPr>
                <w:rFonts w:eastAsia="Times New Roman" w:cs="Times New Roman"/>
                <w:color w:val="000000"/>
                <w:kern w:val="0"/>
                <w:sz w:val="16"/>
                <w:szCs w:val="16"/>
                <w:lang w:eastAsia="fi-FI"/>
                <w14:ligatures w14:val="none"/>
              </w:rPr>
              <w:t>Model 1</w:t>
            </w:r>
            <w:r>
              <w:rPr>
                <w:rFonts w:eastAsia="Times New Roman" w:cs="Times New Roman"/>
                <w:color w:val="000000"/>
                <w:kern w:val="0"/>
                <w:sz w:val="16"/>
                <w:szCs w:val="16"/>
                <w:vertAlign w:val="superscript"/>
                <w:lang w:eastAsia="fi-FI"/>
                <w14:ligatures w14:val="none"/>
              </w:rPr>
              <w:t>1</w:t>
            </w:r>
          </w:p>
        </w:tc>
        <w:tc>
          <w:tcPr>
            <w:tcW w:w="2020" w:type="dxa"/>
            <w:vAlign w:val="center"/>
          </w:tcPr>
          <w:p w14:paraId="1537D681" w14:textId="77777777" w:rsidR="008D7D9B" w:rsidRPr="00A84876" w:rsidRDefault="008D7D9B" w:rsidP="007E4F30">
            <w:pPr>
              <w:jc w:val="center"/>
              <w:rPr>
                <w:rFonts w:eastAsia="Times New Roman" w:cs="Times New Roman"/>
                <w:color w:val="000000"/>
                <w:kern w:val="0"/>
                <w:sz w:val="16"/>
                <w:szCs w:val="16"/>
                <w:lang w:eastAsia="fi-FI"/>
                <w14:ligatures w14:val="none"/>
              </w:rPr>
            </w:pPr>
            <w:r>
              <w:rPr>
                <w:rFonts w:eastAsia="Times New Roman" w:cs="Times New Roman"/>
                <w:color w:val="000000"/>
                <w:kern w:val="0"/>
                <w:sz w:val="16"/>
                <w:szCs w:val="16"/>
                <w:lang w:eastAsia="fi-FI"/>
                <w14:ligatures w14:val="none"/>
              </w:rPr>
              <w:t>Model 2</w:t>
            </w:r>
            <w:r>
              <w:rPr>
                <w:rFonts w:eastAsia="Times New Roman" w:cs="Times New Roman"/>
                <w:color w:val="000000"/>
                <w:kern w:val="0"/>
                <w:sz w:val="16"/>
                <w:szCs w:val="16"/>
                <w:vertAlign w:val="superscript"/>
                <w:lang w:eastAsia="fi-FI"/>
                <w14:ligatures w14:val="none"/>
              </w:rPr>
              <w:t>2</w:t>
            </w:r>
          </w:p>
        </w:tc>
        <w:tc>
          <w:tcPr>
            <w:tcW w:w="2020" w:type="dxa"/>
            <w:vAlign w:val="center"/>
          </w:tcPr>
          <w:p w14:paraId="1A2CD27B" w14:textId="77777777" w:rsidR="008D7D9B" w:rsidRPr="00A84876" w:rsidRDefault="008D7D9B" w:rsidP="007E4F30">
            <w:pPr>
              <w:jc w:val="center"/>
              <w:rPr>
                <w:rFonts w:eastAsia="Times New Roman" w:cs="Times New Roman"/>
                <w:color w:val="000000"/>
                <w:kern w:val="0"/>
                <w:sz w:val="16"/>
                <w:szCs w:val="16"/>
                <w:lang w:eastAsia="fi-FI"/>
                <w14:ligatures w14:val="none"/>
              </w:rPr>
            </w:pPr>
            <w:r>
              <w:rPr>
                <w:rFonts w:eastAsia="Times New Roman" w:cs="Times New Roman"/>
                <w:color w:val="000000"/>
                <w:kern w:val="0"/>
                <w:sz w:val="16"/>
                <w:szCs w:val="16"/>
                <w:lang w:eastAsia="fi-FI"/>
                <w14:ligatures w14:val="none"/>
              </w:rPr>
              <w:t>Model 3</w:t>
            </w:r>
            <w:r>
              <w:rPr>
                <w:rFonts w:eastAsia="Times New Roman" w:cs="Times New Roman"/>
                <w:color w:val="000000"/>
                <w:kern w:val="0"/>
                <w:sz w:val="16"/>
                <w:szCs w:val="16"/>
                <w:vertAlign w:val="superscript"/>
                <w:lang w:eastAsia="fi-FI"/>
                <w14:ligatures w14:val="none"/>
              </w:rPr>
              <w:t>3</w:t>
            </w:r>
          </w:p>
        </w:tc>
        <w:tc>
          <w:tcPr>
            <w:tcW w:w="2020" w:type="dxa"/>
            <w:noWrap/>
            <w:vAlign w:val="center"/>
            <w:hideMark/>
          </w:tcPr>
          <w:p w14:paraId="44937454" w14:textId="77777777" w:rsidR="008D7D9B" w:rsidRPr="00A84876" w:rsidRDefault="008D7D9B" w:rsidP="007E4F30">
            <w:pPr>
              <w:jc w:val="center"/>
              <w:rPr>
                <w:rFonts w:eastAsia="Times New Roman" w:cs="Times New Roman"/>
                <w:color w:val="000000"/>
                <w:kern w:val="0"/>
                <w:sz w:val="16"/>
                <w:szCs w:val="16"/>
                <w:lang w:eastAsia="fi-FI"/>
                <w14:ligatures w14:val="none"/>
              </w:rPr>
            </w:pPr>
            <w:r>
              <w:rPr>
                <w:rFonts w:eastAsia="Times New Roman" w:cs="Times New Roman"/>
                <w:color w:val="000000"/>
                <w:kern w:val="0"/>
                <w:sz w:val="16"/>
                <w:szCs w:val="16"/>
                <w:lang w:eastAsia="fi-FI"/>
                <w14:ligatures w14:val="none"/>
              </w:rPr>
              <w:t>Model 4</w:t>
            </w:r>
            <w:r>
              <w:rPr>
                <w:rFonts w:eastAsia="Times New Roman" w:cs="Times New Roman"/>
                <w:color w:val="000000"/>
                <w:kern w:val="0"/>
                <w:sz w:val="16"/>
                <w:szCs w:val="16"/>
                <w:vertAlign w:val="superscript"/>
                <w:lang w:eastAsia="fi-FI"/>
                <w14:ligatures w14:val="none"/>
              </w:rPr>
              <w:t>4</w:t>
            </w:r>
          </w:p>
        </w:tc>
      </w:tr>
      <w:tr w:rsidR="008D7D9B" w:rsidRPr="00A84876" w14:paraId="200F387B" w14:textId="77777777" w:rsidTr="001267C9">
        <w:trPr>
          <w:trHeight w:val="264"/>
        </w:trPr>
        <w:tc>
          <w:tcPr>
            <w:tcW w:w="2122" w:type="dxa"/>
            <w:noWrap/>
            <w:vAlign w:val="center"/>
            <w:hideMark/>
          </w:tcPr>
          <w:p w14:paraId="7800D425" w14:textId="77777777" w:rsidR="008D7D9B" w:rsidRPr="00A84876" w:rsidRDefault="008D7D9B" w:rsidP="007E4F30">
            <w:pPr>
              <w:rPr>
                <w:rFonts w:eastAsia="Times New Roman" w:cs="Times New Roman"/>
                <w:color w:val="000000"/>
                <w:kern w:val="0"/>
                <w:sz w:val="16"/>
                <w:szCs w:val="16"/>
                <w:lang w:eastAsia="fi-FI"/>
                <w14:ligatures w14:val="none"/>
              </w:rPr>
            </w:pPr>
          </w:p>
        </w:tc>
        <w:tc>
          <w:tcPr>
            <w:tcW w:w="1984" w:type="dxa"/>
            <w:noWrap/>
            <w:vAlign w:val="center"/>
            <w:hideMark/>
          </w:tcPr>
          <w:p w14:paraId="52D78680" w14:textId="77777777" w:rsidR="008D7D9B" w:rsidRPr="00A84876" w:rsidRDefault="008D7D9B" w:rsidP="007E4F30">
            <w:pPr>
              <w:rPr>
                <w:rFonts w:eastAsia="Times New Roman" w:cs="Times New Roman"/>
                <w:kern w:val="0"/>
                <w:sz w:val="16"/>
                <w:szCs w:val="16"/>
                <w:lang w:eastAsia="fi-FI"/>
                <w14:ligatures w14:val="none"/>
              </w:rPr>
            </w:pPr>
          </w:p>
        </w:tc>
        <w:tc>
          <w:tcPr>
            <w:tcW w:w="709" w:type="dxa"/>
            <w:noWrap/>
            <w:vAlign w:val="center"/>
            <w:hideMark/>
          </w:tcPr>
          <w:p w14:paraId="314FCE78" w14:textId="77777777"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n</w:t>
            </w:r>
          </w:p>
        </w:tc>
        <w:tc>
          <w:tcPr>
            <w:tcW w:w="1843" w:type="dxa"/>
            <w:noWrap/>
            <w:vAlign w:val="center"/>
            <w:hideMark/>
          </w:tcPr>
          <w:p w14:paraId="5DB08FA2" w14:textId="77777777"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Number of events (%</w:t>
            </w:r>
            <w:r w:rsidRPr="008F2A83">
              <w:rPr>
                <w:rFonts w:eastAsia="Times New Roman" w:cs="Times New Roman"/>
                <w:color w:val="000000"/>
                <w:kern w:val="0"/>
                <w:sz w:val="16"/>
                <w:szCs w:val="16"/>
                <w:vertAlign w:val="superscript"/>
                <w:lang w:eastAsia="fi-FI"/>
                <w14:ligatures w14:val="none"/>
              </w:rPr>
              <w:t>5</w:t>
            </w:r>
            <w:r w:rsidRPr="00A84876">
              <w:rPr>
                <w:rFonts w:eastAsia="Times New Roman" w:cs="Times New Roman"/>
                <w:color w:val="000000"/>
                <w:kern w:val="0"/>
                <w:sz w:val="16"/>
                <w:szCs w:val="16"/>
                <w:lang w:eastAsia="fi-FI"/>
                <w14:ligatures w14:val="none"/>
              </w:rPr>
              <w:t>)</w:t>
            </w:r>
          </w:p>
        </w:tc>
        <w:tc>
          <w:tcPr>
            <w:tcW w:w="2019" w:type="dxa"/>
            <w:vAlign w:val="center"/>
          </w:tcPr>
          <w:p w14:paraId="598322FA" w14:textId="77777777" w:rsidR="008D7D9B" w:rsidRPr="00A84876" w:rsidRDefault="008D7D9B" w:rsidP="007E4F30">
            <w:pPr>
              <w:jc w:val="center"/>
              <w:rPr>
                <w:rFonts w:eastAsia="Times New Roman" w:cs="Times New Roman"/>
                <w:color w:val="000000"/>
                <w:kern w:val="0"/>
                <w:sz w:val="16"/>
                <w:szCs w:val="16"/>
                <w:lang w:eastAsia="fi-FI"/>
                <w14:ligatures w14:val="none"/>
              </w:rPr>
            </w:pPr>
            <w:r w:rsidRPr="00655CBF">
              <w:rPr>
                <w:rFonts w:eastAsia="Times New Roman" w:cs="Times New Roman"/>
                <w:color w:val="000000"/>
                <w:kern w:val="0"/>
                <w:sz w:val="16"/>
                <w:szCs w:val="16"/>
                <w:lang w:eastAsia="fi-FI"/>
                <w14:ligatures w14:val="none"/>
              </w:rPr>
              <w:t>HR (95% CI)</w:t>
            </w:r>
          </w:p>
        </w:tc>
        <w:tc>
          <w:tcPr>
            <w:tcW w:w="2020" w:type="dxa"/>
            <w:vAlign w:val="center"/>
          </w:tcPr>
          <w:p w14:paraId="16E1A498" w14:textId="77777777" w:rsidR="008D7D9B" w:rsidRPr="00A84876" w:rsidRDefault="008D7D9B" w:rsidP="007E4F30">
            <w:pPr>
              <w:jc w:val="center"/>
              <w:rPr>
                <w:rFonts w:eastAsia="Times New Roman" w:cs="Times New Roman"/>
                <w:color w:val="000000"/>
                <w:kern w:val="0"/>
                <w:sz w:val="16"/>
                <w:szCs w:val="16"/>
                <w:lang w:eastAsia="fi-FI"/>
                <w14:ligatures w14:val="none"/>
              </w:rPr>
            </w:pPr>
            <w:r w:rsidRPr="00655CBF">
              <w:rPr>
                <w:rFonts w:eastAsia="Times New Roman" w:cs="Times New Roman"/>
                <w:color w:val="000000"/>
                <w:kern w:val="0"/>
                <w:sz w:val="16"/>
                <w:szCs w:val="16"/>
                <w:lang w:eastAsia="fi-FI"/>
                <w14:ligatures w14:val="none"/>
              </w:rPr>
              <w:t>HR (95% CI)</w:t>
            </w:r>
          </w:p>
        </w:tc>
        <w:tc>
          <w:tcPr>
            <w:tcW w:w="2020" w:type="dxa"/>
            <w:vAlign w:val="center"/>
          </w:tcPr>
          <w:p w14:paraId="6974118A" w14:textId="77777777" w:rsidR="008D7D9B" w:rsidRPr="00A84876" w:rsidRDefault="008D7D9B" w:rsidP="007E4F30">
            <w:pPr>
              <w:jc w:val="center"/>
              <w:rPr>
                <w:rFonts w:eastAsia="Times New Roman" w:cs="Times New Roman"/>
                <w:color w:val="000000"/>
                <w:kern w:val="0"/>
                <w:sz w:val="16"/>
                <w:szCs w:val="16"/>
                <w:lang w:eastAsia="fi-FI"/>
                <w14:ligatures w14:val="none"/>
              </w:rPr>
            </w:pPr>
            <w:r w:rsidRPr="00655CBF">
              <w:rPr>
                <w:rFonts w:eastAsia="Times New Roman" w:cs="Times New Roman"/>
                <w:color w:val="000000"/>
                <w:kern w:val="0"/>
                <w:sz w:val="16"/>
                <w:szCs w:val="16"/>
                <w:lang w:eastAsia="fi-FI"/>
                <w14:ligatures w14:val="none"/>
              </w:rPr>
              <w:t>HR (95% CI)</w:t>
            </w:r>
          </w:p>
        </w:tc>
        <w:tc>
          <w:tcPr>
            <w:tcW w:w="2020" w:type="dxa"/>
            <w:noWrap/>
            <w:vAlign w:val="center"/>
            <w:hideMark/>
          </w:tcPr>
          <w:p w14:paraId="24D1CF6C" w14:textId="77777777"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HR (95% CI)</w:t>
            </w:r>
          </w:p>
        </w:tc>
      </w:tr>
      <w:tr w:rsidR="008D7D9B" w:rsidRPr="00A84876" w14:paraId="58B6D769" w14:textId="77777777" w:rsidTr="001267C9">
        <w:trPr>
          <w:trHeight w:val="264"/>
        </w:trPr>
        <w:tc>
          <w:tcPr>
            <w:tcW w:w="2122" w:type="dxa"/>
            <w:noWrap/>
            <w:vAlign w:val="center"/>
            <w:hideMark/>
          </w:tcPr>
          <w:p w14:paraId="02F67CC9" w14:textId="12A5B1C1" w:rsidR="008D7D9B" w:rsidRPr="00A84876" w:rsidRDefault="008D7D9B" w:rsidP="007E4F30">
            <w:pP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Any</w:t>
            </w:r>
            <w:r w:rsidR="0003578D">
              <w:rPr>
                <w:rFonts w:eastAsia="Times New Roman" w:cs="Times New Roman"/>
                <w:color w:val="000000"/>
                <w:kern w:val="0"/>
                <w:sz w:val="16"/>
                <w:szCs w:val="16"/>
                <w:lang w:eastAsia="fi-FI"/>
                <w14:ligatures w14:val="none"/>
              </w:rPr>
              <w:t xml:space="preserve"> </w:t>
            </w:r>
            <w:r w:rsidR="0003578D">
              <w:rPr>
                <w:rFonts w:asciiTheme="majorHAnsi" w:eastAsia="Times New Roman" w:hAnsiTheme="majorHAnsi" w:cs="Times New Roman"/>
                <w:color w:val="000000"/>
                <w:kern w:val="0"/>
                <w:sz w:val="16"/>
                <w:szCs w:val="16"/>
                <w:lang w:eastAsia="fi-FI"/>
                <w14:ligatures w14:val="none"/>
              </w:rPr>
              <w:t>low-energy</w:t>
            </w:r>
            <w:r w:rsidRPr="00A84876">
              <w:rPr>
                <w:rFonts w:eastAsia="Times New Roman" w:cs="Times New Roman"/>
                <w:color w:val="000000"/>
                <w:kern w:val="0"/>
                <w:sz w:val="16"/>
                <w:szCs w:val="16"/>
                <w:lang w:eastAsia="fi-FI"/>
                <w14:ligatures w14:val="none"/>
              </w:rPr>
              <w:t xml:space="preserve"> fracture</w:t>
            </w:r>
          </w:p>
        </w:tc>
        <w:tc>
          <w:tcPr>
            <w:tcW w:w="1984" w:type="dxa"/>
            <w:noWrap/>
            <w:vAlign w:val="center"/>
          </w:tcPr>
          <w:p w14:paraId="451DE40A" w14:textId="77777777" w:rsidR="008D7D9B" w:rsidRPr="00A84876" w:rsidRDefault="008D7D9B" w:rsidP="007E4F30">
            <w:pP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Osteosarcopenia</w:t>
            </w:r>
          </w:p>
        </w:tc>
        <w:tc>
          <w:tcPr>
            <w:tcW w:w="709" w:type="dxa"/>
            <w:noWrap/>
            <w:vAlign w:val="center"/>
          </w:tcPr>
          <w:p w14:paraId="26C2363E" w14:textId="77777777"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color w:val="000000"/>
                <w:sz w:val="16"/>
                <w:szCs w:val="16"/>
              </w:rPr>
              <w:t>122</w:t>
            </w:r>
          </w:p>
        </w:tc>
        <w:tc>
          <w:tcPr>
            <w:tcW w:w="1843" w:type="dxa"/>
            <w:noWrap/>
            <w:vAlign w:val="center"/>
          </w:tcPr>
          <w:p w14:paraId="03A7B481" w14:textId="77777777"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36 (29.5)</w:t>
            </w:r>
          </w:p>
        </w:tc>
        <w:tc>
          <w:tcPr>
            <w:tcW w:w="2019" w:type="dxa"/>
            <w:vAlign w:val="center"/>
          </w:tcPr>
          <w:p w14:paraId="53C47362" w14:textId="77777777" w:rsidR="008D7D9B" w:rsidRPr="00663E92" w:rsidRDefault="008D7D9B" w:rsidP="007E4F30">
            <w:pPr>
              <w:jc w:val="center"/>
              <w:rPr>
                <w:b/>
                <w:bCs/>
                <w:color w:val="000000"/>
                <w:sz w:val="16"/>
                <w:szCs w:val="16"/>
              </w:rPr>
            </w:pPr>
            <w:r>
              <w:rPr>
                <w:color w:val="000000"/>
                <w:sz w:val="16"/>
                <w:szCs w:val="16"/>
              </w:rPr>
              <w:t>1.0 (Reference)</w:t>
            </w:r>
          </w:p>
        </w:tc>
        <w:tc>
          <w:tcPr>
            <w:tcW w:w="2020" w:type="dxa"/>
            <w:vAlign w:val="center"/>
          </w:tcPr>
          <w:p w14:paraId="328B4B1F" w14:textId="77777777" w:rsidR="008D7D9B" w:rsidRPr="00663E92" w:rsidRDefault="008D7D9B" w:rsidP="007E4F30">
            <w:pPr>
              <w:jc w:val="center"/>
              <w:rPr>
                <w:b/>
                <w:bCs/>
                <w:color w:val="000000"/>
                <w:sz w:val="16"/>
                <w:szCs w:val="16"/>
              </w:rPr>
            </w:pPr>
            <w:r>
              <w:rPr>
                <w:color w:val="000000"/>
                <w:sz w:val="16"/>
                <w:szCs w:val="16"/>
              </w:rPr>
              <w:t>1.0 (Reference)</w:t>
            </w:r>
          </w:p>
        </w:tc>
        <w:tc>
          <w:tcPr>
            <w:tcW w:w="2020" w:type="dxa"/>
            <w:vAlign w:val="center"/>
          </w:tcPr>
          <w:p w14:paraId="24CDB9E8" w14:textId="77777777" w:rsidR="008D7D9B" w:rsidRPr="0086552D" w:rsidRDefault="008D7D9B" w:rsidP="007E4F30">
            <w:pPr>
              <w:jc w:val="center"/>
              <w:rPr>
                <w:b/>
                <w:bCs/>
                <w:color w:val="000000"/>
                <w:sz w:val="16"/>
                <w:szCs w:val="16"/>
              </w:rPr>
            </w:pPr>
            <w:r>
              <w:rPr>
                <w:color w:val="000000"/>
                <w:sz w:val="16"/>
                <w:szCs w:val="16"/>
              </w:rPr>
              <w:t>1.0 (Reference)</w:t>
            </w:r>
          </w:p>
        </w:tc>
        <w:tc>
          <w:tcPr>
            <w:tcW w:w="2020" w:type="dxa"/>
            <w:noWrap/>
            <w:vAlign w:val="center"/>
          </w:tcPr>
          <w:p w14:paraId="0361C45D" w14:textId="77777777" w:rsidR="008D7D9B" w:rsidRPr="00A84876" w:rsidRDefault="008D7D9B" w:rsidP="007E4F30">
            <w:pPr>
              <w:jc w:val="center"/>
              <w:rPr>
                <w:rFonts w:eastAsia="Times New Roman" w:cs="Times New Roman"/>
                <w:color w:val="000000"/>
                <w:kern w:val="0"/>
                <w:sz w:val="16"/>
                <w:szCs w:val="16"/>
                <w:lang w:eastAsia="fi-FI"/>
                <w14:ligatures w14:val="none"/>
              </w:rPr>
            </w:pPr>
            <w:r>
              <w:rPr>
                <w:color w:val="000000"/>
                <w:sz w:val="16"/>
                <w:szCs w:val="16"/>
              </w:rPr>
              <w:t>1.0 (Reference)</w:t>
            </w:r>
          </w:p>
        </w:tc>
      </w:tr>
      <w:tr w:rsidR="008D7D9B" w:rsidRPr="00A84876" w14:paraId="6E5720EC" w14:textId="77777777" w:rsidTr="001267C9">
        <w:trPr>
          <w:trHeight w:val="264"/>
        </w:trPr>
        <w:tc>
          <w:tcPr>
            <w:tcW w:w="2122" w:type="dxa"/>
            <w:noWrap/>
            <w:vAlign w:val="center"/>
            <w:hideMark/>
          </w:tcPr>
          <w:p w14:paraId="7972B6C0" w14:textId="77777777" w:rsidR="008D7D9B" w:rsidRPr="00A84876" w:rsidRDefault="008D7D9B" w:rsidP="007E4F30">
            <w:pPr>
              <w:rPr>
                <w:rFonts w:eastAsia="Times New Roman" w:cs="Times New Roman"/>
                <w:color w:val="000000"/>
                <w:kern w:val="0"/>
                <w:sz w:val="16"/>
                <w:szCs w:val="16"/>
                <w:lang w:eastAsia="fi-FI"/>
                <w14:ligatures w14:val="none"/>
              </w:rPr>
            </w:pPr>
          </w:p>
        </w:tc>
        <w:tc>
          <w:tcPr>
            <w:tcW w:w="1984" w:type="dxa"/>
            <w:noWrap/>
            <w:vAlign w:val="center"/>
          </w:tcPr>
          <w:p w14:paraId="40D9DB43" w14:textId="77777777" w:rsidR="008D7D9B" w:rsidRPr="00A84876" w:rsidRDefault="008D7D9B" w:rsidP="007E4F30">
            <w:pPr>
              <w:rPr>
                <w:rFonts w:eastAsia="Times New Roman" w:cs="Times New Roman"/>
                <w:color w:val="000000"/>
                <w:kern w:val="0"/>
                <w:sz w:val="16"/>
                <w:szCs w:val="16"/>
                <w:lang w:eastAsia="fi-FI"/>
                <w14:ligatures w14:val="none"/>
              </w:rPr>
            </w:pPr>
            <w:r>
              <w:rPr>
                <w:rFonts w:eastAsia="Times New Roman" w:cs="Times New Roman"/>
                <w:color w:val="000000"/>
                <w:kern w:val="0"/>
                <w:sz w:val="16"/>
                <w:szCs w:val="16"/>
                <w:lang w:eastAsia="fi-FI"/>
                <w14:ligatures w14:val="none"/>
              </w:rPr>
              <w:t>No sarcopenia, no osteoporosis</w:t>
            </w:r>
          </w:p>
        </w:tc>
        <w:tc>
          <w:tcPr>
            <w:tcW w:w="709" w:type="dxa"/>
            <w:noWrap/>
            <w:vAlign w:val="center"/>
          </w:tcPr>
          <w:p w14:paraId="00BD6865" w14:textId="77777777"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color w:val="000000"/>
                <w:sz w:val="16"/>
                <w:szCs w:val="16"/>
              </w:rPr>
              <w:t>1602</w:t>
            </w:r>
          </w:p>
        </w:tc>
        <w:tc>
          <w:tcPr>
            <w:tcW w:w="1843" w:type="dxa"/>
            <w:noWrap/>
            <w:vAlign w:val="center"/>
          </w:tcPr>
          <w:p w14:paraId="7D5A9001" w14:textId="423FF6BA" w:rsidR="008D7D9B" w:rsidRPr="00A84876" w:rsidRDefault="00F10BD4" w:rsidP="007E4F30">
            <w:pPr>
              <w:jc w:val="center"/>
              <w:rPr>
                <w:rFonts w:eastAsia="Times New Roman" w:cs="Times New Roman"/>
                <w:color w:val="000000"/>
                <w:kern w:val="0"/>
                <w:sz w:val="16"/>
                <w:szCs w:val="16"/>
                <w:lang w:eastAsia="fi-FI"/>
                <w14:ligatures w14:val="none"/>
              </w:rPr>
            </w:pPr>
            <w:r>
              <w:rPr>
                <w:rFonts w:eastAsia="Times New Roman" w:cs="Times New Roman"/>
                <w:color w:val="000000"/>
                <w:kern w:val="0"/>
                <w:sz w:val="16"/>
                <w:szCs w:val="16"/>
                <w:lang w:eastAsia="fi-FI"/>
                <w14:ligatures w14:val="none"/>
              </w:rPr>
              <w:t>291</w:t>
            </w:r>
            <w:r w:rsidR="008D7D9B" w:rsidRPr="00A84876">
              <w:rPr>
                <w:rFonts w:eastAsia="Times New Roman" w:cs="Times New Roman"/>
                <w:color w:val="000000"/>
                <w:kern w:val="0"/>
                <w:sz w:val="16"/>
                <w:szCs w:val="16"/>
                <w:lang w:eastAsia="fi-FI"/>
                <w14:ligatures w14:val="none"/>
              </w:rPr>
              <w:t xml:space="preserve"> (1</w:t>
            </w:r>
            <w:r>
              <w:rPr>
                <w:rFonts w:eastAsia="Times New Roman" w:cs="Times New Roman"/>
                <w:color w:val="000000"/>
                <w:kern w:val="0"/>
                <w:sz w:val="16"/>
                <w:szCs w:val="16"/>
                <w:lang w:eastAsia="fi-FI"/>
                <w14:ligatures w14:val="none"/>
              </w:rPr>
              <w:t>8</w:t>
            </w:r>
            <w:r w:rsidR="008D7D9B" w:rsidRPr="00A84876">
              <w:rPr>
                <w:rFonts w:eastAsia="Times New Roman" w:cs="Times New Roman"/>
                <w:color w:val="000000"/>
                <w:kern w:val="0"/>
                <w:sz w:val="16"/>
                <w:szCs w:val="16"/>
                <w:lang w:eastAsia="fi-FI"/>
                <w14:ligatures w14:val="none"/>
              </w:rPr>
              <w:t>.</w:t>
            </w:r>
            <w:r>
              <w:rPr>
                <w:rFonts w:eastAsia="Times New Roman" w:cs="Times New Roman"/>
                <w:color w:val="000000"/>
                <w:kern w:val="0"/>
                <w:sz w:val="16"/>
                <w:szCs w:val="16"/>
                <w:lang w:eastAsia="fi-FI"/>
                <w14:ligatures w14:val="none"/>
              </w:rPr>
              <w:t>2</w:t>
            </w:r>
            <w:r w:rsidR="008D7D9B" w:rsidRPr="00A84876">
              <w:rPr>
                <w:rFonts w:eastAsia="Times New Roman" w:cs="Times New Roman"/>
                <w:color w:val="000000"/>
                <w:kern w:val="0"/>
                <w:sz w:val="16"/>
                <w:szCs w:val="16"/>
                <w:lang w:eastAsia="fi-FI"/>
                <w14:ligatures w14:val="none"/>
              </w:rPr>
              <w:t>)</w:t>
            </w:r>
          </w:p>
        </w:tc>
        <w:tc>
          <w:tcPr>
            <w:tcW w:w="2019" w:type="dxa"/>
            <w:vAlign w:val="center"/>
          </w:tcPr>
          <w:p w14:paraId="165361BD" w14:textId="46123A7E" w:rsidR="008D7D9B" w:rsidRPr="00175D55" w:rsidRDefault="00F10BD4" w:rsidP="007E4F30">
            <w:pPr>
              <w:jc w:val="center"/>
              <w:rPr>
                <w:b/>
                <w:bCs/>
                <w:color w:val="000000"/>
                <w:sz w:val="16"/>
                <w:szCs w:val="16"/>
              </w:rPr>
            </w:pPr>
            <w:r w:rsidRPr="00175D55">
              <w:rPr>
                <w:b/>
                <w:bCs/>
                <w:color w:val="000000"/>
                <w:sz w:val="16"/>
                <w:szCs w:val="16"/>
              </w:rPr>
              <w:t>0.57 (0.31 – 0.69)</w:t>
            </w:r>
          </w:p>
        </w:tc>
        <w:tc>
          <w:tcPr>
            <w:tcW w:w="2020" w:type="dxa"/>
            <w:vAlign w:val="center"/>
          </w:tcPr>
          <w:p w14:paraId="17D959EB" w14:textId="67376E6D" w:rsidR="008D7D9B" w:rsidRPr="00175D55" w:rsidRDefault="00F10BD4" w:rsidP="007E4F30">
            <w:pPr>
              <w:jc w:val="center"/>
              <w:rPr>
                <w:b/>
                <w:bCs/>
                <w:color w:val="000000"/>
                <w:sz w:val="16"/>
                <w:szCs w:val="16"/>
              </w:rPr>
            </w:pPr>
            <w:r w:rsidRPr="00175D55">
              <w:rPr>
                <w:b/>
                <w:bCs/>
                <w:color w:val="000000"/>
                <w:sz w:val="16"/>
                <w:szCs w:val="16"/>
              </w:rPr>
              <w:t>0.47 (0.31 – 0.71)</w:t>
            </w:r>
          </w:p>
        </w:tc>
        <w:tc>
          <w:tcPr>
            <w:tcW w:w="2020" w:type="dxa"/>
            <w:vAlign w:val="center"/>
          </w:tcPr>
          <w:p w14:paraId="085B4013" w14:textId="7854EE60" w:rsidR="008D7D9B" w:rsidRPr="00175D55" w:rsidRDefault="00F10BD4" w:rsidP="007E4F30">
            <w:pPr>
              <w:jc w:val="center"/>
              <w:rPr>
                <w:b/>
                <w:bCs/>
                <w:color w:val="000000"/>
                <w:sz w:val="16"/>
                <w:szCs w:val="16"/>
              </w:rPr>
            </w:pPr>
            <w:r w:rsidRPr="00175D55">
              <w:rPr>
                <w:b/>
                <w:bCs/>
                <w:color w:val="000000"/>
                <w:sz w:val="16"/>
                <w:szCs w:val="16"/>
              </w:rPr>
              <w:t>0. 49 (0.32 – 0.75)</w:t>
            </w:r>
          </w:p>
        </w:tc>
        <w:tc>
          <w:tcPr>
            <w:tcW w:w="2020" w:type="dxa"/>
            <w:noWrap/>
            <w:vAlign w:val="center"/>
          </w:tcPr>
          <w:p w14:paraId="2FB5D91E" w14:textId="1F413093" w:rsidR="008D7D9B" w:rsidRPr="00A84876" w:rsidRDefault="00175D55" w:rsidP="007E4F30">
            <w:pPr>
              <w:jc w:val="center"/>
              <w:rPr>
                <w:rFonts w:eastAsia="Times New Roman" w:cs="Times New Roman"/>
                <w:color w:val="000000"/>
                <w:kern w:val="0"/>
                <w:sz w:val="16"/>
                <w:szCs w:val="16"/>
                <w:lang w:eastAsia="fi-FI"/>
                <w14:ligatures w14:val="none"/>
              </w:rPr>
            </w:pPr>
            <w:r>
              <w:rPr>
                <w:rFonts w:eastAsia="Times New Roman" w:cs="Times New Roman"/>
                <w:color w:val="000000"/>
                <w:kern w:val="0"/>
                <w:sz w:val="16"/>
                <w:szCs w:val="16"/>
                <w:lang w:eastAsia="fi-FI"/>
                <w14:ligatures w14:val="none"/>
              </w:rPr>
              <w:t>0.74 (0.46 – 1.21)</w:t>
            </w:r>
          </w:p>
        </w:tc>
      </w:tr>
      <w:tr w:rsidR="008D7D9B" w:rsidRPr="00A84876" w14:paraId="1A6256C6" w14:textId="77777777" w:rsidTr="001267C9">
        <w:trPr>
          <w:trHeight w:val="264"/>
        </w:trPr>
        <w:tc>
          <w:tcPr>
            <w:tcW w:w="2122" w:type="dxa"/>
            <w:noWrap/>
            <w:vAlign w:val="center"/>
            <w:hideMark/>
          </w:tcPr>
          <w:p w14:paraId="1F96F373" w14:textId="77777777" w:rsidR="008D7D9B" w:rsidRPr="00A84876" w:rsidRDefault="008D7D9B" w:rsidP="007E4F30">
            <w:pPr>
              <w:rPr>
                <w:rFonts w:eastAsia="Times New Roman" w:cs="Times New Roman"/>
                <w:color w:val="000000"/>
                <w:kern w:val="0"/>
                <w:sz w:val="16"/>
                <w:szCs w:val="16"/>
                <w:lang w:eastAsia="fi-FI"/>
                <w14:ligatures w14:val="none"/>
              </w:rPr>
            </w:pPr>
          </w:p>
        </w:tc>
        <w:tc>
          <w:tcPr>
            <w:tcW w:w="1984" w:type="dxa"/>
            <w:noWrap/>
            <w:vAlign w:val="center"/>
          </w:tcPr>
          <w:p w14:paraId="7D064409" w14:textId="77777777" w:rsidR="008D7D9B" w:rsidRPr="00A84876" w:rsidRDefault="008D7D9B" w:rsidP="007E4F30">
            <w:pPr>
              <w:rPr>
                <w:rFonts w:eastAsia="Times New Roman" w:cs="Times New Roman"/>
                <w:color w:val="000000"/>
                <w:kern w:val="0"/>
                <w:sz w:val="16"/>
                <w:szCs w:val="16"/>
                <w:lang w:eastAsia="fi-FI"/>
                <w14:ligatures w14:val="none"/>
              </w:rPr>
            </w:pPr>
            <w:r>
              <w:rPr>
                <w:rFonts w:eastAsia="Times New Roman" w:cs="Times New Roman"/>
                <w:color w:val="000000"/>
                <w:kern w:val="0"/>
                <w:sz w:val="16"/>
                <w:szCs w:val="16"/>
                <w:lang w:eastAsia="fi-FI"/>
                <w14:ligatures w14:val="none"/>
              </w:rPr>
              <w:t>Probable sarcopenia only</w:t>
            </w:r>
          </w:p>
        </w:tc>
        <w:tc>
          <w:tcPr>
            <w:tcW w:w="709" w:type="dxa"/>
            <w:noWrap/>
            <w:vAlign w:val="center"/>
          </w:tcPr>
          <w:p w14:paraId="746D157C" w14:textId="77777777"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color w:val="000000"/>
                <w:sz w:val="16"/>
                <w:szCs w:val="16"/>
              </w:rPr>
              <w:t>234</w:t>
            </w:r>
          </w:p>
        </w:tc>
        <w:tc>
          <w:tcPr>
            <w:tcW w:w="1843" w:type="dxa"/>
            <w:noWrap/>
            <w:vAlign w:val="center"/>
          </w:tcPr>
          <w:p w14:paraId="17DE3EF2" w14:textId="52E98282"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6</w:t>
            </w:r>
            <w:r w:rsidR="00F10BD4">
              <w:rPr>
                <w:rFonts w:eastAsia="Times New Roman" w:cs="Times New Roman"/>
                <w:color w:val="000000"/>
                <w:kern w:val="0"/>
                <w:sz w:val="16"/>
                <w:szCs w:val="16"/>
                <w:lang w:eastAsia="fi-FI"/>
                <w14:ligatures w14:val="none"/>
              </w:rPr>
              <w:t>0</w:t>
            </w:r>
            <w:r w:rsidRPr="00A84876">
              <w:rPr>
                <w:rFonts w:eastAsia="Times New Roman" w:cs="Times New Roman"/>
                <w:color w:val="000000"/>
                <w:kern w:val="0"/>
                <w:sz w:val="16"/>
                <w:szCs w:val="16"/>
                <w:lang w:eastAsia="fi-FI"/>
                <w14:ligatures w14:val="none"/>
              </w:rPr>
              <w:t xml:space="preserve"> (</w:t>
            </w:r>
            <w:r w:rsidR="00F10BD4">
              <w:rPr>
                <w:rFonts w:eastAsia="Times New Roman" w:cs="Times New Roman"/>
                <w:color w:val="000000"/>
                <w:kern w:val="0"/>
                <w:sz w:val="16"/>
                <w:szCs w:val="16"/>
                <w:lang w:eastAsia="fi-FI"/>
                <w14:ligatures w14:val="none"/>
              </w:rPr>
              <w:t>25.6</w:t>
            </w:r>
            <w:r w:rsidRPr="00A84876">
              <w:rPr>
                <w:rFonts w:eastAsia="Times New Roman" w:cs="Times New Roman"/>
                <w:color w:val="000000"/>
                <w:kern w:val="0"/>
                <w:sz w:val="16"/>
                <w:szCs w:val="16"/>
                <w:lang w:eastAsia="fi-FI"/>
                <w14:ligatures w14:val="none"/>
              </w:rPr>
              <w:t>)</w:t>
            </w:r>
          </w:p>
        </w:tc>
        <w:tc>
          <w:tcPr>
            <w:tcW w:w="2019" w:type="dxa"/>
            <w:vAlign w:val="center"/>
          </w:tcPr>
          <w:p w14:paraId="442177FF" w14:textId="5A409C65" w:rsidR="008D7D9B" w:rsidRPr="00A84876" w:rsidRDefault="00F10BD4" w:rsidP="007E4F30">
            <w:pPr>
              <w:jc w:val="center"/>
              <w:rPr>
                <w:color w:val="000000"/>
                <w:sz w:val="16"/>
                <w:szCs w:val="16"/>
              </w:rPr>
            </w:pPr>
            <w:r>
              <w:rPr>
                <w:color w:val="000000"/>
                <w:sz w:val="16"/>
                <w:szCs w:val="16"/>
              </w:rPr>
              <w:t>0.76 (0.50 – 1.16)</w:t>
            </w:r>
          </w:p>
        </w:tc>
        <w:tc>
          <w:tcPr>
            <w:tcW w:w="2020" w:type="dxa"/>
            <w:vAlign w:val="center"/>
          </w:tcPr>
          <w:p w14:paraId="53054050" w14:textId="0C059E80" w:rsidR="008D7D9B" w:rsidRPr="00A84876" w:rsidRDefault="00F10BD4" w:rsidP="007E4F30">
            <w:pPr>
              <w:jc w:val="center"/>
              <w:rPr>
                <w:color w:val="000000"/>
                <w:sz w:val="16"/>
                <w:szCs w:val="16"/>
              </w:rPr>
            </w:pPr>
            <w:r>
              <w:rPr>
                <w:color w:val="000000"/>
                <w:sz w:val="16"/>
                <w:szCs w:val="16"/>
              </w:rPr>
              <w:t>0.74 (0.48 – 1.16)</w:t>
            </w:r>
          </w:p>
        </w:tc>
        <w:tc>
          <w:tcPr>
            <w:tcW w:w="2020" w:type="dxa"/>
            <w:vAlign w:val="center"/>
          </w:tcPr>
          <w:p w14:paraId="0B810C44" w14:textId="4DD9FB4F" w:rsidR="008D7D9B" w:rsidRPr="00A84876" w:rsidRDefault="00F10BD4" w:rsidP="007E4F30">
            <w:pPr>
              <w:jc w:val="center"/>
              <w:rPr>
                <w:color w:val="000000"/>
                <w:sz w:val="16"/>
                <w:szCs w:val="16"/>
              </w:rPr>
            </w:pPr>
            <w:r>
              <w:rPr>
                <w:color w:val="000000"/>
                <w:sz w:val="16"/>
                <w:szCs w:val="16"/>
              </w:rPr>
              <w:t>0.77 (0.48 – 1.21)</w:t>
            </w:r>
          </w:p>
        </w:tc>
        <w:tc>
          <w:tcPr>
            <w:tcW w:w="2020" w:type="dxa"/>
            <w:noWrap/>
            <w:vAlign w:val="center"/>
          </w:tcPr>
          <w:p w14:paraId="70C03FF4" w14:textId="7E890D8F" w:rsidR="008D7D9B" w:rsidRPr="00175D55" w:rsidRDefault="00175D55" w:rsidP="007E4F30">
            <w:pPr>
              <w:jc w:val="center"/>
              <w:rPr>
                <w:rFonts w:eastAsia="Times New Roman" w:cs="Times New Roman"/>
                <w:color w:val="000000"/>
                <w:kern w:val="0"/>
                <w:sz w:val="16"/>
                <w:szCs w:val="16"/>
                <w:lang w:eastAsia="fi-FI"/>
                <w14:ligatures w14:val="none"/>
              </w:rPr>
            </w:pPr>
            <w:r w:rsidRPr="00175D55">
              <w:rPr>
                <w:rFonts w:eastAsia="Times New Roman" w:cs="Times New Roman"/>
                <w:color w:val="000000"/>
                <w:kern w:val="0"/>
                <w:sz w:val="16"/>
                <w:szCs w:val="16"/>
                <w:lang w:eastAsia="fi-FI"/>
                <w14:ligatures w14:val="none"/>
              </w:rPr>
              <w:t>0.93 (0.56 – 1.54)</w:t>
            </w:r>
          </w:p>
        </w:tc>
      </w:tr>
      <w:tr w:rsidR="008D7D9B" w:rsidRPr="00A84876" w14:paraId="1508F644" w14:textId="77777777" w:rsidTr="001267C9">
        <w:trPr>
          <w:trHeight w:val="264"/>
        </w:trPr>
        <w:tc>
          <w:tcPr>
            <w:tcW w:w="2122" w:type="dxa"/>
            <w:noWrap/>
            <w:vAlign w:val="center"/>
            <w:hideMark/>
          </w:tcPr>
          <w:p w14:paraId="49A7A965" w14:textId="77777777" w:rsidR="008D7D9B" w:rsidRPr="00A84876" w:rsidRDefault="008D7D9B" w:rsidP="007E4F30">
            <w:pPr>
              <w:rPr>
                <w:rFonts w:eastAsia="Times New Roman" w:cs="Times New Roman"/>
                <w:b/>
                <w:bCs/>
                <w:color w:val="000000"/>
                <w:kern w:val="0"/>
                <w:sz w:val="16"/>
                <w:szCs w:val="16"/>
                <w:lang w:eastAsia="fi-FI"/>
                <w14:ligatures w14:val="none"/>
              </w:rPr>
            </w:pPr>
          </w:p>
        </w:tc>
        <w:tc>
          <w:tcPr>
            <w:tcW w:w="1984" w:type="dxa"/>
            <w:noWrap/>
            <w:vAlign w:val="center"/>
          </w:tcPr>
          <w:p w14:paraId="401A5BC3" w14:textId="77777777" w:rsidR="008D7D9B" w:rsidRPr="00A84876" w:rsidRDefault="008D7D9B" w:rsidP="007E4F30">
            <w:pP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Osteoporosis only</w:t>
            </w:r>
          </w:p>
        </w:tc>
        <w:tc>
          <w:tcPr>
            <w:tcW w:w="709" w:type="dxa"/>
            <w:noWrap/>
            <w:vAlign w:val="center"/>
          </w:tcPr>
          <w:p w14:paraId="4E3F1A09" w14:textId="77777777"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color w:val="000000"/>
                <w:sz w:val="16"/>
                <w:szCs w:val="16"/>
              </w:rPr>
              <w:t>184</w:t>
            </w:r>
          </w:p>
        </w:tc>
        <w:tc>
          <w:tcPr>
            <w:tcW w:w="1843" w:type="dxa"/>
            <w:noWrap/>
            <w:vAlign w:val="center"/>
          </w:tcPr>
          <w:p w14:paraId="65D6AF12" w14:textId="77777777"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79 (42.9)</w:t>
            </w:r>
          </w:p>
        </w:tc>
        <w:tc>
          <w:tcPr>
            <w:tcW w:w="2019" w:type="dxa"/>
            <w:vAlign w:val="center"/>
          </w:tcPr>
          <w:p w14:paraId="780743A4" w14:textId="071EA38D" w:rsidR="008D7D9B" w:rsidRPr="00A84876" w:rsidRDefault="00F10BD4" w:rsidP="007E4F30">
            <w:pPr>
              <w:jc w:val="center"/>
              <w:rPr>
                <w:color w:val="000000"/>
                <w:sz w:val="16"/>
                <w:szCs w:val="16"/>
              </w:rPr>
            </w:pPr>
            <w:r>
              <w:rPr>
                <w:color w:val="000000"/>
                <w:sz w:val="16"/>
                <w:szCs w:val="16"/>
              </w:rPr>
              <w:t>1.07 (0.72 – 1.61)</w:t>
            </w:r>
          </w:p>
        </w:tc>
        <w:tc>
          <w:tcPr>
            <w:tcW w:w="2020" w:type="dxa"/>
            <w:vAlign w:val="center"/>
          </w:tcPr>
          <w:p w14:paraId="49BADF51" w14:textId="6AE85EAB" w:rsidR="008D7D9B" w:rsidRPr="00A84876" w:rsidRDefault="00F10BD4" w:rsidP="007E4F30">
            <w:pPr>
              <w:jc w:val="center"/>
              <w:rPr>
                <w:color w:val="000000"/>
                <w:sz w:val="16"/>
                <w:szCs w:val="16"/>
              </w:rPr>
            </w:pPr>
            <w:r>
              <w:rPr>
                <w:color w:val="000000"/>
                <w:sz w:val="16"/>
                <w:szCs w:val="16"/>
              </w:rPr>
              <w:t>1.06 (0.69 – 1.62)</w:t>
            </w:r>
          </w:p>
        </w:tc>
        <w:tc>
          <w:tcPr>
            <w:tcW w:w="2020" w:type="dxa"/>
            <w:vAlign w:val="center"/>
          </w:tcPr>
          <w:p w14:paraId="21160044" w14:textId="65DBEE94" w:rsidR="008D7D9B" w:rsidRPr="00A84876" w:rsidRDefault="00F10BD4" w:rsidP="007E4F30">
            <w:pPr>
              <w:jc w:val="center"/>
              <w:rPr>
                <w:color w:val="000000"/>
                <w:sz w:val="16"/>
                <w:szCs w:val="16"/>
              </w:rPr>
            </w:pPr>
            <w:r>
              <w:rPr>
                <w:color w:val="000000"/>
                <w:sz w:val="16"/>
                <w:szCs w:val="16"/>
              </w:rPr>
              <w:t>1.09 (0.70 – 1.69)</w:t>
            </w:r>
          </w:p>
        </w:tc>
        <w:tc>
          <w:tcPr>
            <w:tcW w:w="2020" w:type="dxa"/>
            <w:noWrap/>
            <w:vAlign w:val="center"/>
          </w:tcPr>
          <w:p w14:paraId="64150260" w14:textId="316B84C2" w:rsidR="008D7D9B" w:rsidRPr="00A84876" w:rsidRDefault="00175D55" w:rsidP="007E4F30">
            <w:pPr>
              <w:jc w:val="center"/>
              <w:rPr>
                <w:rFonts w:eastAsia="Times New Roman" w:cs="Times New Roman"/>
                <w:color w:val="000000"/>
                <w:kern w:val="0"/>
                <w:sz w:val="16"/>
                <w:szCs w:val="16"/>
                <w:lang w:eastAsia="fi-FI"/>
                <w14:ligatures w14:val="none"/>
              </w:rPr>
            </w:pPr>
            <w:r>
              <w:rPr>
                <w:rFonts w:eastAsia="Times New Roman" w:cs="Times New Roman"/>
                <w:color w:val="000000"/>
                <w:kern w:val="0"/>
                <w:sz w:val="16"/>
                <w:szCs w:val="16"/>
                <w:lang w:eastAsia="fi-FI"/>
                <w14:ligatures w14:val="none"/>
              </w:rPr>
              <w:t>1.48 (0.91 – 2.40)</w:t>
            </w:r>
          </w:p>
        </w:tc>
      </w:tr>
      <w:tr w:rsidR="008D7D9B" w:rsidRPr="00A84876" w14:paraId="50F1A92E" w14:textId="77777777" w:rsidTr="001267C9">
        <w:trPr>
          <w:trHeight w:val="264"/>
        </w:trPr>
        <w:tc>
          <w:tcPr>
            <w:tcW w:w="2122" w:type="dxa"/>
            <w:noWrap/>
            <w:vAlign w:val="center"/>
            <w:hideMark/>
          </w:tcPr>
          <w:p w14:paraId="13DC5CEE" w14:textId="77777777" w:rsidR="008D7D9B" w:rsidRPr="00A84876" w:rsidRDefault="008D7D9B" w:rsidP="007E4F30">
            <w:pPr>
              <w:rPr>
                <w:rFonts w:eastAsia="Times New Roman" w:cs="Times New Roman"/>
                <w:color w:val="000000"/>
                <w:kern w:val="0"/>
                <w:sz w:val="16"/>
                <w:szCs w:val="16"/>
                <w:lang w:eastAsia="fi-FI"/>
                <w14:ligatures w14:val="none"/>
              </w:rPr>
            </w:pPr>
          </w:p>
        </w:tc>
        <w:tc>
          <w:tcPr>
            <w:tcW w:w="1984" w:type="dxa"/>
            <w:noWrap/>
            <w:vAlign w:val="center"/>
          </w:tcPr>
          <w:p w14:paraId="07E5E238" w14:textId="77777777" w:rsidR="008D7D9B" w:rsidRPr="00A84876" w:rsidRDefault="008D7D9B" w:rsidP="007E4F30">
            <w:pPr>
              <w:rPr>
                <w:rFonts w:eastAsia="Times New Roman" w:cs="Times New Roman"/>
                <w:kern w:val="0"/>
                <w:sz w:val="16"/>
                <w:szCs w:val="16"/>
                <w:lang w:eastAsia="fi-FI"/>
                <w14:ligatures w14:val="none"/>
              </w:rPr>
            </w:pPr>
          </w:p>
        </w:tc>
        <w:tc>
          <w:tcPr>
            <w:tcW w:w="709" w:type="dxa"/>
            <w:noWrap/>
            <w:vAlign w:val="center"/>
          </w:tcPr>
          <w:p w14:paraId="192423F6" w14:textId="77777777" w:rsidR="008D7D9B" w:rsidRPr="00A84876" w:rsidRDefault="008D7D9B" w:rsidP="007E4F30">
            <w:pPr>
              <w:jc w:val="center"/>
              <w:rPr>
                <w:rFonts w:eastAsia="Times New Roman" w:cs="Times New Roman"/>
                <w:kern w:val="0"/>
                <w:sz w:val="16"/>
                <w:szCs w:val="16"/>
                <w:lang w:eastAsia="fi-FI"/>
                <w14:ligatures w14:val="none"/>
              </w:rPr>
            </w:pPr>
          </w:p>
        </w:tc>
        <w:tc>
          <w:tcPr>
            <w:tcW w:w="1843" w:type="dxa"/>
            <w:noWrap/>
            <w:vAlign w:val="center"/>
          </w:tcPr>
          <w:p w14:paraId="1A844EE4" w14:textId="77777777" w:rsidR="008D7D9B" w:rsidRPr="00A84876" w:rsidRDefault="008D7D9B" w:rsidP="007E4F30">
            <w:pPr>
              <w:jc w:val="center"/>
              <w:rPr>
                <w:rFonts w:eastAsia="Times New Roman" w:cs="Times New Roman"/>
                <w:kern w:val="0"/>
                <w:sz w:val="16"/>
                <w:szCs w:val="16"/>
                <w:lang w:eastAsia="fi-FI"/>
                <w14:ligatures w14:val="none"/>
              </w:rPr>
            </w:pPr>
          </w:p>
        </w:tc>
        <w:tc>
          <w:tcPr>
            <w:tcW w:w="2019" w:type="dxa"/>
            <w:vAlign w:val="center"/>
          </w:tcPr>
          <w:p w14:paraId="60D32EFB" w14:textId="77777777" w:rsidR="008D7D9B" w:rsidRPr="00A84876" w:rsidRDefault="008D7D9B" w:rsidP="007E4F30">
            <w:pPr>
              <w:jc w:val="center"/>
              <w:rPr>
                <w:rFonts w:eastAsia="Times New Roman" w:cs="Times New Roman"/>
                <w:kern w:val="0"/>
                <w:sz w:val="16"/>
                <w:szCs w:val="16"/>
                <w:lang w:eastAsia="fi-FI"/>
                <w14:ligatures w14:val="none"/>
              </w:rPr>
            </w:pPr>
          </w:p>
        </w:tc>
        <w:tc>
          <w:tcPr>
            <w:tcW w:w="2020" w:type="dxa"/>
            <w:vAlign w:val="center"/>
          </w:tcPr>
          <w:p w14:paraId="20BE4F31" w14:textId="77777777" w:rsidR="008D7D9B" w:rsidRPr="00A84876" w:rsidRDefault="008D7D9B" w:rsidP="007E4F30">
            <w:pPr>
              <w:jc w:val="center"/>
              <w:rPr>
                <w:rFonts w:eastAsia="Times New Roman" w:cs="Times New Roman"/>
                <w:kern w:val="0"/>
                <w:sz w:val="16"/>
                <w:szCs w:val="16"/>
                <w:lang w:eastAsia="fi-FI"/>
                <w14:ligatures w14:val="none"/>
              </w:rPr>
            </w:pPr>
          </w:p>
        </w:tc>
        <w:tc>
          <w:tcPr>
            <w:tcW w:w="2020" w:type="dxa"/>
            <w:vAlign w:val="center"/>
          </w:tcPr>
          <w:p w14:paraId="3FF0D5E1" w14:textId="77777777" w:rsidR="008D7D9B" w:rsidRPr="00A84876" w:rsidRDefault="008D7D9B" w:rsidP="007E4F30">
            <w:pPr>
              <w:jc w:val="center"/>
              <w:rPr>
                <w:rFonts w:eastAsia="Times New Roman" w:cs="Times New Roman"/>
                <w:kern w:val="0"/>
                <w:sz w:val="16"/>
                <w:szCs w:val="16"/>
                <w:lang w:eastAsia="fi-FI"/>
                <w14:ligatures w14:val="none"/>
              </w:rPr>
            </w:pPr>
          </w:p>
        </w:tc>
        <w:tc>
          <w:tcPr>
            <w:tcW w:w="2020" w:type="dxa"/>
            <w:noWrap/>
            <w:vAlign w:val="center"/>
          </w:tcPr>
          <w:p w14:paraId="1549F2BB" w14:textId="77777777" w:rsidR="008D7D9B" w:rsidRPr="00A84876" w:rsidRDefault="008D7D9B" w:rsidP="007E4F30">
            <w:pPr>
              <w:jc w:val="center"/>
              <w:rPr>
                <w:rFonts w:eastAsia="Times New Roman" w:cs="Times New Roman"/>
                <w:kern w:val="0"/>
                <w:sz w:val="16"/>
                <w:szCs w:val="16"/>
                <w:lang w:eastAsia="fi-FI"/>
                <w14:ligatures w14:val="none"/>
              </w:rPr>
            </w:pPr>
          </w:p>
        </w:tc>
      </w:tr>
      <w:tr w:rsidR="008D7D9B" w:rsidRPr="00A84876" w14:paraId="33ECFA33" w14:textId="77777777" w:rsidTr="001267C9">
        <w:trPr>
          <w:trHeight w:val="264"/>
        </w:trPr>
        <w:tc>
          <w:tcPr>
            <w:tcW w:w="2122" w:type="dxa"/>
            <w:noWrap/>
            <w:vAlign w:val="center"/>
            <w:hideMark/>
          </w:tcPr>
          <w:p w14:paraId="61F41ADB" w14:textId="77777777" w:rsidR="008D7D9B" w:rsidRPr="00A84876" w:rsidRDefault="008D7D9B" w:rsidP="007E4F30">
            <w:pP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Major osteoporotic fracture</w:t>
            </w:r>
          </w:p>
        </w:tc>
        <w:tc>
          <w:tcPr>
            <w:tcW w:w="1984" w:type="dxa"/>
            <w:noWrap/>
            <w:vAlign w:val="center"/>
          </w:tcPr>
          <w:p w14:paraId="6CB738E5" w14:textId="77777777" w:rsidR="008D7D9B" w:rsidRPr="00A84876" w:rsidRDefault="008D7D9B" w:rsidP="007E4F30">
            <w:pP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Osteosarcopenia</w:t>
            </w:r>
          </w:p>
        </w:tc>
        <w:tc>
          <w:tcPr>
            <w:tcW w:w="709" w:type="dxa"/>
            <w:noWrap/>
            <w:vAlign w:val="center"/>
          </w:tcPr>
          <w:p w14:paraId="4C0E9443" w14:textId="77777777"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color w:val="000000"/>
                <w:sz w:val="16"/>
                <w:szCs w:val="16"/>
              </w:rPr>
              <w:t>122</w:t>
            </w:r>
          </w:p>
        </w:tc>
        <w:tc>
          <w:tcPr>
            <w:tcW w:w="1843" w:type="dxa"/>
            <w:noWrap/>
            <w:vAlign w:val="center"/>
          </w:tcPr>
          <w:p w14:paraId="665ABDE8" w14:textId="77777777"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31 (25.4)</w:t>
            </w:r>
          </w:p>
        </w:tc>
        <w:tc>
          <w:tcPr>
            <w:tcW w:w="2019" w:type="dxa"/>
            <w:vAlign w:val="center"/>
          </w:tcPr>
          <w:p w14:paraId="423458E1" w14:textId="77777777" w:rsidR="008D7D9B" w:rsidRPr="00663E92" w:rsidRDefault="008D7D9B" w:rsidP="007E4F30">
            <w:pPr>
              <w:jc w:val="center"/>
              <w:rPr>
                <w:b/>
                <w:bCs/>
                <w:color w:val="000000"/>
                <w:sz w:val="16"/>
                <w:szCs w:val="16"/>
              </w:rPr>
            </w:pPr>
            <w:r>
              <w:rPr>
                <w:color w:val="000000"/>
                <w:sz w:val="16"/>
                <w:szCs w:val="16"/>
              </w:rPr>
              <w:t>1.0 (Reference)</w:t>
            </w:r>
          </w:p>
        </w:tc>
        <w:tc>
          <w:tcPr>
            <w:tcW w:w="2020" w:type="dxa"/>
            <w:vAlign w:val="center"/>
          </w:tcPr>
          <w:p w14:paraId="6D428348" w14:textId="77777777" w:rsidR="008D7D9B" w:rsidRPr="00663E92" w:rsidRDefault="008D7D9B" w:rsidP="007E4F30">
            <w:pPr>
              <w:jc w:val="center"/>
              <w:rPr>
                <w:b/>
                <w:bCs/>
                <w:color w:val="000000"/>
                <w:sz w:val="16"/>
                <w:szCs w:val="16"/>
              </w:rPr>
            </w:pPr>
            <w:r>
              <w:rPr>
                <w:color w:val="000000"/>
                <w:sz w:val="16"/>
                <w:szCs w:val="16"/>
              </w:rPr>
              <w:t>1.0 (Reference)</w:t>
            </w:r>
          </w:p>
        </w:tc>
        <w:tc>
          <w:tcPr>
            <w:tcW w:w="2020" w:type="dxa"/>
            <w:vAlign w:val="center"/>
          </w:tcPr>
          <w:p w14:paraId="2BB34F4D" w14:textId="77777777" w:rsidR="008D7D9B" w:rsidRPr="0086552D" w:rsidRDefault="008D7D9B" w:rsidP="007E4F30">
            <w:pPr>
              <w:jc w:val="center"/>
              <w:rPr>
                <w:b/>
                <w:bCs/>
                <w:color w:val="000000"/>
                <w:sz w:val="16"/>
                <w:szCs w:val="16"/>
              </w:rPr>
            </w:pPr>
            <w:r>
              <w:rPr>
                <w:color w:val="000000"/>
                <w:sz w:val="16"/>
                <w:szCs w:val="16"/>
              </w:rPr>
              <w:t>1.0 (Reference)</w:t>
            </w:r>
          </w:p>
        </w:tc>
        <w:tc>
          <w:tcPr>
            <w:tcW w:w="2020" w:type="dxa"/>
            <w:noWrap/>
            <w:vAlign w:val="center"/>
          </w:tcPr>
          <w:p w14:paraId="18F6176A" w14:textId="77777777" w:rsidR="008D7D9B" w:rsidRPr="00A84876" w:rsidRDefault="008D7D9B" w:rsidP="007E4F30">
            <w:pPr>
              <w:jc w:val="center"/>
              <w:rPr>
                <w:rFonts w:eastAsia="Times New Roman" w:cs="Times New Roman"/>
                <w:color w:val="000000"/>
                <w:kern w:val="0"/>
                <w:sz w:val="16"/>
                <w:szCs w:val="16"/>
                <w:lang w:eastAsia="fi-FI"/>
                <w14:ligatures w14:val="none"/>
              </w:rPr>
            </w:pPr>
            <w:r>
              <w:rPr>
                <w:color w:val="000000"/>
                <w:sz w:val="16"/>
                <w:szCs w:val="16"/>
              </w:rPr>
              <w:t>1.0 (Reference)</w:t>
            </w:r>
          </w:p>
        </w:tc>
      </w:tr>
      <w:tr w:rsidR="008D7D9B" w:rsidRPr="00A84876" w14:paraId="354E5927" w14:textId="77777777" w:rsidTr="001267C9">
        <w:trPr>
          <w:trHeight w:val="264"/>
        </w:trPr>
        <w:tc>
          <w:tcPr>
            <w:tcW w:w="2122" w:type="dxa"/>
            <w:noWrap/>
            <w:vAlign w:val="center"/>
            <w:hideMark/>
          </w:tcPr>
          <w:p w14:paraId="25475550" w14:textId="77777777" w:rsidR="008D7D9B" w:rsidRPr="00A84876" w:rsidRDefault="008D7D9B" w:rsidP="007E4F30">
            <w:pPr>
              <w:rPr>
                <w:rFonts w:eastAsia="Times New Roman" w:cs="Times New Roman"/>
                <w:color w:val="000000"/>
                <w:kern w:val="0"/>
                <w:sz w:val="16"/>
                <w:szCs w:val="16"/>
                <w:lang w:eastAsia="fi-FI"/>
                <w14:ligatures w14:val="none"/>
              </w:rPr>
            </w:pPr>
          </w:p>
        </w:tc>
        <w:tc>
          <w:tcPr>
            <w:tcW w:w="1984" w:type="dxa"/>
            <w:noWrap/>
            <w:vAlign w:val="center"/>
          </w:tcPr>
          <w:p w14:paraId="3CA0AF49" w14:textId="77777777" w:rsidR="008D7D9B" w:rsidRPr="00A84876" w:rsidRDefault="008D7D9B" w:rsidP="007E4F30">
            <w:pPr>
              <w:rPr>
                <w:rFonts w:eastAsia="Times New Roman" w:cs="Times New Roman"/>
                <w:color w:val="000000"/>
                <w:kern w:val="0"/>
                <w:sz w:val="16"/>
                <w:szCs w:val="16"/>
                <w:lang w:eastAsia="fi-FI"/>
                <w14:ligatures w14:val="none"/>
              </w:rPr>
            </w:pPr>
            <w:r>
              <w:rPr>
                <w:rFonts w:eastAsia="Times New Roman" w:cs="Times New Roman"/>
                <w:color w:val="000000"/>
                <w:kern w:val="0"/>
                <w:sz w:val="16"/>
                <w:szCs w:val="16"/>
                <w:lang w:eastAsia="fi-FI"/>
                <w14:ligatures w14:val="none"/>
              </w:rPr>
              <w:t>No sarcopenia, no osteoporosis</w:t>
            </w:r>
          </w:p>
        </w:tc>
        <w:tc>
          <w:tcPr>
            <w:tcW w:w="709" w:type="dxa"/>
            <w:noWrap/>
            <w:vAlign w:val="center"/>
          </w:tcPr>
          <w:p w14:paraId="7B715975" w14:textId="77777777"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color w:val="000000"/>
                <w:sz w:val="16"/>
                <w:szCs w:val="16"/>
              </w:rPr>
              <w:t>1602</w:t>
            </w:r>
          </w:p>
        </w:tc>
        <w:tc>
          <w:tcPr>
            <w:tcW w:w="1843" w:type="dxa"/>
            <w:noWrap/>
            <w:vAlign w:val="center"/>
          </w:tcPr>
          <w:p w14:paraId="4681EAD2" w14:textId="5CEF99C7" w:rsidR="008D7D9B" w:rsidRPr="00A84876" w:rsidRDefault="00F10BD4" w:rsidP="007E4F30">
            <w:pPr>
              <w:jc w:val="center"/>
              <w:rPr>
                <w:rFonts w:eastAsia="Times New Roman" w:cs="Times New Roman"/>
                <w:color w:val="000000"/>
                <w:kern w:val="0"/>
                <w:sz w:val="16"/>
                <w:szCs w:val="16"/>
                <w:lang w:eastAsia="fi-FI"/>
                <w14:ligatures w14:val="none"/>
              </w:rPr>
            </w:pPr>
            <w:r>
              <w:rPr>
                <w:rFonts w:eastAsia="Times New Roman" w:cs="Times New Roman"/>
                <w:color w:val="000000"/>
                <w:kern w:val="0"/>
                <w:sz w:val="16"/>
                <w:szCs w:val="16"/>
                <w:lang w:eastAsia="fi-FI"/>
                <w14:ligatures w14:val="none"/>
              </w:rPr>
              <w:t>187</w:t>
            </w:r>
            <w:r w:rsidR="008D7D9B" w:rsidRPr="00A84876">
              <w:rPr>
                <w:rFonts w:eastAsia="Times New Roman" w:cs="Times New Roman"/>
                <w:color w:val="000000"/>
                <w:kern w:val="0"/>
                <w:sz w:val="16"/>
                <w:szCs w:val="16"/>
                <w:lang w:eastAsia="fi-FI"/>
                <w14:ligatures w14:val="none"/>
              </w:rPr>
              <w:t xml:space="preserve"> (</w:t>
            </w:r>
            <w:r>
              <w:rPr>
                <w:rFonts w:eastAsia="Times New Roman" w:cs="Times New Roman"/>
                <w:color w:val="000000"/>
                <w:kern w:val="0"/>
                <w:sz w:val="16"/>
                <w:szCs w:val="16"/>
                <w:lang w:eastAsia="fi-FI"/>
                <w14:ligatures w14:val="none"/>
              </w:rPr>
              <w:t>11.7</w:t>
            </w:r>
            <w:r w:rsidR="008D7D9B" w:rsidRPr="00A84876">
              <w:rPr>
                <w:rFonts w:eastAsia="Times New Roman" w:cs="Times New Roman"/>
                <w:color w:val="000000"/>
                <w:kern w:val="0"/>
                <w:sz w:val="16"/>
                <w:szCs w:val="16"/>
                <w:lang w:eastAsia="fi-FI"/>
                <w14:ligatures w14:val="none"/>
              </w:rPr>
              <w:t>)</w:t>
            </w:r>
          </w:p>
        </w:tc>
        <w:tc>
          <w:tcPr>
            <w:tcW w:w="2019" w:type="dxa"/>
            <w:vAlign w:val="center"/>
          </w:tcPr>
          <w:p w14:paraId="011A43F3" w14:textId="0EDE136E" w:rsidR="008D7D9B" w:rsidRPr="00175D55" w:rsidRDefault="00F10BD4" w:rsidP="007E4F30">
            <w:pPr>
              <w:jc w:val="center"/>
              <w:rPr>
                <w:b/>
                <w:bCs/>
                <w:color w:val="000000"/>
                <w:sz w:val="16"/>
                <w:szCs w:val="16"/>
              </w:rPr>
            </w:pPr>
            <w:r w:rsidRPr="00175D55">
              <w:rPr>
                <w:b/>
                <w:bCs/>
                <w:color w:val="000000"/>
                <w:sz w:val="16"/>
                <w:szCs w:val="16"/>
              </w:rPr>
              <w:t>0.43 (0.28 – 0.67)</w:t>
            </w:r>
          </w:p>
        </w:tc>
        <w:tc>
          <w:tcPr>
            <w:tcW w:w="2020" w:type="dxa"/>
            <w:vAlign w:val="center"/>
          </w:tcPr>
          <w:p w14:paraId="67AD6398" w14:textId="74E44B43" w:rsidR="008D7D9B" w:rsidRPr="00175D55" w:rsidRDefault="00F10BD4" w:rsidP="007E4F30">
            <w:pPr>
              <w:jc w:val="center"/>
              <w:rPr>
                <w:b/>
                <w:bCs/>
                <w:color w:val="000000"/>
                <w:sz w:val="16"/>
                <w:szCs w:val="16"/>
              </w:rPr>
            </w:pPr>
            <w:r w:rsidRPr="00175D55">
              <w:rPr>
                <w:b/>
                <w:bCs/>
                <w:color w:val="000000"/>
                <w:sz w:val="16"/>
                <w:szCs w:val="16"/>
              </w:rPr>
              <w:t>0.44 (0.28 – 0.70)</w:t>
            </w:r>
          </w:p>
        </w:tc>
        <w:tc>
          <w:tcPr>
            <w:tcW w:w="2020" w:type="dxa"/>
            <w:vAlign w:val="center"/>
          </w:tcPr>
          <w:p w14:paraId="01D29F68" w14:textId="2A20D629" w:rsidR="008D7D9B" w:rsidRPr="00175D55" w:rsidRDefault="00F10BD4" w:rsidP="007E4F30">
            <w:pPr>
              <w:jc w:val="center"/>
              <w:rPr>
                <w:b/>
                <w:bCs/>
                <w:color w:val="000000"/>
                <w:sz w:val="16"/>
                <w:szCs w:val="16"/>
              </w:rPr>
            </w:pPr>
            <w:r w:rsidRPr="00175D55">
              <w:rPr>
                <w:b/>
                <w:bCs/>
                <w:color w:val="000000"/>
                <w:sz w:val="16"/>
                <w:szCs w:val="16"/>
              </w:rPr>
              <w:t>0. 47 (0.29 – 0.76)</w:t>
            </w:r>
          </w:p>
        </w:tc>
        <w:tc>
          <w:tcPr>
            <w:tcW w:w="2020" w:type="dxa"/>
            <w:noWrap/>
            <w:vAlign w:val="center"/>
          </w:tcPr>
          <w:p w14:paraId="083A07EA" w14:textId="3460A6F2" w:rsidR="008D7D9B" w:rsidRPr="00A84876" w:rsidRDefault="00175D55" w:rsidP="007E4F30">
            <w:pPr>
              <w:jc w:val="center"/>
              <w:rPr>
                <w:rFonts w:eastAsia="Times New Roman" w:cs="Times New Roman"/>
                <w:color w:val="000000"/>
                <w:kern w:val="0"/>
                <w:sz w:val="16"/>
                <w:szCs w:val="16"/>
                <w:lang w:eastAsia="fi-FI"/>
                <w14:ligatures w14:val="none"/>
              </w:rPr>
            </w:pPr>
            <w:r>
              <w:rPr>
                <w:rFonts w:eastAsia="Times New Roman" w:cs="Times New Roman"/>
                <w:color w:val="000000"/>
                <w:kern w:val="0"/>
                <w:sz w:val="16"/>
                <w:szCs w:val="16"/>
                <w:lang w:eastAsia="fi-FI"/>
                <w14:ligatures w14:val="none"/>
              </w:rPr>
              <w:t>0.74 (0.43 – 1.28)</w:t>
            </w:r>
          </w:p>
        </w:tc>
      </w:tr>
      <w:tr w:rsidR="008D7D9B" w:rsidRPr="00A84876" w14:paraId="1EE02C08" w14:textId="77777777" w:rsidTr="001267C9">
        <w:trPr>
          <w:trHeight w:val="264"/>
        </w:trPr>
        <w:tc>
          <w:tcPr>
            <w:tcW w:w="2122" w:type="dxa"/>
            <w:noWrap/>
            <w:vAlign w:val="center"/>
            <w:hideMark/>
          </w:tcPr>
          <w:p w14:paraId="19BF0008" w14:textId="77777777" w:rsidR="008D7D9B" w:rsidRPr="00A84876" w:rsidRDefault="008D7D9B" w:rsidP="007E4F30">
            <w:pPr>
              <w:rPr>
                <w:rFonts w:eastAsia="Times New Roman" w:cs="Times New Roman"/>
                <w:color w:val="000000"/>
                <w:kern w:val="0"/>
                <w:sz w:val="16"/>
                <w:szCs w:val="16"/>
                <w:lang w:eastAsia="fi-FI"/>
                <w14:ligatures w14:val="none"/>
              </w:rPr>
            </w:pPr>
          </w:p>
        </w:tc>
        <w:tc>
          <w:tcPr>
            <w:tcW w:w="1984" w:type="dxa"/>
            <w:noWrap/>
            <w:vAlign w:val="center"/>
          </w:tcPr>
          <w:p w14:paraId="4F70F973" w14:textId="77777777" w:rsidR="008D7D9B" w:rsidRPr="00A84876" w:rsidRDefault="008D7D9B" w:rsidP="007E4F30">
            <w:pPr>
              <w:rPr>
                <w:rFonts w:eastAsia="Times New Roman" w:cs="Times New Roman"/>
                <w:color w:val="000000"/>
                <w:kern w:val="0"/>
                <w:sz w:val="16"/>
                <w:szCs w:val="16"/>
                <w:lang w:eastAsia="fi-FI"/>
                <w14:ligatures w14:val="none"/>
              </w:rPr>
            </w:pPr>
            <w:r>
              <w:rPr>
                <w:rFonts w:eastAsia="Times New Roman" w:cs="Times New Roman"/>
                <w:color w:val="000000"/>
                <w:kern w:val="0"/>
                <w:sz w:val="16"/>
                <w:szCs w:val="16"/>
                <w:lang w:eastAsia="fi-FI"/>
                <w14:ligatures w14:val="none"/>
              </w:rPr>
              <w:t>Probable sarcopenia only</w:t>
            </w:r>
          </w:p>
        </w:tc>
        <w:tc>
          <w:tcPr>
            <w:tcW w:w="709" w:type="dxa"/>
            <w:noWrap/>
            <w:vAlign w:val="center"/>
          </w:tcPr>
          <w:p w14:paraId="3C1E9E5C" w14:textId="77777777"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color w:val="000000"/>
                <w:sz w:val="16"/>
                <w:szCs w:val="16"/>
              </w:rPr>
              <w:t>234</w:t>
            </w:r>
          </w:p>
        </w:tc>
        <w:tc>
          <w:tcPr>
            <w:tcW w:w="1843" w:type="dxa"/>
            <w:noWrap/>
            <w:vAlign w:val="center"/>
          </w:tcPr>
          <w:p w14:paraId="7DAE0F07" w14:textId="00385395"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4</w:t>
            </w:r>
            <w:r w:rsidR="00F10BD4">
              <w:rPr>
                <w:rFonts w:eastAsia="Times New Roman" w:cs="Times New Roman"/>
                <w:color w:val="000000"/>
                <w:kern w:val="0"/>
                <w:sz w:val="16"/>
                <w:szCs w:val="16"/>
                <w:lang w:eastAsia="fi-FI"/>
                <w14:ligatures w14:val="none"/>
              </w:rPr>
              <w:t>0</w:t>
            </w:r>
            <w:r w:rsidRPr="00A84876">
              <w:rPr>
                <w:rFonts w:eastAsia="Times New Roman" w:cs="Times New Roman"/>
                <w:color w:val="000000"/>
                <w:kern w:val="0"/>
                <w:sz w:val="16"/>
                <w:szCs w:val="16"/>
                <w:lang w:eastAsia="fi-FI"/>
                <w14:ligatures w14:val="none"/>
              </w:rPr>
              <w:t xml:space="preserve"> (</w:t>
            </w:r>
            <w:r w:rsidR="00F10BD4">
              <w:rPr>
                <w:rFonts w:eastAsia="Times New Roman" w:cs="Times New Roman"/>
                <w:color w:val="000000"/>
                <w:kern w:val="0"/>
                <w:sz w:val="16"/>
                <w:szCs w:val="16"/>
                <w:lang w:eastAsia="fi-FI"/>
                <w14:ligatures w14:val="none"/>
              </w:rPr>
              <w:t>17.1</w:t>
            </w:r>
            <w:r w:rsidRPr="00A84876">
              <w:rPr>
                <w:rFonts w:eastAsia="Times New Roman" w:cs="Times New Roman"/>
                <w:color w:val="000000"/>
                <w:kern w:val="0"/>
                <w:sz w:val="16"/>
                <w:szCs w:val="16"/>
                <w:lang w:eastAsia="fi-FI"/>
                <w14:ligatures w14:val="none"/>
              </w:rPr>
              <w:t>)</w:t>
            </w:r>
          </w:p>
        </w:tc>
        <w:tc>
          <w:tcPr>
            <w:tcW w:w="2019" w:type="dxa"/>
            <w:vAlign w:val="center"/>
          </w:tcPr>
          <w:p w14:paraId="1983770E" w14:textId="21B9085F" w:rsidR="008D7D9B" w:rsidRPr="00A84876" w:rsidRDefault="00F10BD4" w:rsidP="007E4F30">
            <w:pPr>
              <w:jc w:val="center"/>
              <w:rPr>
                <w:color w:val="000000"/>
                <w:sz w:val="16"/>
                <w:szCs w:val="16"/>
              </w:rPr>
            </w:pPr>
            <w:r>
              <w:rPr>
                <w:color w:val="000000"/>
                <w:sz w:val="16"/>
                <w:szCs w:val="16"/>
              </w:rPr>
              <w:t>0.65 (0.40 – 1.04)</w:t>
            </w:r>
          </w:p>
        </w:tc>
        <w:tc>
          <w:tcPr>
            <w:tcW w:w="2020" w:type="dxa"/>
            <w:vAlign w:val="center"/>
          </w:tcPr>
          <w:p w14:paraId="637B2322" w14:textId="08F5FE1E" w:rsidR="008D7D9B" w:rsidRPr="00A84876" w:rsidRDefault="00F10BD4" w:rsidP="007E4F30">
            <w:pPr>
              <w:jc w:val="center"/>
              <w:rPr>
                <w:color w:val="000000"/>
                <w:sz w:val="16"/>
                <w:szCs w:val="16"/>
              </w:rPr>
            </w:pPr>
            <w:r>
              <w:rPr>
                <w:color w:val="000000"/>
                <w:sz w:val="16"/>
                <w:szCs w:val="16"/>
              </w:rPr>
              <w:t>0.60 (0.36 – 1.00)</w:t>
            </w:r>
          </w:p>
        </w:tc>
        <w:tc>
          <w:tcPr>
            <w:tcW w:w="2020" w:type="dxa"/>
            <w:vAlign w:val="center"/>
          </w:tcPr>
          <w:p w14:paraId="05FFC165" w14:textId="4DD2328E" w:rsidR="008D7D9B" w:rsidRPr="00A84876" w:rsidRDefault="00F10BD4" w:rsidP="007E4F30">
            <w:pPr>
              <w:jc w:val="center"/>
              <w:rPr>
                <w:color w:val="000000"/>
                <w:sz w:val="16"/>
                <w:szCs w:val="16"/>
              </w:rPr>
            </w:pPr>
            <w:r>
              <w:rPr>
                <w:color w:val="000000"/>
                <w:sz w:val="16"/>
                <w:szCs w:val="16"/>
              </w:rPr>
              <w:t>0.62 (0.37 – 1.05)</w:t>
            </w:r>
          </w:p>
        </w:tc>
        <w:tc>
          <w:tcPr>
            <w:tcW w:w="2020" w:type="dxa"/>
            <w:noWrap/>
            <w:vAlign w:val="center"/>
          </w:tcPr>
          <w:p w14:paraId="3FAB04B3" w14:textId="5F94F8BE" w:rsidR="008D7D9B" w:rsidRPr="00175D55" w:rsidRDefault="00175D55" w:rsidP="007E4F30">
            <w:pPr>
              <w:jc w:val="center"/>
              <w:rPr>
                <w:rFonts w:eastAsia="Times New Roman" w:cs="Times New Roman"/>
                <w:color w:val="000000"/>
                <w:kern w:val="0"/>
                <w:sz w:val="16"/>
                <w:szCs w:val="16"/>
                <w:lang w:eastAsia="fi-FI"/>
                <w14:ligatures w14:val="none"/>
              </w:rPr>
            </w:pPr>
            <w:r w:rsidRPr="00175D55">
              <w:rPr>
                <w:rFonts w:eastAsia="Times New Roman" w:cs="Times New Roman"/>
                <w:color w:val="000000"/>
                <w:kern w:val="0"/>
                <w:sz w:val="16"/>
                <w:szCs w:val="16"/>
                <w:lang w:eastAsia="fi-FI"/>
                <w14:ligatures w14:val="none"/>
              </w:rPr>
              <w:t>0.77 (0.44 – 1.34)</w:t>
            </w:r>
          </w:p>
        </w:tc>
      </w:tr>
      <w:tr w:rsidR="008D7D9B" w:rsidRPr="00A84876" w14:paraId="320A33E9" w14:textId="77777777" w:rsidTr="001267C9">
        <w:trPr>
          <w:trHeight w:val="264"/>
        </w:trPr>
        <w:tc>
          <w:tcPr>
            <w:tcW w:w="2122" w:type="dxa"/>
            <w:noWrap/>
            <w:vAlign w:val="center"/>
            <w:hideMark/>
          </w:tcPr>
          <w:p w14:paraId="1906030E" w14:textId="77777777" w:rsidR="008D7D9B" w:rsidRPr="00A84876" w:rsidRDefault="008D7D9B" w:rsidP="007E4F30">
            <w:pPr>
              <w:rPr>
                <w:rFonts w:eastAsia="Times New Roman" w:cs="Times New Roman"/>
                <w:b/>
                <w:bCs/>
                <w:color w:val="000000"/>
                <w:kern w:val="0"/>
                <w:sz w:val="16"/>
                <w:szCs w:val="16"/>
                <w:lang w:eastAsia="fi-FI"/>
                <w14:ligatures w14:val="none"/>
              </w:rPr>
            </w:pPr>
          </w:p>
        </w:tc>
        <w:tc>
          <w:tcPr>
            <w:tcW w:w="1984" w:type="dxa"/>
            <w:noWrap/>
            <w:vAlign w:val="center"/>
          </w:tcPr>
          <w:p w14:paraId="16AFE2E4" w14:textId="77777777" w:rsidR="008D7D9B" w:rsidRPr="00A84876" w:rsidRDefault="008D7D9B" w:rsidP="007E4F30">
            <w:pP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Osteoporosis only</w:t>
            </w:r>
          </w:p>
        </w:tc>
        <w:tc>
          <w:tcPr>
            <w:tcW w:w="709" w:type="dxa"/>
            <w:noWrap/>
            <w:vAlign w:val="center"/>
          </w:tcPr>
          <w:p w14:paraId="749FFE25" w14:textId="77777777"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color w:val="000000"/>
                <w:sz w:val="16"/>
                <w:szCs w:val="16"/>
              </w:rPr>
              <w:t>184</w:t>
            </w:r>
          </w:p>
        </w:tc>
        <w:tc>
          <w:tcPr>
            <w:tcW w:w="1843" w:type="dxa"/>
            <w:noWrap/>
            <w:vAlign w:val="center"/>
          </w:tcPr>
          <w:p w14:paraId="38E5CFEC" w14:textId="77777777"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63 (34.2)</w:t>
            </w:r>
          </w:p>
        </w:tc>
        <w:tc>
          <w:tcPr>
            <w:tcW w:w="2019" w:type="dxa"/>
            <w:vAlign w:val="center"/>
          </w:tcPr>
          <w:p w14:paraId="63665B96" w14:textId="3C010C8E" w:rsidR="008D7D9B" w:rsidRPr="00A84876" w:rsidRDefault="00F10BD4" w:rsidP="007E4F30">
            <w:pPr>
              <w:jc w:val="center"/>
              <w:rPr>
                <w:color w:val="000000"/>
                <w:sz w:val="16"/>
                <w:szCs w:val="16"/>
              </w:rPr>
            </w:pPr>
            <w:r>
              <w:rPr>
                <w:color w:val="000000"/>
                <w:sz w:val="16"/>
                <w:szCs w:val="16"/>
              </w:rPr>
              <w:t>1.01 (0.65 – 1.58)</w:t>
            </w:r>
          </w:p>
        </w:tc>
        <w:tc>
          <w:tcPr>
            <w:tcW w:w="2020" w:type="dxa"/>
            <w:vAlign w:val="center"/>
          </w:tcPr>
          <w:p w14:paraId="68D474F0" w14:textId="6640811C" w:rsidR="008D7D9B" w:rsidRPr="00A84876" w:rsidRDefault="00F10BD4" w:rsidP="007E4F30">
            <w:pPr>
              <w:jc w:val="center"/>
              <w:rPr>
                <w:color w:val="000000"/>
                <w:sz w:val="16"/>
                <w:szCs w:val="16"/>
              </w:rPr>
            </w:pPr>
            <w:r>
              <w:rPr>
                <w:color w:val="000000"/>
                <w:sz w:val="16"/>
                <w:szCs w:val="16"/>
              </w:rPr>
              <w:t>1.03 (0.65 – 1.64)</w:t>
            </w:r>
          </w:p>
        </w:tc>
        <w:tc>
          <w:tcPr>
            <w:tcW w:w="2020" w:type="dxa"/>
            <w:vAlign w:val="center"/>
          </w:tcPr>
          <w:p w14:paraId="39970729" w14:textId="24E45E8B" w:rsidR="008D7D9B" w:rsidRPr="00A84876" w:rsidRDefault="00F10BD4" w:rsidP="007E4F30">
            <w:pPr>
              <w:jc w:val="center"/>
              <w:rPr>
                <w:color w:val="000000"/>
                <w:sz w:val="16"/>
                <w:szCs w:val="16"/>
              </w:rPr>
            </w:pPr>
            <w:r>
              <w:rPr>
                <w:color w:val="000000"/>
                <w:sz w:val="16"/>
                <w:szCs w:val="16"/>
              </w:rPr>
              <w:t>1.06 (0.66 – 1.72)</w:t>
            </w:r>
          </w:p>
        </w:tc>
        <w:tc>
          <w:tcPr>
            <w:tcW w:w="2020" w:type="dxa"/>
            <w:noWrap/>
            <w:vAlign w:val="center"/>
          </w:tcPr>
          <w:p w14:paraId="71FA7FEA" w14:textId="5B040017" w:rsidR="008D7D9B" w:rsidRPr="00A84876" w:rsidRDefault="00175D55" w:rsidP="007E4F30">
            <w:pPr>
              <w:jc w:val="center"/>
              <w:rPr>
                <w:rFonts w:eastAsia="Times New Roman" w:cs="Times New Roman"/>
                <w:color w:val="000000"/>
                <w:kern w:val="0"/>
                <w:sz w:val="16"/>
                <w:szCs w:val="16"/>
                <w:lang w:eastAsia="fi-FI"/>
                <w14:ligatures w14:val="none"/>
              </w:rPr>
            </w:pPr>
            <w:r>
              <w:rPr>
                <w:rFonts w:eastAsia="Times New Roman" w:cs="Times New Roman"/>
                <w:color w:val="000000"/>
                <w:kern w:val="0"/>
                <w:sz w:val="16"/>
                <w:szCs w:val="16"/>
                <w:lang w:eastAsia="fi-FI"/>
                <w14:ligatures w14:val="none"/>
              </w:rPr>
              <w:t>1.48 (0.88 – 2.49)</w:t>
            </w:r>
          </w:p>
        </w:tc>
      </w:tr>
      <w:tr w:rsidR="008D7D9B" w:rsidRPr="00A84876" w14:paraId="6A3FD9D8" w14:textId="77777777" w:rsidTr="001267C9">
        <w:trPr>
          <w:trHeight w:val="264"/>
        </w:trPr>
        <w:tc>
          <w:tcPr>
            <w:tcW w:w="2122" w:type="dxa"/>
            <w:noWrap/>
            <w:vAlign w:val="center"/>
            <w:hideMark/>
          </w:tcPr>
          <w:p w14:paraId="4C764DE1" w14:textId="77777777" w:rsidR="008D7D9B" w:rsidRPr="00A84876" w:rsidRDefault="008D7D9B" w:rsidP="007E4F30">
            <w:pPr>
              <w:rPr>
                <w:rFonts w:eastAsia="Times New Roman" w:cs="Times New Roman"/>
                <w:color w:val="000000"/>
                <w:kern w:val="0"/>
                <w:sz w:val="16"/>
                <w:szCs w:val="16"/>
                <w:lang w:eastAsia="fi-FI"/>
                <w14:ligatures w14:val="none"/>
              </w:rPr>
            </w:pPr>
          </w:p>
        </w:tc>
        <w:tc>
          <w:tcPr>
            <w:tcW w:w="1984" w:type="dxa"/>
            <w:noWrap/>
            <w:vAlign w:val="center"/>
          </w:tcPr>
          <w:p w14:paraId="7196A194" w14:textId="77777777" w:rsidR="008D7D9B" w:rsidRPr="00A84876" w:rsidRDefault="008D7D9B" w:rsidP="007E4F30">
            <w:pPr>
              <w:rPr>
                <w:rFonts w:eastAsia="Times New Roman" w:cs="Times New Roman"/>
                <w:kern w:val="0"/>
                <w:sz w:val="16"/>
                <w:szCs w:val="16"/>
                <w:lang w:eastAsia="fi-FI"/>
                <w14:ligatures w14:val="none"/>
              </w:rPr>
            </w:pPr>
          </w:p>
        </w:tc>
        <w:tc>
          <w:tcPr>
            <w:tcW w:w="709" w:type="dxa"/>
            <w:noWrap/>
            <w:vAlign w:val="center"/>
          </w:tcPr>
          <w:p w14:paraId="3AC199BC" w14:textId="77777777" w:rsidR="008D7D9B" w:rsidRPr="00A84876" w:rsidRDefault="008D7D9B" w:rsidP="007E4F30">
            <w:pPr>
              <w:jc w:val="center"/>
              <w:rPr>
                <w:rFonts w:eastAsia="Times New Roman" w:cs="Times New Roman"/>
                <w:kern w:val="0"/>
                <w:sz w:val="16"/>
                <w:szCs w:val="16"/>
                <w:lang w:eastAsia="fi-FI"/>
                <w14:ligatures w14:val="none"/>
              </w:rPr>
            </w:pPr>
          </w:p>
        </w:tc>
        <w:tc>
          <w:tcPr>
            <w:tcW w:w="1843" w:type="dxa"/>
            <w:noWrap/>
            <w:vAlign w:val="center"/>
          </w:tcPr>
          <w:p w14:paraId="30339B96" w14:textId="77777777" w:rsidR="008D7D9B" w:rsidRPr="00A84876" w:rsidRDefault="008D7D9B" w:rsidP="007E4F30">
            <w:pPr>
              <w:jc w:val="center"/>
              <w:rPr>
                <w:rFonts w:eastAsia="Times New Roman" w:cs="Times New Roman"/>
                <w:kern w:val="0"/>
                <w:sz w:val="16"/>
                <w:szCs w:val="16"/>
                <w:lang w:eastAsia="fi-FI"/>
                <w14:ligatures w14:val="none"/>
              </w:rPr>
            </w:pPr>
          </w:p>
        </w:tc>
        <w:tc>
          <w:tcPr>
            <w:tcW w:w="2019" w:type="dxa"/>
            <w:vAlign w:val="center"/>
          </w:tcPr>
          <w:p w14:paraId="46E49E9C" w14:textId="77777777" w:rsidR="008D7D9B" w:rsidRPr="00A84876" w:rsidRDefault="008D7D9B" w:rsidP="007E4F30">
            <w:pPr>
              <w:jc w:val="center"/>
              <w:rPr>
                <w:rFonts w:eastAsia="Times New Roman" w:cs="Times New Roman"/>
                <w:kern w:val="0"/>
                <w:sz w:val="16"/>
                <w:szCs w:val="16"/>
                <w:lang w:eastAsia="fi-FI"/>
                <w14:ligatures w14:val="none"/>
              </w:rPr>
            </w:pPr>
          </w:p>
        </w:tc>
        <w:tc>
          <w:tcPr>
            <w:tcW w:w="2020" w:type="dxa"/>
            <w:vAlign w:val="center"/>
          </w:tcPr>
          <w:p w14:paraId="4BA5ADB3" w14:textId="77777777" w:rsidR="008D7D9B" w:rsidRPr="00A84876" w:rsidRDefault="008D7D9B" w:rsidP="007E4F30">
            <w:pPr>
              <w:jc w:val="center"/>
              <w:rPr>
                <w:rFonts w:eastAsia="Times New Roman" w:cs="Times New Roman"/>
                <w:kern w:val="0"/>
                <w:sz w:val="16"/>
                <w:szCs w:val="16"/>
                <w:lang w:eastAsia="fi-FI"/>
                <w14:ligatures w14:val="none"/>
              </w:rPr>
            </w:pPr>
          </w:p>
        </w:tc>
        <w:tc>
          <w:tcPr>
            <w:tcW w:w="2020" w:type="dxa"/>
            <w:vAlign w:val="center"/>
          </w:tcPr>
          <w:p w14:paraId="2E057C80" w14:textId="77777777" w:rsidR="008D7D9B" w:rsidRPr="00A84876" w:rsidRDefault="008D7D9B" w:rsidP="007E4F30">
            <w:pPr>
              <w:jc w:val="center"/>
              <w:rPr>
                <w:rFonts w:eastAsia="Times New Roman" w:cs="Times New Roman"/>
                <w:kern w:val="0"/>
                <w:sz w:val="16"/>
                <w:szCs w:val="16"/>
                <w:lang w:eastAsia="fi-FI"/>
                <w14:ligatures w14:val="none"/>
              </w:rPr>
            </w:pPr>
          </w:p>
        </w:tc>
        <w:tc>
          <w:tcPr>
            <w:tcW w:w="2020" w:type="dxa"/>
            <w:noWrap/>
            <w:vAlign w:val="center"/>
          </w:tcPr>
          <w:p w14:paraId="2386177D" w14:textId="77777777" w:rsidR="008D7D9B" w:rsidRPr="00A84876" w:rsidRDefault="008D7D9B" w:rsidP="007E4F30">
            <w:pPr>
              <w:jc w:val="center"/>
              <w:rPr>
                <w:rFonts w:eastAsia="Times New Roman" w:cs="Times New Roman"/>
                <w:kern w:val="0"/>
                <w:sz w:val="16"/>
                <w:szCs w:val="16"/>
                <w:lang w:eastAsia="fi-FI"/>
                <w14:ligatures w14:val="none"/>
              </w:rPr>
            </w:pPr>
          </w:p>
        </w:tc>
      </w:tr>
      <w:tr w:rsidR="008D7D9B" w:rsidRPr="00A84876" w14:paraId="2575CE37" w14:textId="77777777" w:rsidTr="001267C9">
        <w:trPr>
          <w:trHeight w:val="264"/>
        </w:trPr>
        <w:tc>
          <w:tcPr>
            <w:tcW w:w="2122" w:type="dxa"/>
            <w:noWrap/>
            <w:vAlign w:val="center"/>
            <w:hideMark/>
          </w:tcPr>
          <w:p w14:paraId="2E951F97" w14:textId="77777777" w:rsidR="008D7D9B" w:rsidRPr="00A84876" w:rsidRDefault="008D7D9B" w:rsidP="007E4F30">
            <w:pP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Hip fracture</w:t>
            </w:r>
          </w:p>
        </w:tc>
        <w:tc>
          <w:tcPr>
            <w:tcW w:w="1984" w:type="dxa"/>
            <w:noWrap/>
            <w:vAlign w:val="center"/>
          </w:tcPr>
          <w:p w14:paraId="29E9C1D1" w14:textId="77777777" w:rsidR="008D7D9B" w:rsidRPr="00A84876" w:rsidRDefault="008D7D9B" w:rsidP="007E4F30">
            <w:pP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Osteosarcopenia</w:t>
            </w:r>
          </w:p>
        </w:tc>
        <w:tc>
          <w:tcPr>
            <w:tcW w:w="709" w:type="dxa"/>
            <w:noWrap/>
            <w:vAlign w:val="center"/>
          </w:tcPr>
          <w:p w14:paraId="07BD403A" w14:textId="77777777"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color w:val="000000"/>
                <w:sz w:val="16"/>
                <w:szCs w:val="16"/>
              </w:rPr>
              <w:t>122</w:t>
            </w:r>
          </w:p>
        </w:tc>
        <w:tc>
          <w:tcPr>
            <w:tcW w:w="1843" w:type="dxa"/>
            <w:noWrap/>
            <w:vAlign w:val="center"/>
          </w:tcPr>
          <w:p w14:paraId="0255A79F" w14:textId="688BA9B5"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1</w:t>
            </w:r>
            <w:r w:rsidR="00F10BD4">
              <w:rPr>
                <w:rFonts w:eastAsia="Times New Roman" w:cs="Times New Roman"/>
                <w:color w:val="000000"/>
                <w:kern w:val="0"/>
                <w:sz w:val="16"/>
                <w:szCs w:val="16"/>
                <w:lang w:eastAsia="fi-FI"/>
                <w14:ligatures w14:val="none"/>
              </w:rPr>
              <w:t>7</w:t>
            </w:r>
            <w:r w:rsidRPr="00A84876">
              <w:rPr>
                <w:rFonts w:eastAsia="Times New Roman" w:cs="Times New Roman"/>
                <w:color w:val="000000"/>
                <w:kern w:val="0"/>
                <w:sz w:val="16"/>
                <w:szCs w:val="16"/>
                <w:lang w:eastAsia="fi-FI"/>
                <w14:ligatures w14:val="none"/>
              </w:rPr>
              <w:t xml:space="preserve"> (</w:t>
            </w:r>
            <w:r w:rsidR="00F10BD4">
              <w:rPr>
                <w:rFonts w:eastAsia="Times New Roman" w:cs="Times New Roman"/>
                <w:color w:val="000000"/>
                <w:kern w:val="0"/>
                <w:sz w:val="16"/>
                <w:szCs w:val="16"/>
                <w:lang w:eastAsia="fi-FI"/>
                <w14:ligatures w14:val="none"/>
              </w:rPr>
              <w:t>13.9</w:t>
            </w:r>
            <w:r w:rsidRPr="00A84876">
              <w:rPr>
                <w:rFonts w:eastAsia="Times New Roman" w:cs="Times New Roman"/>
                <w:color w:val="000000"/>
                <w:kern w:val="0"/>
                <w:sz w:val="16"/>
                <w:szCs w:val="16"/>
                <w:lang w:eastAsia="fi-FI"/>
                <w14:ligatures w14:val="none"/>
              </w:rPr>
              <w:t>)</w:t>
            </w:r>
          </w:p>
        </w:tc>
        <w:tc>
          <w:tcPr>
            <w:tcW w:w="2019" w:type="dxa"/>
            <w:vAlign w:val="center"/>
          </w:tcPr>
          <w:p w14:paraId="2B0C3B3B" w14:textId="77777777" w:rsidR="008D7D9B" w:rsidRPr="00663E92" w:rsidRDefault="008D7D9B" w:rsidP="007E4F30">
            <w:pPr>
              <w:jc w:val="center"/>
              <w:rPr>
                <w:b/>
                <w:bCs/>
                <w:color w:val="000000"/>
                <w:sz w:val="16"/>
                <w:szCs w:val="16"/>
              </w:rPr>
            </w:pPr>
            <w:r>
              <w:rPr>
                <w:color w:val="000000"/>
                <w:sz w:val="16"/>
                <w:szCs w:val="16"/>
              </w:rPr>
              <w:t>1.0 (Reference)</w:t>
            </w:r>
          </w:p>
        </w:tc>
        <w:tc>
          <w:tcPr>
            <w:tcW w:w="2020" w:type="dxa"/>
            <w:vAlign w:val="center"/>
          </w:tcPr>
          <w:p w14:paraId="0F491052" w14:textId="77777777" w:rsidR="008D7D9B" w:rsidRPr="00663E92" w:rsidRDefault="008D7D9B" w:rsidP="007E4F30">
            <w:pPr>
              <w:jc w:val="center"/>
              <w:rPr>
                <w:b/>
                <w:bCs/>
                <w:color w:val="000000"/>
                <w:sz w:val="16"/>
                <w:szCs w:val="16"/>
              </w:rPr>
            </w:pPr>
            <w:r>
              <w:rPr>
                <w:color w:val="000000"/>
                <w:sz w:val="16"/>
                <w:szCs w:val="16"/>
              </w:rPr>
              <w:t>1.0 (Reference)</w:t>
            </w:r>
          </w:p>
        </w:tc>
        <w:tc>
          <w:tcPr>
            <w:tcW w:w="2020" w:type="dxa"/>
            <w:vAlign w:val="center"/>
          </w:tcPr>
          <w:p w14:paraId="0103C1A8" w14:textId="77777777" w:rsidR="008D7D9B" w:rsidRPr="0086552D" w:rsidRDefault="008D7D9B" w:rsidP="007E4F30">
            <w:pPr>
              <w:jc w:val="center"/>
              <w:rPr>
                <w:b/>
                <w:bCs/>
                <w:color w:val="000000"/>
                <w:sz w:val="16"/>
                <w:szCs w:val="16"/>
              </w:rPr>
            </w:pPr>
            <w:r>
              <w:rPr>
                <w:color w:val="000000"/>
                <w:sz w:val="16"/>
                <w:szCs w:val="16"/>
              </w:rPr>
              <w:t>1.0 (Reference)</w:t>
            </w:r>
          </w:p>
        </w:tc>
        <w:tc>
          <w:tcPr>
            <w:tcW w:w="2020" w:type="dxa"/>
            <w:noWrap/>
            <w:vAlign w:val="center"/>
          </w:tcPr>
          <w:p w14:paraId="0828EF6D" w14:textId="77777777" w:rsidR="008D7D9B" w:rsidRPr="00A84876" w:rsidRDefault="008D7D9B" w:rsidP="007E4F30">
            <w:pPr>
              <w:jc w:val="center"/>
              <w:rPr>
                <w:rFonts w:eastAsia="Times New Roman" w:cs="Times New Roman"/>
                <w:color w:val="000000"/>
                <w:kern w:val="0"/>
                <w:sz w:val="16"/>
                <w:szCs w:val="16"/>
                <w:lang w:eastAsia="fi-FI"/>
                <w14:ligatures w14:val="none"/>
              </w:rPr>
            </w:pPr>
            <w:r>
              <w:rPr>
                <w:color w:val="000000"/>
                <w:sz w:val="16"/>
                <w:szCs w:val="16"/>
              </w:rPr>
              <w:t>1.0 (Reference)</w:t>
            </w:r>
          </w:p>
        </w:tc>
      </w:tr>
      <w:tr w:rsidR="008D7D9B" w:rsidRPr="00A84876" w14:paraId="24EA4039" w14:textId="77777777" w:rsidTr="001267C9">
        <w:trPr>
          <w:trHeight w:val="264"/>
        </w:trPr>
        <w:tc>
          <w:tcPr>
            <w:tcW w:w="2122" w:type="dxa"/>
            <w:noWrap/>
            <w:vAlign w:val="center"/>
            <w:hideMark/>
          </w:tcPr>
          <w:p w14:paraId="3374DA01" w14:textId="77777777" w:rsidR="008D7D9B" w:rsidRPr="00A84876" w:rsidRDefault="008D7D9B" w:rsidP="007E4F30">
            <w:pPr>
              <w:rPr>
                <w:rFonts w:eastAsia="Times New Roman" w:cs="Times New Roman"/>
                <w:color w:val="000000"/>
                <w:kern w:val="0"/>
                <w:sz w:val="16"/>
                <w:szCs w:val="16"/>
                <w:lang w:eastAsia="fi-FI"/>
                <w14:ligatures w14:val="none"/>
              </w:rPr>
            </w:pPr>
          </w:p>
        </w:tc>
        <w:tc>
          <w:tcPr>
            <w:tcW w:w="1984" w:type="dxa"/>
            <w:noWrap/>
            <w:vAlign w:val="center"/>
          </w:tcPr>
          <w:p w14:paraId="24DC152B" w14:textId="77777777" w:rsidR="008D7D9B" w:rsidRPr="00A84876" w:rsidRDefault="008D7D9B" w:rsidP="007E4F30">
            <w:pPr>
              <w:rPr>
                <w:rFonts w:eastAsia="Times New Roman" w:cs="Times New Roman"/>
                <w:color w:val="000000"/>
                <w:kern w:val="0"/>
                <w:sz w:val="16"/>
                <w:szCs w:val="16"/>
                <w:lang w:eastAsia="fi-FI"/>
                <w14:ligatures w14:val="none"/>
              </w:rPr>
            </w:pPr>
            <w:r>
              <w:rPr>
                <w:rFonts w:eastAsia="Times New Roman" w:cs="Times New Roman"/>
                <w:color w:val="000000"/>
                <w:kern w:val="0"/>
                <w:sz w:val="16"/>
                <w:szCs w:val="16"/>
                <w:lang w:eastAsia="fi-FI"/>
                <w14:ligatures w14:val="none"/>
              </w:rPr>
              <w:t>No sarcopenia, no osteoporosis</w:t>
            </w:r>
          </w:p>
        </w:tc>
        <w:tc>
          <w:tcPr>
            <w:tcW w:w="709" w:type="dxa"/>
            <w:noWrap/>
            <w:vAlign w:val="center"/>
          </w:tcPr>
          <w:p w14:paraId="2A24E8AE" w14:textId="77777777"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color w:val="000000"/>
                <w:sz w:val="16"/>
                <w:szCs w:val="16"/>
              </w:rPr>
              <w:t>1602</w:t>
            </w:r>
          </w:p>
        </w:tc>
        <w:tc>
          <w:tcPr>
            <w:tcW w:w="1843" w:type="dxa"/>
            <w:noWrap/>
            <w:vAlign w:val="center"/>
          </w:tcPr>
          <w:p w14:paraId="64FF1311" w14:textId="756C56A5"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8</w:t>
            </w:r>
            <w:r w:rsidR="00F10BD4">
              <w:rPr>
                <w:rFonts w:eastAsia="Times New Roman" w:cs="Times New Roman"/>
                <w:color w:val="000000"/>
                <w:kern w:val="0"/>
                <w:sz w:val="16"/>
                <w:szCs w:val="16"/>
                <w:lang w:eastAsia="fi-FI"/>
                <w14:ligatures w14:val="none"/>
              </w:rPr>
              <w:t>1</w:t>
            </w:r>
            <w:r w:rsidRPr="00A84876">
              <w:rPr>
                <w:rFonts w:eastAsia="Times New Roman" w:cs="Times New Roman"/>
                <w:color w:val="000000"/>
                <w:kern w:val="0"/>
                <w:sz w:val="16"/>
                <w:szCs w:val="16"/>
                <w:lang w:eastAsia="fi-FI"/>
                <w14:ligatures w14:val="none"/>
              </w:rPr>
              <w:t xml:space="preserve"> (</w:t>
            </w:r>
            <w:r w:rsidR="00F10BD4">
              <w:rPr>
                <w:rFonts w:eastAsia="Times New Roman" w:cs="Times New Roman"/>
                <w:color w:val="000000"/>
                <w:kern w:val="0"/>
                <w:sz w:val="16"/>
                <w:szCs w:val="16"/>
                <w:lang w:eastAsia="fi-FI"/>
                <w14:ligatures w14:val="none"/>
              </w:rPr>
              <w:t>5.1</w:t>
            </w:r>
            <w:r w:rsidRPr="00A84876">
              <w:rPr>
                <w:rFonts w:eastAsia="Times New Roman" w:cs="Times New Roman"/>
                <w:color w:val="000000"/>
                <w:kern w:val="0"/>
                <w:sz w:val="16"/>
                <w:szCs w:val="16"/>
                <w:lang w:eastAsia="fi-FI"/>
                <w14:ligatures w14:val="none"/>
              </w:rPr>
              <w:t>)</w:t>
            </w:r>
          </w:p>
        </w:tc>
        <w:tc>
          <w:tcPr>
            <w:tcW w:w="2019" w:type="dxa"/>
            <w:vAlign w:val="center"/>
          </w:tcPr>
          <w:p w14:paraId="288B700C" w14:textId="63A894D5" w:rsidR="008D7D9B" w:rsidRPr="00175D55" w:rsidRDefault="00F10BD4" w:rsidP="007E4F30">
            <w:pPr>
              <w:jc w:val="center"/>
              <w:rPr>
                <w:b/>
                <w:bCs/>
                <w:color w:val="000000"/>
                <w:sz w:val="16"/>
                <w:szCs w:val="16"/>
              </w:rPr>
            </w:pPr>
            <w:r w:rsidRPr="00175D55">
              <w:rPr>
                <w:b/>
                <w:bCs/>
                <w:color w:val="000000"/>
                <w:sz w:val="16"/>
                <w:szCs w:val="16"/>
              </w:rPr>
              <w:t>0.44 (0.24 – 0.81)</w:t>
            </w:r>
          </w:p>
        </w:tc>
        <w:tc>
          <w:tcPr>
            <w:tcW w:w="2020" w:type="dxa"/>
            <w:vAlign w:val="center"/>
          </w:tcPr>
          <w:p w14:paraId="085637B5" w14:textId="71E42829" w:rsidR="008D7D9B" w:rsidRPr="00175D55" w:rsidRDefault="00F10BD4" w:rsidP="007E4F30">
            <w:pPr>
              <w:jc w:val="center"/>
              <w:rPr>
                <w:b/>
                <w:bCs/>
                <w:color w:val="000000"/>
                <w:sz w:val="16"/>
                <w:szCs w:val="16"/>
              </w:rPr>
            </w:pPr>
            <w:r w:rsidRPr="00175D55">
              <w:rPr>
                <w:b/>
                <w:bCs/>
                <w:color w:val="000000"/>
                <w:sz w:val="16"/>
                <w:szCs w:val="16"/>
              </w:rPr>
              <w:t>0.51 (0.27 – 0.99)</w:t>
            </w:r>
          </w:p>
        </w:tc>
        <w:tc>
          <w:tcPr>
            <w:tcW w:w="2020" w:type="dxa"/>
            <w:vAlign w:val="center"/>
          </w:tcPr>
          <w:p w14:paraId="6EA3C8D5" w14:textId="16BD4252" w:rsidR="008D7D9B" w:rsidRPr="00A84876" w:rsidRDefault="00175D55" w:rsidP="007E4F30">
            <w:pPr>
              <w:jc w:val="center"/>
              <w:rPr>
                <w:color w:val="000000"/>
                <w:sz w:val="16"/>
                <w:szCs w:val="16"/>
              </w:rPr>
            </w:pPr>
            <w:r>
              <w:rPr>
                <w:color w:val="000000"/>
                <w:sz w:val="16"/>
                <w:szCs w:val="16"/>
              </w:rPr>
              <w:t>0.55 (0.27 – 1.10)</w:t>
            </w:r>
          </w:p>
        </w:tc>
        <w:tc>
          <w:tcPr>
            <w:tcW w:w="2020" w:type="dxa"/>
            <w:noWrap/>
            <w:vAlign w:val="center"/>
          </w:tcPr>
          <w:p w14:paraId="1C5C886B" w14:textId="1BE90429" w:rsidR="008D7D9B" w:rsidRPr="00A84876" w:rsidRDefault="00175D55" w:rsidP="007E4F30">
            <w:pPr>
              <w:jc w:val="center"/>
              <w:rPr>
                <w:rFonts w:eastAsia="Times New Roman" w:cs="Times New Roman"/>
                <w:color w:val="000000"/>
                <w:kern w:val="0"/>
                <w:sz w:val="16"/>
                <w:szCs w:val="16"/>
                <w:lang w:eastAsia="fi-FI"/>
                <w14:ligatures w14:val="none"/>
              </w:rPr>
            </w:pPr>
            <w:r>
              <w:rPr>
                <w:rFonts w:eastAsia="Times New Roman" w:cs="Times New Roman"/>
                <w:color w:val="000000"/>
                <w:kern w:val="0"/>
                <w:sz w:val="16"/>
                <w:szCs w:val="16"/>
                <w:lang w:eastAsia="fi-FI"/>
                <w14:ligatures w14:val="none"/>
              </w:rPr>
              <w:t>0.89 (0.41 – 1.96)</w:t>
            </w:r>
          </w:p>
        </w:tc>
      </w:tr>
      <w:tr w:rsidR="008D7D9B" w:rsidRPr="00A84876" w14:paraId="674576E0" w14:textId="77777777" w:rsidTr="001267C9">
        <w:trPr>
          <w:trHeight w:val="264"/>
        </w:trPr>
        <w:tc>
          <w:tcPr>
            <w:tcW w:w="2122" w:type="dxa"/>
            <w:noWrap/>
            <w:vAlign w:val="center"/>
            <w:hideMark/>
          </w:tcPr>
          <w:p w14:paraId="49AE8BE5" w14:textId="77777777" w:rsidR="008D7D9B" w:rsidRPr="00A84876" w:rsidRDefault="008D7D9B" w:rsidP="007E4F30">
            <w:pPr>
              <w:rPr>
                <w:rFonts w:eastAsia="Times New Roman" w:cs="Times New Roman"/>
                <w:color w:val="000000"/>
                <w:kern w:val="0"/>
                <w:sz w:val="16"/>
                <w:szCs w:val="16"/>
                <w:lang w:eastAsia="fi-FI"/>
                <w14:ligatures w14:val="none"/>
              </w:rPr>
            </w:pPr>
          </w:p>
        </w:tc>
        <w:tc>
          <w:tcPr>
            <w:tcW w:w="1984" w:type="dxa"/>
            <w:noWrap/>
            <w:vAlign w:val="center"/>
          </w:tcPr>
          <w:p w14:paraId="4839AB14" w14:textId="77777777" w:rsidR="008D7D9B" w:rsidRPr="00A84876" w:rsidRDefault="008D7D9B" w:rsidP="007E4F30">
            <w:pPr>
              <w:rPr>
                <w:rFonts w:eastAsia="Times New Roman" w:cs="Times New Roman"/>
                <w:color w:val="000000"/>
                <w:kern w:val="0"/>
                <w:sz w:val="16"/>
                <w:szCs w:val="16"/>
                <w:lang w:eastAsia="fi-FI"/>
                <w14:ligatures w14:val="none"/>
              </w:rPr>
            </w:pPr>
            <w:r>
              <w:rPr>
                <w:rFonts w:eastAsia="Times New Roman" w:cs="Times New Roman"/>
                <w:color w:val="000000"/>
                <w:kern w:val="0"/>
                <w:sz w:val="16"/>
                <w:szCs w:val="16"/>
                <w:lang w:eastAsia="fi-FI"/>
                <w14:ligatures w14:val="none"/>
              </w:rPr>
              <w:t>Probable sarcopenia only</w:t>
            </w:r>
          </w:p>
        </w:tc>
        <w:tc>
          <w:tcPr>
            <w:tcW w:w="709" w:type="dxa"/>
            <w:noWrap/>
            <w:vAlign w:val="center"/>
          </w:tcPr>
          <w:p w14:paraId="676504C4" w14:textId="77777777"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color w:val="000000"/>
                <w:sz w:val="16"/>
                <w:szCs w:val="16"/>
              </w:rPr>
              <w:t>234</w:t>
            </w:r>
          </w:p>
        </w:tc>
        <w:tc>
          <w:tcPr>
            <w:tcW w:w="1843" w:type="dxa"/>
            <w:noWrap/>
            <w:vAlign w:val="center"/>
          </w:tcPr>
          <w:p w14:paraId="2974BFA0" w14:textId="1522A3C5" w:rsidR="008D7D9B" w:rsidRPr="00A84876" w:rsidRDefault="00F10BD4" w:rsidP="007E4F30">
            <w:pPr>
              <w:jc w:val="center"/>
              <w:rPr>
                <w:rFonts w:eastAsia="Times New Roman" w:cs="Times New Roman"/>
                <w:color w:val="000000"/>
                <w:kern w:val="0"/>
                <w:sz w:val="16"/>
                <w:szCs w:val="16"/>
                <w:lang w:eastAsia="fi-FI"/>
                <w14:ligatures w14:val="none"/>
              </w:rPr>
            </w:pPr>
            <w:r>
              <w:rPr>
                <w:rFonts w:eastAsia="Times New Roman" w:cs="Times New Roman"/>
                <w:color w:val="000000"/>
                <w:kern w:val="0"/>
                <w:sz w:val="16"/>
                <w:szCs w:val="16"/>
                <w:lang w:eastAsia="fi-FI"/>
                <w14:ligatures w14:val="none"/>
              </w:rPr>
              <w:t>19</w:t>
            </w:r>
            <w:r w:rsidR="008D7D9B" w:rsidRPr="00A84876">
              <w:rPr>
                <w:rFonts w:eastAsia="Times New Roman" w:cs="Times New Roman"/>
                <w:color w:val="000000"/>
                <w:kern w:val="0"/>
                <w:sz w:val="16"/>
                <w:szCs w:val="16"/>
                <w:lang w:eastAsia="fi-FI"/>
                <w14:ligatures w14:val="none"/>
              </w:rPr>
              <w:t xml:space="preserve"> (</w:t>
            </w:r>
            <w:r>
              <w:rPr>
                <w:rFonts w:eastAsia="Times New Roman" w:cs="Times New Roman"/>
                <w:color w:val="000000"/>
                <w:kern w:val="0"/>
                <w:sz w:val="16"/>
                <w:szCs w:val="16"/>
                <w:lang w:eastAsia="fi-FI"/>
                <w14:ligatures w14:val="none"/>
              </w:rPr>
              <w:t>8.1</w:t>
            </w:r>
            <w:r w:rsidR="008D7D9B" w:rsidRPr="00A84876">
              <w:rPr>
                <w:rFonts w:eastAsia="Times New Roman" w:cs="Times New Roman"/>
                <w:color w:val="000000"/>
                <w:kern w:val="0"/>
                <w:sz w:val="16"/>
                <w:szCs w:val="16"/>
                <w:lang w:eastAsia="fi-FI"/>
                <w14:ligatures w14:val="none"/>
              </w:rPr>
              <w:t>)</w:t>
            </w:r>
          </w:p>
        </w:tc>
        <w:tc>
          <w:tcPr>
            <w:tcW w:w="2019" w:type="dxa"/>
            <w:vAlign w:val="center"/>
          </w:tcPr>
          <w:p w14:paraId="7EE83097" w14:textId="3728DA48" w:rsidR="008D7D9B" w:rsidRPr="00A84876" w:rsidRDefault="00F10BD4" w:rsidP="007E4F30">
            <w:pPr>
              <w:jc w:val="center"/>
              <w:rPr>
                <w:color w:val="000000"/>
                <w:sz w:val="16"/>
                <w:szCs w:val="16"/>
              </w:rPr>
            </w:pPr>
            <w:r>
              <w:rPr>
                <w:color w:val="000000"/>
                <w:sz w:val="16"/>
                <w:szCs w:val="16"/>
              </w:rPr>
              <w:t>0.62 (0.32 – 1.21)</w:t>
            </w:r>
          </w:p>
        </w:tc>
        <w:tc>
          <w:tcPr>
            <w:tcW w:w="2020" w:type="dxa"/>
            <w:vAlign w:val="center"/>
          </w:tcPr>
          <w:p w14:paraId="2C9D1E66" w14:textId="7F6C0AA0" w:rsidR="008D7D9B" w:rsidRPr="00A84876" w:rsidRDefault="00F10BD4" w:rsidP="007E4F30">
            <w:pPr>
              <w:jc w:val="center"/>
              <w:rPr>
                <w:color w:val="000000"/>
                <w:sz w:val="16"/>
                <w:szCs w:val="16"/>
              </w:rPr>
            </w:pPr>
            <w:r>
              <w:rPr>
                <w:color w:val="000000"/>
                <w:sz w:val="16"/>
                <w:szCs w:val="16"/>
              </w:rPr>
              <w:t>0.59 (0.28 – 1.24)</w:t>
            </w:r>
          </w:p>
        </w:tc>
        <w:tc>
          <w:tcPr>
            <w:tcW w:w="2020" w:type="dxa"/>
            <w:vAlign w:val="center"/>
          </w:tcPr>
          <w:p w14:paraId="22A3E72E" w14:textId="29D853DA" w:rsidR="008D7D9B" w:rsidRPr="00A84876" w:rsidRDefault="00175D55" w:rsidP="007E4F30">
            <w:pPr>
              <w:jc w:val="center"/>
              <w:rPr>
                <w:color w:val="000000"/>
                <w:sz w:val="16"/>
                <w:szCs w:val="16"/>
              </w:rPr>
            </w:pPr>
            <w:r>
              <w:rPr>
                <w:color w:val="000000"/>
                <w:sz w:val="16"/>
                <w:szCs w:val="16"/>
              </w:rPr>
              <w:t>0.62 (0.28 – 1.36)</w:t>
            </w:r>
          </w:p>
        </w:tc>
        <w:tc>
          <w:tcPr>
            <w:tcW w:w="2020" w:type="dxa"/>
            <w:noWrap/>
            <w:vAlign w:val="center"/>
          </w:tcPr>
          <w:p w14:paraId="04E88510" w14:textId="3D2A7BAF" w:rsidR="008D7D9B" w:rsidRPr="00A84876" w:rsidRDefault="00175D55" w:rsidP="007E4F30">
            <w:pPr>
              <w:jc w:val="center"/>
              <w:rPr>
                <w:rFonts w:eastAsia="Times New Roman" w:cs="Times New Roman"/>
                <w:color w:val="000000"/>
                <w:kern w:val="0"/>
                <w:sz w:val="16"/>
                <w:szCs w:val="16"/>
                <w:lang w:eastAsia="fi-FI"/>
                <w14:ligatures w14:val="none"/>
              </w:rPr>
            </w:pPr>
            <w:r>
              <w:rPr>
                <w:rFonts w:eastAsia="Times New Roman" w:cs="Times New Roman"/>
                <w:color w:val="000000"/>
                <w:kern w:val="0"/>
                <w:sz w:val="16"/>
                <w:szCs w:val="16"/>
                <w:lang w:eastAsia="fi-FI"/>
                <w14:ligatures w14:val="none"/>
              </w:rPr>
              <w:t>0.74 (0.32 – 1.69)</w:t>
            </w:r>
          </w:p>
        </w:tc>
      </w:tr>
      <w:tr w:rsidR="008D7D9B" w:rsidRPr="00A84876" w14:paraId="74ACEE9C" w14:textId="77777777" w:rsidTr="001267C9">
        <w:trPr>
          <w:trHeight w:val="264"/>
        </w:trPr>
        <w:tc>
          <w:tcPr>
            <w:tcW w:w="2122" w:type="dxa"/>
            <w:noWrap/>
            <w:vAlign w:val="center"/>
            <w:hideMark/>
          </w:tcPr>
          <w:p w14:paraId="6EEE54D3" w14:textId="77777777" w:rsidR="008D7D9B" w:rsidRPr="00A84876" w:rsidRDefault="008D7D9B" w:rsidP="007E4F30">
            <w:pPr>
              <w:rPr>
                <w:rFonts w:eastAsia="Times New Roman" w:cs="Times New Roman"/>
                <w:color w:val="000000"/>
                <w:kern w:val="0"/>
                <w:sz w:val="16"/>
                <w:szCs w:val="16"/>
                <w:lang w:eastAsia="fi-FI"/>
                <w14:ligatures w14:val="none"/>
              </w:rPr>
            </w:pPr>
          </w:p>
        </w:tc>
        <w:tc>
          <w:tcPr>
            <w:tcW w:w="1984" w:type="dxa"/>
            <w:noWrap/>
            <w:vAlign w:val="center"/>
          </w:tcPr>
          <w:p w14:paraId="4839209B" w14:textId="77777777" w:rsidR="008D7D9B" w:rsidRPr="00A84876" w:rsidRDefault="008D7D9B" w:rsidP="007E4F30">
            <w:pP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Osteoporosis only</w:t>
            </w:r>
          </w:p>
        </w:tc>
        <w:tc>
          <w:tcPr>
            <w:tcW w:w="709" w:type="dxa"/>
            <w:noWrap/>
            <w:vAlign w:val="center"/>
          </w:tcPr>
          <w:p w14:paraId="52A4C12F" w14:textId="77777777"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color w:val="000000"/>
                <w:sz w:val="16"/>
                <w:szCs w:val="16"/>
              </w:rPr>
              <w:t>184</w:t>
            </w:r>
          </w:p>
        </w:tc>
        <w:tc>
          <w:tcPr>
            <w:tcW w:w="1843" w:type="dxa"/>
            <w:noWrap/>
            <w:vAlign w:val="center"/>
          </w:tcPr>
          <w:p w14:paraId="159410FA" w14:textId="0C49A44C"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2</w:t>
            </w:r>
            <w:r w:rsidR="00F10BD4">
              <w:rPr>
                <w:rFonts w:eastAsia="Times New Roman" w:cs="Times New Roman"/>
                <w:color w:val="000000"/>
                <w:kern w:val="0"/>
                <w:sz w:val="16"/>
                <w:szCs w:val="16"/>
                <w:lang w:eastAsia="fi-FI"/>
                <w14:ligatures w14:val="none"/>
              </w:rPr>
              <w:t>8</w:t>
            </w:r>
            <w:r w:rsidRPr="00A84876">
              <w:rPr>
                <w:rFonts w:eastAsia="Times New Roman" w:cs="Times New Roman"/>
                <w:color w:val="000000"/>
                <w:kern w:val="0"/>
                <w:sz w:val="16"/>
                <w:szCs w:val="16"/>
                <w:lang w:eastAsia="fi-FI"/>
                <w14:ligatures w14:val="none"/>
              </w:rPr>
              <w:t xml:space="preserve"> (15.</w:t>
            </w:r>
            <w:r w:rsidR="00F10BD4">
              <w:rPr>
                <w:rFonts w:eastAsia="Times New Roman" w:cs="Times New Roman"/>
                <w:color w:val="000000"/>
                <w:kern w:val="0"/>
                <w:sz w:val="16"/>
                <w:szCs w:val="16"/>
                <w:lang w:eastAsia="fi-FI"/>
                <w14:ligatures w14:val="none"/>
              </w:rPr>
              <w:t>2</w:t>
            </w:r>
            <w:r w:rsidRPr="00A84876">
              <w:rPr>
                <w:rFonts w:eastAsia="Times New Roman" w:cs="Times New Roman"/>
                <w:color w:val="000000"/>
                <w:kern w:val="0"/>
                <w:sz w:val="16"/>
                <w:szCs w:val="16"/>
                <w:lang w:eastAsia="fi-FI"/>
                <w14:ligatures w14:val="none"/>
              </w:rPr>
              <w:t>)</w:t>
            </w:r>
          </w:p>
        </w:tc>
        <w:tc>
          <w:tcPr>
            <w:tcW w:w="2019" w:type="dxa"/>
            <w:vAlign w:val="center"/>
          </w:tcPr>
          <w:p w14:paraId="6C5C05AF" w14:textId="0551CDDE" w:rsidR="008D7D9B" w:rsidRPr="00A84876" w:rsidRDefault="00F10BD4" w:rsidP="007E4F30">
            <w:pPr>
              <w:jc w:val="center"/>
              <w:rPr>
                <w:color w:val="000000"/>
                <w:sz w:val="16"/>
                <w:szCs w:val="16"/>
              </w:rPr>
            </w:pPr>
            <w:r>
              <w:rPr>
                <w:color w:val="000000"/>
                <w:sz w:val="16"/>
                <w:szCs w:val="16"/>
              </w:rPr>
              <w:t>0.92 (0.50 – 1.72)</w:t>
            </w:r>
          </w:p>
        </w:tc>
        <w:tc>
          <w:tcPr>
            <w:tcW w:w="2020" w:type="dxa"/>
            <w:vAlign w:val="center"/>
          </w:tcPr>
          <w:p w14:paraId="2152F3A0" w14:textId="77535E40" w:rsidR="008D7D9B" w:rsidRPr="00A84876" w:rsidRDefault="00F10BD4" w:rsidP="007E4F30">
            <w:pPr>
              <w:jc w:val="center"/>
              <w:rPr>
                <w:color w:val="000000"/>
                <w:sz w:val="16"/>
                <w:szCs w:val="16"/>
              </w:rPr>
            </w:pPr>
            <w:r>
              <w:rPr>
                <w:color w:val="000000"/>
                <w:sz w:val="16"/>
                <w:szCs w:val="16"/>
              </w:rPr>
              <w:t>1.04 (0.53 – 2.04)</w:t>
            </w:r>
          </w:p>
        </w:tc>
        <w:tc>
          <w:tcPr>
            <w:tcW w:w="2020" w:type="dxa"/>
            <w:vAlign w:val="center"/>
          </w:tcPr>
          <w:p w14:paraId="06590E15" w14:textId="3F8E5877" w:rsidR="008D7D9B" w:rsidRPr="00A84876" w:rsidRDefault="00175D55" w:rsidP="007E4F30">
            <w:pPr>
              <w:jc w:val="center"/>
              <w:rPr>
                <w:color w:val="000000"/>
                <w:sz w:val="16"/>
                <w:szCs w:val="16"/>
              </w:rPr>
            </w:pPr>
            <w:r>
              <w:rPr>
                <w:color w:val="000000"/>
                <w:sz w:val="16"/>
                <w:szCs w:val="16"/>
              </w:rPr>
              <w:t>1.17 (0.58 – 2.38)</w:t>
            </w:r>
          </w:p>
        </w:tc>
        <w:tc>
          <w:tcPr>
            <w:tcW w:w="2020" w:type="dxa"/>
            <w:noWrap/>
            <w:vAlign w:val="center"/>
          </w:tcPr>
          <w:p w14:paraId="217DDDA6" w14:textId="770DE81B" w:rsidR="008D7D9B" w:rsidRPr="00A84876" w:rsidRDefault="00175D55" w:rsidP="007E4F30">
            <w:pPr>
              <w:jc w:val="center"/>
              <w:rPr>
                <w:rFonts w:eastAsia="Times New Roman" w:cs="Times New Roman"/>
                <w:color w:val="000000"/>
                <w:kern w:val="0"/>
                <w:sz w:val="16"/>
                <w:szCs w:val="16"/>
                <w:lang w:eastAsia="fi-FI"/>
                <w14:ligatures w14:val="none"/>
              </w:rPr>
            </w:pPr>
            <w:r>
              <w:rPr>
                <w:rFonts w:eastAsia="Times New Roman" w:cs="Times New Roman"/>
                <w:color w:val="000000"/>
                <w:kern w:val="0"/>
                <w:sz w:val="16"/>
                <w:szCs w:val="16"/>
                <w:lang w:eastAsia="fi-FI"/>
                <w14:ligatures w14:val="none"/>
              </w:rPr>
              <w:t>1.61 (0.77 – 3.37))</w:t>
            </w:r>
          </w:p>
        </w:tc>
      </w:tr>
      <w:tr w:rsidR="008D7D9B" w:rsidRPr="00A84876" w14:paraId="28D36586" w14:textId="77777777" w:rsidTr="001267C9">
        <w:trPr>
          <w:trHeight w:val="264"/>
        </w:trPr>
        <w:tc>
          <w:tcPr>
            <w:tcW w:w="2122" w:type="dxa"/>
            <w:noWrap/>
            <w:vAlign w:val="center"/>
          </w:tcPr>
          <w:p w14:paraId="294AD78D" w14:textId="77777777" w:rsidR="008D7D9B" w:rsidRPr="00A84876" w:rsidRDefault="008D7D9B" w:rsidP="007E4F30">
            <w:pPr>
              <w:rPr>
                <w:rFonts w:eastAsia="Times New Roman" w:cs="Times New Roman"/>
                <w:color w:val="000000"/>
                <w:kern w:val="0"/>
                <w:sz w:val="16"/>
                <w:szCs w:val="16"/>
                <w:lang w:eastAsia="fi-FI"/>
                <w14:ligatures w14:val="none"/>
              </w:rPr>
            </w:pPr>
          </w:p>
        </w:tc>
        <w:tc>
          <w:tcPr>
            <w:tcW w:w="1984" w:type="dxa"/>
            <w:noWrap/>
            <w:vAlign w:val="center"/>
          </w:tcPr>
          <w:p w14:paraId="373BFFE2" w14:textId="77777777" w:rsidR="008D7D9B" w:rsidRPr="00A84876" w:rsidRDefault="008D7D9B" w:rsidP="007E4F30">
            <w:pPr>
              <w:rPr>
                <w:rFonts w:eastAsia="Times New Roman" w:cs="Times New Roman"/>
                <w:color w:val="000000"/>
                <w:kern w:val="0"/>
                <w:sz w:val="16"/>
                <w:szCs w:val="16"/>
                <w:lang w:eastAsia="fi-FI"/>
                <w14:ligatures w14:val="none"/>
              </w:rPr>
            </w:pPr>
          </w:p>
        </w:tc>
        <w:tc>
          <w:tcPr>
            <w:tcW w:w="709" w:type="dxa"/>
            <w:noWrap/>
            <w:vAlign w:val="center"/>
          </w:tcPr>
          <w:p w14:paraId="13D45BC5" w14:textId="77777777" w:rsidR="008D7D9B" w:rsidRPr="00A84876" w:rsidRDefault="008D7D9B" w:rsidP="007E4F30">
            <w:pPr>
              <w:jc w:val="center"/>
              <w:rPr>
                <w:color w:val="000000"/>
                <w:sz w:val="16"/>
                <w:szCs w:val="16"/>
              </w:rPr>
            </w:pPr>
          </w:p>
        </w:tc>
        <w:tc>
          <w:tcPr>
            <w:tcW w:w="1843" w:type="dxa"/>
            <w:noWrap/>
            <w:vAlign w:val="center"/>
          </w:tcPr>
          <w:p w14:paraId="54D13FCD" w14:textId="77777777" w:rsidR="008D7D9B" w:rsidRPr="00A84876" w:rsidRDefault="008D7D9B" w:rsidP="007E4F30">
            <w:pPr>
              <w:jc w:val="center"/>
              <w:rPr>
                <w:rFonts w:eastAsia="Times New Roman" w:cs="Times New Roman"/>
                <w:color w:val="000000"/>
                <w:kern w:val="0"/>
                <w:sz w:val="16"/>
                <w:szCs w:val="16"/>
                <w:lang w:eastAsia="fi-FI"/>
                <w14:ligatures w14:val="none"/>
              </w:rPr>
            </w:pPr>
          </w:p>
        </w:tc>
        <w:tc>
          <w:tcPr>
            <w:tcW w:w="2019" w:type="dxa"/>
            <w:vAlign w:val="center"/>
          </w:tcPr>
          <w:p w14:paraId="7A896DE4" w14:textId="77777777" w:rsidR="008D7D9B" w:rsidRPr="00A84876" w:rsidRDefault="008D7D9B" w:rsidP="007E4F30">
            <w:pPr>
              <w:jc w:val="center"/>
              <w:rPr>
                <w:rFonts w:eastAsia="Times New Roman" w:cs="Times New Roman"/>
                <w:color w:val="000000"/>
                <w:kern w:val="0"/>
                <w:sz w:val="16"/>
                <w:szCs w:val="16"/>
                <w:lang w:eastAsia="fi-FI"/>
                <w14:ligatures w14:val="none"/>
              </w:rPr>
            </w:pPr>
          </w:p>
        </w:tc>
        <w:tc>
          <w:tcPr>
            <w:tcW w:w="2020" w:type="dxa"/>
            <w:vAlign w:val="center"/>
          </w:tcPr>
          <w:p w14:paraId="0549BC8B" w14:textId="77777777" w:rsidR="008D7D9B" w:rsidRPr="00A84876" w:rsidRDefault="008D7D9B" w:rsidP="007E4F30">
            <w:pPr>
              <w:jc w:val="center"/>
              <w:rPr>
                <w:rFonts w:eastAsia="Times New Roman" w:cs="Times New Roman"/>
                <w:color w:val="000000"/>
                <w:kern w:val="0"/>
                <w:sz w:val="16"/>
                <w:szCs w:val="16"/>
                <w:lang w:eastAsia="fi-FI"/>
                <w14:ligatures w14:val="none"/>
              </w:rPr>
            </w:pPr>
          </w:p>
        </w:tc>
        <w:tc>
          <w:tcPr>
            <w:tcW w:w="2020" w:type="dxa"/>
            <w:vAlign w:val="center"/>
          </w:tcPr>
          <w:p w14:paraId="78D2C595" w14:textId="77777777" w:rsidR="008D7D9B" w:rsidRPr="00A84876" w:rsidRDefault="008D7D9B" w:rsidP="007E4F30">
            <w:pPr>
              <w:jc w:val="center"/>
              <w:rPr>
                <w:rFonts w:eastAsia="Times New Roman" w:cs="Times New Roman"/>
                <w:color w:val="000000"/>
                <w:kern w:val="0"/>
                <w:sz w:val="16"/>
                <w:szCs w:val="16"/>
                <w:lang w:eastAsia="fi-FI"/>
                <w14:ligatures w14:val="none"/>
              </w:rPr>
            </w:pPr>
          </w:p>
        </w:tc>
        <w:tc>
          <w:tcPr>
            <w:tcW w:w="2020" w:type="dxa"/>
            <w:noWrap/>
            <w:vAlign w:val="center"/>
          </w:tcPr>
          <w:p w14:paraId="48F2E1F6" w14:textId="77777777" w:rsidR="008D7D9B" w:rsidRPr="00A84876" w:rsidRDefault="008D7D9B" w:rsidP="007E4F30">
            <w:pPr>
              <w:jc w:val="center"/>
              <w:rPr>
                <w:rFonts w:eastAsia="Times New Roman" w:cs="Times New Roman"/>
                <w:color w:val="000000"/>
                <w:kern w:val="0"/>
                <w:sz w:val="16"/>
                <w:szCs w:val="16"/>
                <w:lang w:eastAsia="fi-FI"/>
                <w14:ligatures w14:val="none"/>
              </w:rPr>
            </w:pPr>
          </w:p>
        </w:tc>
      </w:tr>
      <w:tr w:rsidR="008D7D9B" w:rsidRPr="00A84876" w14:paraId="17626745" w14:textId="77777777" w:rsidTr="001267C9">
        <w:trPr>
          <w:trHeight w:val="264"/>
        </w:trPr>
        <w:tc>
          <w:tcPr>
            <w:tcW w:w="2122" w:type="dxa"/>
            <w:noWrap/>
            <w:vAlign w:val="center"/>
          </w:tcPr>
          <w:p w14:paraId="50EA8046" w14:textId="77777777" w:rsidR="008D7D9B" w:rsidRPr="00A84876" w:rsidRDefault="008D7D9B" w:rsidP="007E4F30">
            <w:pP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Death</w:t>
            </w:r>
          </w:p>
        </w:tc>
        <w:tc>
          <w:tcPr>
            <w:tcW w:w="1984" w:type="dxa"/>
            <w:noWrap/>
            <w:vAlign w:val="center"/>
          </w:tcPr>
          <w:p w14:paraId="4F47D8EB" w14:textId="77777777" w:rsidR="008D7D9B" w:rsidRPr="00A84876" w:rsidRDefault="008D7D9B" w:rsidP="007E4F30">
            <w:pP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Osteosarcopenia</w:t>
            </w:r>
          </w:p>
        </w:tc>
        <w:tc>
          <w:tcPr>
            <w:tcW w:w="709" w:type="dxa"/>
            <w:noWrap/>
            <w:vAlign w:val="center"/>
          </w:tcPr>
          <w:p w14:paraId="125980E5" w14:textId="77777777" w:rsidR="008D7D9B" w:rsidRPr="00A84876" w:rsidRDefault="008D7D9B" w:rsidP="007E4F30">
            <w:pPr>
              <w:jc w:val="center"/>
              <w:rPr>
                <w:color w:val="000000"/>
                <w:sz w:val="16"/>
                <w:szCs w:val="16"/>
              </w:rPr>
            </w:pPr>
            <w:r w:rsidRPr="00A84876">
              <w:rPr>
                <w:color w:val="000000"/>
                <w:sz w:val="16"/>
                <w:szCs w:val="16"/>
              </w:rPr>
              <w:t>122</w:t>
            </w:r>
          </w:p>
        </w:tc>
        <w:tc>
          <w:tcPr>
            <w:tcW w:w="1843" w:type="dxa"/>
            <w:noWrap/>
            <w:vAlign w:val="center"/>
          </w:tcPr>
          <w:p w14:paraId="0EB29CA6" w14:textId="77777777"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116 (95.1)</w:t>
            </w:r>
          </w:p>
        </w:tc>
        <w:tc>
          <w:tcPr>
            <w:tcW w:w="2019" w:type="dxa"/>
            <w:vAlign w:val="center"/>
          </w:tcPr>
          <w:p w14:paraId="75303C68" w14:textId="77777777" w:rsidR="008D7D9B" w:rsidRPr="00A84876" w:rsidRDefault="008D7D9B" w:rsidP="007E4F30">
            <w:pPr>
              <w:jc w:val="center"/>
              <w:rPr>
                <w:b/>
                <w:bCs/>
                <w:color w:val="000000"/>
                <w:sz w:val="16"/>
                <w:szCs w:val="16"/>
              </w:rPr>
            </w:pPr>
            <w:r>
              <w:rPr>
                <w:color w:val="000000"/>
                <w:sz w:val="16"/>
                <w:szCs w:val="16"/>
              </w:rPr>
              <w:t>1.0 (Reference)</w:t>
            </w:r>
          </w:p>
        </w:tc>
        <w:tc>
          <w:tcPr>
            <w:tcW w:w="2020" w:type="dxa"/>
            <w:vAlign w:val="center"/>
          </w:tcPr>
          <w:p w14:paraId="568A5326" w14:textId="77777777" w:rsidR="008D7D9B" w:rsidRPr="00A84876" w:rsidRDefault="008D7D9B" w:rsidP="007E4F30">
            <w:pPr>
              <w:jc w:val="center"/>
              <w:rPr>
                <w:b/>
                <w:bCs/>
                <w:color w:val="000000"/>
                <w:sz w:val="16"/>
                <w:szCs w:val="16"/>
              </w:rPr>
            </w:pPr>
            <w:r>
              <w:rPr>
                <w:color w:val="000000"/>
                <w:sz w:val="16"/>
                <w:szCs w:val="16"/>
              </w:rPr>
              <w:t>1.0 (Reference)</w:t>
            </w:r>
          </w:p>
        </w:tc>
        <w:tc>
          <w:tcPr>
            <w:tcW w:w="2020" w:type="dxa"/>
            <w:vAlign w:val="center"/>
          </w:tcPr>
          <w:p w14:paraId="13A4ABE7" w14:textId="77777777" w:rsidR="008D7D9B" w:rsidRPr="00A84876" w:rsidRDefault="008D7D9B" w:rsidP="007E4F30">
            <w:pPr>
              <w:jc w:val="center"/>
              <w:rPr>
                <w:b/>
                <w:bCs/>
                <w:color w:val="000000"/>
                <w:sz w:val="16"/>
                <w:szCs w:val="16"/>
              </w:rPr>
            </w:pPr>
            <w:r>
              <w:rPr>
                <w:color w:val="000000"/>
                <w:sz w:val="16"/>
                <w:szCs w:val="16"/>
              </w:rPr>
              <w:t>1.0 (Reference)</w:t>
            </w:r>
          </w:p>
        </w:tc>
        <w:tc>
          <w:tcPr>
            <w:tcW w:w="2020" w:type="dxa"/>
            <w:noWrap/>
            <w:vAlign w:val="center"/>
          </w:tcPr>
          <w:p w14:paraId="2F638141" w14:textId="77777777" w:rsidR="008D7D9B" w:rsidRPr="00A84876" w:rsidRDefault="008D7D9B" w:rsidP="007E4F30">
            <w:pPr>
              <w:jc w:val="center"/>
              <w:rPr>
                <w:rFonts w:eastAsia="Times New Roman" w:cs="Times New Roman"/>
                <w:color w:val="000000"/>
                <w:kern w:val="0"/>
                <w:sz w:val="16"/>
                <w:szCs w:val="16"/>
                <w:lang w:eastAsia="fi-FI"/>
                <w14:ligatures w14:val="none"/>
              </w:rPr>
            </w:pPr>
            <w:r>
              <w:rPr>
                <w:color w:val="000000"/>
                <w:sz w:val="16"/>
                <w:szCs w:val="16"/>
              </w:rPr>
              <w:t>n/a</w:t>
            </w:r>
          </w:p>
        </w:tc>
      </w:tr>
      <w:tr w:rsidR="008D7D9B" w:rsidRPr="00A84876" w14:paraId="19CE1E0D" w14:textId="77777777" w:rsidTr="001267C9">
        <w:trPr>
          <w:trHeight w:val="264"/>
        </w:trPr>
        <w:tc>
          <w:tcPr>
            <w:tcW w:w="2122" w:type="dxa"/>
            <w:noWrap/>
            <w:vAlign w:val="center"/>
          </w:tcPr>
          <w:p w14:paraId="35206E93" w14:textId="77777777" w:rsidR="008D7D9B" w:rsidRPr="00A84876" w:rsidRDefault="008D7D9B" w:rsidP="007E4F30">
            <w:pPr>
              <w:rPr>
                <w:rFonts w:eastAsia="Times New Roman" w:cs="Times New Roman"/>
                <w:color w:val="000000"/>
                <w:kern w:val="0"/>
                <w:sz w:val="16"/>
                <w:szCs w:val="16"/>
                <w:lang w:eastAsia="fi-FI"/>
                <w14:ligatures w14:val="none"/>
              </w:rPr>
            </w:pPr>
          </w:p>
        </w:tc>
        <w:tc>
          <w:tcPr>
            <w:tcW w:w="1984" w:type="dxa"/>
            <w:noWrap/>
            <w:vAlign w:val="center"/>
          </w:tcPr>
          <w:p w14:paraId="383ED332" w14:textId="77777777" w:rsidR="008D7D9B" w:rsidRPr="00A84876" w:rsidRDefault="008D7D9B" w:rsidP="007E4F30">
            <w:pPr>
              <w:rPr>
                <w:rFonts w:eastAsia="Times New Roman" w:cs="Times New Roman"/>
                <w:color w:val="000000"/>
                <w:kern w:val="0"/>
                <w:sz w:val="16"/>
                <w:szCs w:val="16"/>
                <w:lang w:eastAsia="fi-FI"/>
                <w14:ligatures w14:val="none"/>
              </w:rPr>
            </w:pPr>
            <w:r>
              <w:rPr>
                <w:rFonts w:eastAsia="Times New Roman" w:cs="Times New Roman"/>
                <w:color w:val="000000"/>
                <w:kern w:val="0"/>
                <w:sz w:val="16"/>
                <w:szCs w:val="16"/>
                <w:lang w:eastAsia="fi-FI"/>
                <w14:ligatures w14:val="none"/>
              </w:rPr>
              <w:t>No sarcopenia, no osteoporosis</w:t>
            </w:r>
          </w:p>
        </w:tc>
        <w:tc>
          <w:tcPr>
            <w:tcW w:w="709" w:type="dxa"/>
            <w:noWrap/>
            <w:vAlign w:val="center"/>
          </w:tcPr>
          <w:p w14:paraId="5D38FE2D" w14:textId="77777777" w:rsidR="008D7D9B" w:rsidRPr="00A84876" w:rsidRDefault="008D7D9B" w:rsidP="007E4F30">
            <w:pPr>
              <w:jc w:val="center"/>
              <w:rPr>
                <w:color w:val="000000"/>
                <w:sz w:val="16"/>
                <w:szCs w:val="16"/>
              </w:rPr>
            </w:pPr>
            <w:r w:rsidRPr="00A84876">
              <w:rPr>
                <w:color w:val="000000"/>
                <w:sz w:val="16"/>
                <w:szCs w:val="16"/>
              </w:rPr>
              <w:t>1602</w:t>
            </w:r>
          </w:p>
        </w:tc>
        <w:tc>
          <w:tcPr>
            <w:tcW w:w="1843" w:type="dxa"/>
            <w:noWrap/>
            <w:vAlign w:val="center"/>
          </w:tcPr>
          <w:p w14:paraId="6E7BFC75" w14:textId="77777777"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712 (44.4)</w:t>
            </w:r>
          </w:p>
        </w:tc>
        <w:tc>
          <w:tcPr>
            <w:tcW w:w="2019" w:type="dxa"/>
            <w:vAlign w:val="center"/>
          </w:tcPr>
          <w:p w14:paraId="2590F4DD" w14:textId="77777777" w:rsidR="008D7D9B" w:rsidRPr="007E68C8" w:rsidRDefault="008D7D9B" w:rsidP="007E4F30">
            <w:pPr>
              <w:jc w:val="center"/>
              <w:rPr>
                <w:b/>
                <w:bCs/>
                <w:color w:val="000000"/>
                <w:sz w:val="16"/>
                <w:szCs w:val="16"/>
              </w:rPr>
            </w:pPr>
            <w:r>
              <w:rPr>
                <w:b/>
                <w:bCs/>
                <w:color w:val="000000"/>
                <w:sz w:val="16"/>
                <w:szCs w:val="16"/>
              </w:rPr>
              <w:t>0.42 (0.33 – 0.53)</w:t>
            </w:r>
          </w:p>
        </w:tc>
        <w:tc>
          <w:tcPr>
            <w:tcW w:w="2020" w:type="dxa"/>
            <w:vAlign w:val="center"/>
          </w:tcPr>
          <w:p w14:paraId="450E8C8A" w14:textId="77777777" w:rsidR="008D7D9B" w:rsidRPr="00A84876" w:rsidRDefault="008D7D9B" w:rsidP="007E4F30">
            <w:pPr>
              <w:jc w:val="center"/>
              <w:rPr>
                <w:color w:val="000000"/>
                <w:sz w:val="16"/>
                <w:szCs w:val="16"/>
              </w:rPr>
            </w:pPr>
            <w:r>
              <w:rPr>
                <w:b/>
                <w:bCs/>
                <w:color w:val="000000"/>
                <w:sz w:val="16"/>
                <w:szCs w:val="16"/>
              </w:rPr>
              <w:t>0.68 (0.55 – 0.85)</w:t>
            </w:r>
          </w:p>
        </w:tc>
        <w:tc>
          <w:tcPr>
            <w:tcW w:w="2020" w:type="dxa"/>
            <w:vAlign w:val="center"/>
          </w:tcPr>
          <w:p w14:paraId="5A326432" w14:textId="77777777" w:rsidR="008D7D9B" w:rsidRPr="00A84876" w:rsidRDefault="008D7D9B" w:rsidP="007E4F30">
            <w:pPr>
              <w:jc w:val="center"/>
              <w:rPr>
                <w:color w:val="000000"/>
                <w:sz w:val="16"/>
                <w:szCs w:val="16"/>
              </w:rPr>
            </w:pPr>
            <w:r w:rsidRPr="00A84876">
              <w:rPr>
                <w:b/>
                <w:bCs/>
                <w:color w:val="000000"/>
                <w:sz w:val="16"/>
                <w:szCs w:val="16"/>
              </w:rPr>
              <w:t>0.51 (0.39 - 0.67)</w:t>
            </w:r>
          </w:p>
        </w:tc>
        <w:tc>
          <w:tcPr>
            <w:tcW w:w="2020" w:type="dxa"/>
            <w:noWrap/>
            <w:vAlign w:val="center"/>
          </w:tcPr>
          <w:p w14:paraId="5A3AB8BD" w14:textId="77777777" w:rsidR="008D7D9B" w:rsidRPr="00A84876" w:rsidRDefault="008D7D9B" w:rsidP="007E4F30">
            <w:pPr>
              <w:jc w:val="center"/>
              <w:rPr>
                <w:rFonts w:eastAsia="Times New Roman" w:cs="Times New Roman"/>
                <w:color w:val="000000"/>
                <w:kern w:val="0"/>
                <w:sz w:val="16"/>
                <w:szCs w:val="16"/>
                <w:lang w:eastAsia="fi-FI"/>
                <w14:ligatures w14:val="none"/>
              </w:rPr>
            </w:pPr>
            <w:r>
              <w:rPr>
                <w:rFonts w:eastAsia="Times New Roman" w:cs="Times New Roman"/>
                <w:color w:val="000000"/>
                <w:kern w:val="0"/>
                <w:sz w:val="16"/>
                <w:szCs w:val="16"/>
                <w:lang w:eastAsia="fi-FI"/>
                <w14:ligatures w14:val="none"/>
              </w:rPr>
              <w:t>n/a</w:t>
            </w:r>
          </w:p>
        </w:tc>
      </w:tr>
      <w:tr w:rsidR="008D7D9B" w:rsidRPr="00A84876" w14:paraId="38102833" w14:textId="77777777" w:rsidTr="001267C9">
        <w:trPr>
          <w:trHeight w:val="264"/>
        </w:trPr>
        <w:tc>
          <w:tcPr>
            <w:tcW w:w="2122" w:type="dxa"/>
            <w:noWrap/>
            <w:vAlign w:val="center"/>
          </w:tcPr>
          <w:p w14:paraId="1363A813" w14:textId="77777777" w:rsidR="008D7D9B" w:rsidRPr="00A84876" w:rsidRDefault="008D7D9B" w:rsidP="007E4F30">
            <w:pPr>
              <w:rPr>
                <w:rFonts w:eastAsia="Times New Roman" w:cs="Times New Roman"/>
                <w:color w:val="000000"/>
                <w:kern w:val="0"/>
                <w:sz w:val="16"/>
                <w:szCs w:val="16"/>
                <w:lang w:eastAsia="fi-FI"/>
                <w14:ligatures w14:val="none"/>
              </w:rPr>
            </w:pPr>
          </w:p>
        </w:tc>
        <w:tc>
          <w:tcPr>
            <w:tcW w:w="1984" w:type="dxa"/>
            <w:noWrap/>
            <w:vAlign w:val="center"/>
          </w:tcPr>
          <w:p w14:paraId="7133A216" w14:textId="77777777" w:rsidR="008D7D9B" w:rsidRPr="00A84876" w:rsidRDefault="008D7D9B" w:rsidP="007E4F30">
            <w:pPr>
              <w:rPr>
                <w:rFonts w:eastAsia="Times New Roman" w:cs="Times New Roman"/>
                <w:color w:val="000000"/>
                <w:kern w:val="0"/>
                <w:sz w:val="16"/>
                <w:szCs w:val="16"/>
                <w:lang w:eastAsia="fi-FI"/>
                <w14:ligatures w14:val="none"/>
              </w:rPr>
            </w:pPr>
            <w:r>
              <w:rPr>
                <w:rFonts w:eastAsia="Times New Roman" w:cs="Times New Roman"/>
                <w:color w:val="000000"/>
                <w:kern w:val="0"/>
                <w:sz w:val="16"/>
                <w:szCs w:val="16"/>
                <w:lang w:eastAsia="fi-FI"/>
                <w14:ligatures w14:val="none"/>
              </w:rPr>
              <w:t>Probable sarcopenia only</w:t>
            </w:r>
          </w:p>
        </w:tc>
        <w:tc>
          <w:tcPr>
            <w:tcW w:w="709" w:type="dxa"/>
            <w:noWrap/>
            <w:vAlign w:val="center"/>
          </w:tcPr>
          <w:p w14:paraId="64DE273E" w14:textId="77777777" w:rsidR="008D7D9B" w:rsidRPr="00A84876" w:rsidRDefault="008D7D9B" w:rsidP="007E4F30">
            <w:pPr>
              <w:jc w:val="center"/>
              <w:rPr>
                <w:color w:val="000000"/>
                <w:sz w:val="16"/>
                <w:szCs w:val="16"/>
              </w:rPr>
            </w:pPr>
            <w:r w:rsidRPr="00A84876">
              <w:rPr>
                <w:color w:val="000000"/>
                <w:sz w:val="16"/>
                <w:szCs w:val="16"/>
              </w:rPr>
              <w:t>234</w:t>
            </w:r>
          </w:p>
        </w:tc>
        <w:tc>
          <w:tcPr>
            <w:tcW w:w="1843" w:type="dxa"/>
            <w:noWrap/>
            <w:vAlign w:val="center"/>
          </w:tcPr>
          <w:p w14:paraId="39945C1A" w14:textId="77777777"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234 (100)</w:t>
            </w:r>
          </w:p>
        </w:tc>
        <w:tc>
          <w:tcPr>
            <w:tcW w:w="2019" w:type="dxa"/>
            <w:vAlign w:val="center"/>
          </w:tcPr>
          <w:p w14:paraId="0B9E1E7A" w14:textId="77777777" w:rsidR="008D7D9B" w:rsidRPr="00A84876" w:rsidRDefault="008D7D9B" w:rsidP="007E4F30">
            <w:pPr>
              <w:jc w:val="center"/>
              <w:rPr>
                <w:b/>
                <w:bCs/>
                <w:color w:val="000000"/>
                <w:sz w:val="16"/>
                <w:szCs w:val="16"/>
              </w:rPr>
            </w:pPr>
            <w:r w:rsidRPr="007E68C8">
              <w:rPr>
                <w:b/>
                <w:bCs/>
                <w:color w:val="000000"/>
                <w:sz w:val="16"/>
                <w:szCs w:val="16"/>
              </w:rPr>
              <w:t>0.79 (0.62 – 0.99)</w:t>
            </w:r>
          </w:p>
        </w:tc>
        <w:tc>
          <w:tcPr>
            <w:tcW w:w="2020" w:type="dxa"/>
            <w:vAlign w:val="center"/>
          </w:tcPr>
          <w:p w14:paraId="4C03D74E" w14:textId="77777777" w:rsidR="008D7D9B" w:rsidRPr="00A84876" w:rsidRDefault="008D7D9B" w:rsidP="007E4F30">
            <w:pPr>
              <w:jc w:val="center"/>
              <w:rPr>
                <w:b/>
                <w:bCs/>
                <w:color w:val="000000"/>
                <w:sz w:val="16"/>
                <w:szCs w:val="16"/>
              </w:rPr>
            </w:pPr>
            <w:r>
              <w:rPr>
                <w:color w:val="000000"/>
                <w:sz w:val="16"/>
                <w:szCs w:val="16"/>
              </w:rPr>
              <w:t>1.17 (0.89 – 1.54)</w:t>
            </w:r>
          </w:p>
        </w:tc>
        <w:tc>
          <w:tcPr>
            <w:tcW w:w="2020" w:type="dxa"/>
            <w:vAlign w:val="center"/>
          </w:tcPr>
          <w:p w14:paraId="4A67B2E3" w14:textId="77777777" w:rsidR="008D7D9B" w:rsidRPr="00A84876" w:rsidRDefault="008D7D9B" w:rsidP="007E4F30">
            <w:pPr>
              <w:jc w:val="center"/>
              <w:rPr>
                <w:b/>
                <w:bCs/>
                <w:color w:val="000000"/>
                <w:sz w:val="16"/>
                <w:szCs w:val="16"/>
              </w:rPr>
            </w:pPr>
            <w:r w:rsidRPr="00A84876">
              <w:rPr>
                <w:color w:val="000000"/>
                <w:sz w:val="16"/>
                <w:szCs w:val="16"/>
              </w:rPr>
              <w:t>0.80 (0.59 - 1.07)</w:t>
            </w:r>
          </w:p>
        </w:tc>
        <w:tc>
          <w:tcPr>
            <w:tcW w:w="2020" w:type="dxa"/>
            <w:noWrap/>
            <w:vAlign w:val="center"/>
          </w:tcPr>
          <w:p w14:paraId="0746895B" w14:textId="77777777" w:rsidR="008D7D9B" w:rsidRPr="00A84876" w:rsidRDefault="008D7D9B" w:rsidP="007E4F30">
            <w:pPr>
              <w:jc w:val="center"/>
              <w:rPr>
                <w:rFonts w:eastAsia="Times New Roman" w:cs="Times New Roman"/>
                <w:color w:val="000000"/>
                <w:kern w:val="0"/>
                <w:sz w:val="16"/>
                <w:szCs w:val="16"/>
                <w:lang w:eastAsia="fi-FI"/>
                <w14:ligatures w14:val="none"/>
              </w:rPr>
            </w:pPr>
            <w:r>
              <w:rPr>
                <w:rFonts w:eastAsia="Times New Roman" w:cs="Times New Roman"/>
                <w:color w:val="000000"/>
                <w:kern w:val="0"/>
                <w:sz w:val="16"/>
                <w:szCs w:val="16"/>
                <w:lang w:eastAsia="fi-FI"/>
                <w14:ligatures w14:val="none"/>
              </w:rPr>
              <w:t>n/a</w:t>
            </w:r>
          </w:p>
        </w:tc>
      </w:tr>
      <w:tr w:rsidR="008D7D9B" w:rsidRPr="00A84876" w14:paraId="2114FACA" w14:textId="77777777" w:rsidTr="001267C9">
        <w:trPr>
          <w:trHeight w:val="264"/>
        </w:trPr>
        <w:tc>
          <w:tcPr>
            <w:tcW w:w="2122" w:type="dxa"/>
            <w:noWrap/>
            <w:vAlign w:val="center"/>
          </w:tcPr>
          <w:p w14:paraId="5EE2F295" w14:textId="77777777" w:rsidR="008D7D9B" w:rsidRPr="00A84876" w:rsidRDefault="008D7D9B" w:rsidP="007E4F30">
            <w:pPr>
              <w:rPr>
                <w:rFonts w:eastAsia="Times New Roman" w:cs="Times New Roman"/>
                <w:color w:val="000000"/>
                <w:kern w:val="0"/>
                <w:sz w:val="16"/>
                <w:szCs w:val="16"/>
                <w:lang w:eastAsia="fi-FI"/>
                <w14:ligatures w14:val="none"/>
              </w:rPr>
            </w:pPr>
          </w:p>
        </w:tc>
        <w:tc>
          <w:tcPr>
            <w:tcW w:w="1984" w:type="dxa"/>
            <w:noWrap/>
            <w:vAlign w:val="center"/>
          </w:tcPr>
          <w:p w14:paraId="438137F6" w14:textId="77777777" w:rsidR="008D7D9B" w:rsidRPr="00A84876" w:rsidRDefault="008D7D9B" w:rsidP="007E4F30">
            <w:pP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Osteoporosis only</w:t>
            </w:r>
          </w:p>
        </w:tc>
        <w:tc>
          <w:tcPr>
            <w:tcW w:w="709" w:type="dxa"/>
            <w:noWrap/>
            <w:vAlign w:val="center"/>
          </w:tcPr>
          <w:p w14:paraId="4F4CBF8B" w14:textId="77777777" w:rsidR="008D7D9B" w:rsidRPr="00A84876" w:rsidRDefault="008D7D9B" w:rsidP="007E4F30">
            <w:pPr>
              <w:jc w:val="center"/>
              <w:rPr>
                <w:color w:val="000000"/>
                <w:sz w:val="16"/>
                <w:szCs w:val="16"/>
              </w:rPr>
            </w:pPr>
            <w:r w:rsidRPr="00A84876">
              <w:rPr>
                <w:color w:val="000000"/>
                <w:sz w:val="16"/>
                <w:szCs w:val="16"/>
              </w:rPr>
              <w:t>184</w:t>
            </w:r>
          </w:p>
        </w:tc>
        <w:tc>
          <w:tcPr>
            <w:tcW w:w="1843" w:type="dxa"/>
            <w:noWrap/>
            <w:vAlign w:val="center"/>
          </w:tcPr>
          <w:p w14:paraId="4E5D15E8" w14:textId="77777777" w:rsidR="008D7D9B" w:rsidRPr="00A84876" w:rsidRDefault="008D7D9B" w:rsidP="007E4F30">
            <w:pPr>
              <w:jc w:val="center"/>
              <w:rPr>
                <w:rFonts w:eastAsia="Times New Roman" w:cs="Times New Roman"/>
                <w:color w:val="000000"/>
                <w:kern w:val="0"/>
                <w:sz w:val="16"/>
                <w:szCs w:val="16"/>
                <w:lang w:eastAsia="fi-FI"/>
                <w14:ligatures w14:val="none"/>
              </w:rPr>
            </w:pPr>
            <w:r w:rsidRPr="00A84876">
              <w:rPr>
                <w:rFonts w:eastAsia="Times New Roman" w:cs="Times New Roman"/>
                <w:color w:val="000000"/>
                <w:kern w:val="0"/>
                <w:sz w:val="16"/>
                <w:szCs w:val="16"/>
                <w:lang w:eastAsia="fi-FI"/>
                <w14:ligatures w14:val="none"/>
              </w:rPr>
              <w:t>184 (100)</w:t>
            </w:r>
          </w:p>
        </w:tc>
        <w:tc>
          <w:tcPr>
            <w:tcW w:w="2019" w:type="dxa"/>
            <w:vAlign w:val="center"/>
          </w:tcPr>
          <w:p w14:paraId="641E3A06" w14:textId="77777777" w:rsidR="008D7D9B" w:rsidRPr="00A84876" w:rsidRDefault="008D7D9B" w:rsidP="007E4F30">
            <w:pPr>
              <w:jc w:val="center"/>
              <w:rPr>
                <w:color w:val="000000"/>
                <w:sz w:val="16"/>
                <w:szCs w:val="16"/>
              </w:rPr>
            </w:pPr>
            <w:r>
              <w:rPr>
                <w:b/>
                <w:bCs/>
                <w:color w:val="000000"/>
                <w:sz w:val="16"/>
                <w:szCs w:val="16"/>
              </w:rPr>
              <w:t>0.60 (0.47 – 0.78)</w:t>
            </w:r>
          </w:p>
        </w:tc>
        <w:tc>
          <w:tcPr>
            <w:tcW w:w="2020" w:type="dxa"/>
            <w:vAlign w:val="center"/>
          </w:tcPr>
          <w:p w14:paraId="76A4E2BA" w14:textId="77777777" w:rsidR="008D7D9B" w:rsidRPr="00A84876" w:rsidRDefault="008D7D9B" w:rsidP="007E4F30">
            <w:pPr>
              <w:jc w:val="center"/>
              <w:rPr>
                <w:color w:val="000000"/>
                <w:sz w:val="16"/>
                <w:szCs w:val="16"/>
              </w:rPr>
            </w:pPr>
            <w:r>
              <w:rPr>
                <w:b/>
                <w:bCs/>
                <w:color w:val="000000"/>
                <w:sz w:val="16"/>
                <w:szCs w:val="16"/>
              </w:rPr>
              <w:t>1.53 (1.13 – 2.08)</w:t>
            </w:r>
          </w:p>
        </w:tc>
        <w:tc>
          <w:tcPr>
            <w:tcW w:w="2020" w:type="dxa"/>
            <w:vAlign w:val="center"/>
          </w:tcPr>
          <w:p w14:paraId="2E9ADEA6" w14:textId="77777777" w:rsidR="008D7D9B" w:rsidRPr="00A84876" w:rsidRDefault="008D7D9B" w:rsidP="007E4F30">
            <w:pPr>
              <w:jc w:val="center"/>
              <w:rPr>
                <w:color w:val="000000"/>
                <w:sz w:val="16"/>
                <w:szCs w:val="16"/>
              </w:rPr>
            </w:pPr>
            <w:r w:rsidRPr="00A84876">
              <w:rPr>
                <w:b/>
                <w:bCs/>
                <w:color w:val="000000"/>
                <w:sz w:val="16"/>
                <w:szCs w:val="16"/>
              </w:rPr>
              <w:t>0.69 (0.51 - 0.95)</w:t>
            </w:r>
          </w:p>
        </w:tc>
        <w:tc>
          <w:tcPr>
            <w:tcW w:w="2020" w:type="dxa"/>
            <w:noWrap/>
            <w:vAlign w:val="center"/>
          </w:tcPr>
          <w:p w14:paraId="065C617F" w14:textId="77777777" w:rsidR="008D7D9B" w:rsidRPr="00A84876" w:rsidRDefault="008D7D9B" w:rsidP="007E4F30">
            <w:pPr>
              <w:jc w:val="center"/>
              <w:rPr>
                <w:rFonts w:eastAsia="Times New Roman" w:cs="Times New Roman"/>
                <w:color w:val="000000"/>
                <w:kern w:val="0"/>
                <w:sz w:val="16"/>
                <w:szCs w:val="16"/>
                <w:lang w:eastAsia="fi-FI"/>
                <w14:ligatures w14:val="none"/>
              </w:rPr>
            </w:pPr>
            <w:r>
              <w:rPr>
                <w:rFonts w:eastAsia="Times New Roman" w:cs="Times New Roman"/>
                <w:color w:val="000000"/>
                <w:kern w:val="0"/>
                <w:sz w:val="16"/>
                <w:szCs w:val="16"/>
                <w:lang w:eastAsia="fi-FI"/>
                <w14:ligatures w14:val="none"/>
              </w:rPr>
              <w:t>n/a</w:t>
            </w:r>
          </w:p>
        </w:tc>
      </w:tr>
    </w:tbl>
    <w:p w14:paraId="3CE5CCF5" w14:textId="77777777" w:rsidR="008D7D9B" w:rsidRPr="0086552D" w:rsidRDefault="008D7D9B" w:rsidP="008D7D9B">
      <w:pPr>
        <w:pStyle w:val="FootnoteText"/>
      </w:pPr>
      <w:r>
        <w:rPr>
          <w:rStyle w:val="FootnoteReference"/>
        </w:rPr>
        <w:footnoteRef/>
      </w:r>
      <w:r>
        <w:t xml:space="preserve"> Model 1: adjusted for age and sex</w:t>
      </w:r>
    </w:p>
    <w:p w14:paraId="56F4A7F9" w14:textId="77777777" w:rsidR="008D7D9B" w:rsidRPr="0086552D" w:rsidRDefault="008D7D9B" w:rsidP="008D7D9B">
      <w:pPr>
        <w:pStyle w:val="FootnoteText"/>
      </w:pPr>
      <w:r>
        <w:rPr>
          <w:rStyle w:val="FootnoteReference"/>
        </w:rPr>
        <w:t>2</w:t>
      </w:r>
      <w:r>
        <w:t xml:space="preserve"> Model 2: adjusted for age, sex, smoking, level of education, and physical activity</w:t>
      </w:r>
    </w:p>
    <w:p w14:paraId="02DCD48D" w14:textId="77777777" w:rsidR="008D7D9B" w:rsidRPr="0086552D" w:rsidRDefault="008D7D9B" w:rsidP="008D7D9B">
      <w:pPr>
        <w:pStyle w:val="FootnoteText"/>
      </w:pPr>
      <w:r>
        <w:rPr>
          <w:rStyle w:val="FootnoteReference"/>
        </w:rPr>
        <w:t>3</w:t>
      </w:r>
      <w:r>
        <w:t xml:space="preserve"> Model 3: adjusted for age, sex, smoking, level of education, physical activity and mobility limitation</w:t>
      </w:r>
    </w:p>
    <w:p w14:paraId="6CD2D792" w14:textId="77777777" w:rsidR="008D7D9B" w:rsidRPr="0086552D" w:rsidRDefault="008D7D9B" w:rsidP="008D7D9B">
      <w:pPr>
        <w:pStyle w:val="FootnoteText"/>
      </w:pPr>
      <w:r>
        <w:rPr>
          <w:rStyle w:val="FootnoteReference"/>
        </w:rPr>
        <w:t>4</w:t>
      </w:r>
      <w:r>
        <w:t xml:space="preserve"> Model 4: Fine-Gray method adjusted for age, sex, smoking, level of education, physical activity and mobility limitation</w:t>
      </w:r>
    </w:p>
    <w:p w14:paraId="6FA4FEA4" w14:textId="77777777" w:rsidR="008D7D9B" w:rsidRPr="00814DB3" w:rsidRDefault="008D7D9B" w:rsidP="008D7D9B">
      <w:pPr>
        <w:rPr>
          <w:rFonts w:asciiTheme="majorHAnsi" w:hAnsiTheme="majorHAnsi"/>
          <w:sz w:val="20"/>
          <w:szCs w:val="20"/>
        </w:rPr>
        <w:sectPr w:rsidR="008D7D9B" w:rsidRPr="00814DB3" w:rsidSect="008D7D9B">
          <w:footerReference w:type="default" r:id="rId8"/>
          <w:pgSz w:w="16838" w:h="11906" w:orient="landscape"/>
          <w:pgMar w:top="1134" w:right="1417" w:bottom="1134" w:left="1417" w:header="708" w:footer="708" w:gutter="0"/>
          <w:cols w:space="708"/>
          <w:docGrid w:linePitch="360"/>
        </w:sectPr>
      </w:pPr>
      <w:r w:rsidRPr="00814DB3">
        <w:rPr>
          <w:rStyle w:val="FootnoteReference"/>
          <w:sz w:val="20"/>
          <w:szCs w:val="20"/>
        </w:rPr>
        <w:t>5</w:t>
      </w:r>
      <w:r w:rsidRPr="00814DB3">
        <w:rPr>
          <w:sz w:val="20"/>
          <w:szCs w:val="20"/>
        </w:rPr>
        <w:t xml:space="preserve"> Percentage of subjects within the respective group who experienced the event of interest during follow-up</w:t>
      </w:r>
    </w:p>
    <w:p w14:paraId="53908111" w14:textId="77777777" w:rsidR="00174D56" w:rsidRPr="002B37EB" w:rsidRDefault="00174D56" w:rsidP="00A16B2D">
      <w:pPr>
        <w:rPr>
          <w:rFonts w:asciiTheme="majorHAnsi" w:hAnsiTheme="majorHAnsi"/>
          <w:color w:val="000000"/>
        </w:rPr>
      </w:pPr>
    </w:p>
    <w:p w14:paraId="44748FC6" w14:textId="241E231B" w:rsidR="00174D56" w:rsidRPr="00A2010D" w:rsidRDefault="00174D56" w:rsidP="00A16B2D"/>
    <w:sectPr w:rsidR="00174D56" w:rsidRPr="00A2010D" w:rsidSect="00174D56">
      <w:footerReference w:type="default" r:id="rId9"/>
      <w:pgSz w:w="11906" w:h="16838"/>
      <w:pgMar w:top="1417" w:right="1134"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EA7598" w14:textId="77777777" w:rsidR="002A2973" w:rsidRDefault="002A2973" w:rsidP="00447EF1">
      <w:pPr>
        <w:spacing w:after="0" w:line="240" w:lineRule="auto"/>
      </w:pPr>
      <w:r>
        <w:separator/>
      </w:r>
    </w:p>
  </w:endnote>
  <w:endnote w:type="continuationSeparator" w:id="0">
    <w:p w14:paraId="67DF9ED9" w14:textId="77777777" w:rsidR="002A2973" w:rsidRDefault="002A2973" w:rsidP="00447E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7240099"/>
      <w:docPartObj>
        <w:docPartGallery w:val="Page Numbers (Bottom of Page)"/>
        <w:docPartUnique/>
      </w:docPartObj>
    </w:sdtPr>
    <w:sdtEndPr>
      <w:rPr>
        <w:noProof/>
      </w:rPr>
    </w:sdtEndPr>
    <w:sdtContent>
      <w:p w14:paraId="3ECDDF2D" w14:textId="77777777" w:rsidR="008D7D9B" w:rsidRDefault="008D7D9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AF7A97F" w14:textId="77777777" w:rsidR="008D7D9B" w:rsidRDefault="008D7D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0800947"/>
      <w:docPartObj>
        <w:docPartGallery w:val="Page Numbers (Bottom of Page)"/>
        <w:docPartUnique/>
      </w:docPartObj>
    </w:sdtPr>
    <w:sdtEndPr>
      <w:rPr>
        <w:noProof/>
      </w:rPr>
    </w:sdtEndPr>
    <w:sdtContent>
      <w:p w14:paraId="17FDBD56" w14:textId="341E0796" w:rsidR="008D7D9B" w:rsidRDefault="008D7D9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A3B2841" w14:textId="77777777" w:rsidR="008D7D9B" w:rsidRDefault="008D7D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4D8094" w14:textId="77777777" w:rsidR="002A2973" w:rsidRDefault="002A2973" w:rsidP="00447EF1">
      <w:pPr>
        <w:spacing w:after="0" w:line="240" w:lineRule="auto"/>
      </w:pPr>
      <w:r>
        <w:separator/>
      </w:r>
    </w:p>
  </w:footnote>
  <w:footnote w:type="continuationSeparator" w:id="0">
    <w:p w14:paraId="5AEAAF59" w14:textId="77777777" w:rsidR="002A2973" w:rsidRDefault="002A2973" w:rsidP="00447EF1">
      <w:pPr>
        <w:spacing w:after="0" w:line="240" w:lineRule="auto"/>
      </w:pPr>
      <w:r>
        <w:continuationSeparator/>
      </w:r>
    </w:p>
  </w:footnote>
  <w:footnote w:id="1">
    <w:p w14:paraId="011A146E" w14:textId="77777777" w:rsidR="008D7D9B" w:rsidRPr="00EF0536" w:rsidRDefault="008D7D9B" w:rsidP="008D7D9B">
      <w:pPr>
        <w:pStyle w:val="FootnoteText"/>
      </w:pPr>
      <w:r>
        <w:rPr>
          <w:rStyle w:val="FootnoteReference"/>
        </w:rPr>
        <w:footnoteRef/>
      </w:r>
      <w:r>
        <w:t xml:space="preserve"> Model 1: adjusted for age and sex</w:t>
      </w:r>
    </w:p>
  </w:footnote>
  <w:footnote w:id="2">
    <w:p w14:paraId="608E7B9A" w14:textId="77777777" w:rsidR="008D7D9B" w:rsidRPr="00EF0536" w:rsidRDefault="008D7D9B" w:rsidP="008D7D9B">
      <w:pPr>
        <w:pStyle w:val="FootnoteText"/>
      </w:pPr>
      <w:r>
        <w:rPr>
          <w:rStyle w:val="FootnoteReference"/>
        </w:rPr>
        <w:footnoteRef/>
      </w:r>
      <w:r>
        <w:t xml:space="preserve"> Model 2: adjusted for age, sex, smoking, education, and physical activity</w:t>
      </w:r>
    </w:p>
  </w:footnote>
  <w:footnote w:id="3">
    <w:p w14:paraId="5528B343" w14:textId="77777777" w:rsidR="008D7D9B" w:rsidRPr="00EF0536" w:rsidRDefault="008D7D9B" w:rsidP="008D7D9B">
      <w:pPr>
        <w:pStyle w:val="FootnoteText"/>
      </w:pPr>
      <w:r>
        <w:rPr>
          <w:rStyle w:val="FootnoteReference"/>
        </w:rPr>
        <w:footnoteRef/>
      </w:r>
      <w:r>
        <w:t xml:space="preserve"> Model 3: adjusted for age, sex, smoking, education, physical activity and mobility limitation</w:t>
      </w:r>
    </w:p>
  </w:footnote>
  <w:footnote w:id="4">
    <w:p w14:paraId="1572015C" w14:textId="77777777" w:rsidR="008D7D9B" w:rsidRPr="00EF0536" w:rsidRDefault="008D7D9B" w:rsidP="008D7D9B">
      <w:pPr>
        <w:pStyle w:val="FootnoteText"/>
      </w:pPr>
      <w:r>
        <w:rPr>
          <w:rStyle w:val="FootnoteReference"/>
        </w:rPr>
        <w:footnoteRef/>
      </w:r>
      <w:r>
        <w:t xml:space="preserve"> Model 4: Fine-Gray method adjusted for age, sex, smoking,  education, physical activity and mobility limitation</w:t>
      </w:r>
    </w:p>
  </w:footnote>
  <w:footnote w:id="5">
    <w:p w14:paraId="51AAEF1A" w14:textId="77777777" w:rsidR="008D7D9B" w:rsidRDefault="008D7D9B" w:rsidP="008D7D9B">
      <w:pPr>
        <w:pStyle w:val="FootnoteText"/>
      </w:pPr>
      <w:r>
        <w:rPr>
          <w:rStyle w:val="FootnoteReference"/>
        </w:rPr>
        <w:footnoteRef/>
      </w:r>
      <w:r>
        <w:t xml:space="preserve"> </w:t>
      </w:r>
      <w:r w:rsidRPr="00972F33">
        <w:t xml:space="preserve">Percentage of subjects within </w:t>
      </w:r>
      <w:r>
        <w:t>the respective</w:t>
      </w:r>
      <w:r w:rsidRPr="00972F33">
        <w:t xml:space="preserve"> group who experienced the event of interest during follow-up</w:t>
      </w:r>
    </w:p>
    <w:p w14:paraId="25A399A1" w14:textId="77777777" w:rsidR="008D7D9B" w:rsidRPr="00972F33" w:rsidRDefault="008D7D9B" w:rsidP="008D7D9B">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8F2B8E"/>
    <w:multiLevelType w:val="hybridMultilevel"/>
    <w:tmpl w:val="9B30FC0C"/>
    <w:lvl w:ilvl="0" w:tplc="2698E93E">
      <w:start w:val="11"/>
      <w:numFmt w:val="bullet"/>
      <w:lvlText w:val="-"/>
      <w:lvlJc w:val="left"/>
      <w:pPr>
        <w:ind w:left="720" w:hanging="360"/>
      </w:pPr>
      <w:rPr>
        <w:rFonts w:ascii="Aptos Display" w:eastAsiaTheme="minorHAnsi" w:hAnsi="Aptos Display" w:cs="Times New Roman"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65DD1A9D"/>
    <w:multiLevelType w:val="hybridMultilevel"/>
    <w:tmpl w:val="BBE83514"/>
    <w:lvl w:ilvl="0" w:tplc="05829C54">
      <w:start w:val="1"/>
      <w:numFmt w:val="bullet"/>
      <w:lvlText w:val="-"/>
      <w:lvlJc w:val="left"/>
      <w:pPr>
        <w:ind w:left="720" w:hanging="360"/>
      </w:pPr>
      <w:rPr>
        <w:rFonts w:ascii="Aptos Display" w:eastAsiaTheme="minorHAnsi" w:hAnsi="Aptos Display" w:cstheme="minorBidi"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 w15:restartNumberingAfterBreak="0">
    <w:nsid w:val="6908363C"/>
    <w:multiLevelType w:val="hybridMultilevel"/>
    <w:tmpl w:val="595A32BE"/>
    <w:lvl w:ilvl="0" w:tplc="1188D086">
      <w:start w:val="1"/>
      <w:numFmt w:val="bullet"/>
      <w:lvlText w:val="-"/>
      <w:lvlJc w:val="left"/>
      <w:pPr>
        <w:ind w:left="720" w:hanging="360"/>
      </w:pPr>
      <w:rPr>
        <w:rFonts w:ascii="Aptos" w:eastAsiaTheme="minorHAnsi" w:hAnsi="Aptos" w:cstheme="minorBid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16cid:durableId="828407730">
    <w:abstractNumId w:val="1"/>
  </w:num>
  <w:num w:numId="2" w16cid:durableId="1315794439">
    <w:abstractNumId w:val="0"/>
  </w:num>
  <w:num w:numId="3" w16cid:durableId="6461310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08B"/>
    <w:rsid w:val="000024CF"/>
    <w:rsid w:val="00003CF5"/>
    <w:rsid w:val="0000454A"/>
    <w:rsid w:val="00007F5D"/>
    <w:rsid w:val="000253E0"/>
    <w:rsid w:val="00026E72"/>
    <w:rsid w:val="00030217"/>
    <w:rsid w:val="0003578D"/>
    <w:rsid w:val="00042019"/>
    <w:rsid w:val="000603CC"/>
    <w:rsid w:val="00064409"/>
    <w:rsid w:val="00072371"/>
    <w:rsid w:val="0008248F"/>
    <w:rsid w:val="000834DF"/>
    <w:rsid w:val="00083973"/>
    <w:rsid w:val="00084636"/>
    <w:rsid w:val="000944EE"/>
    <w:rsid w:val="000963E7"/>
    <w:rsid w:val="000979DA"/>
    <w:rsid w:val="000A2C30"/>
    <w:rsid w:val="000A73BB"/>
    <w:rsid w:val="000B3262"/>
    <w:rsid w:val="000B4A9D"/>
    <w:rsid w:val="000B6A4B"/>
    <w:rsid w:val="000C6955"/>
    <w:rsid w:val="000C7F61"/>
    <w:rsid w:val="000D5A09"/>
    <w:rsid w:val="00104562"/>
    <w:rsid w:val="00117436"/>
    <w:rsid w:val="00123A9B"/>
    <w:rsid w:val="001247C0"/>
    <w:rsid w:val="001267C9"/>
    <w:rsid w:val="00126CC8"/>
    <w:rsid w:val="00143126"/>
    <w:rsid w:val="001477D5"/>
    <w:rsid w:val="0015024F"/>
    <w:rsid w:val="001508B6"/>
    <w:rsid w:val="00154597"/>
    <w:rsid w:val="0015551C"/>
    <w:rsid w:val="0015608E"/>
    <w:rsid w:val="0015708B"/>
    <w:rsid w:val="00174D56"/>
    <w:rsid w:val="00175D55"/>
    <w:rsid w:val="00176A9D"/>
    <w:rsid w:val="00180AAB"/>
    <w:rsid w:val="0018205B"/>
    <w:rsid w:val="00185B22"/>
    <w:rsid w:val="001A24BB"/>
    <w:rsid w:val="001A3A7D"/>
    <w:rsid w:val="001A7F5A"/>
    <w:rsid w:val="001B15C6"/>
    <w:rsid w:val="001B6AB6"/>
    <w:rsid w:val="001C13CD"/>
    <w:rsid w:val="001C4F70"/>
    <w:rsid w:val="001D3EA6"/>
    <w:rsid w:val="001E0FE4"/>
    <w:rsid w:val="001E3FEC"/>
    <w:rsid w:val="001F47C5"/>
    <w:rsid w:val="001F4D94"/>
    <w:rsid w:val="001F61AE"/>
    <w:rsid w:val="00201714"/>
    <w:rsid w:val="00202FC3"/>
    <w:rsid w:val="00203338"/>
    <w:rsid w:val="00207C81"/>
    <w:rsid w:val="00211DDD"/>
    <w:rsid w:val="002204CA"/>
    <w:rsid w:val="00226D21"/>
    <w:rsid w:val="00243D0F"/>
    <w:rsid w:val="00267885"/>
    <w:rsid w:val="00272DCA"/>
    <w:rsid w:val="002768ED"/>
    <w:rsid w:val="00282C5C"/>
    <w:rsid w:val="00286AB5"/>
    <w:rsid w:val="00290618"/>
    <w:rsid w:val="002A2973"/>
    <w:rsid w:val="002B37EB"/>
    <w:rsid w:val="002C0B1B"/>
    <w:rsid w:val="002C1096"/>
    <w:rsid w:val="002C348D"/>
    <w:rsid w:val="002C4ED9"/>
    <w:rsid w:val="002E490B"/>
    <w:rsid w:val="002F7658"/>
    <w:rsid w:val="002F7B42"/>
    <w:rsid w:val="00302D77"/>
    <w:rsid w:val="0030768E"/>
    <w:rsid w:val="00327DD4"/>
    <w:rsid w:val="00327E27"/>
    <w:rsid w:val="00347B09"/>
    <w:rsid w:val="00361150"/>
    <w:rsid w:val="003620B7"/>
    <w:rsid w:val="00376C31"/>
    <w:rsid w:val="00385A2D"/>
    <w:rsid w:val="00390514"/>
    <w:rsid w:val="00392578"/>
    <w:rsid w:val="003948EA"/>
    <w:rsid w:val="003948F4"/>
    <w:rsid w:val="003950AD"/>
    <w:rsid w:val="003A2008"/>
    <w:rsid w:val="003A2A20"/>
    <w:rsid w:val="003A5E68"/>
    <w:rsid w:val="003B4D14"/>
    <w:rsid w:val="003B7F45"/>
    <w:rsid w:val="003C1532"/>
    <w:rsid w:val="003C2D13"/>
    <w:rsid w:val="003C7AAE"/>
    <w:rsid w:val="003D451A"/>
    <w:rsid w:val="003E5BFC"/>
    <w:rsid w:val="003E5D73"/>
    <w:rsid w:val="003F0CFB"/>
    <w:rsid w:val="003F4C26"/>
    <w:rsid w:val="003F7D23"/>
    <w:rsid w:val="0040433D"/>
    <w:rsid w:val="00422108"/>
    <w:rsid w:val="00425E1D"/>
    <w:rsid w:val="004263CC"/>
    <w:rsid w:val="004409EC"/>
    <w:rsid w:val="00447A91"/>
    <w:rsid w:val="00447EF1"/>
    <w:rsid w:val="00450535"/>
    <w:rsid w:val="004732AA"/>
    <w:rsid w:val="00481538"/>
    <w:rsid w:val="00491D29"/>
    <w:rsid w:val="004931C5"/>
    <w:rsid w:val="00495E71"/>
    <w:rsid w:val="004A6799"/>
    <w:rsid w:val="004C1DED"/>
    <w:rsid w:val="004C2F6C"/>
    <w:rsid w:val="004D04C3"/>
    <w:rsid w:val="004D5C6F"/>
    <w:rsid w:val="004D62EE"/>
    <w:rsid w:val="004D6E69"/>
    <w:rsid w:val="004E4746"/>
    <w:rsid w:val="004E6548"/>
    <w:rsid w:val="004F7F62"/>
    <w:rsid w:val="005052D1"/>
    <w:rsid w:val="0050733F"/>
    <w:rsid w:val="00507BA0"/>
    <w:rsid w:val="00515D0B"/>
    <w:rsid w:val="00516998"/>
    <w:rsid w:val="00534463"/>
    <w:rsid w:val="00537725"/>
    <w:rsid w:val="0055302F"/>
    <w:rsid w:val="00555906"/>
    <w:rsid w:val="00555C5E"/>
    <w:rsid w:val="00560E9D"/>
    <w:rsid w:val="00562014"/>
    <w:rsid w:val="00576F63"/>
    <w:rsid w:val="005956ED"/>
    <w:rsid w:val="00596276"/>
    <w:rsid w:val="005A33B7"/>
    <w:rsid w:val="005A6F3F"/>
    <w:rsid w:val="005B347A"/>
    <w:rsid w:val="005B7259"/>
    <w:rsid w:val="005D436D"/>
    <w:rsid w:val="005D593D"/>
    <w:rsid w:val="005D628F"/>
    <w:rsid w:val="005F2238"/>
    <w:rsid w:val="00600700"/>
    <w:rsid w:val="00604D09"/>
    <w:rsid w:val="00607DCE"/>
    <w:rsid w:val="00632F26"/>
    <w:rsid w:val="006356D8"/>
    <w:rsid w:val="006418F9"/>
    <w:rsid w:val="0064562D"/>
    <w:rsid w:val="00660F45"/>
    <w:rsid w:val="006639E7"/>
    <w:rsid w:val="006715D5"/>
    <w:rsid w:val="006802C0"/>
    <w:rsid w:val="00683D05"/>
    <w:rsid w:val="00684DD8"/>
    <w:rsid w:val="00693EF9"/>
    <w:rsid w:val="006A321C"/>
    <w:rsid w:val="006A607D"/>
    <w:rsid w:val="006D08A3"/>
    <w:rsid w:val="006E203E"/>
    <w:rsid w:val="006E40E4"/>
    <w:rsid w:val="006F6E50"/>
    <w:rsid w:val="007002F2"/>
    <w:rsid w:val="007018B4"/>
    <w:rsid w:val="0071116D"/>
    <w:rsid w:val="007156ED"/>
    <w:rsid w:val="0072377C"/>
    <w:rsid w:val="00725498"/>
    <w:rsid w:val="00731AEF"/>
    <w:rsid w:val="00732474"/>
    <w:rsid w:val="007363FB"/>
    <w:rsid w:val="007365AB"/>
    <w:rsid w:val="0073697B"/>
    <w:rsid w:val="007371B0"/>
    <w:rsid w:val="00737E89"/>
    <w:rsid w:val="00742B11"/>
    <w:rsid w:val="007502AD"/>
    <w:rsid w:val="00760D65"/>
    <w:rsid w:val="00765B9C"/>
    <w:rsid w:val="00791F7F"/>
    <w:rsid w:val="00796F16"/>
    <w:rsid w:val="007A1782"/>
    <w:rsid w:val="007A2EA5"/>
    <w:rsid w:val="007A30E1"/>
    <w:rsid w:val="007C14C0"/>
    <w:rsid w:val="007C18BB"/>
    <w:rsid w:val="007D2B6B"/>
    <w:rsid w:val="007D3069"/>
    <w:rsid w:val="007D69A1"/>
    <w:rsid w:val="007E1C0E"/>
    <w:rsid w:val="007E315C"/>
    <w:rsid w:val="007E5192"/>
    <w:rsid w:val="007F45E6"/>
    <w:rsid w:val="007F5386"/>
    <w:rsid w:val="007F722E"/>
    <w:rsid w:val="00802379"/>
    <w:rsid w:val="008032F7"/>
    <w:rsid w:val="008053F3"/>
    <w:rsid w:val="0080723E"/>
    <w:rsid w:val="0081229A"/>
    <w:rsid w:val="00813A7C"/>
    <w:rsid w:val="00814D78"/>
    <w:rsid w:val="00814DB3"/>
    <w:rsid w:val="008174A6"/>
    <w:rsid w:val="00822FD6"/>
    <w:rsid w:val="008248B8"/>
    <w:rsid w:val="00831DB2"/>
    <w:rsid w:val="00831F42"/>
    <w:rsid w:val="00846AA7"/>
    <w:rsid w:val="00852D1B"/>
    <w:rsid w:val="00857311"/>
    <w:rsid w:val="00864E7F"/>
    <w:rsid w:val="00872F84"/>
    <w:rsid w:val="008777EB"/>
    <w:rsid w:val="00881599"/>
    <w:rsid w:val="0088500A"/>
    <w:rsid w:val="00886A18"/>
    <w:rsid w:val="0089121A"/>
    <w:rsid w:val="00894777"/>
    <w:rsid w:val="008A4051"/>
    <w:rsid w:val="008B0EDA"/>
    <w:rsid w:val="008B26CE"/>
    <w:rsid w:val="008B75CD"/>
    <w:rsid w:val="008D7ABE"/>
    <w:rsid w:val="008D7D9B"/>
    <w:rsid w:val="008E4084"/>
    <w:rsid w:val="008E41EA"/>
    <w:rsid w:val="008E7E0F"/>
    <w:rsid w:val="008F0A7E"/>
    <w:rsid w:val="008F3C04"/>
    <w:rsid w:val="008F536B"/>
    <w:rsid w:val="00911B5A"/>
    <w:rsid w:val="009156DF"/>
    <w:rsid w:val="00917F87"/>
    <w:rsid w:val="00924529"/>
    <w:rsid w:val="009276B0"/>
    <w:rsid w:val="00927A19"/>
    <w:rsid w:val="009329D3"/>
    <w:rsid w:val="00942E18"/>
    <w:rsid w:val="00942EEA"/>
    <w:rsid w:val="009619F6"/>
    <w:rsid w:val="009711E3"/>
    <w:rsid w:val="009721DB"/>
    <w:rsid w:val="00972F33"/>
    <w:rsid w:val="009779B9"/>
    <w:rsid w:val="0098109E"/>
    <w:rsid w:val="00984C78"/>
    <w:rsid w:val="0099504E"/>
    <w:rsid w:val="009A44ED"/>
    <w:rsid w:val="009B3CCE"/>
    <w:rsid w:val="009B44D8"/>
    <w:rsid w:val="009D0888"/>
    <w:rsid w:val="009E08E4"/>
    <w:rsid w:val="009E2C9A"/>
    <w:rsid w:val="009E51B3"/>
    <w:rsid w:val="009E6F8D"/>
    <w:rsid w:val="009F1AF2"/>
    <w:rsid w:val="009F3F62"/>
    <w:rsid w:val="009F62D6"/>
    <w:rsid w:val="00A121E8"/>
    <w:rsid w:val="00A16B2D"/>
    <w:rsid w:val="00A2010D"/>
    <w:rsid w:val="00A33A6A"/>
    <w:rsid w:val="00A3656E"/>
    <w:rsid w:val="00A42CFA"/>
    <w:rsid w:val="00A6005A"/>
    <w:rsid w:val="00A63BD1"/>
    <w:rsid w:val="00A644C2"/>
    <w:rsid w:val="00A83779"/>
    <w:rsid w:val="00A83E9A"/>
    <w:rsid w:val="00A87333"/>
    <w:rsid w:val="00A906C6"/>
    <w:rsid w:val="00A91301"/>
    <w:rsid w:val="00A918DE"/>
    <w:rsid w:val="00A972C1"/>
    <w:rsid w:val="00A97C7A"/>
    <w:rsid w:val="00AA4B27"/>
    <w:rsid w:val="00AA7780"/>
    <w:rsid w:val="00AA7C5C"/>
    <w:rsid w:val="00AB5936"/>
    <w:rsid w:val="00AC751E"/>
    <w:rsid w:val="00AC7B36"/>
    <w:rsid w:val="00AD598E"/>
    <w:rsid w:val="00AE1126"/>
    <w:rsid w:val="00AE389B"/>
    <w:rsid w:val="00AF2183"/>
    <w:rsid w:val="00AF3BA0"/>
    <w:rsid w:val="00B06734"/>
    <w:rsid w:val="00B07A06"/>
    <w:rsid w:val="00B13472"/>
    <w:rsid w:val="00B1467A"/>
    <w:rsid w:val="00B15F60"/>
    <w:rsid w:val="00B2092E"/>
    <w:rsid w:val="00B222E9"/>
    <w:rsid w:val="00B26E28"/>
    <w:rsid w:val="00B3628E"/>
    <w:rsid w:val="00B409CA"/>
    <w:rsid w:val="00B47E63"/>
    <w:rsid w:val="00B50214"/>
    <w:rsid w:val="00B52CC7"/>
    <w:rsid w:val="00B54922"/>
    <w:rsid w:val="00B57B33"/>
    <w:rsid w:val="00B623C7"/>
    <w:rsid w:val="00B807FD"/>
    <w:rsid w:val="00B94F7C"/>
    <w:rsid w:val="00BA2417"/>
    <w:rsid w:val="00BB0DB1"/>
    <w:rsid w:val="00BB1CE4"/>
    <w:rsid w:val="00BB20E5"/>
    <w:rsid w:val="00BC4A48"/>
    <w:rsid w:val="00BD3753"/>
    <w:rsid w:val="00BE326B"/>
    <w:rsid w:val="00BE6700"/>
    <w:rsid w:val="00BF53A1"/>
    <w:rsid w:val="00C01F3B"/>
    <w:rsid w:val="00C025CF"/>
    <w:rsid w:val="00C04E7C"/>
    <w:rsid w:val="00C20932"/>
    <w:rsid w:val="00C22AB9"/>
    <w:rsid w:val="00C31BDF"/>
    <w:rsid w:val="00C33110"/>
    <w:rsid w:val="00C43ACE"/>
    <w:rsid w:val="00C503F8"/>
    <w:rsid w:val="00C61692"/>
    <w:rsid w:val="00C704DA"/>
    <w:rsid w:val="00C70CCA"/>
    <w:rsid w:val="00C74116"/>
    <w:rsid w:val="00C83D93"/>
    <w:rsid w:val="00C93509"/>
    <w:rsid w:val="00CA236E"/>
    <w:rsid w:val="00CA3C7C"/>
    <w:rsid w:val="00CB1013"/>
    <w:rsid w:val="00CC5E6D"/>
    <w:rsid w:val="00CD3F51"/>
    <w:rsid w:val="00CF7E98"/>
    <w:rsid w:val="00D040B0"/>
    <w:rsid w:val="00D06100"/>
    <w:rsid w:val="00D4156A"/>
    <w:rsid w:val="00D53B19"/>
    <w:rsid w:val="00D67AD2"/>
    <w:rsid w:val="00D7438E"/>
    <w:rsid w:val="00D807CD"/>
    <w:rsid w:val="00D81DBF"/>
    <w:rsid w:val="00D87D93"/>
    <w:rsid w:val="00D87E5A"/>
    <w:rsid w:val="00D914E6"/>
    <w:rsid w:val="00D92A9B"/>
    <w:rsid w:val="00DB3C50"/>
    <w:rsid w:val="00DB3E5A"/>
    <w:rsid w:val="00DC571A"/>
    <w:rsid w:val="00DD1322"/>
    <w:rsid w:val="00DD1C3B"/>
    <w:rsid w:val="00DE1937"/>
    <w:rsid w:val="00DF0CA7"/>
    <w:rsid w:val="00DF2123"/>
    <w:rsid w:val="00DF3ECF"/>
    <w:rsid w:val="00DF3F00"/>
    <w:rsid w:val="00E01F00"/>
    <w:rsid w:val="00E21067"/>
    <w:rsid w:val="00E25B78"/>
    <w:rsid w:val="00E3164A"/>
    <w:rsid w:val="00E3199D"/>
    <w:rsid w:val="00E35B48"/>
    <w:rsid w:val="00E40488"/>
    <w:rsid w:val="00E42B81"/>
    <w:rsid w:val="00E502B4"/>
    <w:rsid w:val="00E50925"/>
    <w:rsid w:val="00E76147"/>
    <w:rsid w:val="00E86DF9"/>
    <w:rsid w:val="00E904DB"/>
    <w:rsid w:val="00EA31C0"/>
    <w:rsid w:val="00EB00C4"/>
    <w:rsid w:val="00EC1FA4"/>
    <w:rsid w:val="00EC48B9"/>
    <w:rsid w:val="00EC4E16"/>
    <w:rsid w:val="00ED313F"/>
    <w:rsid w:val="00ED679A"/>
    <w:rsid w:val="00EE2D00"/>
    <w:rsid w:val="00EF0536"/>
    <w:rsid w:val="00EF28F3"/>
    <w:rsid w:val="00EF7270"/>
    <w:rsid w:val="00F02482"/>
    <w:rsid w:val="00F10BD4"/>
    <w:rsid w:val="00F11487"/>
    <w:rsid w:val="00F137DD"/>
    <w:rsid w:val="00F13FEE"/>
    <w:rsid w:val="00F6547D"/>
    <w:rsid w:val="00F7040A"/>
    <w:rsid w:val="00F90B51"/>
    <w:rsid w:val="00F95691"/>
    <w:rsid w:val="00FB160A"/>
    <w:rsid w:val="00FB50B0"/>
    <w:rsid w:val="00FE4166"/>
    <w:rsid w:val="00FF05C0"/>
    <w:rsid w:val="00FF0AD1"/>
    <w:rsid w:val="00FF0DE4"/>
    <w:rsid w:val="00FF6C73"/>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2346D"/>
  <w15:chartTrackingRefBased/>
  <w15:docId w15:val="{3940FCFD-FE93-4599-8E5D-918F3F460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i-F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1570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570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1570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1570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570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570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570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570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570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5708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5708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570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1570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570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570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570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570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5708B"/>
    <w:rPr>
      <w:rFonts w:eastAsiaTheme="majorEastAsia" w:cstheme="majorBidi"/>
      <w:color w:val="272727" w:themeColor="text1" w:themeTint="D8"/>
    </w:rPr>
  </w:style>
  <w:style w:type="paragraph" w:styleId="Title">
    <w:name w:val="Title"/>
    <w:basedOn w:val="Normal"/>
    <w:next w:val="Normal"/>
    <w:link w:val="TitleChar"/>
    <w:uiPriority w:val="10"/>
    <w:qFormat/>
    <w:rsid w:val="001570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570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570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570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5708B"/>
    <w:pPr>
      <w:spacing w:before="160"/>
      <w:jc w:val="center"/>
    </w:pPr>
    <w:rPr>
      <w:i/>
      <w:iCs/>
      <w:color w:val="404040" w:themeColor="text1" w:themeTint="BF"/>
    </w:rPr>
  </w:style>
  <w:style w:type="character" w:customStyle="1" w:styleId="QuoteChar">
    <w:name w:val="Quote Char"/>
    <w:basedOn w:val="DefaultParagraphFont"/>
    <w:link w:val="Quote"/>
    <w:uiPriority w:val="29"/>
    <w:rsid w:val="0015708B"/>
    <w:rPr>
      <w:i/>
      <w:iCs/>
      <w:color w:val="404040" w:themeColor="text1" w:themeTint="BF"/>
    </w:rPr>
  </w:style>
  <w:style w:type="paragraph" w:styleId="ListParagraph">
    <w:name w:val="List Paragraph"/>
    <w:basedOn w:val="Normal"/>
    <w:uiPriority w:val="34"/>
    <w:qFormat/>
    <w:rsid w:val="0015708B"/>
    <w:pPr>
      <w:ind w:left="720"/>
      <w:contextualSpacing/>
    </w:pPr>
  </w:style>
  <w:style w:type="character" w:styleId="IntenseEmphasis">
    <w:name w:val="Intense Emphasis"/>
    <w:basedOn w:val="DefaultParagraphFont"/>
    <w:uiPriority w:val="21"/>
    <w:qFormat/>
    <w:rsid w:val="0015708B"/>
    <w:rPr>
      <w:i/>
      <w:iCs/>
      <w:color w:val="0F4761" w:themeColor="accent1" w:themeShade="BF"/>
    </w:rPr>
  </w:style>
  <w:style w:type="paragraph" w:styleId="IntenseQuote">
    <w:name w:val="Intense Quote"/>
    <w:basedOn w:val="Normal"/>
    <w:next w:val="Normal"/>
    <w:link w:val="IntenseQuoteChar"/>
    <w:uiPriority w:val="30"/>
    <w:qFormat/>
    <w:rsid w:val="001570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5708B"/>
    <w:rPr>
      <w:i/>
      <w:iCs/>
      <w:color w:val="0F4761" w:themeColor="accent1" w:themeShade="BF"/>
    </w:rPr>
  </w:style>
  <w:style w:type="character" w:styleId="IntenseReference">
    <w:name w:val="Intense Reference"/>
    <w:basedOn w:val="DefaultParagraphFont"/>
    <w:uiPriority w:val="32"/>
    <w:qFormat/>
    <w:rsid w:val="0015708B"/>
    <w:rPr>
      <w:b/>
      <w:bCs/>
      <w:smallCaps/>
      <w:color w:val="0F4761" w:themeColor="accent1" w:themeShade="BF"/>
      <w:spacing w:val="5"/>
    </w:rPr>
  </w:style>
  <w:style w:type="character" w:styleId="Hyperlink">
    <w:name w:val="Hyperlink"/>
    <w:basedOn w:val="DefaultParagraphFont"/>
    <w:uiPriority w:val="99"/>
    <w:unhideWhenUsed/>
    <w:rsid w:val="00422108"/>
    <w:rPr>
      <w:color w:val="467886" w:themeColor="hyperlink"/>
      <w:u w:val="single"/>
    </w:rPr>
  </w:style>
  <w:style w:type="character" w:styleId="UnresolvedMention">
    <w:name w:val="Unresolved Mention"/>
    <w:basedOn w:val="DefaultParagraphFont"/>
    <w:uiPriority w:val="99"/>
    <w:semiHidden/>
    <w:unhideWhenUsed/>
    <w:rsid w:val="00422108"/>
    <w:rPr>
      <w:color w:val="605E5C"/>
      <w:shd w:val="clear" w:color="auto" w:fill="E1DFDD"/>
    </w:rPr>
  </w:style>
  <w:style w:type="table" w:styleId="TableGrid">
    <w:name w:val="Table Grid"/>
    <w:basedOn w:val="TableNormal"/>
    <w:uiPriority w:val="39"/>
    <w:rsid w:val="00A365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D7438E"/>
    <w:pPr>
      <w:spacing w:after="200" w:line="240" w:lineRule="auto"/>
    </w:pPr>
    <w:rPr>
      <w:i/>
      <w:iCs/>
      <w:color w:val="0E2841" w:themeColor="text2"/>
      <w:sz w:val="18"/>
      <w:szCs w:val="18"/>
    </w:rPr>
  </w:style>
  <w:style w:type="paragraph" w:styleId="FootnoteText">
    <w:name w:val="footnote text"/>
    <w:basedOn w:val="Normal"/>
    <w:link w:val="FootnoteTextChar"/>
    <w:uiPriority w:val="99"/>
    <w:semiHidden/>
    <w:unhideWhenUsed/>
    <w:rsid w:val="00447EF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47EF1"/>
    <w:rPr>
      <w:sz w:val="20"/>
      <w:szCs w:val="20"/>
      <w:lang w:val="en-US"/>
    </w:rPr>
  </w:style>
  <w:style w:type="character" w:styleId="FootnoteReference">
    <w:name w:val="footnote reference"/>
    <w:basedOn w:val="DefaultParagraphFont"/>
    <w:uiPriority w:val="99"/>
    <w:semiHidden/>
    <w:unhideWhenUsed/>
    <w:rsid w:val="00447EF1"/>
    <w:rPr>
      <w:vertAlign w:val="superscript"/>
    </w:rPr>
  </w:style>
  <w:style w:type="character" w:styleId="PlaceholderText">
    <w:name w:val="Placeholder Text"/>
    <w:basedOn w:val="DefaultParagraphFont"/>
    <w:uiPriority w:val="99"/>
    <w:semiHidden/>
    <w:rsid w:val="00CA3C7C"/>
    <w:rPr>
      <w:color w:val="666666"/>
    </w:rPr>
  </w:style>
  <w:style w:type="character" w:styleId="CommentReference">
    <w:name w:val="annotation reference"/>
    <w:basedOn w:val="DefaultParagraphFont"/>
    <w:uiPriority w:val="99"/>
    <w:semiHidden/>
    <w:unhideWhenUsed/>
    <w:rsid w:val="00A83779"/>
    <w:rPr>
      <w:sz w:val="16"/>
      <w:szCs w:val="16"/>
    </w:rPr>
  </w:style>
  <w:style w:type="paragraph" w:styleId="CommentText">
    <w:name w:val="annotation text"/>
    <w:basedOn w:val="Normal"/>
    <w:link w:val="CommentTextChar"/>
    <w:uiPriority w:val="99"/>
    <w:unhideWhenUsed/>
    <w:rsid w:val="00A83779"/>
    <w:pPr>
      <w:spacing w:line="240" w:lineRule="auto"/>
    </w:pPr>
    <w:rPr>
      <w:sz w:val="20"/>
      <w:szCs w:val="20"/>
    </w:rPr>
  </w:style>
  <w:style w:type="character" w:customStyle="1" w:styleId="CommentTextChar">
    <w:name w:val="Comment Text Char"/>
    <w:basedOn w:val="DefaultParagraphFont"/>
    <w:link w:val="CommentText"/>
    <w:uiPriority w:val="99"/>
    <w:rsid w:val="00A83779"/>
    <w:rPr>
      <w:sz w:val="20"/>
      <w:szCs w:val="20"/>
      <w:lang w:val="en-US"/>
    </w:rPr>
  </w:style>
  <w:style w:type="paragraph" w:styleId="CommentSubject">
    <w:name w:val="annotation subject"/>
    <w:basedOn w:val="CommentText"/>
    <w:next w:val="CommentText"/>
    <w:link w:val="CommentSubjectChar"/>
    <w:uiPriority w:val="99"/>
    <w:semiHidden/>
    <w:unhideWhenUsed/>
    <w:rsid w:val="00A83779"/>
    <w:rPr>
      <w:b/>
      <w:bCs/>
    </w:rPr>
  </w:style>
  <w:style w:type="character" w:customStyle="1" w:styleId="CommentSubjectChar">
    <w:name w:val="Comment Subject Char"/>
    <w:basedOn w:val="CommentTextChar"/>
    <w:link w:val="CommentSubject"/>
    <w:uiPriority w:val="99"/>
    <w:semiHidden/>
    <w:rsid w:val="00A83779"/>
    <w:rPr>
      <w:b/>
      <w:bCs/>
      <w:sz w:val="20"/>
      <w:szCs w:val="20"/>
      <w:lang w:val="en-US"/>
    </w:rPr>
  </w:style>
  <w:style w:type="paragraph" w:styleId="Revision">
    <w:name w:val="Revision"/>
    <w:hidden/>
    <w:uiPriority w:val="99"/>
    <w:semiHidden/>
    <w:rsid w:val="007F722E"/>
    <w:pPr>
      <w:spacing w:after="0" w:line="240" w:lineRule="auto"/>
    </w:pPr>
    <w:rPr>
      <w:lang w:val="en-US"/>
    </w:rPr>
  </w:style>
  <w:style w:type="paragraph" w:styleId="NormalWeb">
    <w:name w:val="Normal (Web)"/>
    <w:basedOn w:val="Normal"/>
    <w:uiPriority w:val="99"/>
    <w:semiHidden/>
    <w:unhideWhenUsed/>
    <w:rsid w:val="00683D05"/>
    <w:rPr>
      <w:rFonts w:ascii="Times New Roman" w:hAnsi="Times New Roman" w:cs="Times New Roman"/>
      <w:sz w:val="24"/>
      <w:szCs w:val="24"/>
    </w:rPr>
  </w:style>
  <w:style w:type="paragraph" w:styleId="Header">
    <w:name w:val="header"/>
    <w:basedOn w:val="Normal"/>
    <w:link w:val="HeaderChar"/>
    <w:uiPriority w:val="99"/>
    <w:unhideWhenUsed/>
    <w:rsid w:val="008D7D9B"/>
    <w:pPr>
      <w:tabs>
        <w:tab w:val="center" w:pos="4819"/>
        <w:tab w:val="right" w:pos="9638"/>
      </w:tabs>
      <w:spacing w:after="0" w:line="240" w:lineRule="auto"/>
    </w:pPr>
  </w:style>
  <w:style w:type="character" w:customStyle="1" w:styleId="HeaderChar">
    <w:name w:val="Header Char"/>
    <w:basedOn w:val="DefaultParagraphFont"/>
    <w:link w:val="Header"/>
    <w:uiPriority w:val="99"/>
    <w:rsid w:val="008D7D9B"/>
    <w:rPr>
      <w:lang w:val="en-US"/>
    </w:rPr>
  </w:style>
  <w:style w:type="paragraph" w:styleId="Footer">
    <w:name w:val="footer"/>
    <w:basedOn w:val="Normal"/>
    <w:link w:val="FooterChar"/>
    <w:uiPriority w:val="99"/>
    <w:unhideWhenUsed/>
    <w:rsid w:val="008D7D9B"/>
    <w:pPr>
      <w:tabs>
        <w:tab w:val="center" w:pos="4819"/>
        <w:tab w:val="right" w:pos="9638"/>
      </w:tabs>
      <w:spacing w:after="0" w:line="240" w:lineRule="auto"/>
    </w:pPr>
  </w:style>
  <w:style w:type="character" w:customStyle="1" w:styleId="FooterChar">
    <w:name w:val="Footer Char"/>
    <w:basedOn w:val="DefaultParagraphFont"/>
    <w:link w:val="Footer"/>
    <w:uiPriority w:val="99"/>
    <w:rsid w:val="008D7D9B"/>
    <w:rPr>
      <w:lang w:val="en-US"/>
    </w:rPr>
  </w:style>
  <w:style w:type="paragraph" w:styleId="NoSpacing">
    <w:name w:val="No Spacing"/>
    <w:uiPriority w:val="1"/>
    <w:qFormat/>
    <w:rsid w:val="003B7F45"/>
    <w:pPr>
      <w:spacing w:after="0" w:line="240" w:lineRule="auto"/>
    </w:pPr>
    <w:rPr>
      <w:rFonts w:ascii="Calibri" w:eastAsia="Calibri" w:hAnsi="Calibri" w:cs="Times New Roman"/>
      <w:kern w:val="0"/>
      <w14:ligatures w14:val="none"/>
    </w:rPr>
  </w:style>
  <w:style w:type="character" w:customStyle="1" w:styleId="cf01">
    <w:name w:val="cf01"/>
    <w:rsid w:val="003B7F45"/>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95611">
      <w:bodyDiv w:val="1"/>
      <w:marLeft w:val="0"/>
      <w:marRight w:val="0"/>
      <w:marTop w:val="0"/>
      <w:marBottom w:val="0"/>
      <w:divBdr>
        <w:top w:val="none" w:sz="0" w:space="0" w:color="auto"/>
        <w:left w:val="none" w:sz="0" w:space="0" w:color="auto"/>
        <w:bottom w:val="none" w:sz="0" w:space="0" w:color="auto"/>
        <w:right w:val="none" w:sz="0" w:space="0" w:color="auto"/>
      </w:divBdr>
    </w:div>
    <w:div w:id="10841406">
      <w:bodyDiv w:val="1"/>
      <w:marLeft w:val="0"/>
      <w:marRight w:val="0"/>
      <w:marTop w:val="0"/>
      <w:marBottom w:val="0"/>
      <w:divBdr>
        <w:top w:val="none" w:sz="0" w:space="0" w:color="auto"/>
        <w:left w:val="none" w:sz="0" w:space="0" w:color="auto"/>
        <w:bottom w:val="none" w:sz="0" w:space="0" w:color="auto"/>
        <w:right w:val="none" w:sz="0" w:space="0" w:color="auto"/>
      </w:divBdr>
    </w:div>
    <w:div w:id="39746631">
      <w:bodyDiv w:val="1"/>
      <w:marLeft w:val="0"/>
      <w:marRight w:val="0"/>
      <w:marTop w:val="0"/>
      <w:marBottom w:val="0"/>
      <w:divBdr>
        <w:top w:val="none" w:sz="0" w:space="0" w:color="auto"/>
        <w:left w:val="none" w:sz="0" w:space="0" w:color="auto"/>
        <w:bottom w:val="none" w:sz="0" w:space="0" w:color="auto"/>
        <w:right w:val="none" w:sz="0" w:space="0" w:color="auto"/>
      </w:divBdr>
    </w:div>
    <w:div w:id="41755726">
      <w:bodyDiv w:val="1"/>
      <w:marLeft w:val="0"/>
      <w:marRight w:val="0"/>
      <w:marTop w:val="0"/>
      <w:marBottom w:val="0"/>
      <w:divBdr>
        <w:top w:val="none" w:sz="0" w:space="0" w:color="auto"/>
        <w:left w:val="none" w:sz="0" w:space="0" w:color="auto"/>
        <w:bottom w:val="none" w:sz="0" w:space="0" w:color="auto"/>
        <w:right w:val="none" w:sz="0" w:space="0" w:color="auto"/>
      </w:divBdr>
      <w:divsChild>
        <w:div w:id="1016466148">
          <w:marLeft w:val="640"/>
          <w:marRight w:val="0"/>
          <w:marTop w:val="0"/>
          <w:marBottom w:val="0"/>
          <w:divBdr>
            <w:top w:val="none" w:sz="0" w:space="0" w:color="auto"/>
            <w:left w:val="none" w:sz="0" w:space="0" w:color="auto"/>
            <w:bottom w:val="none" w:sz="0" w:space="0" w:color="auto"/>
            <w:right w:val="none" w:sz="0" w:space="0" w:color="auto"/>
          </w:divBdr>
        </w:div>
        <w:div w:id="1924608980">
          <w:marLeft w:val="640"/>
          <w:marRight w:val="0"/>
          <w:marTop w:val="0"/>
          <w:marBottom w:val="0"/>
          <w:divBdr>
            <w:top w:val="none" w:sz="0" w:space="0" w:color="auto"/>
            <w:left w:val="none" w:sz="0" w:space="0" w:color="auto"/>
            <w:bottom w:val="none" w:sz="0" w:space="0" w:color="auto"/>
            <w:right w:val="none" w:sz="0" w:space="0" w:color="auto"/>
          </w:divBdr>
        </w:div>
        <w:div w:id="722412569">
          <w:marLeft w:val="640"/>
          <w:marRight w:val="0"/>
          <w:marTop w:val="0"/>
          <w:marBottom w:val="0"/>
          <w:divBdr>
            <w:top w:val="none" w:sz="0" w:space="0" w:color="auto"/>
            <w:left w:val="none" w:sz="0" w:space="0" w:color="auto"/>
            <w:bottom w:val="none" w:sz="0" w:space="0" w:color="auto"/>
            <w:right w:val="none" w:sz="0" w:space="0" w:color="auto"/>
          </w:divBdr>
        </w:div>
        <w:div w:id="1393194598">
          <w:marLeft w:val="640"/>
          <w:marRight w:val="0"/>
          <w:marTop w:val="0"/>
          <w:marBottom w:val="0"/>
          <w:divBdr>
            <w:top w:val="none" w:sz="0" w:space="0" w:color="auto"/>
            <w:left w:val="none" w:sz="0" w:space="0" w:color="auto"/>
            <w:bottom w:val="none" w:sz="0" w:space="0" w:color="auto"/>
            <w:right w:val="none" w:sz="0" w:space="0" w:color="auto"/>
          </w:divBdr>
        </w:div>
        <w:div w:id="395976067">
          <w:marLeft w:val="640"/>
          <w:marRight w:val="0"/>
          <w:marTop w:val="0"/>
          <w:marBottom w:val="0"/>
          <w:divBdr>
            <w:top w:val="none" w:sz="0" w:space="0" w:color="auto"/>
            <w:left w:val="none" w:sz="0" w:space="0" w:color="auto"/>
            <w:bottom w:val="none" w:sz="0" w:space="0" w:color="auto"/>
            <w:right w:val="none" w:sz="0" w:space="0" w:color="auto"/>
          </w:divBdr>
        </w:div>
        <w:div w:id="877474533">
          <w:marLeft w:val="640"/>
          <w:marRight w:val="0"/>
          <w:marTop w:val="0"/>
          <w:marBottom w:val="0"/>
          <w:divBdr>
            <w:top w:val="none" w:sz="0" w:space="0" w:color="auto"/>
            <w:left w:val="none" w:sz="0" w:space="0" w:color="auto"/>
            <w:bottom w:val="none" w:sz="0" w:space="0" w:color="auto"/>
            <w:right w:val="none" w:sz="0" w:space="0" w:color="auto"/>
          </w:divBdr>
        </w:div>
        <w:div w:id="1654410533">
          <w:marLeft w:val="640"/>
          <w:marRight w:val="0"/>
          <w:marTop w:val="0"/>
          <w:marBottom w:val="0"/>
          <w:divBdr>
            <w:top w:val="none" w:sz="0" w:space="0" w:color="auto"/>
            <w:left w:val="none" w:sz="0" w:space="0" w:color="auto"/>
            <w:bottom w:val="none" w:sz="0" w:space="0" w:color="auto"/>
            <w:right w:val="none" w:sz="0" w:space="0" w:color="auto"/>
          </w:divBdr>
        </w:div>
        <w:div w:id="1084037694">
          <w:marLeft w:val="640"/>
          <w:marRight w:val="0"/>
          <w:marTop w:val="0"/>
          <w:marBottom w:val="0"/>
          <w:divBdr>
            <w:top w:val="none" w:sz="0" w:space="0" w:color="auto"/>
            <w:left w:val="none" w:sz="0" w:space="0" w:color="auto"/>
            <w:bottom w:val="none" w:sz="0" w:space="0" w:color="auto"/>
            <w:right w:val="none" w:sz="0" w:space="0" w:color="auto"/>
          </w:divBdr>
        </w:div>
        <w:div w:id="144250555">
          <w:marLeft w:val="640"/>
          <w:marRight w:val="0"/>
          <w:marTop w:val="0"/>
          <w:marBottom w:val="0"/>
          <w:divBdr>
            <w:top w:val="none" w:sz="0" w:space="0" w:color="auto"/>
            <w:left w:val="none" w:sz="0" w:space="0" w:color="auto"/>
            <w:bottom w:val="none" w:sz="0" w:space="0" w:color="auto"/>
            <w:right w:val="none" w:sz="0" w:space="0" w:color="auto"/>
          </w:divBdr>
        </w:div>
        <w:div w:id="683629502">
          <w:marLeft w:val="640"/>
          <w:marRight w:val="0"/>
          <w:marTop w:val="0"/>
          <w:marBottom w:val="0"/>
          <w:divBdr>
            <w:top w:val="none" w:sz="0" w:space="0" w:color="auto"/>
            <w:left w:val="none" w:sz="0" w:space="0" w:color="auto"/>
            <w:bottom w:val="none" w:sz="0" w:space="0" w:color="auto"/>
            <w:right w:val="none" w:sz="0" w:space="0" w:color="auto"/>
          </w:divBdr>
        </w:div>
        <w:div w:id="2098549784">
          <w:marLeft w:val="640"/>
          <w:marRight w:val="0"/>
          <w:marTop w:val="0"/>
          <w:marBottom w:val="0"/>
          <w:divBdr>
            <w:top w:val="none" w:sz="0" w:space="0" w:color="auto"/>
            <w:left w:val="none" w:sz="0" w:space="0" w:color="auto"/>
            <w:bottom w:val="none" w:sz="0" w:space="0" w:color="auto"/>
            <w:right w:val="none" w:sz="0" w:space="0" w:color="auto"/>
          </w:divBdr>
        </w:div>
        <w:div w:id="1778452438">
          <w:marLeft w:val="640"/>
          <w:marRight w:val="0"/>
          <w:marTop w:val="0"/>
          <w:marBottom w:val="0"/>
          <w:divBdr>
            <w:top w:val="none" w:sz="0" w:space="0" w:color="auto"/>
            <w:left w:val="none" w:sz="0" w:space="0" w:color="auto"/>
            <w:bottom w:val="none" w:sz="0" w:space="0" w:color="auto"/>
            <w:right w:val="none" w:sz="0" w:space="0" w:color="auto"/>
          </w:divBdr>
        </w:div>
        <w:div w:id="859466690">
          <w:marLeft w:val="640"/>
          <w:marRight w:val="0"/>
          <w:marTop w:val="0"/>
          <w:marBottom w:val="0"/>
          <w:divBdr>
            <w:top w:val="none" w:sz="0" w:space="0" w:color="auto"/>
            <w:left w:val="none" w:sz="0" w:space="0" w:color="auto"/>
            <w:bottom w:val="none" w:sz="0" w:space="0" w:color="auto"/>
            <w:right w:val="none" w:sz="0" w:space="0" w:color="auto"/>
          </w:divBdr>
        </w:div>
        <w:div w:id="988481917">
          <w:marLeft w:val="640"/>
          <w:marRight w:val="0"/>
          <w:marTop w:val="0"/>
          <w:marBottom w:val="0"/>
          <w:divBdr>
            <w:top w:val="none" w:sz="0" w:space="0" w:color="auto"/>
            <w:left w:val="none" w:sz="0" w:space="0" w:color="auto"/>
            <w:bottom w:val="none" w:sz="0" w:space="0" w:color="auto"/>
            <w:right w:val="none" w:sz="0" w:space="0" w:color="auto"/>
          </w:divBdr>
        </w:div>
        <w:div w:id="188297223">
          <w:marLeft w:val="640"/>
          <w:marRight w:val="0"/>
          <w:marTop w:val="0"/>
          <w:marBottom w:val="0"/>
          <w:divBdr>
            <w:top w:val="none" w:sz="0" w:space="0" w:color="auto"/>
            <w:left w:val="none" w:sz="0" w:space="0" w:color="auto"/>
            <w:bottom w:val="none" w:sz="0" w:space="0" w:color="auto"/>
            <w:right w:val="none" w:sz="0" w:space="0" w:color="auto"/>
          </w:divBdr>
        </w:div>
        <w:div w:id="752897023">
          <w:marLeft w:val="640"/>
          <w:marRight w:val="0"/>
          <w:marTop w:val="0"/>
          <w:marBottom w:val="0"/>
          <w:divBdr>
            <w:top w:val="none" w:sz="0" w:space="0" w:color="auto"/>
            <w:left w:val="none" w:sz="0" w:space="0" w:color="auto"/>
            <w:bottom w:val="none" w:sz="0" w:space="0" w:color="auto"/>
            <w:right w:val="none" w:sz="0" w:space="0" w:color="auto"/>
          </w:divBdr>
        </w:div>
        <w:div w:id="1820993334">
          <w:marLeft w:val="640"/>
          <w:marRight w:val="0"/>
          <w:marTop w:val="0"/>
          <w:marBottom w:val="0"/>
          <w:divBdr>
            <w:top w:val="none" w:sz="0" w:space="0" w:color="auto"/>
            <w:left w:val="none" w:sz="0" w:space="0" w:color="auto"/>
            <w:bottom w:val="none" w:sz="0" w:space="0" w:color="auto"/>
            <w:right w:val="none" w:sz="0" w:space="0" w:color="auto"/>
          </w:divBdr>
        </w:div>
        <w:div w:id="433405465">
          <w:marLeft w:val="640"/>
          <w:marRight w:val="0"/>
          <w:marTop w:val="0"/>
          <w:marBottom w:val="0"/>
          <w:divBdr>
            <w:top w:val="none" w:sz="0" w:space="0" w:color="auto"/>
            <w:left w:val="none" w:sz="0" w:space="0" w:color="auto"/>
            <w:bottom w:val="none" w:sz="0" w:space="0" w:color="auto"/>
            <w:right w:val="none" w:sz="0" w:space="0" w:color="auto"/>
          </w:divBdr>
        </w:div>
        <w:div w:id="2089841716">
          <w:marLeft w:val="640"/>
          <w:marRight w:val="0"/>
          <w:marTop w:val="0"/>
          <w:marBottom w:val="0"/>
          <w:divBdr>
            <w:top w:val="none" w:sz="0" w:space="0" w:color="auto"/>
            <w:left w:val="none" w:sz="0" w:space="0" w:color="auto"/>
            <w:bottom w:val="none" w:sz="0" w:space="0" w:color="auto"/>
            <w:right w:val="none" w:sz="0" w:space="0" w:color="auto"/>
          </w:divBdr>
        </w:div>
        <w:div w:id="1634750671">
          <w:marLeft w:val="640"/>
          <w:marRight w:val="0"/>
          <w:marTop w:val="0"/>
          <w:marBottom w:val="0"/>
          <w:divBdr>
            <w:top w:val="none" w:sz="0" w:space="0" w:color="auto"/>
            <w:left w:val="none" w:sz="0" w:space="0" w:color="auto"/>
            <w:bottom w:val="none" w:sz="0" w:space="0" w:color="auto"/>
            <w:right w:val="none" w:sz="0" w:space="0" w:color="auto"/>
          </w:divBdr>
        </w:div>
        <w:div w:id="1030371616">
          <w:marLeft w:val="640"/>
          <w:marRight w:val="0"/>
          <w:marTop w:val="0"/>
          <w:marBottom w:val="0"/>
          <w:divBdr>
            <w:top w:val="none" w:sz="0" w:space="0" w:color="auto"/>
            <w:left w:val="none" w:sz="0" w:space="0" w:color="auto"/>
            <w:bottom w:val="none" w:sz="0" w:space="0" w:color="auto"/>
            <w:right w:val="none" w:sz="0" w:space="0" w:color="auto"/>
          </w:divBdr>
        </w:div>
        <w:div w:id="126242992">
          <w:marLeft w:val="640"/>
          <w:marRight w:val="0"/>
          <w:marTop w:val="0"/>
          <w:marBottom w:val="0"/>
          <w:divBdr>
            <w:top w:val="none" w:sz="0" w:space="0" w:color="auto"/>
            <w:left w:val="none" w:sz="0" w:space="0" w:color="auto"/>
            <w:bottom w:val="none" w:sz="0" w:space="0" w:color="auto"/>
            <w:right w:val="none" w:sz="0" w:space="0" w:color="auto"/>
          </w:divBdr>
        </w:div>
        <w:div w:id="1633949550">
          <w:marLeft w:val="640"/>
          <w:marRight w:val="0"/>
          <w:marTop w:val="0"/>
          <w:marBottom w:val="0"/>
          <w:divBdr>
            <w:top w:val="none" w:sz="0" w:space="0" w:color="auto"/>
            <w:left w:val="none" w:sz="0" w:space="0" w:color="auto"/>
            <w:bottom w:val="none" w:sz="0" w:space="0" w:color="auto"/>
            <w:right w:val="none" w:sz="0" w:space="0" w:color="auto"/>
          </w:divBdr>
        </w:div>
        <w:div w:id="806624171">
          <w:marLeft w:val="640"/>
          <w:marRight w:val="0"/>
          <w:marTop w:val="0"/>
          <w:marBottom w:val="0"/>
          <w:divBdr>
            <w:top w:val="none" w:sz="0" w:space="0" w:color="auto"/>
            <w:left w:val="none" w:sz="0" w:space="0" w:color="auto"/>
            <w:bottom w:val="none" w:sz="0" w:space="0" w:color="auto"/>
            <w:right w:val="none" w:sz="0" w:space="0" w:color="auto"/>
          </w:divBdr>
        </w:div>
      </w:divsChild>
    </w:div>
    <w:div w:id="44767138">
      <w:bodyDiv w:val="1"/>
      <w:marLeft w:val="0"/>
      <w:marRight w:val="0"/>
      <w:marTop w:val="0"/>
      <w:marBottom w:val="0"/>
      <w:divBdr>
        <w:top w:val="none" w:sz="0" w:space="0" w:color="auto"/>
        <w:left w:val="none" w:sz="0" w:space="0" w:color="auto"/>
        <w:bottom w:val="none" w:sz="0" w:space="0" w:color="auto"/>
        <w:right w:val="none" w:sz="0" w:space="0" w:color="auto"/>
      </w:divBdr>
      <w:divsChild>
        <w:div w:id="75789898">
          <w:marLeft w:val="640"/>
          <w:marRight w:val="0"/>
          <w:marTop w:val="0"/>
          <w:marBottom w:val="0"/>
          <w:divBdr>
            <w:top w:val="none" w:sz="0" w:space="0" w:color="auto"/>
            <w:left w:val="none" w:sz="0" w:space="0" w:color="auto"/>
            <w:bottom w:val="none" w:sz="0" w:space="0" w:color="auto"/>
            <w:right w:val="none" w:sz="0" w:space="0" w:color="auto"/>
          </w:divBdr>
        </w:div>
        <w:div w:id="1572155781">
          <w:marLeft w:val="640"/>
          <w:marRight w:val="0"/>
          <w:marTop w:val="0"/>
          <w:marBottom w:val="0"/>
          <w:divBdr>
            <w:top w:val="none" w:sz="0" w:space="0" w:color="auto"/>
            <w:left w:val="none" w:sz="0" w:space="0" w:color="auto"/>
            <w:bottom w:val="none" w:sz="0" w:space="0" w:color="auto"/>
            <w:right w:val="none" w:sz="0" w:space="0" w:color="auto"/>
          </w:divBdr>
        </w:div>
        <w:div w:id="762267071">
          <w:marLeft w:val="640"/>
          <w:marRight w:val="0"/>
          <w:marTop w:val="0"/>
          <w:marBottom w:val="0"/>
          <w:divBdr>
            <w:top w:val="none" w:sz="0" w:space="0" w:color="auto"/>
            <w:left w:val="none" w:sz="0" w:space="0" w:color="auto"/>
            <w:bottom w:val="none" w:sz="0" w:space="0" w:color="auto"/>
            <w:right w:val="none" w:sz="0" w:space="0" w:color="auto"/>
          </w:divBdr>
        </w:div>
        <w:div w:id="416168644">
          <w:marLeft w:val="640"/>
          <w:marRight w:val="0"/>
          <w:marTop w:val="0"/>
          <w:marBottom w:val="0"/>
          <w:divBdr>
            <w:top w:val="none" w:sz="0" w:space="0" w:color="auto"/>
            <w:left w:val="none" w:sz="0" w:space="0" w:color="auto"/>
            <w:bottom w:val="none" w:sz="0" w:space="0" w:color="auto"/>
            <w:right w:val="none" w:sz="0" w:space="0" w:color="auto"/>
          </w:divBdr>
        </w:div>
        <w:div w:id="845442322">
          <w:marLeft w:val="640"/>
          <w:marRight w:val="0"/>
          <w:marTop w:val="0"/>
          <w:marBottom w:val="0"/>
          <w:divBdr>
            <w:top w:val="none" w:sz="0" w:space="0" w:color="auto"/>
            <w:left w:val="none" w:sz="0" w:space="0" w:color="auto"/>
            <w:bottom w:val="none" w:sz="0" w:space="0" w:color="auto"/>
            <w:right w:val="none" w:sz="0" w:space="0" w:color="auto"/>
          </w:divBdr>
        </w:div>
        <w:div w:id="471027086">
          <w:marLeft w:val="640"/>
          <w:marRight w:val="0"/>
          <w:marTop w:val="0"/>
          <w:marBottom w:val="0"/>
          <w:divBdr>
            <w:top w:val="none" w:sz="0" w:space="0" w:color="auto"/>
            <w:left w:val="none" w:sz="0" w:space="0" w:color="auto"/>
            <w:bottom w:val="none" w:sz="0" w:space="0" w:color="auto"/>
            <w:right w:val="none" w:sz="0" w:space="0" w:color="auto"/>
          </w:divBdr>
        </w:div>
        <w:div w:id="675040770">
          <w:marLeft w:val="640"/>
          <w:marRight w:val="0"/>
          <w:marTop w:val="0"/>
          <w:marBottom w:val="0"/>
          <w:divBdr>
            <w:top w:val="none" w:sz="0" w:space="0" w:color="auto"/>
            <w:left w:val="none" w:sz="0" w:space="0" w:color="auto"/>
            <w:bottom w:val="none" w:sz="0" w:space="0" w:color="auto"/>
            <w:right w:val="none" w:sz="0" w:space="0" w:color="auto"/>
          </w:divBdr>
        </w:div>
        <w:div w:id="962537614">
          <w:marLeft w:val="640"/>
          <w:marRight w:val="0"/>
          <w:marTop w:val="0"/>
          <w:marBottom w:val="0"/>
          <w:divBdr>
            <w:top w:val="none" w:sz="0" w:space="0" w:color="auto"/>
            <w:left w:val="none" w:sz="0" w:space="0" w:color="auto"/>
            <w:bottom w:val="none" w:sz="0" w:space="0" w:color="auto"/>
            <w:right w:val="none" w:sz="0" w:space="0" w:color="auto"/>
          </w:divBdr>
        </w:div>
        <w:div w:id="1492520753">
          <w:marLeft w:val="640"/>
          <w:marRight w:val="0"/>
          <w:marTop w:val="0"/>
          <w:marBottom w:val="0"/>
          <w:divBdr>
            <w:top w:val="none" w:sz="0" w:space="0" w:color="auto"/>
            <w:left w:val="none" w:sz="0" w:space="0" w:color="auto"/>
            <w:bottom w:val="none" w:sz="0" w:space="0" w:color="auto"/>
            <w:right w:val="none" w:sz="0" w:space="0" w:color="auto"/>
          </w:divBdr>
        </w:div>
        <w:div w:id="1133404156">
          <w:marLeft w:val="640"/>
          <w:marRight w:val="0"/>
          <w:marTop w:val="0"/>
          <w:marBottom w:val="0"/>
          <w:divBdr>
            <w:top w:val="none" w:sz="0" w:space="0" w:color="auto"/>
            <w:left w:val="none" w:sz="0" w:space="0" w:color="auto"/>
            <w:bottom w:val="none" w:sz="0" w:space="0" w:color="auto"/>
            <w:right w:val="none" w:sz="0" w:space="0" w:color="auto"/>
          </w:divBdr>
        </w:div>
        <w:div w:id="2132283492">
          <w:marLeft w:val="640"/>
          <w:marRight w:val="0"/>
          <w:marTop w:val="0"/>
          <w:marBottom w:val="0"/>
          <w:divBdr>
            <w:top w:val="none" w:sz="0" w:space="0" w:color="auto"/>
            <w:left w:val="none" w:sz="0" w:space="0" w:color="auto"/>
            <w:bottom w:val="none" w:sz="0" w:space="0" w:color="auto"/>
            <w:right w:val="none" w:sz="0" w:space="0" w:color="auto"/>
          </w:divBdr>
        </w:div>
        <w:div w:id="942230820">
          <w:marLeft w:val="640"/>
          <w:marRight w:val="0"/>
          <w:marTop w:val="0"/>
          <w:marBottom w:val="0"/>
          <w:divBdr>
            <w:top w:val="none" w:sz="0" w:space="0" w:color="auto"/>
            <w:left w:val="none" w:sz="0" w:space="0" w:color="auto"/>
            <w:bottom w:val="none" w:sz="0" w:space="0" w:color="auto"/>
            <w:right w:val="none" w:sz="0" w:space="0" w:color="auto"/>
          </w:divBdr>
        </w:div>
        <w:div w:id="1786120282">
          <w:marLeft w:val="640"/>
          <w:marRight w:val="0"/>
          <w:marTop w:val="0"/>
          <w:marBottom w:val="0"/>
          <w:divBdr>
            <w:top w:val="none" w:sz="0" w:space="0" w:color="auto"/>
            <w:left w:val="none" w:sz="0" w:space="0" w:color="auto"/>
            <w:bottom w:val="none" w:sz="0" w:space="0" w:color="auto"/>
            <w:right w:val="none" w:sz="0" w:space="0" w:color="auto"/>
          </w:divBdr>
        </w:div>
        <w:div w:id="1601374377">
          <w:marLeft w:val="640"/>
          <w:marRight w:val="0"/>
          <w:marTop w:val="0"/>
          <w:marBottom w:val="0"/>
          <w:divBdr>
            <w:top w:val="none" w:sz="0" w:space="0" w:color="auto"/>
            <w:left w:val="none" w:sz="0" w:space="0" w:color="auto"/>
            <w:bottom w:val="none" w:sz="0" w:space="0" w:color="auto"/>
            <w:right w:val="none" w:sz="0" w:space="0" w:color="auto"/>
          </w:divBdr>
        </w:div>
        <w:div w:id="1842118378">
          <w:marLeft w:val="640"/>
          <w:marRight w:val="0"/>
          <w:marTop w:val="0"/>
          <w:marBottom w:val="0"/>
          <w:divBdr>
            <w:top w:val="none" w:sz="0" w:space="0" w:color="auto"/>
            <w:left w:val="none" w:sz="0" w:space="0" w:color="auto"/>
            <w:bottom w:val="none" w:sz="0" w:space="0" w:color="auto"/>
            <w:right w:val="none" w:sz="0" w:space="0" w:color="auto"/>
          </w:divBdr>
        </w:div>
        <w:div w:id="2045906768">
          <w:marLeft w:val="640"/>
          <w:marRight w:val="0"/>
          <w:marTop w:val="0"/>
          <w:marBottom w:val="0"/>
          <w:divBdr>
            <w:top w:val="none" w:sz="0" w:space="0" w:color="auto"/>
            <w:left w:val="none" w:sz="0" w:space="0" w:color="auto"/>
            <w:bottom w:val="none" w:sz="0" w:space="0" w:color="auto"/>
            <w:right w:val="none" w:sz="0" w:space="0" w:color="auto"/>
          </w:divBdr>
        </w:div>
        <w:div w:id="469129482">
          <w:marLeft w:val="640"/>
          <w:marRight w:val="0"/>
          <w:marTop w:val="0"/>
          <w:marBottom w:val="0"/>
          <w:divBdr>
            <w:top w:val="none" w:sz="0" w:space="0" w:color="auto"/>
            <w:left w:val="none" w:sz="0" w:space="0" w:color="auto"/>
            <w:bottom w:val="none" w:sz="0" w:space="0" w:color="auto"/>
            <w:right w:val="none" w:sz="0" w:space="0" w:color="auto"/>
          </w:divBdr>
        </w:div>
        <w:div w:id="2008899507">
          <w:marLeft w:val="640"/>
          <w:marRight w:val="0"/>
          <w:marTop w:val="0"/>
          <w:marBottom w:val="0"/>
          <w:divBdr>
            <w:top w:val="none" w:sz="0" w:space="0" w:color="auto"/>
            <w:left w:val="none" w:sz="0" w:space="0" w:color="auto"/>
            <w:bottom w:val="none" w:sz="0" w:space="0" w:color="auto"/>
            <w:right w:val="none" w:sz="0" w:space="0" w:color="auto"/>
          </w:divBdr>
        </w:div>
        <w:div w:id="653223463">
          <w:marLeft w:val="640"/>
          <w:marRight w:val="0"/>
          <w:marTop w:val="0"/>
          <w:marBottom w:val="0"/>
          <w:divBdr>
            <w:top w:val="none" w:sz="0" w:space="0" w:color="auto"/>
            <w:left w:val="none" w:sz="0" w:space="0" w:color="auto"/>
            <w:bottom w:val="none" w:sz="0" w:space="0" w:color="auto"/>
            <w:right w:val="none" w:sz="0" w:space="0" w:color="auto"/>
          </w:divBdr>
        </w:div>
        <w:div w:id="953946290">
          <w:marLeft w:val="640"/>
          <w:marRight w:val="0"/>
          <w:marTop w:val="0"/>
          <w:marBottom w:val="0"/>
          <w:divBdr>
            <w:top w:val="none" w:sz="0" w:space="0" w:color="auto"/>
            <w:left w:val="none" w:sz="0" w:space="0" w:color="auto"/>
            <w:bottom w:val="none" w:sz="0" w:space="0" w:color="auto"/>
            <w:right w:val="none" w:sz="0" w:space="0" w:color="auto"/>
          </w:divBdr>
        </w:div>
        <w:div w:id="1588422588">
          <w:marLeft w:val="640"/>
          <w:marRight w:val="0"/>
          <w:marTop w:val="0"/>
          <w:marBottom w:val="0"/>
          <w:divBdr>
            <w:top w:val="none" w:sz="0" w:space="0" w:color="auto"/>
            <w:left w:val="none" w:sz="0" w:space="0" w:color="auto"/>
            <w:bottom w:val="none" w:sz="0" w:space="0" w:color="auto"/>
            <w:right w:val="none" w:sz="0" w:space="0" w:color="auto"/>
          </w:divBdr>
        </w:div>
        <w:div w:id="1816145481">
          <w:marLeft w:val="640"/>
          <w:marRight w:val="0"/>
          <w:marTop w:val="0"/>
          <w:marBottom w:val="0"/>
          <w:divBdr>
            <w:top w:val="none" w:sz="0" w:space="0" w:color="auto"/>
            <w:left w:val="none" w:sz="0" w:space="0" w:color="auto"/>
            <w:bottom w:val="none" w:sz="0" w:space="0" w:color="auto"/>
            <w:right w:val="none" w:sz="0" w:space="0" w:color="auto"/>
          </w:divBdr>
        </w:div>
        <w:div w:id="227497310">
          <w:marLeft w:val="640"/>
          <w:marRight w:val="0"/>
          <w:marTop w:val="0"/>
          <w:marBottom w:val="0"/>
          <w:divBdr>
            <w:top w:val="none" w:sz="0" w:space="0" w:color="auto"/>
            <w:left w:val="none" w:sz="0" w:space="0" w:color="auto"/>
            <w:bottom w:val="none" w:sz="0" w:space="0" w:color="auto"/>
            <w:right w:val="none" w:sz="0" w:space="0" w:color="auto"/>
          </w:divBdr>
        </w:div>
      </w:divsChild>
    </w:div>
    <w:div w:id="45180894">
      <w:bodyDiv w:val="1"/>
      <w:marLeft w:val="0"/>
      <w:marRight w:val="0"/>
      <w:marTop w:val="0"/>
      <w:marBottom w:val="0"/>
      <w:divBdr>
        <w:top w:val="none" w:sz="0" w:space="0" w:color="auto"/>
        <w:left w:val="none" w:sz="0" w:space="0" w:color="auto"/>
        <w:bottom w:val="none" w:sz="0" w:space="0" w:color="auto"/>
        <w:right w:val="none" w:sz="0" w:space="0" w:color="auto"/>
      </w:divBdr>
    </w:div>
    <w:div w:id="45297813">
      <w:bodyDiv w:val="1"/>
      <w:marLeft w:val="0"/>
      <w:marRight w:val="0"/>
      <w:marTop w:val="0"/>
      <w:marBottom w:val="0"/>
      <w:divBdr>
        <w:top w:val="none" w:sz="0" w:space="0" w:color="auto"/>
        <w:left w:val="none" w:sz="0" w:space="0" w:color="auto"/>
        <w:bottom w:val="none" w:sz="0" w:space="0" w:color="auto"/>
        <w:right w:val="none" w:sz="0" w:space="0" w:color="auto"/>
      </w:divBdr>
    </w:div>
    <w:div w:id="83767956">
      <w:bodyDiv w:val="1"/>
      <w:marLeft w:val="0"/>
      <w:marRight w:val="0"/>
      <w:marTop w:val="0"/>
      <w:marBottom w:val="0"/>
      <w:divBdr>
        <w:top w:val="none" w:sz="0" w:space="0" w:color="auto"/>
        <w:left w:val="none" w:sz="0" w:space="0" w:color="auto"/>
        <w:bottom w:val="none" w:sz="0" w:space="0" w:color="auto"/>
        <w:right w:val="none" w:sz="0" w:space="0" w:color="auto"/>
      </w:divBdr>
    </w:div>
    <w:div w:id="87774723">
      <w:bodyDiv w:val="1"/>
      <w:marLeft w:val="0"/>
      <w:marRight w:val="0"/>
      <w:marTop w:val="0"/>
      <w:marBottom w:val="0"/>
      <w:divBdr>
        <w:top w:val="none" w:sz="0" w:space="0" w:color="auto"/>
        <w:left w:val="none" w:sz="0" w:space="0" w:color="auto"/>
        <w:bottom w:val="none" w:sz="0" w:space="0" w:color="auto"/>
        <w:right w:val="none" w:sz="0" w:space="0" w:color="auto"/>
      </w:divBdr>
    </w:div>
    <w:div w:id="88624367">
      <w:bodyDiv w:val="1"/>
      <w:marLeft w:val="0"/>
      <w:marRight w:val="0"/>
      <w:marTop w:val="0"/>
      <w:marBottom w:val="0"/>
      <w:divBdr>
        <w:top w:val="none" w:sz="0" w:space="0" w:color="auto"/>
        <w:left w:val="none" w:sz="0" w:space="0" w:color="auto"/>
        <w:bottom w:val="none" w:sz="0" w:space="0" w:color="auto"/>
        <w:right w:val="none" w:sz="0" w:space="0" w:color="auto"/>
      </w:divBdr>
    </w:div>
    <w:div w:id="93324513">
      <w:bodyDiv w:val="1"/>
      <w:marLeft w:val="0"/>
      <w:marRight w:val="0"/>
      <w:marTop w:val="0"/>
      <w:marBottom w:val="0"/>
      <w:divBdr>
        <w:top w:val="none" w:sz="0" w:space="0" w:color="auto"/>
        <w:left w:val="none" w:sz="0" w:space="0" w:color="auto"/>
        <w:bottom w:val="none" w:sz="0" w:space="0" w:color="auto"/>
        <w:right w:val="none" w:sz="0" w:space="0" w:color="auto"/>
      </w:divBdr>
    </w:div>
    <w:div w:id="136461398">
      <w:bodyDiv w:val="1"/>
      <w:marLeft w:val="0"/>
      <w:marRight w:val="0"/>
      <w:marTop w:val="0"/>
      <w:marBottom w:val="0"/>
      <w:divBdr>
        <w:top w:val="none" w:sz="0" w:space="0" w:color="auto"/>
        <w:left w:val="none" w:sz="0" w:space="0" w:color="auto"/>
        <w:bottom w:val="none" w:sz="0" w:space="0" w:color="auto"/>
        <w:right w:val="none" w:sz="0" w:space="0" w:color="auto"/>
      </w:divBdr>
    </w:div>
    <w:div w:id="150417044">
      <w:bodyDiv w:val="1"/>
      <w:marLeft w:val="0"/>
      <w:marRight w:val="0"/>
      <w:marTop w:val="0"/>
      <w:marBottom w:val="0"/>
      <w:divBdr>
        <w:top w:val="none" w:sz="0" w:space="0" w:color="auto"/>
        <w:left w:val="none" w:sz="0" w:space="0" w:color="auto"/>
        <w:bottom w:val="none" w:sz="0" w:space="0" w:color="auto"/>
        <w:right w:val="none" w:sz="0" w:space="0" w:color="auto"/>
      </w:divBdr>
    </w:div>
    <w:div w:id="150678221">
      <w:bodyDiv w:val="1"/>
      <w:marLeft w:val="0"/>
      <w:marRight w:val="0"/>
      <w:marTop w:val="0"/>
      <w:marBottom w:val="0"/>
      <w:divBdr>
        <w:top w:val="none" w:sz="0" w:space="0" w:color="auto"/>
        <w:left w:val="none" w:sz="0" w:space="0" w:color="auto"/>
        <w:bottom w:val="none" w:sz="0" w:space="0" w:color="auto"/>
        <w:right w:val="none" w:sz="0" w:space="0" w:color="auto"/>
      </w:divBdr>
      <w:divsChild>
        <w:div w:id="1514025808">
          <w:marLeft w:val="640"/>
          <w:marRight w:val="0"/>
          <w:marTop w:val="0"/>
          <w:marBottom w:val="0"/>
          <w:divBdr>
            <w:top w:val="none" w:sz="0" w:space="0" w:color="auto"/>
            <w:left w:val="none" w:sz="0" w:space="0" w:color="auto"/>
            <w:bottom w:val="none" w:sz="0" w:space="0" w:color="auto"/>
            <w:right w:val="none" w:sz="0" w:space="0" w:color="auto"/>
          </w:divBdr>
        </w:div>
        <w:div w:id="1822890968">
          <w:marLeft w:val="640"/>
          <w:marRight w:val="0"/>
          <w:marTop w:val="0"/>
          <w:marBottom w:val="0"/>
          <w:divBdr>
            <w:top w:val="none" w:sz="0" w:space="0" w:color="auto"/>
            <w:left w:val="none" w:sz="0" w:space="0" w:color="auto"/>
            <w:bottom w:val="none" w:sz="0" w:space="0" w:color="auto"/>
            <w:right w:val="none" w:sz="0" w:space="0" w:color="auto"/>
          </w:divBdr>
        </w:div>
        <w:div w:id="103959073">
          <w:marLeft w:val="640"/>
          <w:marRight w:val="0"/>
          <w:marTop w:val="0"/>
          <w:marBottom w:val="0"/>
          <w:divBdr>
            <w:top w:val="none" w:sz="0" w:space="0" w:color="auto"/>
            <w:left w:val="none" w:sz="0" w:space="0" w:color="auto"/>
            <w:bottom w:val="none" w:sz="0" w:space="0" w:color="auto"/>
            <w:right w:val="none" w:sz="0" w:space="0" w:color="auto"/>
          </w:divBdr>
        </w:div>
        <w:div w:id="294071148">
          <w:marLeft w:val="640"/>
          <w:marRight w:val="0"/>
          <w:marTop w:val="0"/>
          <w:marBottom w:val="0"/>
          <w:divBdr>
            <w:top w:val="none" w:sz="0" w:space="0" w:color="auto"/>
            <w:left w:val="none" w:sz="0" w:space="0" w:color="auto"/>
            <w:bottom w:val="none" w:sz="0" w:space="0" w:color="auto"/>
            <w:right w:val="none" w:sz="0" w:space="0" w:color="auto"/>
          </w:divBdr>
        </w:div>
        <w:div w:id="643660276">
          <w:marLeft w:val="640"/>
          <w:marRight w:val="0"/>
          <w:marTop w:val="0"/>
          <w:marBottom w:val="0"/>
          <w:divBdr>
            <w:top w:val="none" w:sz="0" w:space="0" w:color="auto"/>
            <w:left w:val="none" w:sz="0" w:space="0" w:color="auto"/>
            <w:bottom w:val="none" w:sz="0" w:space="0" w:color="auto"/>
            <w:right w:val="none" w:sz="0" w:space="0" w:color="auto"/>
          </w:divBdr>
        </w:div>
        <w:div w:id="1627195478">
          <w:marLeft w:val="640"/>
          <w:marRight w:val="0"/>
          <w:marTop w:val="0"/>
          <w:marBottom w:val="0"/>
          <w:divBdr>
            <w:top w:val="none" w:sz="0" w:space="0" w:color="auto"/>
            <w:left w:val="none" w:sz="0" w:space="0" w:color="auto"/>
            <w:bottom w:val="none" w:sz="0" w:space="0" w:color="auto"/>
            <w:right w:val="none" w:sz="0" w:space="0" w:color="auto"/>
          </w:divBdr>
        </w:div>
        <w:div w:id="1529181329">
          <w:marLeft w:val="640"/>
          <w:marRight w:val="0"/>
          <w:marTop w:val="0"/>
          <w:marBottom w:val="0"/>
          <w:divBdr>
            <w:top w:val="none" w:sz="0" w:space="0" w:color="auto"/>
            <w:left w:val="none" w:sz="0" w:space="0" w:color="auto"/>
            <w:bottom w:val="none" w:sz="0" w:space="0" w:color="auto"/>
            <w:right w:val="none" w:sz="0" w:space="0" w:color="auto"/>
          </w:divBdr>
        </w:div>
        <w:div w:id="2063018263">
          <w:marLeft w:val="640"/>
          <w:marRight w:val="0"/>
          <w:marTop w:val="0"/>
          <w:marBottom w:val="0"/>
          <w:divBdr>
            <w:top w:val="none" w:sz="0" w:space="0" w:color="auto"/>
            <w:left w:val="none" w:sz="0" w:space="0" w:color="auto"/>
            <w:bottom w:val="none" w:sz="0" w:space="0" w:color="auto"/>
            <w:right w:val="none" w:sz="0" w:space="0" w:color="auto"/>
          </w:divBdr>
        </w:div>
        <w:div w:id="844830021">
          <w:marLeft w:val="640"/>
          <w:marRight w:val="0"/>
          <w:marTop w:val="0"/>
          <w:marBottom w:val="0"/>
          <w:divBdr>
            <w:top w:val="none" w:sz="0" w:space="0" w:color="auto"/>
            <w:left w:val="none" w:sz="0" w:space="0" w:color="auto"/>
            <w:bottom w:val="none" w:sz="0" w:space="0" w:color="auto"/>
            <w:right w:val="none" w:sz="0" w:space="0" w:color="auto"/>
          </w:divBdr>
        </w:div>
        <w:div w:id="1236672164">
          <w:marLeft w:val="640"/>
          <w:marRight w:val="0"/>
          <w:marTop w:val="0"/>
          <w:marBottom w:val="0"/>
          <w:divBdr>
            <w:top w:val="none" w:sz="0" w:space="0" w:color="auto"/>
            <w:left w:val="none" w:sz="0" w:space="0" w:color="auto"/>
            <w:bottom w:val="none" w:sz="0" w:space="0" w:color="auto"/>
            <w:right w:val="none" w:sz="0" w:space="0" w:color="auto"/>
          </w:divBdr>
        </w:div>
        <w:div w:id="42877480">
          <w:marLeft w:val="640"/>
          <w:marRight w:val="0"/>
          <w:marTop w:val="0"/>
          <w:marBottom w:val="0"/>
          <w:divBdr>
            <w:top w:val="none" w:sz="0" w:space="0" w:color="auto"/>
            <w:left w:val="none" w:sz="0" w:space="0" w:color="auto"/>
            <w:bottom w:val="none" w:sz="0" w:space="0" w:color="auto"/>
            <w:right w:val="none" w:sz="0" w:space="0" w:color="auto"/>
          </w:divBdr>
        </w:div>
        <w:div w:id="15665039">
          <w:marLeft w:val="640"/>
          <w:marRight w:val="0"/>
          <w:marTop w:val="0"/>
          <w:marBottom w:val="0"/>
          <w:divBdr>
            <w:top w:val="none" w:sz="0" w:space="0" w:color="auto"/>
            <w:left w:val="none" w:sz="0" w:space="0" w:color="auto"/>
            <w:bottom w:val="none" w:sz="0" w:space="0" w:color="auto"/>
            <w:right w:val="none" w:sz="0" w:space="0" w:color="auto"/>
          </w:divBdr>
        </w:div>
        <w:div w:id="1560050982">
          <w:marLeft w:val="640"/>
          <w:marRight w:val="0"/>
          <w:marTop w:val="0"/>
          <w:marBottom w:val="0"/>
          <w:divBdr>
            <w:top w:val="none" w:sz="0" w:space="0" w:color="auto"/>
            <w:left w:val="none" w:sz="0" w:space="0" w:color="auto"/>
            <w:bottom w:val="none" w:sz="0" w:space="0" w:color="auto"/>
            <w:right w:val="none" w:sz="0" w:space="0" w:color="auto"/>
          </w:divBdr>
        </w:div>
        <w:div w:id="2114933988">
          <w:marLeft w:val="640"/>
          <w:marRight w:val="0"/>
          <w:marTop w:val="0"/>
          <w:marBottom w:val="0"/>
          <w:divBdr>
            <w:top w:val="none" w:sz="0" w:space="0" w:color="auto"/>
            <w:left w:val="none" w:sz="0" w:space="0" w:color="auto"/>
            <w:bottom w:val="none" w:sz="0" w:space="0" w:color="auto"/>
            <w:right w:val="none" w:sz="0" w:space="0" w:color="auto"/>
          </w:divBdr>
        </w:div>
        <w:div w:id="1743142123">
          <w:marLeft w:val="640"/>
          <w:marRight w:val="0"/>
          <w:marTop w:val="0"/>
          <w:marBottom w:val="0"/>
          <w:divBdr>
            <w:top w:val="none" w:sz="0" w:space="0" w:color="auto"/>
            <w:left w:val="none" w:sz="0" w:space="0" w:color="auto"/>
            <w:bottom w:val="none" w:sz="0" w:space="0" w:color="auto"/>
            <w:right w:val="none" w:sz="0" w:space="0" w:color="auto"/>
          </w:divBdr>
        </w:div>
        <w:div w:id="1864786471">
          <w:marLeft w:val="640"/>
          <w:marRight w:val="0"/>
          <w:marTop w:val="0"/>
          <w:marBottom w:val="0"/>
          <w:divBdr>
            <w:top w:val="none" w:sz="0" w:space="0" w:color="auto"/>
            <w:left w:val="none" w:sz="0" w:space="0" w:color="auto"/>
            <w:bottom w:val="none" w:sz="0" w:space="0" w:color="auto"/>
            <w:right w:val="none" w:sz="0" w:space="0" w:color="auto"/>
          </w:divBdr>
        </w:div>
        <w:div w:id="846790898">
          <w:marLeft w:val="640"/>
          <w:marRight w:val="0"/>
          <w:marTop w:val="0"/>
          <w:marBottom w:val="0"/>
          <w:divBdr>
            <w:top w:val="none" w:sz="0" w:space="0" w:color="auto"/>
            <w:left w:val="none" w:sz="0" w:space="0" w:color="auto"/>
            <w:bottom w:val="none" w:sz="0" w:space="0" w:color="auto"/>
            <w:right w:val="none" w:sz="0" w:space="0" w:color="auto"/>
          </w:divBdr>
        </w:div>
        <w:div w:id="1952974147">
          <w:marLeft w:val="640"/>
          <w:marRight w:val="0"/>
          <w:marTop w:val="0"/>
          <w:marBottom w:val="0"/>
          <w:divBdr>
            <w:top w:val="none" w:sz="0" w:space="0" w:color="auto"/>
            <w:left w:val="none" w:sz="0" w:space="0" w:color="auto"/>
            <w:bottom w:val="none" w:sz="0" w:space="0" w:color="auto"/>
            <w:right w:val="none" w:sz="0" w:space="0" w:color="auto"/>
          </w:divBdr>
        </w:div>
        <w:div w:id="223416655">
          <w:marLeft w:val="640"/>
          <w:marRight w:val="0"/>
          <w:marTop w:val="0"/>
          <w:marBottom w:val="0"/>
          <w:divBdr>
            <w:top w:val="none" w:sz="0" w:space="0" w:color="auto"/>
            <w:left w:val="none" w:sz="0" w:space="0" w:color="auto"/>
            <w:bottom w:val="none" w:sz="0" w:space="0" w:color="auto"/>
            <w:right w:val="none" w:sz="0" w:space="0" w:color="auto"/>
          </w:divBdr>
        </w:div>
        <w:div w:id="1887715463">
          <w:marLeft w:val="640"/>
          <w:marRight w:val="0"/>
          <w:marTop w:val="0"/>
          <w:marBottom w:val="0"/>
          <w:divBdr>
            <w:top w:val="none" w:sz="0" w:space="0" w:color="auto"/>
            <w:left w:val="none" w:sz="0" w:space="0" w:color="auto"/>
            <w:bottom w:val="none" w:sz="0" w:space="0" w:color="auto"/>
            <w:right w:val="none" w:sz="0" w:space="0" w:color="auto"/>
          </w:divBdr>
        </w:div>
        <w:div w:id="497384259">
          <w:marLeft w:val="640"/>
          <w:marRight w:val="0"/>
          <w:marTop w:val="0"/>
          <w:marBottom w:val="0"/>
          <w:divBdr>
            <w:top w:val="none" w:sz="0" w:space="0" w:color="auto"/>
            <w:left w:val="none" w:sz="0" w:space="0" w:color="auto"/>
            <w:bottom w:val="none" w:sz="0" w:space="0" w:color="auto"/>
            <w:right w:val="none" w:sz="0" w:space="0" w:color="auto"/>
          </w:divBdr>
        </w:div>
        <w:div w:id="1895388631">
          <w:marLeft w:val="640"/>
          <w:marRight w:val="0"/>
          <w:marTop w:val="0"/>
          <w:marBottom w:val="0"/>
          <w:divBdr>
            <w:top w:val="none" w:sz="0" w:space="0" w:color="auto"/>
            <w:left w:val="none" w:sz="0" w:space="0" w:color="auto"/>
            <w:bottom w:val="none" w:sz="0" w:space="0" w:color="auto"/>
            <w:right w:val="none" w:sz="0" w:space="0" w:color="auto"/>
          </w:divBdr>
        </w:div>
        <w:div w:id="1424913068">
          <w:marLeft w:val="640"/>
          <w:marRight w:val="0"/>
          <w:marTop w:val="0"/>
          <w:marBottom w:val="0"/>
          <w:divBdr>
            <w:top w:val="none" w:sz="0" w:space="0" w:color="auto"/>
            <w:left w:val="none" w:sz="0" w:space="0" w:color="auto"/>
            <w:bottom w:val="none" w:sz="0" w:space="0" w:color="auto"/>
            <w:right w:val="none" w:sz="0" w:space="0" w:color="auto"/>
          </w:divBdr>
        </w:div>
      </w:divsChild>
    </w:div>
    <w:div w:id="152919132">
      <w:bodyDiv w:val="1"/>
      <w:marLeft w:val="0"/>
      <w:marRight w:val="0"/>
      <w:marTop w:val="0"/>
      <w:marBottom w:val="0"/>
      <w:divBdr>
        <w:top w:val="none" w:sz="0" w:space="0" w:color="auto"/>
        <w:left w:val="none" w:sz="0" w:space="0" w:color="auto"/>
        <w:bottom w:val="none" w:sz="0" w:space="0" w:color="auto"/>
        <w:right w:val="none" w:sz="0" w:space="0" w:color="auto"/>
      </w:divBdr>
      <w:divsChild>
        <w:div w:id="416290620">
          <w:marLeft w:val="640"/>
          <w:marRight w:val="0"/>
          <w:marTop w:val="0"/>
          <w:marBottom w:val="0"/>
          <w:divBdr>
            <w:top w:val="none" w:sz="0" w:space="0" w:color="auto"/>
            <w:left w:val="none" w:sz="0" w:space="0" w:color="auto"/>
            <w:bottom w:val="none" w:sz="0" w:space="0" w:color="auto"/>
            <w:right w:val="none" w:sz="0" w:space="0" w:color="auto"/>
          </w:divBdr>
        </w:div>
        <w:div w:id="1581253090">
          <w:marLeft w:val="640"/>
          <w:marRight w:val="0"/>
          <w:marTop w:val="0"/>
          <w:marBottom w:val="0"/>
          <w:divBdr>
            <w:top w:val="none" w:sz="0" w:space="0" w:color="auto"/>
            <w:left w:val="none" w:sz="0" w:space="0" w:color="auto"/>
            <w:bottom w:val="none" w:sz="0" w:space="0" w:color="auto"/>
            <w:right w:val="none" w:sz="0" w:space="0" w:color="auto"/>
          </w:divBdr>
        </w:div>
        <w:div w:id="147673440">
          <w:marLeft w:val="640"/>
          <w:marRight w:val="0"/>
          <w:marTop w:val="0"/>
          <w:marBottom w:val="0"/>
          <w:divBdr>
            <w:top w:val="none" w:sz="0" w:space="0" w:color="auto"/>
            <w:left w:val="none" w:sz="0" w:space="0" w:color="auto"/>
            <w:bottom w:val="none" w:sz="0" w:space="0" w:color="auto"/>
            <w:right w:val="none" w:sz="0" w:space="0" w:color="auto"/>
          </w:divBdr>
        </w:div>
        <w:div w:id="1232161508">
          <w:marLeft w:val="640"/>
          <w:marRight w:val="0"/>
          <w:marTop w:val="0"/>
          <w:marBottom w:val="0"/>
          <w:divBdr>
            <w:top w:val="none" w:sz="0" w:space="0" w:color="auto"/>
            <w:left w:val="none" w:sz="0" w:space="0" w:color="auto"/>
            <w:bottom w:val="none" w:sz="0" w:space="0" w:color="auto"/>
            <w:right w:val="none" w:sz="0" w:space="0" w:color="auto"/>
          </w:divBdr>
        </w:div>
        <w:div w:id="724182585">
          <w:marLeft w:val="640"/>
          <w:marRight w:val="0"/>
          <w:marTop w:val="0"/>
          <w:marBottom w:val="0"/>
          <w:divBdr>
            <w:top w:val="none" w:sz="0" w:space="0" w:color="auto"/>
            <w:left w:val="none" w:sz="0" w:space="0" w:color="auto"/>
            <w:bottom w:val="none" w:sz="0" w:space="0" w:color="auto"/>
            <w:right w:val="none" w:sz="0" w:space="0" w:color="auto"/>
          </w:divBdr>
        </w:div>
        <w:div w:id="574899871">
          <w:marLeft w:val="640"/>
          <w:marRight w:val="0"/>
          <w:marTop w:val="0"/>
          <w:marBottom w:val="0"/>
          <w:divBdr>
            <w:top w:val="none" w:sz="0" w:space="0" w:color="auto"/>
            <w:left w:val="none" w:sz="0" w:space="0" w:color="auto"/>
            <w:bottom w:val="none" w:sz="0" w:space="0" w:color="auto"/>
            <w:right w:val="none" w:sz="0" w:space="0" w:color="auto"/>
          </w:divBdr>
        </w:div>
        <w:div w:id="1022511249">
          <w:marLeft w:val="640"/>
          <w:marRight w:val="0"/>
          <w:marTop w:val="0"/>
          <w:marBottom w:val="0"/>
          <w:divBdr>
            <w:top w:val="none" w:sz="0" w:space="0" w:color="auto"/>
            <w:left w:val="none" w:sz="0" w:space="0" w:color="auto"/>
            <w:bottom w:val="none" w:sz="0" w:space="0" w:color="auto"/>
            <w:right w:val="none" w:sz="0" w:space="0" w:color="auto"/>
          </w:divBdr>
        </w:div>
        <w:div w:id="209415174">
          <w:marLeft w:val="640"/>
          <w:marRight w:val="0"/>
          <w:marTop w:val="0"/>
          <w:marBottom w:val="0"/>
          <w:divBdr>
            <w:top w:val="none" w:sz="0" w:space="0" w:color="auto"/>
            <w:left w:val="none" w:sz="0" w:space="0" w:color="auto"/>
            <w:bottom w:val="none" w:sz="0" w:space="0" w:color="auto"/>
            <w:right w:val="none" w:sz="0" w:space="0" w:color="auto"/>
          </w:divBdr>
        </w:div>
        <w:div w:id="771434458">
          <w:marLeft w:val="640"/>
          <w:marRight w:val="0"/>
          <w:marTop w:val="0"/>
          <w:marBottom w:val="0"/>
          <w:divBdr>
            <w:top w:val="none" w:sz="0" w:space="0" w:color="auto"/>
            <w:left w:val="none" w:sz="0" w:space="0" w:color="auto"/>
            <w:bottom w:val="none" w:sz="0" w:space="0" w:color="auto"/>
            <w:right w:val="none" w:sz="0" w:space="0" w:color="auto"/>
          </w:divBdr>
        </w:div>
        <w:div w:id="917052629">
          <w:marLeft w:val="640"/>
          <w:marRight w:val="0"/>
          <w:marTop w:val="0"/>
          <w:marBottom w:val="0"/>
          <w:divBdr>
            <w:top w:val="none" w:sz="0" w:space="0" w:color="auto"/>
            <w:left w:val="none" w:sz="0" w:space="0" w:color="auto"/>
            <w:bottom w:val="none" w:sz="0" w:space="0" w:color="auto"/>
            <w:right w:val="none" w:sz="0" w:space="0" w:color="auto"/>
          </w:divBdr>
        </w:div>
        <w:div w:id="665326279">
          <w:marLeft w:val="640"/>
          <w:marRight w:val="0"/>
          <w:marTop w:val="0"/>
          <w:marBottom w:val="0"/>
          <w:divBdr>
            <w:top w:val="none" w:sz="0" w:space="0" w:color="auto"/>
            <w:left w:val="none" w:sz="0" w:space="0" w:color="auto"/>
            <w:bottom w:val="none" w:sz="0" w:space="0" w:color="auto"/>
            <w:right w:val="none" w:sz="0" w:space="0" w:color="auto"/>
          </w:divBdr>
        </w:div>
        <w:div w:id="495386683">
          <w:marLeft w:val="640"/>
          <w:marRight w:val="0"/>
          <w:marTop w:val="0"/>
          <w:marBottom w:val="0"/>
          <w:divBdr>
            <w:top w:val="none" w:sz="0" w:space="0" w:color="auto"/>
            <w:left w:val="none" w:sz="0" w:space="0" w:color="auto"/>
            <w:bottom w:val="none" w:sz="0" w:space="0" w:color="auto"/>
            <w:right w:val="none" w:sz="0" w:space="0" w:color="auto"/>
          </w:divBdr>
        </w:div>
        <w:div w:id="1745951251">
          <w:marLeft w:val="640"/>
          <w:marRight w:val="0"/>
          <w:marTop w:val="0"/>
          <w:marBottom w:val="0"/>
          <w:divBdr>
            <w:top w:val="none" w:sz="0" w:space="0" w:color="auto"/>
            <w:left w:val="none" w:sz="0" w:space="0" w:color="auto"/>
            <w:bottom w:val="none" w:sz="0" w:space="0" w:color="auto"/>
            <w:right w:val="none" w:sz="0" w:space="0" w:color="auto"/>
          </w:divBdr>
        </w:div>
        <w:div w:id="926771589">
          <w:marLeft w:val="640"/>
          <w:marRight w:val="0"/>
          <w:marTop w:val="0"/>
          <w:marBottom w:val="0"/>
          <w:divBdr>
            <w:top w:val="none" w:sz="0" w:space="0" w:color="auto"/>
            <w:left w:val="none" w:sz="0" w:space="0" w:color="auto"/>
            <w:bottom w:val="none" w:sz="0" w:space="0" w:color="auto"/>
            <w:right w:val="none" w:sz="0" w:space="0" w:color="auto"/>
          </w:divBdr>
        </w:div>
        <w:div w:id="116218277">
          <w:marLeft w:val="640"/>
          <w:marRight w:val="0"/>
          <w:marTop w:val="0"/>
          <w:marBottom w:val="0"/>
          <w:divBdr>
            <w:top w:val="none" w:sz="0" w:space="0" w:color="auto"/>
            <w:left w:val="none" w:sz="0" w:space="0" w:color="auto"/>
            <w:bottom w:val="none" w:sz="0" w:space="0" w:color="auto"/>
            <w:right w:val="none" w:sz="0" w:space="0" w:color="auto"/>
          </w:divBdr>
        </w:div>
        <w:div w:id="1382944225">
          <w:marLeft w:val="640"/>
          <w:marRight w:val="0"/>
          <w:marTop w:val="0"/>
          <w:marBottom w:val="0"/>
          <w:divBdr>
            <w:top w:val="none" w:sz="0" w:space="0" w:color="auto"/>
            <w:left w:val="none" w:sz="0" w:space="0" w:color="auto"/>
            <w:bottom w:val="none" w:sz="0" w:space="0" w:color="auto"/>
            <w:right w:val="none" w:sz="0" w:space="0" w:color="auto"/>
          </w:divBdr>
        </w:div>
        <w:div w:id="1188716226">
          <w:marLeft w:val="640"/>
          <w:marRight w:val="0"/>
          <w:marTop w:val="0"/>
          <w:marBottom w:val="0"/>
          <w:divBdr>
            <w:top w:val="none" w:sz="0" w:space="0" w:color="auto"/>
            <w:left w:val="none" w:sz="0" w:space="0" w:color="auto"/>
            <w:bottom w:val="none" w:sz="0" w:space="0" w:color="auto"/>
            <w:right w:val="none" w:sz="0" w:space="0" w:color="auto"/>
          </w:divBdr>
        </w:div>
        <w:div w:id="1462266764">
          <w:marLeft w:val="640"/>
          <w:marRight w:val="0"/>
          <w:marTop w:val="0"/>
          <w:marBottom w:val="0"/>
          <w:divBdr>
            <w:top w:val="none" w:sz="0" w:space="0" w:color="auto"/>
            <w:left w:val="none" w:sz="0" w:space="0" w:color="auto"/>
            <w:bottom w:val="none" w:sz="0" w:space="0" w:color="auto"/>
            <w:right w:val="none" w:sz="0" w:space="0" w:color="auto"/>
          </w:divBdr>
        </w:div>
        <w:div w:id="518590632">
          <w:marLeft w:val="640"/>
          <w:marRight w:val="0"/>
          <w:marTop w:val="0"/>
          <w:marBottom w:val="0"/>
          <w:divBdr>
            <w:top w:val="none" w:sz="0" w:space="0" w:color="auto"/>
            <w:left w:val="none" w:sz="0" w:space="0" w:color="auto"/>
            <w:bottom w:val="none" w:sz="0" w:space="0" w:color="auto"/>
            <w:right w:val="none" w:sz="0" w:space="0" w:color="auto"/>
          </w:divBdr>
        </w:div>
        <w:div w:id="1079522413">
          <w:marLeft w:val="640"/>
          <w:marRight w:val="0"/>
          <w:marTop w:val="0"/>
          <w:marBottom w:val="0"/>
          <w:divBdr>
            <w:top w:val="none" w:sz="0" w:space="0" w:color="auto"/>
            <w:left w:val="none" w:sz="0" w:space="0" w:color="auto"/>
            <w:bottom w:val="none" w:sz="0" w:space="0" w:color="auto"/>
            <w:right w:val="none" w:sz="0" w:space="0" w:color="auto"/>
          </w:divBdr>
        </w:div>
        <w:div w:id="1057315262">
          <w:marLeft w:val="640"/>
          <w:marRight w:val="0"/>
          <w:marTop w:val="0"/>
          <w:marBottom w:val="0"/>
          <w:divBdr>
            <w:top w:val="none" w:sz="0" w:space="0" w:color="auto"/>
            <w:left w:val="none" w:sz="0" w:space="0" w:color="auto"/>
            <w:bottom w:val="none" w:sz="0" w:space="0" w:color="auto"/>
            <w:right w:val="none" w:sz="0" w:space="0" w:color="auto"/>
          </w:divBdr>
        </w:div>
        <w:div w:id="732847136">
          <w:marLeft w:val="640"/>
          <w:marRight w:val="0"/>
          <w:marTop w:val="0"/>
          <w:marBottom w:val="0"/>
          <w:divBdr>
            <w:top w:val="none" w:sz="0" w:space="0" w:color="auto"/>
            <w:left w:val="none" w:sz="0" w:space="0" w:color="auto"/>
            <w:bottom w:val="none" w:sz="0" w:space="0" w:color="auto"/>
            <w:right w:val="none" w:sz="0" w:space="0" w:color="auto"/>
          </w:divBdr>
        </w:div>
        <w:div w:id="817766006">
          <w:marLeft w:val="640"/>
          <w:marRight w:val="0"/>
          <w:marTop w:val="0"/>
          <w:marBottom w:val="0"/>
          <w:divBdr>
            <w:top w:val="none" w:sz="0" w:space="0" w:color="auto"/>
            <w:left w:val="none" w:sz="0" w:space="0" w:color="auto"/>
            <w:bottom w:val="none" w:sz="0" w:space="0" w:color="auto"/>
            <w:right w:val="none" w:sz="0" w:space="0" w:color="auto"/>
          </w:divBdr>
        </w:div>
      </w:divsChild>
    </w:div>
    <w:div w:id="159391411">
      <w:bodyDiv w:val="1"/>
      <w:marLeft w:val="0"/>
      <w:marRight w:val="0"/>
      <w:marTop w:val="0"/>
      <w:marBottom w:val="0"/>
      <w:divBdr>
        <w:top w:val="none" w:sz="0" w:space="0" w:color="auto"/>
        <w:left w:val="none" w:sz="0" w:space="0" w:color="auto"/>
        <w:bottom w:val="none" w:sz="0" w:space="0" w:color="auto"/>
        <w:right w:val="none" w:sz="0" w:space="0" w:color="auto"/>
      </w:divBdr>
    </w:div>
    <w:div w:id="161510869">
      <w:bodyDiv w:val="1"/>
      <w:marLeft w:val="0"/>
      <w:marRight w:val="0"/>
      <w:marTop w:val="0"/>
      <w:marBottom w:val="0"/>
      <w:divBdr>
        <w:top w:val="none" w:sz="0" w:space="0" w:color="auto"/>
        <w:left w:val="none" w:sz="0" w:space="0" w:color="auto"/>
        <w:bottom w:val="none" w:sz="0" w:space="0" w:color="auto"/>
        <w:right w:val="none" w:sz="0" w:space="0" w:color="auto"/>
      </w:divBdr>
    </w:div>
    <w:div w:id="163740071">
      <w:bodyDiv w:val="1"/>
      <w:marLeft w:val="0"/>
      <w:marRight w:val="0"/>
      <w:marTop w:val="0"/>
      <w:marBottom w:val="0"/>
      <w:divBdr>
        <w:top w:val="none" w:sz="0" w:space="0" w:color="auto"/>
        <w:left w:val="none" w:sz="0" w:space="0" w:color="auto"/>
        <w:bottom w:val="none" w:sz="0" w:space="0" w:color="auto"/>
        <w:right w:val="none" w:sz="0" w:space="0" w:color="auto"/>
      </w:divBdr>
    </w:div>
    <w:div w:id="187573045">
      <w:bodyDiv w:val="1"/>
      <w:marLeft w:val="0"/>
      <w:marRight w:val="0"/>
      <w:marTop w:val="0"/>
      <w:marBottom w:val="0"/>
      <w:divBdr>
        <w:top w:val="none" w:sz="0" w:space="0" w:color="auto"/>
        <w:left w:val="none" w:sz="0" w:space="0" w:color="auto"/>
        <w:bottom w:val="none" w:sz="0" w:space="0" w:color="auto"/>
        <w:right w:val="none" w:sz="0" w:space="0" w:color="auto"/>
      </w:divBdr>
    </w:div>
    <w:div w:id="203759805">
      <w:bodyDiv w:val="1"/>
      <w:marLeft w:val="0"/>
      <w:marRight w:val="0"/>
      <w:marTop w:val="0"/>
      <w:marBottom w:val="0"/>
      <w:divBdr>
        <w:top w:val="none" w:sz="0" w:space="0" w:color="auto"/>
        <w:left w:val="none" w:sz="0" w:space="0" w:color="auto"/>
        <w:bottom w:val="none" w:sz="0" w:space="0" w:color="auto"/>
        <w:right w:val="none" w:sz="0" w:space="0" w:color="auto"/>
      </w:divBdr>
    </w:div>
    <w:div w:id="218128301">
      <w:bodyDiv w:val="1"/>
      <w:marLeft w:val="0"/>
      <w:marRight w:val="0"/>
      <w:marTop w:val="0"/>
      <w:marBottom w:val="0"/>
      <w:divBdr>
        <w:top w:val="none" w:sz="0" w:space="0" w:color="auto"/>
        <w:left w:val="none" w:sz="0" w:space="0" w:color="auto"/>
        <w:bottom w:val="none" w:sz="0" w:space="0" w:color="auto"/>
        <w:right w:val="none" w:sz="0" w:space="0" w:color="auto"/>
      </w:divBdr>
    </w:div>
    <w:div w:id="261570209">
      <w:bodyDiv w:val="1"/>
      <w:marLeft w:val="0"/>
      <w:marRight w:val="0"/>
      <w:marTop w:val="0"/>
      <w:marBottom w:val="0"/>
      <w:divBdr>
        <w:top w:val="none" w:sz="0" w:space="0" w:color="auto"/>
        <w:left w:val="none" w:sz="0" w:space="0" w:color="auto"/>
        <w:bottom w:val="none" w:sz="0" w:space="0" w:color="auto"/>
        <w:right w:val="none" w:sz="0" w:space="0" w:color="auto"/>
      </w:divBdr>
    </w:div>
    <w:div w:id="266543764">
      <w:bodyDiv w:val="1"/>
      <w:marLeft w:val="0"/>
      <w:marRight w:val="0"/>
      <w:marTop w:val="0"/>
      <w:marBottom w:val="0"/>
      <w:divBdr>
        <w:top w:val="none" w:sz="0" w:space="0" w:color="auto"/>
        <w:left w:val="none" w:sz="0" w:space="0" w:color="auto"/>
        <w:bottom w:val="none" w:sz="0" w:space="0" w:color="auto"/>
        <w:right w:val="none" w:sz="0" w:space="0" w:color="auto"/>
      </w:divBdr>
    </w:div>
    <w:div w:id="274488909">
      <w:bodyDiv w:val="1"/>
      <w:marLeft w:val="0"/>
      <w:marRight w:val="0"/>
      <w:marTop w:val="0"/>
      <w:marBottom w:val="0"/>
      <w:divBdr>
        <w:top w:val="none" w:sz="0" w:space="0" w:color="auto"/>
        <w:left w:val="none" w:sz="0" w:space="0" w:color="auto"/>
        <w:bottom w:val="none" w:sz="0" w:space="0" w:color="auto"/>
        <w:right w:val="none" w:sz="0" w:space="0" w:color="auto"/>
      </w:divBdr>
    </w:div>
    <w:div w:id="290064456">
      <w:bodyDiv w:val="1"/>
      <w:marLeft w:val="0"/>
      <w:marRight w:val="0"/>
      <w:marTop w:val="0"/>
      <w:marBottom w:val="0"/>
      <w:divBdr>
        <w:top w:val="none" w:sz="0" w:space="0" w:color="auto"/>
        <w:left w:val="none" w:sz="0" w:space="0" w:color="auto"/>
        <w:bottom w:val="none" w:sz="0" w:space="0" w:color="auto"/>
        <w:right w:val="none" w:sz="0" w:space="0" w:color="auto"/>
      </w:divBdr>
    </w:div>
    <w:div w:id="297808344">
      <w:bodyDiv w:val="1"/>
      <w:marLeft w:val="0"/>
      <w:marRight w:val="0"/>
      <w:marTop w:val="0"/>
      <w:marBottom w:val="0"/>
      <w:divBdr>
        <w:top w:val="none" w:sz="0" w:space="0" w:color="auto"/>
        <w:left w:val="none" w:sz="0" w:space="0" w:color="auto"/>
        <w:bottom w:val="none" w:sz="0" w:space="0" w:color="auto"/>
        <w:right w:val="none" w:sz="0" w:space="0" w:color="auto"/>
      </w:divBdr>
    </w:div>
    <w:div w:id="320814307">
      <w:bodyDiv w:val="1"/>
      <w:marLeft w:val="0"/>
      <w:marRight w:val="0"/>
      <w:marTop w:val="0"/>
      <w:marBottom w:val="0"/>
      <w:divBdr>
        <w:top w:val="none" w:sz="0" w:space="0" w:color="auto"/>
        <w:left w:val="none" w:sz="0" w:space="0" w:color="auto"/>
        <w:bottom w:val="none" w:sz="0" w:space="0" w:color="auto"/>
        <w:right w:val="none" w:sz="0" w:space="0" w:color="auto"/>
      </w:divBdr>
    </w:div>
    <w:div w:id="340741165">
      <w:bodyDiv w:val="1"/>
      <w:marLeft w:val="0"/>
      <w:marRight w:val="0"/>
      <w:marTop w:val="0"/>
      <w:marBottom w:val="0"/>
      <w:divBdr>
        <w:top w:val="none" w:sz="0" w:space="0" w:color="auto"/>
        <w:left w:val="none" w:sz="0" w:space="0" w:color="auto"/>
        <w:bottom w:val="none" w:sz="0" w:space="0" w:color="auto"/>
        <w:right w:val="none" w:sz="0" w:space="0" w:color="auto"/>
      </w:divBdr>
    </w:div>
    <w:div w:id="349722713">
      <w:bodyDiv w:val="1"/>
      <w:marLeft w:val="0"/>
      <w:marRight w:val="0"/>
      <w:marTop w:val="0"/>
      <w:marBottom w:val="0"/>
      <w:divBdr>
        <w:top w:val="none" w:sz="0" w:space="0" w:color="auto"/>
        <w:left w:val="none" w:sz="0" w:space="0" w:color="auto"/>
        <w:bottom w:val="none" w:sz="0" w:space="0" w:color="auto"/>
        <w:right w:val="none" w:sz="0" w:space="0" w:color="auto"/>
      </w:divBdr>
    </w:div>
    <w:div w:id="357046864">
      <w:bodyDiv w:val="1"/>
      <w:marLeft w:val="0"/>
      <w:marRight w:val="0"/>
      <w:marTop w:val="0"/>
      <w:marBottom w:val="0"/>
      <w:divBdr>
        <w:top w:val="none" w:sz="0" w:space="0" w:color="auto"/>
        <w:left w:val="none" w:sz="0" w:space="0" w:color="auto"/>
        <w:bottom w:val="none" w:sz="0" w:space="0" w:color="auto"/>
        <w:right w:val="none" w:sz="0" w:space="0" w:color="auto"/>
      </w:divBdr>
    </w:div>
    <w:div w:id="360087062">
      <w:bodyDiv w:val="1"/>
      <w:marLeft w:val="0"/>
      <w:marRight w:val="0"/>
      <w:marTop w:val="0"/>
      <w:marBottom w:val="0"/>
      <w:divBdr>
        <w:top w:val="none" w:sz="0" w:space="0" w:color="auto"/>
        <w:left w:val="none" w:sz="0" w:space="0" w:color="auto"/>
        <w:bottom w:val="none" w:sz="0" w:space="0" w:color="auto"/>
        <w:right w:val="none" w:sz="0" w:space="0" w:color="auto"/>
      </w:divBdr>
    </w:div>
    <w:div w:id="435516402">
      <w:bodyDiv w:val="1"/>
      <w:marLeft w:val="0"/>
      <w:marRight w:val="0"/>
      <w:marTop w:val="0"/>
      <w:marBottom w:val="0"/>
      <w:divBdr>
        <w:top w:val="none" w:sz="0" w:space="0" w:color="auto"/>
        <w:left w:val="none" w:sz="0" w:space="0" w:color="auto"/>
        <w:bottom w:val="none" w:sz="0" w:space="0" w:color="auto"/>
        <w:right w:val="none" w:sz="0" w:space="0" w:color="auto"/>
      </w:divBdr>
    </w:div>
    <w:div w:id="437599699">
      <w:bodyDiv w:val="1"/>
      <w:marLeft w:val="0"/>
      <w:marRight w:val="0"/>
      <w:marTop w:val="0"/>
      <w:marBottom w:val="0"/>
      <w:divBdr>
        <w:top w:val="none" w:sz="0" w:space="0" w:color="auto"/>
        <w:left w:val="none" w:sz="0" w:space="0" w:color="auto"/>
        <w:bottom w:val="none" w:sz="0" w:space="0" w:color="auto"/>
        <w:right w:val="none" w:sz="0" w:space="0" w:color="auto"/>
      </w:divBdr>
    </w:div>
    <w:div w:id="448934143">
      <w:bodyDiv w:val="1"/>
      <w:marLeft w:val="0"/>
      <w:marRight w:val="0"/>
      <w:marTop w:val="0"/>
      <w:marBottom w:val="0"/>
      <w:divBdr>
        <w:top w:val="none" w:sz="0" w:space="0" w:color="auto"/>
        <w:left w:val="none" w:sz="0" w:space="0" w:color="auto"/>
        <w:bottom w:val="none" w:sz="0" w:space="0" w:color="auto"/>
        <w:right w:val="none" w:sz="0" w:space="0" w:color="auto"/>
      </w:divBdr>
    </w:div>
    <w:div w:id="457994388">
      <w:bodyDiv w:val="1"/>
      <w:marLeft w:val="0"/>
      <w:marRight w:val="0"/>
      <w:marTop w:val="0"/>
      <w:marBottom w:val="0"/>
      <w:divBdr>
        <w:top w:val="none" w:sz="0" w:space="0" w:color="auto"/>
        <w:left w:val="none" w:sz="0" w:space="0" w:color="auto"/>
        <w:bottom w:val="none" w:sz="0" w:space="0" w:color="auto"/>
        <w:right w:val="none" w:sz="0" w:space="0" w:color="auto"/>
      </w:divBdr>
    </w:div>
    <w:div w:id="465658023">
      <w:bodyDiv w:val="1"/>
      <w:marLeft w:val="0"/>
      <w:marRight w:val="0"/>
      <w:marTop w:val="0"/>
      <w:marBottom w:val="0"/>
      <w:divBdr>
        <w:top w:val="none" w:sz="0" w:space="0" w:color="auto"/>
        <w:left w:val="none" w:sz="0" w:space="0" w:color="auto"/>
        <w:bottom w:val="none" w:sz="0" w:space="0" w:color="auto"/>
        <w:right w:val="none" w:sz="0" w:space="0" w:color="auto"/>
      </w:divBdr>
    </w:div>
    <w:div w:id="496385957">
      <w:bodyDiv w:val="1"/>
      <w:marLeft w:val="0"/>
      <w:marRight w:val="0"/>
      <w:marTop w:val="0"/>
      <w:marBottom w:val="0"/>
      <w:divBdr>
        <w:top w:val="none" w:sz="0" w:space="0" w:color="auto"/>
        <w:left w:val="none" w:sz="0" w:space="0" w:color="auto"/>
        <w:bottom w:val="none" w:sz="0" w:space="0" w:color="auto"/>
        <w:right w:val="none" w:sz="0" w:space="0" w:color="auto"/>
      </w:divBdr>
    </w:div>
    <w:div w:id="499928661">
      <w:bodyDiv w:val="1"/>
      <w:marLeft w:val="0"/>
      <w:marRight w:val="0"/>
      <w:marTop w:val="0"/>
      <w:marBottom w:val="0"/>
      <w:divBdr>
        <w:top w:val="none" w:sz="0" w:space="0" w:color="auto"/>
        <w:left w:val="none" w:sz="0" w:space="0" w:color="auto"/>
        <w:bottom w:val="none" w:sz="0" w:space="0" w:color="auto"/>
        <w:right w:val="none" w:sz="0" w:space="0" w:color="auto"/>
      </w:divBdr>
    </w:div>
    <w:div w:id="510409137">
      <w:bodyDiv w:val="1"/>
      <w:marLeft w:val="0"/>
      <w:marRight w:val="0"/>
      <w:marTop w:val="0"/>
      <w:marBottom w:val="0"/>
      <w:divBdr>
        <w:top w:val="none" w:sz="0" w:space="0" w:color="auto"/>
        <w:left w:val="none" w:sz="0" w:space="0" w:color="auto"/>
        <w:bottom w:val="none" w:sz="0" w:space="0" w:color="auto"/>
        <w:right w:val="none" w:sz="0" w:space="0" w:color="auto"/>
      </w:divBdr>
    </w:div>
    <w:div w:id="517700313">
      <w:bodyDiv w:val="1"/>
      <w:marLeft w:val="0"/>
      <w:marRight w:val="0"/>
      <w:marTop w:val="0"/>
      <w:marBottom w:val="0"/>
      <w:divBdr>
        <w:top w:val="none" w:sz="0" w:space="0" w:color="auto"/>
        <w:left w:val="none" w:sz="0" w:space="0" w:color="auto"/>
        <w:bottom w:val="none" w:sz="0" w:space="0" w:color="auto"/>
        <w:right w:val="none" w:sz="0" w:space="0" w:color="auto"/>
      </w:divBdr>
    </w:div>
    <w:div w:id="518154374">
      <w:bodyDiv w:val="1"/>
      <w:marLeft w:val="0"/>
      <w:marRight w:val="0"/>
      <w:marTop w:val="0"/>
      <w:marBottom w:val="0"/>
      <w:divBdr>
        <w:top w:val="none" w:sz="0" w:space="0" w:color="auto"/>
        <w:left w:val="none" w:sz="0" w:space="0" w:color="auto"/>
        <w:bottom w:val="none" w:sz="0" w:space="0" w:color="auto"/>
        <w:right w:val="none" w:sz="0" w:space="0" w:color="auto"/>
      </w:divBdr>
    </w:div>
    <w:div w:id="527179277">
      <w:bodyDiv w:val="1"/>
      <w:marLeft w:val="0"/>
      <w:marRight w:val="0"/>
      <w:marTop w:val="0"/>
      <w:marBottom w:val="0"/>
      <w:divBdr>
        <w:top w:val="none" w:sz="0" w:space="0" w:color="auto"/>
        <w:left w:val="none" w:sz="0" w:space="0" w:color="auto"/>
        <w:bottom w:val="none" w:sz="0" w:space="0" w:color="auto"/>
        <w:right w:val="none" w:sz="0" w:space="0" w:color="auto"/>
      </w:divBdr>
    </w:div>
    <w:div w:id="544605817">
      <w:bodyDiv w:val="1"/>
      <w:marLeft w:val="0"/>
      <w:marRight w:val="0"/>
      <w:marTop w:val="0"/>
      <w:marBottom w:val="0"/>
      <w:divBdr>
        <w:top w:val="none" w:sz="0" w:space="0" w:color="auto"/>
        <w:left w:val="none" w:sz="0" w:space="0" w:color="auto"/>
        <w:bottom w:val="none" w:sz="0" w:space="0" w:color="auto"/>
        <w:right w:val="none" w:sz="0" w:space="0" w:color="auto"/>
      </w:divBdr>
    </w:div>
    <w:div w:id="556547152">
      <w:bodyDiv w:val="1"/>
      <w:marLeft w:val="0"/>
      <w:marRight w:val="0"/>
      <w:marTop w:val="0"/>
      <w:marBottom w:val="0"/>
      <w:divBdr>
        <w:top w:val="none" w:sz="0" w:space="0" w:color="auto"/>
        <w:left w:val="none" w:sz="0" w:space="0" w:color="auto"/>
        <w:bottom w:val="none" w:sz="0" w:space="0" w:color="auto"/>
        <w:right w:val="none" w:sz="0" w:space="0" w:color="auto"/>
      </w:divBdr>
    </w:div>
    <w:div w:id="557982174">
      <w:bodyDiv w:val="1"/>
      <w:marLeft w:val="0"/>
      <w:marRight w:val="0"/>
      <w:marTop w:val="0"/>
      <w:marBottom w:val="0"/>
      <w:divBdr>
        <w:top w:val="none" w:sz="0" w:space="0" w:color="auto"/>
        <w:left w:val="none" w:sz="0" w:space="0" w:color="auto"/>
        <w:bottom w:val="none" w:sz="0" w:space="0" w:color="auto"/>
        <w:right w:val="none" w:sz="0" w:space="0" w:color="auto"/>
      </w:divBdr>
    </w:div>
    <w:div w:id="563568721">
      <w:bodyDiv w:val="1"/>
      <w:marLeft w:val="0"/>
      <w:marRight w:val="0"/>
      <w:marTop w:val="0"/>
      <w:marBottom w:val="0"/>
      <w:divBdr>
        <w:top w:val="none" w:sz="0" w:space="0" w:color="auto"/>
        <w:left w:val="none" w:sz="0" w:space="0" w:color="auto"/>
        <w:bottom w:val="none" w:sz="0" w:space="0" w:color="auto"/>
        <w:right w:val="none" w:sz="0" w:space="0" w:color="auto"/>
      </w:divBdr>
    </w:div>
    <w:div w:id="586773296">
      <w:bodyDiv w:val="1"/>
      <w:marLeft w:val="0"/>
      <w:marRight w:val="0"/>
      <w:marTop w:val="0"/>
      <w:marBottom w:val="0"/>
      <w:divBdr>
        <w:top w:val="none" w:sz="0" w:space="0" w:color="auto"/>
        <w:left w:val="none" w:sz="0" w:space="0" w:color="auto"/>
        <w:bottom w:val="none" w:sz="0" w:space="0" w:color="auto"/>
        <w:right w:val="none" w:sz="0" w:space="0" w:color="auto"/>
      </w:divBdr>
    </w:div>
    <w:div w:id="600067289">
      <w:bodyDiv w:val="1"/>
      <w:marLeft w:val="0"/>
      <w:marRight w:val="0"/>
      <w:marTop w:val="0"/>
      <w:marBottom w:val="0"/>
      <w:divBdr>
        <w:top w:val="none" w:sz="0" w:space="0" w:color="auto"/>
        <w:left w:val="none" w:sz="0" w:space="0" w:color="auto"/>
        <w:bottom w:val="none" w:sz="0" w:space="0" w:color="auto"/>
        <w:right w:val="none" w:sz="0" w:space="0" w:color="auto"/>
      </w:divBdr>
    </w:div>
    <w:div w:id="611671749">
      <w:bodyDiv w:val="1"/>
      <w:marLeft w:val="0"/>
      <w:marRight w:val="0"/>
      <w:marTop w:val="0"/>
      <w:marBottom w:val="0"/>
      <w:divBdr>
        <w:top w:val="none" w:sz="0" w:space="0" w:color="auto"/>
        <w:left w:val="none" w:sz="0" w:space="0" w:color="auto"/>
        <w:bottom w:val="none" w:sz="0" w:space="0" w:color="auto"/>
        <w:right w:val="none" w:sz="0" w:space="0" w:color="auto"/>
      </w:divBdr>
    </w:div>
    <w:div w:id="623578836">
      <w:bodyDiv w:val="1"/>
      <w:marLeft w:val="0"/>
      <w:marRight w:val="0"/>
      <w:marTop w:val="0"/>
      <w:marBottom w:val="0"/>
      <w:divBdr>
        <w:top w:val="none" w:sz="0" w:space="0" w:color="auto"/>
        <w:left w:val="none" w:sz="0" w:space="0" w:color="auto"/>
        <w:bottom w:val="none" w:sz="0" w:space="0" w:color="auto"/>
        <w:right w:val="none" w:sz="0" w:space="0" w:color="auto"/>
      </w:divBdr>
    </w:div>
    <w:div w:id="647511037">
      <w:bodyDiv w:val="1"/>
      <w:marLeft w:val="0"/>
      <w:marRight w:val="0"/>
      <w:marTop w:val="0"/>
      <w:marBottom w:val="0"/>
      <w:divBdr>
        <w:top w:val="none" w:sz="0" w:space="0" w:color="auto"/>
        <w:left w:val="none" w:sz="0" w:space="0" w:color="auto"/>
        <w:bottom w:val="none" w:sz="0" w:space="0" w:color="auto"/>
        <w:right w:val="none" w:sz="0" w:space="0" w:color="auto"/>
      </w:divBdr>
    </w:div>
    <w:div w:id="647823679">
      <w:bodyDiv w:val="1"/>
      <w:marLeft w:val="0"/>
      <w:marRight w:val="0"/>
      <w:marTop w:val="0"/>
      <w:marBottom w:val="0"/>
      <w:divBdr>
        <w:top w:val="none" w:sz="0" w:space="0" w:color="auto"/>
        <w:left w:val="none" w:sz="0" w:space="0" w:color="auto"/>
        <w:bottom w:val="none" w:sz="0" w:space="0" w:color="auto"/>
        <w:right w:val="none" w:sz="0" w:space="0" w:color="auto"/>
      </w:divBdr>
    </w:div>
    <w:div w:id="657415756">
      <w:bodyDiv w:val="1"/>
      <w:marLeft w:val="0"/>
      <w:marRight w:val="0"/>
      <w:marTop w:val="0"/>
      <w:marBottom w:val="0"/>
      <w:divBdr>
        <w:top w:val="none" w:sz="0" w:space="0" w:color="auto"/>
        <w:left w:val="none" w:sz="0" w:space="0" w:color="auto"/>
        <w:bottom w:val="none" w:sz="0" w:space="0" w:color="auto"/>
        <w:right w:val="none" w:sz="0" w:space="0" w:color="auto"/>
      </w:divBdr>
    </w:div>
    <w:div w:id="678585555">
      <w:bodyDiv w:val="1"/>
      <w:marLeft w:val="0"/>
      <w:marRight w:val="0"/>
      <w:marTop w:val="0"/>
      <w:marBottom w:val="0"/>
      <w:divBdr>
        <w:top w:val="none" w:sz="0" w:space="0" w:color="auto"/>
        <w:left w:val="none" w:sz="0" w:space="0" w:color="auto"/>
        <w:bottom w:val="none" w:sz="0" w:space="0" w:color="auto"/>
        <w:right w:val="none" w:sz="0" w:space="0" w:color="auto"/>
      </w:divBdr>
      <w:divsChild>
        <w:div w:id="1101685574">
          <w:marLeft w:val="640"/>
          <w:marRight w:val="0"/>
          <w:marTop w:val="0"/>
          <w:marBottom w:val="0"/>
          <w:divBdr>
            <w:top w:val="none" w:sz="0" w:space="0" w:color="auto"/>
            <w:left w:val="none" w:sz="0" w:space="0" w:color="auto"/>
            <w:bottom w:val="none" w:sz="0" w:space="0" w:color="auto"/>
            <w:right w:val="none" w:sz="0" w:space="0" w:color="auto"/>
          </w:divBdr>
        </w:div>
        <w:div w:id="648904196">
          <w:marLeft w:val="640"/>
          <w:marRight w:val="0"/>
          <w:marTop w:val="0"/>
          <w:marBottom w:val="0"/>
          <w:divBdr>
            <w:top w:val="none" w:sz="0" w:space="0" w:color="auto"/>
            <w:left w:val="none" w:sz="0" w:space="0" w:color="auto"/>
            <w:bottom w:val="none" w:sz="0" w:space="0" w:color="auto"/>
            <w:right w:val="none" w:sz="0" w:space="0" w:color="auto"/>
          </w:divBdr>
        </w:div>
        <w:div w:id="372926432">
          <w:marLeft w:val="640"/>
          <w:marRight w:val="0"/>
          <w:marTop w:val="0"/>
          <w:marBottom w:val="0"/>
          <w:divBdr>
            <w:top w:val="none" w:sz="0" w:space="0" w:color="auto"/>
            <w:left w:val="none" w:sz="0" w:space="0" w:color="auto"/>
            <w:bottom w:val="none" w:sz="0" w:space="0" w:color="auto"/>
            <w:right w:val="none" w:sz="0" w:space="0" w:color="auto"/>
          </w:divBdr>
        </w:div>
        <w:div w:id="566381002">
          <w:marLeft w:val="640"/>
          <w:marRight w:val="0"/>
          <w:marTop w:val="0"/>
          <w:marBottom w:val="0"/>
          <w:divBdr>
            <w:top w:val="none" w:sz="0" w:space="0" w:color="auto"/>
            <w:left w:val="none" w:sz="0" w:space="0" w:color="auto"/>
            <w:bottom w:val="none" w:sz="0" w:space="0" w:color="auto"/>
            <w:right w:val="none" w:sz="0" w:space="0" w:color="auto"/>
          </w:divBdr>
        </w:div>
        <w:div w:id="115606556">
          <w:marLeft w:val="640"/>
          <w:marRight w:val="0"/>
          <w:marTop w:val="0"/>
          <w:marBottom w:val="0"/>
          <w:divBdr>
            <w:top w:val="none" w:sz="0" w:space="0" w:color="auto"/>
            <w:left w:val="none" w:sz="0" w:space="0" w:color="auto"/>
            <w:bottom w:val="none" w:sz="0" w:space="0" w:color="auto"/>
            <w:right w:val="none" w:sz="0" w:space="0" w:color="auto"/>
          </w:divBdr>
        </w:div>
        <w:div w:id="1044062382">
          <w:marLeft w:val="640"/>
          <w:marRight w:val="0"/>
          <w:marTop w:val="0"/>
          <w:marBottom w:val="0"/>
          <w:divBdr>
            <w:top w:val="none" w:sz="0" w:space="0" w:color="auto"/>
            <w:left w:val="none" w:sz="0" w:space="0" w:color="auto"/>
            <w:bottom w:val="none" w:sz="0" w:space="0" w:color="auto"/>
            <w:right w:val="none" w:sz="0" w:space="0" w:color="auto"/>
          </w:divBdr>
        </w:div>
        <w:div w:id="1734229286">
          <w:marLeft w:val="640"/>
          <w:marRight w:val="0"/>
          <w:marTop w:val="0"/>
          <w:marBottom w:val="0"/>
          <w:divBdr>
            <w:top w:val="none" w:sz="0" w:space="0" w:color="auto"/>
            <w:left w:val="none" w:sz="0" w:space="0" w:color="auto"/>
            <w:bottom w:val="none" w:sz="0" w:space="0" w:color="auto"/>
            <w:right w:val="none" w:sz="0" w:space="0" w:color="auto"/>
          </w:divBdr>
        </w:div>
        <w:div w:id="1334845576">
          <w:marLeft w:val="640"/>
          <w:marRight w:val="0"/>
          <w:marTop w:val="0"/>
          <w:marBottom w:val="0"/>
          <w:divBdr>
            <w:top w:val="none" w:sz="0" w:space="0" w:color="auto"/>
            <w:left w:val="none" w:sz="0" w:space="0" w:color="auto"/>
            <w:bottom w:val="none" w:sz="0" w:space="0" w:color="auto"/>
            <w:right w:val="none" w:sz="0" w:space="0" w:color="auto"/>
          </w:divBdr>
        </w:div>
        <w:div w:id="1266502791">
          <w:marLeft w:val="640"/>
          <w:marRight w:val="0"/>
          <w:marTop w:val="0"/>
          <w:marBottom w:val="0"/>
          <w:divBdr>
            <w:top w:val="none" w:sz="0" w:space="0" w:color="auto"/>
            <w:left w:val="none" w:sz="0" w:space="0" w:color="auto"/>
            <w:bottom w:val="none" w:sz="0" w:space="0" w:color="auto"/>
            <w:right w:val="none" w:sz="0" w:space="0" w:color="auto"/>
          </w:divBdr>
        </w:div>
        <w:div w:id="1260989958">
          <w:marLeft w:val="640"/>
          <w:marRight w:val="0"/>
          <w:marTop w:val="0"/>
          <w:marBottom w:val="0"/>
          <w:divBdr>
            <w:top w:val="none" w:sz="0" w:space="0" w:color="auto"/>
            <w:left w:val="none" w:sz="0" w:space="0" w:color="auto"/>
            <w:bottom w:val="none" w:sz="0" w:space="0" w:color="auto"/>
            <w:right w:val="none" w:sz="0" w:space="0" w:color="auto"/>
          </w:divBdr>
        </w:div>
        <w:div w:id="1070466272">
          <w:marLeft w:val="640"/>
          <w:marRight w:val="0"/>
          <w:marTop w:val="0"/>
          <w:marBottom w:val="0"/>
          <w:divBdr>
            <w:top w:val="none" w:sz="0" w:space="0" w:color="auto"/>
            <w:left w:val="none" w:sz="0" w:space="0" w:color="auto"/>
            <w:bottom w:val="none" w:sz="0" w:space="0" w:color="auto"/>
            <w:right w:val="none" w:sz="0" w:space="0" w:color="auto"/>
          </w:divBdr>
        </w:div>
        <w:div w:id="532765973">
          <w:marLeft w:val="640"/>
          <w:marRight w:val="0"/>
          <w:marTop w:val="0"/>
          <w:marBottom w:val="0"/>
          <w:divBdr>
            <w:top w:val="none" w:sz="0" w:space="0" w:color="auto"/>
            <w:left w:val="none" w:sz="0" w:space="0" w:color="auto"/>
            <w:bottom w:val="none" w:sz="0" w:space="0" w:color="auto"/>
            <w:right w:val="none" w:sz="0" w:space="0" w:color="auto"/>
          </w:divBdr>
        </w:div>
        <w:div w:id="1789005851">
          <w:marLeft w:val="640"/>
          <w:marRight w:val="0"/>
          <w:marTop w:val="0"/>
          <w:marBottom w:val="0"/>
          <w:divBdr>
            <w:top w:val="none" w:sz="0" w:space="0" w:color="auto"/>
            <w:left w:val="none" w:sz="0" w:space="0" w:color="auto"/>
            <w:bottom w:val="none" w:sz="0" w:space="0" w:color="auto"/>
            <w:right w:val="none" w:sz="0" w:space="0" w:color="auto"/>
          </w:divBdr>
        </w:div>
        <w:div w:id="2085642617">
          <w:marLeft w:val="640"/>
          <w:marRight w:val="0"/>
          <w:marTop w:val="0"/>
          <w:marBottom w:val="0"/>
          <w:divBdr>
            <w:top w:val="none" w:sz="0" w:space="0" w:color="auto"/>
            <w:left w:val="none" w:sz="0" w:space="0" w:color="auto"/>
            <w:bottom w:val="none" w:sz="0" w:space="0" w:color="auto"/>
            <w:right w:val="none" w:sz="0" w:space="0" w:color="auto"/>
          </w:divBdr>
        </w:div>
        <w:div w:id="1597978344">
          <w:marLeft w:val="640"/>
          <w:marRight w:val="0"/>
          <w:marTop w:val="0"/>
          <w:marBottom w:val="0"/>
          <w:divBdr>
            <w:top w:val="none" w:sz="0" w:space="0" w:color="auto"/>
            <w:left w:val="none" w:sz="0" w:space="0" w:color="auto"/>
            <w:bottom w:val="none" w:sz="0" w:space="0" w:color="auto"/>
            <w:right w:val="none" w:sz="0" w:space="0" w:color="auto"/>
          </w:divBdr>
        </w:div>
        <w:div w:id="1097140638">
          <w:marLeft w:val="640"/>
          <w:marRight w:val="0"/>
          <w:marTop w:val="0"/>
          <w:marBottom w:val="0"/>
          <w:divBdr>
            <w:top w:val="none" w:sz="0" w:space="0" w:color="auto"/>
            <w:left w:val="none" w:sz="0" w:space="0" w:color="auto"/>
            <w:bottom w:val="none" w:sz="0" w:space="0" w:color="auto"/>
            <w:right w:val="none" w:sz="0" w:space="0" w:color="auto"/>
          </w:divBdr>
        </w:div>
        <w:div w:id="1914461072">
          <w:marLeft w:val="640"/>
          <w:marRight w:val="0"/>
          <w:marTop w:val="0"/>
          <w:marBottom w:val="0"/>
          <w:divBdr>
            <w:top w:val="none" w:sz="0" w:space="0" w:color="auto"/>
            <w:left w:val="none" w:sz="0" w:space="0" w:color="auto"/>
            <w:bottom w:val="none" w:sz="0" w:space="0" w:color="auto"/>
            <w:right w:val="none" w:sz="0" w:space="0" w:color="auto"/>
          </w:divBdr>
        </w:div>
        <w:div w:id="1491016973">
          <w:marLeft w:val="640"/>
          <w:marRight w:val="0"/>
          <w:marTop w:val="0"/>
          <w:marBottom w:val="0"/>
          <w:divBdr>
            <w:top w:val="none" w:sz="0" w:space="0" w:color="auto"/>
            <w:left w:val="none" w:sz="0" w:space="0" w:color="auto"/>
            <w:bottom w:val="none" w:sz="0" w:space="0" w:color="auto"/>
            <w:right w:val="none" w:sz="0" w:space="0" w:color="auto"/>
          </w:divBdr>
        </w:div>
        <w:div w:id="1492330862">
          <w:marLeft w:val="640"/>
          <w:marRight w:val="0"/>
          <w:marTop w:val="0"/>
          <w:marBottom w:val="0"/>
          <w:divBdr>
            <w:top w:val="none" w:sz="0" w:space="0" w:color="auto"/>
            <w:left w:val="none" w:sz="0" w:space="0" w:color="auto"/>
            <w:bottom w:val="none" w:sz="0" w:space="0" w:color="auto"/>
            <w:right w:val="none" w:sz="0" w:space="0" w:color="auto"/>
          </w:divBdr>
        </w:div>
        <w:div w:id="1379207498">
          <w:marLeft w:val="640"/>
          <w:marRight w:val="0"/>
          <w:marTop w:val="0"/>
          <w:marBottom w:val="0"/>
          <w:divBdr>
            <w:top w:val="none" w:sz="0" w:space="0" w:color="auto"/>
            <w:left w:val="none" w:sz="0" w:space="0" w:color="auto"/>
            <w:bottom w:val="none" w:sz="0" w:space="0" w:color="auto"/>
            <w:right w:val="none" w:sz="0" w:space="0" w:color="auto"/>
          </w:divBdr>
        </w:div>
        <w:div w:id="995689941">
          <w:marLeft w:val="640"/>
          <w:marRight w:val="0"/>
          <w:marTop w:val="0"/>
          <w:marBottom w:val="0"/>
          <w:divBdr>
            <w:top w:val="none" w:sz="0" w:space="0" w:color="auto"/>
            <w:left w:val="none" w:sz="0" w:space="0" w:color="auto"/>
            <w:bottom w:val="none" w:sz="0" w:space="0" w:color="auto"/>
            <w:right w:val="none" w:sz="0" w:space="0" w:color="auto"/>
          </w:divBdr>
        </w:div>
        <w:div w:id="352072011">
          <w:marLeft w:val="640"/>
          <w:marRight w:val="0"/>
          <w:marTop w:val="0"/>
          <w:marBottom w:val="0"/>
          <w:divBdr>
            <w:top w:val="none" w:sz="0" w:space="0" w:color="auto"/>
            <w:left w:val="none" w:sz="0" w:space="0" w:color="auto"/>
            <w:bottom w:val="none" w:sz="0" w:space="0" w:color="auto"/>
            <w:right w:val="none" w:sz="0" w:space="0" w:color="auto"/>
          </w:divBdr>
        </w:div>
        <w:div w:id="241985479">
          <w:marLeft w:val="640"/>
          <w:marRight w:val="0"/>
          <w:marTop w:val="0"/>
          <w:marBottom w:val="0"/>
          <w:divBdr>
            <w:top w:val="none" w:sz="0" w:space="0" w:color="auto"/>
            <w:left w:val="none" w:sz="0" w:space="0" w:color="auto"/>
            <w:bottom w:val="none" w:sz="0" w:space="0" w:color="auto"/>
            <w:right w:val="none" w:sz="0" w:space="0" w:color="auto"/>
          </w:divBdr>
        </w:div>
        <w:div w:id="1761174595">
          <w:marLeft w:val="640"/>
          <w:marRight w:val="0"/>
          <w:marTop w:val="0"/>
          <w:marBottom w:val="0"/>
          <w:divBdr>
            <w:top w:val="none" w:sz="0" w:space="0" w:color="auto"/>
            <w:left w:val="none" w:sz="0" w:space="0" w:color="auto"/>
            <w:bottom w:val="none" w:sz="0" w:space="0" w:color="auto"/>
            <w:right w:val="none" w:sz="0" w:space="0" w:color="auto"/>
          </w:divBdr>
        </w:div>
        <w:div w:id="1582181153">
          <w:marLeft w:val="640"/>
          <w:marRight w:val="0"/>
          <w:marTop w:val="0"/>
          <w:marBottom w:val="0"/>
          <w:divBdr>
            <w:top w:val="none" w:sz="0" w:space="0" w:color="auto"/>
            <w:left w:val="none" w:sz="0" w:space="0" w:color="auto"/>
            <w:bottom w:val="none" w:sz="0" w:space="0" w:color="auto"/>
            <w:right w:val="none" w:sz="0" w:space="0" w:color="auto"/>
          </w:divBdr>
        </w:div>
      </w:divsChild>
    </w:div>
    <w:div w:id="678850619">
      <w:bodyDiv w:val="1"/>
      <w:marLeft w:val="0"/>
      <w:marRight w:val="0"/>
      <w:marTop w:val="0"/>
      <w:marBottom w:val="0"/>
      <w:divBdr>
        <w:top w:val="none" w:sz="0" w:space="0" w:color="auto"/>
        <w:left w:val="none" w:sz="0" w:space="0" w:color="auto"/>
        <w:bottom w:val="none" w:sz="0" w:space="0" w:color="auto"/>
        <w:right w:val="none" w:sz="0" w:space="0" w:color="auto"/>
      </w:divBdr>
    </w:div>
    <w:div w:id="689916361">
      <w:bodyDiv w:val="1"/>
      <w:marLeft w:val="0"/>
      <w:marRight w:val="0"/>
      <w:marTop w:val="0"/>
      <w:marBottom w:val="0"/>
      <w:divBdr>
        <w:top w:val="none" w:sz="0" w:space="0" w:color="auto"/>
        <w:left w:val="none" w:sz="0" w:space="0" w:color="auto"/>
        <w:bottom w:val="none" w:sz="0" w:space="0" w:color="auto"/>
        <w:right w:val="none" w:sz="0" w:space="0" w:color="auto"/>
      </w:divBdr>
      <w:divsChild>
        <w:div w:id="663631108">
          <w:marLeft w:val="640"/>
          <w:marRight w:val="0"/>
          <w:marTop w:val="0"/>
          <w:marBottom w:val="0"/>
          <w:divBdr>
            <w:top w:val="none" w:sz="0" w:space="0" w:color="auto"/>
            <w:left w:val="none" w:sz="0" w:space="0" w:color="auto"/>
            <w:bottom w:val="none" w:sz="0" w:space="0" w:color="auto"/>
            <w:right w:val="none" w:sz="0" w:space="0" w:color="auto"/>
          </w:divBdr>
        </w:div>
        <w:div w:id="1437019641">
          <w:marLeft w:val="640"/>
          <w:marRight w:val="0"/>
          <w:marTop w:val="0"/>
          <w:marBottom w:val="0"/>
          <w:divBdr>
            <w:top w:val="none" w:sz="0" w:space="0" w:color="auto"/>
            <w:left w:val="none" w:sz="0" w:space="0" w:color="auto"/>
            <w:bottom w:val="none" w:sz="0" w:space="0" w:color="auto"/>
            <w:right w:val="none" w:sz="0" w:space="0" w:color="auto"/>
          </w:divBdr>
        </w:div>
        <w:div w:id="1126001784">
          <w:marLeft w:val="640"/>
          <w:marRight w:val="0"/>
          <w:marTop w:val="0"/>
          <w:marBottom w:val="0"/>
          <w:divBdr>
            <w:top w:val="none" w:sz="0" w:space="0" w:color="auto"/>
            <w:left w:val="none" w:sz="0" w:space="0" w:color="auto"/>
            <w:bottom w:val="none" w:sz="0" w:space="0" w:color="auto"/>
            <w:right w:val="none" w:sz="0" w:space="0" w:color="auto"/>
          </w:divBdr>
        </w:div>
        <w:div w:id="332221159">
          <w:marLeft w:val="640"/>
          <w:marRight w:val="0"/>
          <w:marTop w:val="0"/>
          <w:marBottom w:val="0"/>
          <w:divBdr>
            <w:top w:val="none" w:sz="0" w:space="0" w:color="auto"/>
            <w:left w:val="none" w:sz="0" w:space="0" w:color="auto"/>
            <w:bottom w:val="none" w:sz="0" w:space="0" w:color="auto"/>
            <w:right w:val="none" w:sz="0" w:space="0" w:color="auto"/>
          </w:divBdr>
        </w:div>
        <w:div w:id="910194483">
          <w:marLeft w:val="640"/>
          <w:marRight w:val="0"/>
          <w:marTop w:val="0"/>
          <w:marBottom w:val="0"/>
          <w:divBdr>
            <w:top w:val="none" w:sz="0" w:space="0" w:color="auto"/>
            <w:left w:val="none" w:sz="0" w:space="0" w:color="auto"/>
            <w:bottom w:val="none" w:sz="0" w:space="0" w:color="auto"/>
            <w:right w:val="none" w:sz="0" w:space="0" w:color="auto"/>
          </w:divBdr>
        </w:div>
        <w:div w:id="97723459">
          <w:marLeft w:val="640"/>
          <w:marRight w:val="0"/>
          <w:marTop w:val="0"/>
          <w:marBottom w:val="0"/>
          <w:divBdr>
            <w:top w:val="none" w:sz="0" w:space="0" w:color="auto"/>
            <w:left w:val="none" w:sz="0" w:space="0" w:color="auto"/>
            <w:bottom w:val="none" w:sz="0" w:space="0" w:color="auto"/>
            <w:right w:val="none" w:sz="0" w:space="0" w:color="auto"/>
          </w:divBdr>
        </w:div>
        <w:div w:id="2900624">
          <w:marLeft w:val="640"/>
          <w:marRight w:val="0"/>
          <w:marTop w:val="0"/>
          <w:marBottom w:val="0"/>
          <w:divBdr>
            <w:top w:val="none" w:sz="0" w:space="0" w:color="auto"/>
            <w:left w:val="none" w:sz="0" w:space="0" w:color="auto"/>
            <w:bottom w:val="none" w:sz="0" w:space="0" w:color="auto"/>
            <w:right w:val="none" w:sz="0" w:space="0" w:color="auto"/>
          </w:divBdr>
        </w:div>
        <w:div w:id="703021481">
          <w:marLeft w:val="640"/>
          <w:marRight w:val="0"/>
          <w:marTop w:val="0"/>
          <w:marBottom w:val="0"/>
          <w:divBdr>
            <w:top w:val="none" w:sz="0" w:space="0" w:color="auto"/>
            <w:left w:val="none" w:sz="0" w:space="0" w:color="auto"/>
            <w:bottom w:val="none" w:sz="0" w:space="0" w:color="auto"/>
            <w:right w:val="none" w:sz="0" w:space="0" w:color="auto"/>
          </w:divBdr>
        </w:div>
        <w:div w:id="740640223">
          <w:marLeft w:val="640"/>
          <w:marRight w:val="0"/>
          <w:marTop w:val="0"/>
          <w:marBottom w:val="0"/>
          <w:divBdr>
            <w:top w:val="none" w:sz="0" w:space="0" w:color="auto"/>
            <w:left w:val="none" w:sz="0" w:space="0" w:color="auto"/>
            <w:bottom w:val="none" w:sz="0" w:space="0" w:color="auto"/>
            <w:right w:val="none" w:sz="0" w:space="0" w:color="auto"/>
          </w:divBdr>
        </w:div>
        <w:div w:id="1869416981">
          <w:marLeft w:val="640"/>
          <w:marRight w:val="0"/>
          <w:marTop w:val="0"/>
          <w:marBottom w:val="0"/>
          <w:divBdr>
            <w:top w:val="none" w:sz="0" w:space="0" w:color="auto"/>
            <w:left w:val="none" w:sz="0" w:space="0" w:color="auto"/>
            <w:bottom w:val="none" w:sz="0" w:space="0" w:color="auto"/>
            <w:right w:val="none" w:sz="0" w:space="0" w:color="auto"/>
          </w:divBdr>
        </w:div>
        <w:div w:id="1352337151">
          <w:marLeft w:val="640"/>
          <w:marRight w:val="0"/>
          <w:marTop w:val="0"/>
          <w:marBottom w:val="0"/>
          <w:divBdr>
            <w:top w:val="none" w:sz="0" w:space="0" w:color="auto"/>
            <w:left w:val="none" w:sz="0" w:space="0" w:color="auto"/>
            <w:bottom w:val="none" w:sz="0" w:space="0" w:color="auto"/>
            <w:right w:val="none" w:sz="0" w:space="0" w:color="auto"/>
          </w:divBdr>
        </w:div>
        <w:div w:id="878662210">
          <w:marLeft w:val="640"/>
          <w:marRight w:val="0"/>
          <w:marTop w:val="0"/>
          <w:marBottom w:val="0"/>
          <w:divBdr>
            <w:top w:val="none" w:sz="0" w:space="0" w:color="auto"/>
            <w:left w:val="none" w:sz="0" w:space="0" w:color="auto"/>
            <w:bottom w:val="none" w:sz="0" w:space="0" w:color="auto"/>
            <w:right w:val="none" w:sz="0" w:space="0" w:color="auto"/>
          </w:divBdr>
        </w:div>
        <w:div w:id="1167551393">
          <w:marLeft w:val="640"/>
          <w:marRight w:val="0"/>
          <w:marTop w:val="0"/>
          <w:marBottom w:val="0"/>
          <w:divBdr>
            <w:top w:val="none" w:sz="0" w:space="0" w:color="auto"/>
            <w:left w:val="none" w:sz="0" w:space="0" w:color="auto"/>
            <w:bottom w:val="none" w:sz="0" w:space="0" w:color="auto"/>
            <w:right w:val="none" w:sz="0" w:space="0" w:color="auto"/>
          </w:divBdr>
        </w:div>
        <w:div w:id="1293563546">
          <w:marLeft w:val="640"/>
          <w:marRight w:val="0"/>
          <w:marTop w:val="0"/>
          <w:marBottom w:val="0"/>
          <w:divBdr>
            <w:top w:val="none" w:sz="0" w:space="0" w:color="auto"/>
            <w:left w:val="none" w:sz="0" w:space="0" w:color="auto"/>
            <w:bottom w:val="none" w:sz="0" w:space="0" w:color="auto"/>
            <w:right w:val="none" w:sz="0" w:space="0" w:color="auto"/>
          </w:divBdr>
        </w:div>
        <w:div w:id="1568104209">
          <w:marLeft w:val="640"/>
          <w:marRight w:val="0"/>
          <w:marTop w:val="0"/>
          <w:marBottom w:val="0"/>
          <w:divBdr>
            <w:top w:val="none" w:sz="0" w:space="0" w:color="auto"/>
            <w:left w:val="none" w:sz="0" w:space="0" w:color="auto"/>
            <w:bottom w:val="none" w:sz="0" w:space="0" w:color="auto"/>
            <w:right w:val="none" w:sz="0" w:space="0" w:color="auto"/>
          </w:divBdr>
        </w:div>
        <w:div w:id="2007124949">
          <w:marLeft w:val="640"/>
          <w:marRight w:val="0"/>
          <w:marTop w:val="0"/>
          <w:marBottom w:val="0"/>
          <w:divBdr>
            <w:top w:val="none" w:sz="0" w:space="0" w:color="auto"/>
            <w:left w:val="none" w:sz="0" w:space="0" w:color="auto"/>
            <w:bottom w:val="none" w:sz="0" w:space="0" w:color="auto"/>
            <w:right w:val="none" w:sz="0" w:space="0" w:color="auto"/>
          </w:divBdr>
        </w:div>
        <w:div w:id="647827772">
          <w:marLeft w:val="640"/>
          <w:marRight w:val="0"/>
          <w:marTop w:val="0"/>
          <w:marBottom w:val="0"/>
          <w:divBdr>
            <w:top w:val="none" w:sz="0" w:space="0" w:color="auto"/>
            <w:left w:val="none" w:sz="0" w:space="0" w:color="auto"/>
            <w:bottom w:val="none" w:sz="0" w:space="0" w:color="auto"/>
            <w:right w:val="none" w:sz="0" w:space="0" w:color="auto"/>
          </w:divBdr>
        </w:div>
        <w:div w:id="1794786977">
          <w:marLeft w:val="640"/>
          <w:marRight w:val="0"/>
          <w:marTop w:val="0"/>
          <w:marBottom w:val="0"/>
          <w:divBdr>
            <w:top w:val="none" w:sz="0" w:space="0" w:color="auto"/>
            <w:left w:val="none" w:sz="0" w:space="0" w:color="auto"/>
            <w:bottom w:val="none" w:sz="0" w:space="0" w:color="auto"/>
            <w:right w:val="none" w:sz="0" w:space="0" w:color="auto"/>
          </w:divBdr>
        </w:div>
        <w:div w:id="2044361364">
          <w:marLeft w:val="640"/>
          <w:marRight w:val="0"/>
          <w:marTop w:val="0"/>
          <w:marBottom w:val="0"/>
          <w:divBdr>
            <w:top w:val="none" w:sz="0" w:space="0" w:color="auto"/>
            <w:left w:val="none" w:sz="0" w:space="0" w:color="auto"/>
            <w:bottom w:val="none" w:sz="0" w:space="0" w:color="auto"/>
            <w:right w:val="none" w:sz="0" w:space="0" w:color="auto"/>
          </w:divBdr>
        </w:div>
        <w:div w:id="959921653">
          <w:marLeft w:val="640"/>
          <w:marRight w:val="0"/>
          <w:marTop w:val="0"/>
          <w:marBottom w:val="0"/>
          <w:divBdr>
            <w:top w:val="none" w:sz="0" w:space="0" w:color="auto"/>
            <w:left w:val="none" w:sz="0" w:space="0" w:color="auto"/>
            <w:bottom w:val="none" w:sz="0" w:space="0" w:color="auto"/>
            <w:right w:val="none" w:sz="0" w:space="0" w:color="auto"/>
          </w:divBdr>
        </w:div>
        <w:div w:id="153028663">
          <w:marLeft w:val="640"/>
          <w:marRight w:val="0"/>
          <w:marTop w:val="0"/>
          <w:marBottom w:val="0"/>
          <w:divBdr>
            <w:top w:val="none" w:sz="0" w:space="0" w:color="auto"/>
            <w:left w:val="none" w:sz="0" w:space="0" w:color="auto"/>
            <w:bottom w:val="none" w:sz="0" w:space="0" w:color="auto"/>
            <w:right w:val="none" w:sz="0" w:space="0" w:color="auto"/>
          </w:divBdr>
        </w:div>
        <w:div w:id="719480571">
          <w:marLeft w:val="640"/>
          <w:marRight w:val="0"/>
          <w:marTop w:val="0"/>
          <w:marBottom w:val="0"/>
          <w:divBdr>
            <w:top w:val="none" w:sz="0" w:space="0" w:color="auto"/>
            <w:left w:val="none" w:sz="0" w:space="0" w:color="auto"/>
            <w:bottom w:val="none" w:sz="0" w:space="0" w:color="auto"/>
            <w:right w:val="none" w:sz="0" w:space="0" w:color="auto"/>
          </w:divBdr>
        </w:div>
        <w:div w:id="1737898814">
          <w:marLeft w:val="640"/>
          <w:marRight w:val="0"/>
          <w:marTop w:val="0"/>
          <w:marBottom w:val="0"/>
          <w:divBdr>
            <w:top w:val="none" w:sz="0" w:space="0" w:color="auto"/>
            <w:left w:val="none" w:sz="0" w:space="0" w:color="auto"/>
            <w:bottom w:val="none" w:sz="0" w:space="0" w:color="auto"/>
            <w:right w:val="none" w:sz="0" w:space="0" w:color="auto"/>
          </w:divBdr>
        </w:div>
        <w:div w:id="2070879658">
          <w:marLeft w:val="640"/>
          <w:marRight w:val="0"/>
          <w:marTop w:val="0"/>
          <w:marBottom w:val="0"/>
          <w:divBdr>
            <w:top w:val="none" w:sz="0" w:space="0" w:color="auto"/>
            <w:left w:val="none" w:sz="0" w:space="0" w:color="auto"/>
            <w:bottom w:val="none" w:sz="0" w:space="0" w:color="auto"/>
            <w:right w:val="none" w:sz="0" w:space="0" w:color="auto"/>
          </w:divBdr>
        </w:div>
        <w:div w:id="1837530603">
          <w:marLeft w:val="640"/>
          <w:marRight w:val="0"/>
          <w:marTop w:val="0"/>
          <w:marBottom w:val="0"/>
          <w:divBdr>
            <w:top w:val="none" w:sz="0" w:space="0" w:color="auto"/>
            <w:left w:val="none" w:sz="0" w:space="0" w:color="auto"/>
            <w:bottom w:val="none" w:sz="0" w:space="0" w:color="auto"/>
            <w:right w:val="none" w:sz="0" w:space="0" w:color="auto"/>
          </w:divBdr>
        </w:div>
        <w:div w:id="2083597869">
          <w:marLeft w:val="640"/>
          <w:marRight w:val="0"/>
          <w:marTop w:val="0"/>
          <w:marBottom w:val="0"/>
          <w:divBdr>
            <w:top w:val="none" w:sz="0" w:space="0" w:color="auto"/>
            <w:left w:val="none" w:sz="0" w:space="0" w:color="auto"/>
            <w:bottom w:val="none" w:sz="0" w:space="0" w:color="auto"/>
            <w:right w:val="none" w:sz="0" w:space="0" w:color="auto"/>
          </w:divBdr>
        </w:div>
      </w:divsChild>
    </w:div>
    <w:div w:id="702637836">
      <w:bodyDiv w:val="1"/>
      <w:marLeft w:val="0"/>
      <w:marRight w:val="0"/>
      <w:marTop w:val="0"/>
      <w:marBottom w:val="0"/>
      <w:divBdr>
        <w:top w:val="none" w:sz="0" w:space="0" w:color="auto"/>
        <w:left w:val="none" w:sz="0" w:space="0" w:color="auto"/>
        <w:bottom w:val="none" w:sz="0" w:space="0" w:color="auto"/>
        <w:right w:val="none" w:sz="0" w:space="0" w:color="auto"/>
      </w:divBdr>
    </w:div>
    <w:div w:id="708992037">
      <w:bodyDiv w:val="1"/>
      <w:marLeft w:val="0"/>
      <w:marRight w:val="0"/>
      <w:marTop w:val="0"/>
      <w:marBottom w:val="0"/>
      <w:divBdr>
        <w:top w:val="none" w:sz="0" w:space="0" w:color="auto"/>
        <w:left w:val="none" w:sz="0" w:space="0" w:color="auto"/>
        <w:bottom w:val="none" w:sz="0" w:space="0" w:color="auto"/>
        <w:right w:val="none" w:sz="0" w:space="0" w:color="auto"/>
      </w:divBdr>
    </w:div>
    <w:div w:id="757672134">
      <w:bodyDiv w:val="1"/>
      <w:marLeft w:val="0"/>
      <w:marRight w:val="0"/>
      <w:marTop w:val="0"/>
      <w:marBottom w:val="0"/>
      <w:divBdr>
        <w:top w:val="none" w:sz="0" w:space="0" w:color="auto"/>
        <w:left w:val="none" w:sz="0" w:space="0" w:color="auto"/>
        <w:bottom w:val="none" w:sz="0" w:space="0" w:color="auto"/>
        <w:right w:val="none" w:sz="0" w:space="0" w:color="auto"/>
      </w:divBdr>
    </w:div>
    <w:div w:id="759568308">
      <w:bodyDiv w:val="1"/>
      <w:marLeft w:val="0"/>
      <w:marRight w:val="0"/>
      <w:marTop w:val="0"/>
      <w:marBottom w:val="0"/>
      <w:divBdr>
        <w:top w:val="none" w:sz="0" w:space="0" w:color="auto"/>
        <w:left w:val="none" w:sz="0" w:space="0" w:color="auto"/>
        <w:bottom w:val="none" w:sz="0" w:space="0" w:color="auto"/>
        <w:right w:val="none" w:sz="0" w:space="0" w:color="auto"/>
      </w:divBdr>
    </w:div>
    <w:div w:id="801270693">
      <w:bodyDiv w:val="1"/>
      <w:marLeft w:val="0"/>
      <w:marRight w:val="0"/>
      <w:marTop w:val="0"/>
      <w:marBottom w:val="0"/>
      <w:divBdr>
        <w:top w:val="none" w:sz="0" w:space="0" w:color="auto"/>
        <w:left w:val="none" w:sz="0" w:space="0" w:color="auto"/>
        <w:bottom w:val="none" w:sz="0" w:space="0" w:color="auto"/>
        <w:right w:val="none" w:sz="0" w:space="0" w:color="auto"/>
      </w:divBdr>
    </w:div>
    <w:div w:id="807090769">
      <w:bodyDiv w:val="1"/>
      <w:marLeft w:val="0"/>
      <w:marRight w:val="0"/>
      <w:marTop w:val="0"/>
      <w:marBottom w:val="0"/>
      <w:divBdr>
        <w:top w:val="none" w:sz="0" w:space="0" w:color="auto"/>
        <w:left w:val="none" w:sz="0" w:space="0" w:color="auto"/>
        <w:bottom w:val="none" w:sz="0" w:space="0" w:color="auto"/>
        <w:right w:val="none" w:sz="0" w:space="0" w:color="auto"/>
      </w:divBdr>
    </w:div>
    <w:div w:id="810557771">
      <w:bodyDiv w:val="1"/>
      <w:marLeft w:val="0"/>
      <w:marRight w:val="0"/>
      <w:marTop w:val="0"/>
      <w:marBottom w:val="0"/>
      <w:divBdr>
        <w:top w:val="none" w:sz="0" w:space="0" w:color="auto"/>
        <w:left w:val="none" w:sz="0" w:space="0" w:color="auto"/>
        <w:bottom w:val="none" w:sz="0" w:space="0" w:color="auto"/>
        <w:right w:val="none" w:sz="0" w:space="0" w:color="auto"/>
      </w:divBdr>
    </w:div>
    <w:div w:id="816535742">
      <w:bodyDiv w:val="1"/>
      <w:marLeft w:val="0"/>
      <w:marRight w:val="0"/>
      <w:marTop w:val="0"/>
      <w:marBottom w:val="0"/>
      <w:divBdr>
        <w:top w:val="none" w:sz="0" w:space="0" w:color="auto"/>
        <w:left w:val="none" w:sz="0" w:space="0" w:color="auto"/>
        <w:bottom w:val="none" w:sz="0" w:space="0" w:color="auto"/>
        <w:right w:val="none" w:sz="0" w:space="0" w:color="auto"/>
      </w:divBdr>
    </w:div>
    <w:div w:id="820081494">
      <w:bodyDiv w:val="1"/>
      <w:marLeft w:val="0"/>
      <w:marRight w:val="0"/>
      <w:marTop w:val="0"/>
      <w:marBottom w:val="0"/>
      <w:divBdr>
        <w:top w:val="none" w:sz="0" w:space="0" w:color="auto"/>
        <w:left w:val="none" w:sz="0" w:space="0" w:color="auto"/>
        <w:bottom w:val="none" w:sz="0" w:space="0" w:color="auto"/>
        <w:right w:val="none" w:sz="0" w:space="0" w:color="auto"/>
      </w:divBdr>
    </w:div>
    <w:div w:id="824278732">
      <w:bodyDiv w:val="1"/>
      <w:marLeft w:val="0"/>
      <w:marRight w:val="0"/>
      <w:marTop w:val="0"/>
      <w:marBottom w:val="0"/>
      <w:divBdr>
        <w:top w:val="none" w:sz="0" w:space="0" w:color="auto"/>
        <w:left w:val="none" w:sz="0" w:space="0" w:color="auto"/>
        <w:bottom w:val="none" w:sz="0" w:space="0" w:color="auto"/>
        <w:right w:val="none" w:sz="0" w:space="0" w:color="auto"/>
      </w:divBdr>
    </w:div>
    <w:div w:id="891885266">
      <w:bodyDiv w:val="1"/>
      <w:marLeft w:val="0"/>
      <w:marRight w:val="0"/>
      <w:marTop w:val="0"/>
      <w:marBottom w:val="0"/>
      <w:divBdr>
        <w:top w:val="none" w:sz="0" w:space="0" w:color="auto"/>
        <w:left w:val="none" w:sz="0" w:space="0" w:color="auto"/>
        <w:bottom w:val="none" w:sz="0" w:space="0" w:color="auto"/>
        <w:right w:val="none" w:sz="0" w:space="0" w:color="auto"/>
      </w:divBdr>
      <w:divsChild>
        <w:div w:id="1809322368">
          <w:marLeft w:val="640"/>
          <w:marRight w:val="0"/>
          <w:marTop w:val="0"/>
          <w:marBottom w:val="0"/>
          <w:divBdr>
            <w:top w:val="none" w:sz="0" w:space="0" w:color="auto"/>
            <w:left w:val="none" w:sz="0" w:space="0" w:color="auto"/>
            <w:bottom w:val="none" w:sz="0" w:space="0" w:color="auto"/>
            <w:right w:val="none" w:sz="0" w:space="0" w:color="auto"/>
          </w:divBdr>
        </w:div>
        <w:div w:id="1944259100">
          <w:marLeft w:val="640"/>
          <w:marRight w:val="0"/>
          <w:marTop w:val="0"/>
          <w:marBottom w:val="0"/>
          <w:divBdr>
            <w:top w:val="none" w:sz="0" w:space="0" w:color="auto"/>
            <w:left w:val="none" w:sz="0" w:space="0" w:color="auto"/>
            <w:bottom w:val="none" w:sz="0" w:space="0" w:color="auto"/>
            <w:right w:val="none" w:sz="0" w:space="0" w:color="auto"/>
          </w:divBdr>
        </w:div>
        <w:div w:id="1899199749">
          <w:marLeft w:val="640"/>
          <w:marRight w:val="0"/>
          <w:marTop w:val="0"/>
          <w:marBottom w:val="0"/>
          <w:divBdr>
            <w:top w:val="none" w:sz="0" w:space="0" w:color="auto"/>
            <w:left w:val="none" w:sz="0" w:space="0" w:color="auto"/>
            <w:bottom w:val="none" w:sz="0" w:space="0" w:color="auto"/>
            <w:right w:val="none" w:sz="0" w:space="0" w:color="auto"/>
          </w:divBdr>
        </w:div>
        <w:div w:id="926155071">
          <w:marLeft w:val="640"/>
          <w:marRight w:val="0"/>
          <w:marTop w:val="0"/>
          <w:marBottom w:val="0"/>
          <w:divBdr>
            <w:top w:val="none" w:sz="0" w:space="0" w:color="auto"/>
            <w:left w:val="none" w:sz="0" w:space="0" w:color="auto"/>
            <w:bottom w:val="none" w:sz="0" w:space="0" w:color="auto"/>
            <w:right w:val="none" w:sz="0" w:space="0" w:color="auto"/>
          </w:divBdr>
        </w:div>
        <w:div w:id="1096287240">
          <w:marLeft w:val="640"/>
          <w:marRight w:val="0"/>
          <w:marTop w:val="0"/>
          <w:marBottom w:val="0"/>
          <w:divBdr>
            <w:top w:val="none" w:sz="0" w:space="0" w:color="auto"/>
            <w:left w:val="none" w:sz="0" w:space="0" w:color="auto"/>
            <w:bottom w:val="none" w:sz="0" w:space="0" w:color="auto"/>
            <w:right w:val="none" w:sz="0" w:space="0" w:color="auto"/>
          </w:divBdr>
        </w:div>
        <w:div w:id="1407190248">
          <w:marLeft w:val="640"/>
          <w:marRight w:val="0"/>
          <w:marTop w:val="0"/>
          <w:marBottom w:val="0"/>
          <w:divBdr>
            <w:top w:val="none" w:sz="0" w:space="0" w:color="auto"/>
            <w:left w:val="none" w:sz="0" w:space="0" w:color="auto"/>
            <w:bottom w:val="none" w:sz="0" w:space="0" w:color="auto"/>
            <w:right w:val="none" w:sz="0" w:space="0" w:color="auto"/>
          </w:divBdr>
        </w:div>
        <w:div w:id="1149399056">
          <w:marLeft w:val="640"/>
          <w:marRight w:val="0"/>
          <w:marTop w:val="0"/>
          <w:marBottom w:val="0"/>
          <w:divBdr>
            <w:top w:val="none" w:sz="0" w:space="0" w:color="auto"/>
            <w:left w:val="none" w:sz="0" w:space="0" w:color="auto"/>
            <w:bottom w:val="none" w:sz="0" w:space="0" w:color="auto"/>
            <w:right w:val="none" w:sz="0" w:space="0" w:color="auto"/>
          </w:divBdr>
        </w:div>
        <w:div w:id="1841387537">
          <w:marLeft w:val="640"/>
          <w:marRight w:val="0"/>
          <w:marTop w:val="0"/>
          <w:marBottom w:val="0"/>
          <w:divBdr>
            <w:top w:val="none" w:sz="0" w:space="0" w:color="auto"/>
            <w:left w:val="none" w:sz="0" w:space="0" w:color="auto"/>
            <w:bottom w:val="none" w:sz="0" w:space="0" w:color="auto"/>
            <w:right w:val="none" w:sz="0" w:space="0" w:color="auto"/>
          </w:divBdr>
        </w:div>
        <w:div w:id="2071229939">
          <w:marLeft w:val="640"/>
          <w:marRight w:val="0"/>
          <w:marTop w:val="0"/>
          <w:marBottom w:val="0"/>
          <w:divBdr>
            <w:top w:val="none" w:sz="0" w:space="0" w:color="auto"/>
            <w:left w:val="none" w:sz="0" w:space="0" w:color="auto"/>
            <w:bottom w:val="none" w:sz="0" w:space="0" w:color="auto"/>
            <w:right w:val="none" w:sz="0" w:space="0" w:color="auto"/>
          </w:divBdr>
        </w:div>
        <w:div w:id="2106657269">
          <w:marLeft w:val="640"/>
          <w:marRight w:val="0"/>
          <w:marTop w:val="0"/>
          <w:marBottom w:val="0"/>
          <w:divBdr>
            <w:top w:val="none" w:sz="0" w:space="0" w:color="auto"/>
            <w:left w:val="none" w:sz="0" w:space="0" w:color="auto"/>
            <w:bottom w:val="none" w:sz="0" w:space="0" w:color="auto"/>
            <w:right w:val="none" w:sz="0" w:space="0" w:color="auto"/>
          </w:divBdr>
        </w:div>
        <w:div w:id="1825663899">
          <w:marLeft w:val="640"/>
          <w:marRight w:val="0"/>
          <w:marTop w:val="0"/>
          <w:marBottom w:val="0"/>
          <w:divBdr>
            <w:top w:val="none" w:sz="0" w:space="0" w:color="auto"/>
            <w:left w:val="none" w:sz="0" w:space="0" w:color="auto"/>
            <w:bottom w:val="none" w:sz="0" w:space="0" w:color="auto"/>
            <w:right w:val="none" w:sz="0" w:space="0" w:color="auto"/>
          </w:divBdr>
        </w:div>
        <w:div w:id="1126701527">
          <w:marLeft w:val="640"/>
          <w:marRight w:val="0"/>
          <w:marTop w:val="0"/>
          <w:marBottom w:val="0"/>
          <w:divBdr>
            <w:top w:val="none" w:sz="0" w:space="0" w:color="auto"/>
            <w:left w:val="none" w:sz="0" w:space="0" w:color="auto"/>
            <w:bottom w:val="none" w:sz="0" w:space="0" w:color="auto"/>
            <w:right w:val="none" w:sz="0" w:space="0" w:color="auto"/>
          </w:divBdr>
        </w:div>
        <w:div w:id="1510022958">
          <w:marLeft w:val="640"/>
          <w:marRight w:val="0"/>
          <w:marTop w:val="0"/>
          <w:marBottom w:val="0"/>
          <w:divBdr>
            <w:top w:val="none" w:sz="0" w:space="0" w:color="auto"/>
            <w:left w:val="none" w:sz="0" w:space="0" w:color="auto"/>
            <w:bottom w:val="none" w:sz="0" w:space="0" w:color="auto"/>
            <w:right w:val="none" w:sz="0" w:space="0" w:color="auto"/>
          </w:divBdr>
        </w:div>
        <w:div w:id="1707487842">
          <w:marLeft w:val="640"/>
          <w:marRight w:val="0"/>
          <w:marTop w:val="0"/>
          <w:marBottom w:val="0"/>
          <w:divBdr>
            <w:top w:val="none" w:sz="0" w:space="0" w:color="auto"/>
            <w:left w:val="none" w:sz="0" w:space="0" w:color="auto"/>
            <w:bottom w:val="none" w:sz="0" w:space="0" w:color="auto"/>
            <w:right w:val="none" w:sz="0" w:space="0" w:color="auto"/>
          </w:divBdr>
        </w:div>
        <w:div w:id="1143472382">
          <w:marLeft w:val="640"/>
          <w:marRight w:val="0"/>
          <w:marTop w:val="0"/>
          <w:marBottom w:val="0"/>
          <w:divBdr>
            <w:top w:val="none" w:sz="0" w:space="0" w:color="auto"/>
            <w:left w:val="none" w:sz="0" w:space="0" w:color="auto"/>
            <w:bottom w:val="none" w:sz="0" w:space="0" w:color="auto"/>
            <w:right w:val="none" w:sz="0" w:space="0" w:color="auto"/>
          </w:divBdr>
        </w:div>
        <w:div w:id="1585187305">
          <w:marLeft w:val="640"/>
          <w:marRight w:val="0"/>
          <w:marTop w:val="0"/>
          <w:marBottom w:val="0"/>
          <w:divBdr>
            <w:top w:val="none" w:sz="0" w:space="0" w:color="auto"/>
            <w:left w:val="none" w:sz="0" w:space="0" w:color="auto"/>
            <w:bottom w:val="none" w:sz="0" w:space="0" w:color="auto"/>
            <w:right w:val="none" w:sz="0" w:space="0" w:color="auto"/>
          </w:divBdr>
        </w:div>
        <w:div w:id="1854681285">
          <w:marLeft w:val="640"/>
          <w:marRight w:val="0"/>
          <w:marTop w:val="0"/>
          <w:marBottom w:val="0"/>
          <w:divBdr>
            <w:top w:val="none" w:sz="0" w:space="0" w:color="auto"/>
            <w:left w:val="none" w:sz="0" w:space="0" w:color="auto"/>
            <w:bottom w:val="none" w:sz="0" w:space="0" w:color="auto"/>
            <w:right w:val="none" w:sz="0" w:space="0" w:color="auto"/>
          </w:divBdr>
        </w:div>
        <w:div w:id="285425731">
          <w:marLeft w:val="640"/>
          <w:marRight w:val="0"/>
          <w:marTop w:val="0"/>
          <w:marBottom w:val="0"/>
          <w:divBdr>
            <w:top w:val="none" w:sz="0" w:space="0" w:color="auto"/>
            <w:left w:val="none" w:sz="0" w:space="0" w:color="auto"/>
            <w:bottom w:val="none" w:sz="0" w:space="0" w:color="auto"/>
            <w:right w:val="none" w:sz="0" w:space="0" w:color="auto"/>
          </w:divBdr>
        </w:div>
        <w:div w:id="115753748">
          <w:marLeft w:val="640"/>
          <w:marRight w:val="0"/>
          <w:marTop w:val="0"/>
          <w:marBottom w:val="0"/>
          <w:divBdr>
            <w:top w:val="none" w:sz="0" w:space="0" w:color="auto"/>
            <w:left w:val="none" w:sz="0" w:space="0" w:color="auto"/>
            <w:bottom w:val="none" w:sz="0" w:space="0" w:color="auto"/>
            <w:right w:val="none" w:sz="0" w:space="0" w:color="auto"/>
          </w:divBdr>
        </w:div>
        <w:div w:id="624581580">
          <w:marLeft w:val="640"/>
          <w:marRight w:val="0"/>
          <w:marTop w:val="0"/>
          <w:marBottom w:val="0"/>
          <w:divBdr>
            <w:top w:val="none" w:sz="0" w:space="0" w:color="auto"/>
            <w:left w:val="none" w:sz="0" w:space="0" w:color="auto"/>
            <w:bottom w:val="none" w:sz="0" w:space="0" w:color="auto"/>
            <w:right w:val="none" w:sz="0" w:space="0" w:color="auto"/>
          </w:divBdr>
        </w:div>
        <w:div w:id="404185619">
          <w:marLeft w:val="640"/>
          <w:marRight w:val="0"/>
          <w:marTop w:val="0"/>
          <w:marBottom w:val="0"/>
          <w:divBdr>
            <w:top w:val="none" w:sz="0" w:space="0" w:color="auto"/>
            <w:left w:val="none" w:sz="0" w:space="0" w:color="auto"/>
            <w:bottom w:val="none" w:sz="0" w:space="0" w:color="auto"/>
            <w:right w:val="none" w:sz="0" w:space="0" w:color="auto"/>
          </w:divBdr>
        </w:div>
      </w:divsChild>
    </w:div>
    <w:div w:id="892077297">
      <w:bodyDiv w:val="1"/>
      <w:marLeft w:val="0"/>
      <w:marRight w:val="0"/>
      <w:marTop w:val="0"/>
      <w:marBottom w:val="0"/>
      <w:divBdr>
        <w:top w:val="none" w:sz="0" w:space="0" w:color="auto"/>
        <w:left w:val="none" w:sz="0" w:space="0" w:color="auto"/>
        <w:bottom w:val="none" w:sz="0" w:space="0" w:color="auto"/>
        <w:right w:val="none" w:sz="0" w:space="0" w:color="auto"/>
      </w:divBdr>
    </w:div>
    <w:div w:id="942105900">
      <w:bodyDiv w:val="1"/>
      <w:marLeft w:val="0"/>
      <w:marRight w:val="0"/>
      <w:marTop w:val="0"/>
      <w:marBottom w:val="0"/>
      <w:divBdr>
        <w:top w:val="none" w:sz="0" w:space="0" w:color="auto"/>
        <w:left w:val="none" w:sz="0" w:space="0" w:color="auto"/>
        <w:bottom w:val="none" w:sz="0" w:space="0" w:color="auto"/>
        <w:right w:val="none" w:sz="0" w:space="0" w:color="auto"/>
      </w:divBdr>
    </w:div>
    <w:div w:id="945427229">
      <w:bodyDiv w:val="1"/>
      <w:marLeft w:val="0"/>
      <w:marRight w:val="0"/>
      <w:marTop w:val="0"/>
      <w:marBottom w:val="0"/>
      <w:divBdr>
        <w:top w:val="none" w:sz="0" w:space="0" w:color="auto"/>
        <w:left w:val="none" w:sz="0" w:space="0" w:color="auto"/>
        <w:bottom w:val="none" w:sz="0" w:space="0" w:color="auto"/>
        <w:right w:val="none" w:sz="0" w:space="0" w:color="auto"/>
      </w:divBdr>
      <w:divsChild>
        <w:div w:id="135341826">
          <w:marLeft w:val="640"/>
          <w:marRight w:val="0"/>
          <w:marTop w:val="0"/>
          <w:marBottom w:val="0"/>
          <w:divBdr>
            <w:top w:val="none" w:sz="0" w:space="0" w:color="auto"/>
            <w:left w:val="none" w:sz="0" w:space="0" w:color="auto"/>
            <w:bottom w:val="none" w:sz="0" w:space="0" w:color="auto"/>
            <w:right w:val="none" w:sz="0" w:space="0" w:color="auto"/>
          </w:divBdr>
        </w:div>
        <w:div w:id="290474793">
          <w:marLeft w:val="640"/>
          <w:marRight w:val="0"/>
          <w:marTop w:val="0"/>
          <w:marBottom w:val="0"/>
          <w:divBdr>
            <w:top w:val="none" w:sz="0" w:space="0" w:color="auto"/>
            <w:left w:val="none" w:sz="0" w:space="0" w:color="auto"/>
            <w:bottom w:val="none" w:sz="0" w:space="0" w:color="auto"/>
            <w:right w:val="none" w:sz="0" w:space="0" w:color="auto"/>
          </w:divBdr>
        </w:div>
        <w:div w:id="1054043390">
          <w:marLeft w:val="640"/>
          <w:marRight w:val="0"/>
          <w:marTop w:val="0"/>
          <w:marBottom w:val="0"/>
          <w:divBdr>
            <w:top w:val="none" w:sz="0" w:space="0" w:color="auto"/>
            <w:left w:val="none" w:sz="0" w:space="0" w:color="auto"/>
            <w:bottom w:val="none" w:sz="0" w:space="0" w:color="auto"/>
            <w:right w:val="none" w:sz="0" w:space="0" w:color="auto"/>
          </w:divBdr>
        </w:div>
        <w:div w:id="1613584905">
          <w:marLeft w:val="640"/>
          <w:marRight w:val="0"/>
          <w:marTop w:val="0"/>
          <w:marBottom w:val="0"/>
          <w:divBdr>
            <w:top w:val="none" w:sz="0" w:space="0" w:color="auto"/>
            <w:left w:val="none" w:sz="0" w:space="0" w:color="auto"/>
            <w:bottom w:val="none" w:sz="0" w:space="0" w:color="auto"/>
            <w:right w:val="none" w:sz="0" w:space="0" w:color="auto"/>
          </w:divBdr>
        </w:div>
        <w:div w:id="1707172909">
          <w:marLeft w:val="640"/>
          <w:marRight w:val="0"/>
          <w:marTop w:val="0"/>
          <w:marBottom w:val="0"/>
          <w:divBdr>
            <w:top w:val="none" w:sz="0" w:space="0" w:color="auto"/>
            <w:left w:val="none" w:sz="0" w:space="0" w:color="auto"/>
            <w:bottom w:val="none" w:sz="0" w:space="0" w:color="auto"/>
            <w:right w:val="none" w:sz="0" w:space="0" w:color="auto"/>
          </w:divBdr>
        </w:div>
        <w:div w:id="428160435">
          <w:marLeft w:val="640"/>
          <w:marRight w:val="0"/>
          <w:marTop w:val="0"/>
          <w:marBottom w:val="0"/>
          <w:divBdr>
            <w:top w:val="none" w:sz="0" w:space="0" w:color="auto"/>
            <w:left w:val="none" w:sz="0" w:space="0" w:color="auto"/>
            <w:bottom w:val="none" w:sz="0" w:space="0" w:color="auto"/>
            <w:right w:val="none" w:sz="0" w:space="0" w:color="auto"/>
          </w:divBdr>
        </w:div>
        <w:div w:id="360865309">
          <w:marLeft w:val="640"/>
          <w:marRight w:val="0"/>
          <w:marTop w:val="0"/>
          <w:marBottom w:val="0"/>
          <w:divBdr>
            <w:top w:val="none" w:sz="0" w:space="0" w:color="auto"/>
            <w:left w:val="none" w:sz="0" w:space="0" w:color="auto"/>
            <w:bottom w:val="none" w:sz="0" w:space="0" w:color="auto"/>
            <w:right w:val="none" w:sz="0" w:space="0" w:color="auto"/>
          </w:divBdr>
        </w:div>
        <w:div w:id="790779483">
          <w:marLeft w:val="640"/>
          <w:marRight w:val="0"/>
          <w:marTop w:val="0"/>
          <w:marBottom w:val="0"/>
          <w:divBdr>
            <w:top w:val="none" w:sz="0" w:space="0" w:color="auto"/>
            <w:left w:val="none" w:sz="0" w:space="0" w:color="auto"/>
            <w:bottom w:val="none" w:sz="0" w:space="0" w:color="auto"/>
            <w:right w:val="none" w:sz="0" w:space="0" w:color="auto"/>
          </w:divBdr>
        </w:div>
        <w:div w:id="167182634">
          <w:marLeft w:val="640"/>
          <w:marRight w:val="0"/>
          <w:marTop w:val="0"/>
          <w:marBottom w:val="0"/>
          <w:divBdr>
            <w:top w:val="none" w:sz="0" w:space="0" w:color="auto"/>
            <w:left w:val="none" w:sz="0" w:space="0" w:color="auto"/>
            <w:bottom w:val="none" w:sz="0" w:space="0" w:color="auto"/>
            <w:right w:val="none" w:sz="0" w:space="0" w:color="auto"/>
          </w:divBdr>
        </w:div>
        <w:div w:id="1294364668">
          <w:marLeft w:val="640"/>
          <w:marRight w:val="0"/>
          <w:marTop w:val="0"/>
          <w:marBottom w:val="0"/>
          <w:divBdr>
            <w:top w:val="none" w:sz="0" w:space="0" w:color="auto"/>
            <w:left w:val="none" w:sz="0" w:space="0" w:color="auto"/>
            <w:bottom w:val="none" w:sz="0" w:space="0" w:color="auto"/>
            <w:right w:val="none" w:sz="0" w:space="0" w:color="auto"/>
          </w:divBdr>
        </w:div>
        <w:div w:id="433212452">
          <w:marLeft w:val="640"/>
          <w:marRight w:val="0"/>
          <w:marTop w:val="0"/>
          <w:marBottom w:val="0"/>
          <w:divBdr>
            <w:top w:val="none" w:sz="0" w:space="0" w:color="auto"/>
            <w:left w:val="none" w:sz="0" w:space="0" w:color="auto"/>
            <w:bottom w:val="none" w:sz="0" w:space="0" w:color="auto"/>
            <w:right w:val="none" w:sz="0" w:space="0" w:color="auto"/>
          </w:divBdr>
        </w:div>
        <w:div w:id="1286235571">
          <w:marLeft w:val="640"/>
          <w:marRight w:val="0"/>
          <w:marTop w:val="0"/>
          <w:marBottom w:val="0"/>
          <w:divBdr>
            <w:top w:val="none" w:sz="0" w:space="0" w:color="auto"/>
            <w:left w:val="none" w:sz="0" w:space="0" w:color="auto"/>
            <w:bottom w:val="none" w:sz="0" w:space="0" w:color="auto"/>
            <w:right w:val="none" w:sz="0" w:space="0" w:color="auto"/>
          </w:divBdr>
        </w:div>
        <w:div w:id="1861699799">
          <w:marLeft w:val="640"/>
          <w:marRight w:val="0"/>
          <w:marTop w:val="0"/>
          <w:marBottom w:val="0"/>
          <w:divBdr>
            <w:top w:val="none" w:sz="0" w:space="0" w:color="auto"/>
            <w:left w:val="none" w:sz="0" w:space="0" w:color="auto"/>
            <w:bottom w:val="none" w:sz="0" w:space="0" w:color="auto"/>
            <w:right w:val="none" w:sz="0" w:space="0" w:color="auto"/>
          </w:divBdr>
        </w:div>
        <w:div w:id="568075622">
          <w:marLeft w:val="640"/>
          <w:marRight w:val="0"/>
          <w:marTop w:val="0"/>
          <w:marBottom w:val="0"/>
          <w:divBdr>
            <w:top w:val="none" w:sz="0" w:space="0" w:color="auto"/>
            <w:left w:val="none" w:sz="0" w:space="0" w:color="auto"/>
            <w:bottom w:val="none" w:sz="0" w:space="0" w:color="auto"/>
            <w:right w:val="none" w:sz="0" w:space="0" w:color="auto"/>
          </w:divBdr>
        </w:div>
        <w:div w:id="803501623">
          <w:marLeft w:val="640"/>
          <w:marRight w:val="0"/>
          <w:marTop w:val="0"/>
          <w:marBottom w:val="0"/>
          <w:divBdr>
            <w:top w:val="none" w:sz="0" w:space="0" w:color="auto"/>
            <w:left w:val="none" w:sz="0" w:space="0" w:color="auto"/>
            <w:bottom w:val="none" w:sz="0" w:space="0" w:color="auto"/>
            <w:right w:val="none" w:sz="0" w:space="0" w:color="auto"/>
          </w:divBdr>
        </w:div>
        <w:div w:id="2039311614">
          <w:marLeft w:val="640"/>
          <w:marRight w:val="0"/>
          <w:marTop w:val="0"/>
          <w:marBottom w:val="0"/>
          <w:divBdr>
            <w:top w:val="none" w:sz="0" w:space="0" w:color="auto"/>
            <w:left w:val="none" w:sz="0" w:space="0" w:color="auto"/>
            <w:bottom w:val="none" w:sz="0" w:space="0" w:color="auto"/>
            <w:right w:val="none" w:sz="0" w:space="0" w:color="auto"/>
          </w:divBdr>
        </w:div>
        <w:div w:id="1965767910">
          <w:marLeft w:val="640"/>
          <w:marRight w:val="0"/>
          <w:marTop w:val="0"/>
          <w:marBottom w:val="0"/>
          <w:divBdr>
            <w:top w:val="none" w:sz="0" w:space="0" w:color="auto"/>
            <w:left w:val="none" w:sz="0" w:space="0" w:color="auto"/>
            <w:bottom w:val="none" w:sz="0" w:space="0" w:color="auto"/>
            <w:right w:val="none" w:sz="0" w:space="0" w:color="auto"/>
          </w:divBdr>
        </w:div>
        <w:div w:id="56708050">
          <w:marLeft w:val="640"/>
          <w:marRight w:val="0"/>
          <w:marTop w:val="0"/>
          <w:marBottom w:val="0"/>
          <w:divBdr>
            <w:top w:val="none" w:sz="0" w:space="0" w:color="auto"/>
            <w:left w:val="none" w:sz="0" w:space="0" w:color="auto"/>
            <w:bottom w:val="none" w:sz="0" w:space="0" w:color="auto"/>
            <w:right w:val="none" w:sz="0" w:space="0" w:color="auto"/>
          </w:divBdr>
        </w:div>
        <w:div w:id="1008601353">
          <w:marLeft w:val="640"/>
          <w:marRight w:val="0"/>
          <w:marTop w:val="0"/>
          <w:marBottom w:val="0"/>
          <w:divBdr>
            <w:top w:val="none" w:sz="0" w:space="0" w:color="auto"/>
            <w:left w:val="none" w:sz="0" w:space="0" w:color="auto"/>
            <w:bottom w:val="none" w:sz="0" w:space="0" w:color="auto"/>
            <w:right w:val="none" w:sz="0" w:space="0" w:color="auto"/>
          </w:divBdr>
        </w:div>
        <w:div w:id="766079106">
          <w:marLeft w:val="640"/>
          <w:marRight w:val="0"/>
          <w:marTop w:val="0"/>
          <w:marBottom w:val="0"/>
          <w:divBdr>
            <w:top w:val="none" w:sz="0" w:space="0" w:color="auto"/>
            <w:left w:val="none" w:sz="0" w:space="0" w:color="auto"/>
            <w:bottom w:val="none" w:sz="0" w:space="0" w:color="auto"/>
            <w:right w:val="none" w:sz="0" w:space="0" w:color="auto"/>
          </w:divBdr>
        </w:div>
        <w:div w:id="633174319">
          <w:marLeft w:val="640"/>
          <w:marRight w:val="0"/>
          <w:marTop w:val="0"/>
          <w:marBottom w:val="0"/>
          <w:divBdr>
            <w:top w:val="none" w:sz="0" w:space="0" w:color="auto"/>
            <w:left w:val="none" w:sz="0" w:space="0" w:color="auto"/>
            <w:bottom w:val="none" w:sz="0" w:space="0" w:color="auto"/>
            <w:right w:val="none" w:sz="0" w:space="0" w:color="auto"/>
          </w:divBdr>
        </w:div>
        <w:div w:id="1897080143">
          <w:marLeft w:val="640"/>
          <w:marRight w:val="0"/>
          <w:marTop w:val="0"/>
          <w:marBottom w:val="0"/>
          <w:divBdr>
            <w:top w:val="none" w:sz="0" w:space="0" w:color="auto"/>
            <w:left w:val="none" w:sz="0" w:space="0" w:color="auto"/>
            <w:bottom w:val="none" w:sz="0" w:space="0" w:color="auto"/>
            <w:right w:val="none" w:sz="0" w:space="0" w:color="auto"/>
          </w:divBdr>
        </w:div>
        <w:div w:id="1904174565">
          <w:marLeft w:val="640"/>
          <w:marRight w:val="0"/>
          <w:marTop w:val="0"/>
          <w:marBottom w:val="0"/>
          <w:divBdr>
            <w:top w:val="none" w:sz="0" w:space="0" w:color="auto"/>
            <w:left w:val="none" w:sz="0" w:space="0" w:color="auto"/>
            <w:bottom w:val="none" w:sz="0" w:space="0" w:color="auto"/>
            <w:right w:val="none" w:sz="0" w:space="0" w:color="auto"/>
          </w:divBdr>
        </w:div>
        <w:div w:id="1196119668">
          <w:marLeft w:val="640"/>
          <w:marRight w:val="0"/>
          <w:marTop w:val="0"/>
          <w:marBottom w:val="0"/>
          <w:divBdr>
            <w:top w:val="none" w:sz="0" w:space="0" w:color="auto"/>
            <w:left w:val="none" w:sz="0" w:space="0" w:color="auto"/>
            <w:bottom w:val="none" w:sz="0" w:space="0" w:color="auto"/>
            <w:right w:val="none" w:sz="0" w:space="0" w:color="auto"/>
          </w:divBdr>
        </w:div>
      </w:divsChild>
    </w:div>
    <w:div w:id="966471448">
      <w:bodyDiv w:val="1"/>
      <w:marLeft w:val="0"/>
      <w:marRight w:val="0"/>
      <w:marTop w:val="0"/>
      <w:marBottom w:val="0"/>
      <w:divBdr>
        <w:top w:val="none" w:sz="0" w:space="0" w:color="auto"/>
        <w:left w:val="none" w:sz="0" w:space="0" w:color="auto"/>
        <w:bottom w:val="none" w:sz="0" w:space="0" w:color="auto"/>
        <w:right w:val="none" w:sz="0" w:space="0" w:color="auto"/>
      </w:divBdr>
      <w:divsChild>
        <w:div w:id="1003241434">
          <w:marLeft w:val="0"/>
          <w:marRight w:val="0"/>
          <w:marTop w:val="0"/>
          <w:marBottom w:val="0"/>
          <w:divBdr>
            <w:top w:val="none" w:sz="0" w:space="0" w:color="auto"/>
            <w:left w:val="none" w:sz="0" w:space="0" w:color="auto"/>
            <w:bottom w:val="none" w:sz="0" w:space="0" w:color="auto"/>
            <w:right w:val="none" w:sz="0" w:space="0" w:color="auto"/>
          </w:divBdr>
          <w:divsChild>
            <w:div w:id="1642425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885893">
      <w:bodyDiv w:val="1"/>
      <w:marLeft w:val="0"/>
      <w:marRight w:val="0"/>
      <w:marTop w:val="0"/>
      <w:marBottom w:val="0"/>
      <w:divBdr>
        <w:top w:val="none" w:sz="0" w:space="0" w:color="auto"/>
        <w:left w:val="none" w:sz="0" w:space="0" w:color="auto"/>
        <w:bottom w:val="none" w:sz="0" w:space="0" w:color="auto"/>
        <w:right w:val="none" w:sz="0" w:space="0" w:color="auto"/>
      </w:divBdr>
    </w:div>
    <w:div w:id="985016273">
      <w:bodyDiv w:val="1"/>
      <w:marLeft w:val="0"/>
      <w:marRight w:val="0"/>
      <w:marTop w:val="0"/>
      <w:marBottom w:val="0"/>
      <w:divBdr>
        <w:top w:val="none" w:sz="0" w:space="0" w:color="auto"/>
        <w:left w:val="none" w:sz="0" w:space="0" w:color="auto"/>
        <w:bottom w:val="none" w:sz="0" w:space="0" w:color="auto"/>
        <w:right w:val="none" w:sz="0" w:space="0" w:color="auto"/>
      </w:divBdr>
    </w:div>
    <w:div w:id="990331496">
      <w:bodyDiv w:val="1"/>
      <w:marLeft w:val="0"/>
      <w:marRight w:val="0"/>
      <w:marTop w:val="0"/>
      <w:marBottom w:val="0"/>
      <w:divBdr>
        <w:top w:val="none" w:sz="0" w:space="0" w:color="auto"/>
        <w:left w:val="none" w:sz="0" w:space="0" w:color="auto"/>
        <w:bottom w:val="none" w:sz="0" w:space="0" w:color="auto"/>
        <w:right w:val="none" w:sz="0" w:space="0" w:color="auto"/>
      </w:divBdr>
    </w:div>
    <w:div w:id="991258107">
      <w:bodyDiv w:val="1"/>
      <w:marLeft w:val="0"/>
      <w:marRight w:val="0"/>
      <w:marTop w:val="0"/>
      <w:marBottom w:val="0"/>
      <w:divBdr>
        <w:top w:val="none" w:sz="0" w:space="0" w:color="auto"/>
        <w:left w:val="none" w:sz="0" w:space="0" w:color="auto"/>
        <w:bottom w:val="none" w:sz="0" w:space="0" w:color="auto"/>
        <w:right w:val="none" w:sz="0" w:space="0" w:color="auto"/>
      </w:divBdr>
    </w:div>
    <w:div w:id="1050963319">
      <w:bodyDiv w:val="1"/>
      <w:marLeft w:val="0"/>
      <w:marRight w:val="0"/>
      <w:marTop w:val="0"/>
      <w:marBottom w:val="0"/>
      <w:divBdr>
        <w:top w:val="none" w:sz="0" w:space="0" w:color="auto"/>
        <w:left w:val="none" w:sz="0" w:space="0" w:color="auto"/>
        <w:bottom w:val="none" w:sz="0" w:space="0" w:color="auto"/>
        <w:right w:val="none" w:sz="0" w:space="0" w:color="auto"/>
      </w:divBdr>
    </w:div>
    <w:div w:id="1056047772">
      <w:bodyDiv w:val="1"/>
      <w:marLeft w:val="0"/>
      <w:marRight w:val="0"/>
      <w:marTop w:val="0"/>
      <w:marBottom w:val="0"/>
      <w:divBdr>
        <w:top w:val="none" w:sz="0" w:space="0" w:color="auto"/>
        <w:left w:val="none" w:sz="0" w:space="0" w:color="auto"/>
        <w:bottom w:val="none" w:sz="0" w:space="0" w:color="auto"/>
        <w:right w:val="none" w:sz="0" w:space="0" w:color="auto"/>
      </w:divBdr>
    </w:div>
    <w:div w:id="1073546490">
      <w:bodyDiv w:val="1"/>
      <w:marLeft w:val="0"/>
      <w:marRight w:val="0"/>
      <w:marTop w:val="0"/>
      <w:marBottom w:val="0"/>
      <w:divBdr>
        <w:top w:val="none" w:sz="0" w:space="0" w:color="auto"/>
        <w:left w:val="none" w:sz="0" w:space="0" w:color="auto"/>
        <w:bottom w:val="none" w:sz="0" w:space="0" w:color="auto"/>
        <w:right w:val="none" w:sz="0" w:space="0" w:color="auto"/>
      </w:divBdr>
    </w:div>
    <w:div w:id="1094790084">
      <w:bodyDiv w:val="1"/>
      <w:marLeft w:val="0"/>
      <w:marRight w:val="0"/>
      <w:marTop w:val="0"/>
      <w:marBottom w:val="0"/>
      <w:divBdr>
        <w:top w:val="none" w:sz="0" w:space="0" w:color="auto"/>
        <w:left w:val="none" w:sz="0" w:space="0" w:color="auto"/>
        <w:bottom w:val="none" w:sz="0" w:space="0" w:color="auto"/>
        <w:right w:val="none" w:sz="0" w:space="0" w:color="auto"/>
      </w:divBdr>
    </w:div>
    <w:div w:id="1097099850">
      <w:bodyDiv w:val="1"/>
      <w:marLeft w:val="0"/>
      <w:marRight w:val="0"/>
      <w:marTop w:val="0"/>
      <w:marBottom w:val="0"/>
      <w:divBdr>
        <w:top w:val="none" w:sz="0" w:space="0" w:color="auto"/>
        <w:left w:val="none" w:sz="0" w:space="0" w:color="auto"/>
        <w:bottom w:val="none" w:sz="0" w:space="0" w:color="auto"/>
        <w:right w:val="none" w:sz="0" w:space="0" w:color="auto"/>
      </w:divBdr>
    </w:div>
    <w:div w:id="1103720705">
      <w:bodyDiv w:val="1"/>
      <w:marLeft w:val="0"/>
      <w:marRight w:val="0"/>
      <w:marTop w:val="0"/>
      <w:marBottom w:val="0"/>
      <w:divBdr>
        <w:top w:val="none" w:sz="0" w:space="0" w:color="auto"/>
        <w:left w:val="none" w:sz="0" w:space="0" w:color="auto"/>
        <w:bottom w:val="none" w:sz="0" w:space="0" w:color="auto"/>
        <w:right w:val="none" w:sz="0" w:space="0" w:color="auto"/>
      </w:divBdr>
    </w:div>
    <w:div w:id="1119837661">
      <w:bodyDiv w:val="1"/>
      <w:marLeft w:val="0"/>
      <w:marRight w:val="0"/>
      <w:marTop w:val="0"/>
      <w:marBottom w:val="0"/>
      <w:divBdr>
        <w:top w:val="none" w:sz="0" w:space="0" w:color="auto"/>
        <w:left w:val="none" w:sz="0" w:space="0" w:color="auto"/>
        <w:bottom w:val="none" w:sz="0" w:space="0" w:color="auto"/>
        <w:right w:val="none" w:sz="0" w:space="0" w:color="auto"/>
      </w:divBdr>
    </w:div>
    <w:div w:id="1121461289">
      <w:bodyDiv w:val="1"/>
      <w:marLeft w:val="0"/>
      <w:marRight w:val="0"/>
      <w:marTop w:val="0"/>
      <w:marBottom w:val="0"/>
      <w:divBdr>
        <w:top w:val="none" w:sz="0" w:space="0" w:color="auto"/>
        <w:left w:val="none" w:sz="0" w:space="0" w:color="auto"/>
        <w:bottom w:val="none" w:sz="0" w:space="0" w:color="auto"/>
        <w:right w:val="none" w:sz="0" w:space="0" w:color="auto"/>
      </w:divBdr>
    </w:div>
    <w:div w:id="1128620555">
      <w:bodyDiv w:val="1"/>
      <w:marLeft w:val="0"/>
      <w:marRight w:val="0"/>
      <w:marTop w:val="0"/>
      <w:marBottom w:val="0"/>
      <w:divBdr>
        <w:top w:val="none" w:sz="0" w:space="0" w:color="auto"/>
        <w:left w:val="none" w:sz="0" w:space="0" w:color="auto"/>
        <w:bottom w:val="none" w:sz="0" w:space="0" w:color="auto"/>
        <w:right w:val="none" w:sz="0" w:space="0" w:color="auto"/>
      </w:divBdr>
    </w:div>
    <w:div w:id="1137603147">
      <w:bodyDiv w:val="1"/>
      <w:marLeft w:val="0"/>
      <w:marRight w:val="0"/>
      <w:marTop w:val="0"/>
      <w:marBottom w:val="0"/>
      <w:divBdr>
        <w:top w:val="none" w:sz="0" w:space="0" w:color="auto"/>
        <w:left w:val="none" w:sz="0" w:space="0" w:color="auto"/>
        <w:bottom w:val="none" w:sz="0" w:space="0" w:color="auto"/>
        <w:right w:val="none" w:sz="0" w:space="0" w:color="auto"/>
      </w:divBdr>
    </w:div>
    <w:div w:id="1161963800">
      <w:bodyDiv w:val="1"/>
      <w:marLeft w:val="0"/>
      <w:marRight w:val="0"/>
      <w:marTop w:val="0"/>
      <w:marBottom w:val="0"/>
      <w:divBdr>
        <w:top w:val="none" w:sz="0" w:space="0" w:color="auto"/>
        <w:left w:val="none" w:sz="0" w:space="0" w:color="auto"/>
        <w:bottom w:val="none" w:sz="0" w:space="0" w:color="auto"/>
        <w:right w:val="none" w:sz="0" w:space="0" w:color="auto"/>
      </w:divBdr>
    </w:div>
    <w:div w:id="1180201916">
      <w:bodyDiv w:val="1"/>
      <w:marLeft w:val="0"/>
      <w:marRight w:val="0"/>
      <w:marTop w:val="0"/>
      <w:marBottom w:val="0"/>
      <w:divBdr>
        <w:top w:val="none" w:sz="0" w:space="0" w:color="auto"/>
        <w:left w:val="none" w:sz="0" w:space="0" w:color="auto"/>
        <w:bottom w:val="none" w:sz="0" w:space="0" w:color="auto"/>
        <w:right w:val="none" w:sz="0" w:space="0" w:color="auto"/>
      </w:divBdr>
    </w:div>
    <w:div w:id="1187135865">
      <w:bodyDiv w:val="1"/>
      <w:marLeft w:val="0"/>
      <w:marRight w:val="0"/>
      <w:marTop w:val="0"/>
      <w:marBottom w:val="0"/>
      <w:divBdr>
        <w:top w:val="none" w:sz="0" w:space="0" w:color="auto"/>
        <w:left w:val="none" w:sz="0" w:space="0" w:color="auto"/>
        <w:bottom w:val="none" w:sz="0" w:space="0" w:color="auto"/>
        <w:right w:val="none" w:sz="0" w:space="0" w:color="auto"/>
      </w:divBdr>
    </w:div>
    <w:div w:id="1209101858">
      <w:bodyDiv w:val="1"/>
      <w:marLeft w:val="0"/>
      <w:marRight w:val="0"/>
      <w:marTop w:val="0"/>
      <w:marBottom w:val="0"/>
      <w:divBdr>
        <w:top w:val="none" w:sz="0" w:space="0" w:color="auto"/>
        <w:left w:val="none" w:sz="0" w:space="0" w:color="auto"/>
        <w:bottom w:val="none" w:sz="0" w:space="0" w:color="auto"/>
        <w:right w:val="none" w:sz="0" w:space="0" w:color="auto"/>
      </w:divBdr>
      <w:divsChild>
        <w:div w:id="1069428645">
          <w:marLeft w:val="640"/>
          <w:marRight w:val="0"/>
          <w:marTop w:val="0"/>
          <w:marBottom w:val="0"/>
          <w:divBdr>
            <w:top w:val="none" w:sz="0" w:space="0" w:color="auto"/>
            <w:left w:val="none" w:sz="0" w:space="0" w:color="auto"/>
            <w:bottom w:val="none" w:sz="0" w:space="0" w:color="auto"/>
            <w:right w:val="none" w:sz="0" w:space="0" w:color="auto"/>
          </w:divBdr>
        </w:div>
        <w:div w:id="384715422">
          <w:marLeft w:val="640"/>
          <w:marRight w:val="0"/>
          <w:marTop w:val="0"/>
          <w:marBottom w:val="0"/>
          <w:divBdr>
            <w:top w:val="none" w:sz="0" w:space="0" w:color="auto"/>
            <w:left w:val="none" w:sz="0" w:space="0" w:color="auto"/>
            <w:bottom w:val="none" w:sz="0" w:space="0" w:color="auto"/>
            <w:right w:val="none" w:sz="0" w:space="0" w:color="auto"/>
          </w:divBdr>
        </w:div>
        <w:div w:id="650331263">
          <w:marLeft w:val="640"/>
          <w:marRight w:val="0"/>
          <w:marTop w:val="0"/>
          <w:marBottom w:val="0"/>
          <w:divBdr>
            <w:top w:val="none" w:sz="0" w:space="0" w:color="auto"/>
            <w:left w:val="none" w:sz="0" w:space="0" w:color="auto"/>
            <w:bottom w:val="none" w:sz="0" w:space="0" w:color="auto"/>
            <w:right w:val="none" w:sz="0" w:space="0" w:color="auto"/>
          </w:divBdr>
        </w:div>
        <w:div w:id="641541706">
          <w:marLeft w:val="640"/>
          <w:marRight w:val="0"/>
          <w:marTop w:val="0"/>
          <w:marBottom w:val="0"/>
          <w:divBdr>
            <w:top w:val="none" w:sz="0" w:space="0" w:color="auto"/>
            <w:left w:val="none" w:sz="0" w:space="0" w:color="auto"/>
            <w:bottom w:val="none" w:sz="0" w:space="0" w:color="auto"/>
            <w:right w:val="none" w:sz="0" w:space="0" w:color="auto"/>
          </w:divBdr>
        </w:div>
        <w:div w:id="1476216247">
          <w:marLeft w:val="640"/>
          <w:marRight w:val="0"/>
          <w:marTop w:val="0"/>
          <w:marBottom w:val="0"/>
          <w:divBdr>
            <w:top w:val="none" w:sz="0" w:space="0" w:color="auto"/>
            <w:left w:val="none" w:sz="0" w:space="0" w:color="auto"/>
            <w:bottom w:val="none" w:sz="0" w:space="0" w:color="auto"/>
            <w:right w:val="none" w:sz="0" w:space="0" w:color="auto"/>
          </w:divBdr>
        </w:div>
        <w:div w:id="1719552765">
          <w:marLeft w:val="640"/>
          <w:marRight w:val="0"/>
          <w:marTop w:val="0"/>
          <w:marBottom w:val="0"/>
          <w:divBdr>
            <w:top w:val="none" w:sz="0" w:space="0" w:color="auto"/>
            <w:left w:val="none" w:sz="0" w:space="0" w:color="auto"/>
            <w:bottom w:val="none" w:sz="0" w:space="0" w:color="auto"/>
            <w:right w:val="none" w:sz="0" w:space="0" w:color="auto"/>
          </w:divBdr>
        </w:div>
        <w:div w:id="1693148023">
          <w:marLeft w:val="640"/>
          <w:marRight w:val="0"/>
          <w:marTop w:val="0"/>
          <w:marBottom w:val="0"/>
          <w:divBdr>
            <w:top w:val="none" w:sz="0" w:space="0" w:color="auto"/>
            <w:left w:val="none" w:sz="0" w:space="0" w:color="auto"/>
            <w:bottom w:val="none" w:sz="0" w:space="0" w:color="auto"/>
            <w:right w:val="none" w:sz="0" w:space="0" w:color="auto"/>
          </w:divBdr>
        </w:div>
        <w:div w:id="1094327404">
          <w:marLeft w:val="640"/>
          <w:marRight w:val="0"/>
          <w:marTop w:val="0"/>
          <w:marBottom w:val="0"/>
          <w:divBdr>
            <w:top w:val="none" w:sz="0" w:space="0" w:color="auto"/>
            <w:left w:val="none" w:sz="0" w:space="0" w:color="auto"/>
            <w:bottom w:val="none" w:sz="0" w:space="0" w:color="auto"/>
            <w:right w:val="none" w:sz="0" w:space="0" w:color="auto"/>
          </w:divBdr>
        </w:div>
        <w:div w:id="1334644848">
          <w:marLeft w:val="640"/>
          <w:marRight w:val="0"/>
          <w:marTop w:val="0"/>
          <w:marBottom w:val="0"/>
          <w:divBdr>
            <w:top w:val="none" w:sz="0" w:space="0" w:color="auto"/>
            <w:left w:val="none" w:sz="0" w:space="0" w:color="auto"/>
            <w:bottom w:val="none" w:sz="0" w:space="0" w:color="auto"/>
            <w:right w:val="none" w:sz="0" w:space="0" w:color="auto"/>
          </w:divBdr>
        </w:div>
        <w:div w:id="705065605">
          <w:marLeft w:val="640"/>
          <w:marRight w:val="0"/>
          <w:marTop w:val="0"/>
          <w:marBottom w:val="0"/>
          <w:divBdr>
            <w:top w:val="none" w:sz="0" w:space="0" w:color="auto"/>
            <w:left w:val="none" w:sz="0" w:space="0" w:color="auto"/>
            <w:bottom w:val="none" w:sz="0" w:space="0" w:color="auto"/>
            <w:right w:val="none" w:sz="0" w:space="0" w:color="auto"/>
          </w:divBdr>
        </w:div>
        <w:div w:id="1824273832">
          <w:marLeft w:val="640"/>
          <w:marRight w:val="0"/>
          <w:marTop w:val="0"/>
          <w:marBottom w:val="0"/>
          <w:divBdr>
            <w:top w:val="none" w:sz="0" w:space="0" w:color="auto"/>
            <w:left w:val="none" w:sz="0" w:space="0" w:color="auto"/>
            <w:bottom w:val="none" w:sz="0" w:space="0" w:color="auto"/>
            <w:right w:val="none" w:sz="0" w:space="0" w:color="auto"/>
          </w:divBdr>
        </w:div>
        <w:div w:id="1043676970">
          <w:marLeft w:val="640"/>
          <w:marRight w:val="0"/>
          <w:marTop w:val="0"/>
          <w:marBottom w:val="0"/>
          <w:divBdr>
            <w:top w:val="none" w:sz="0" w:space="0" w:color="auto"/>
            <w:left w:val="none" w:sz="0" w:space="0" w:color="auto"/>
            <w:bottom w:val="none" w:sz="0" w:space="0" w:color="auto"/>
            <w:right w:val="none" w:sz="0" w:space="0" w:color="auto"/>
          </w:divBdr>
        </w:div>
        <w:div w:id="481192071">
          <w:marLeft w:val="640"/>
          <w:marRight w:val="0"/>
          <w:marTop w:val="0"/>
          <w:marBottom w:val="0"/>
          <w:divBdr>
            <w:top w:val="none" w:sz="0" w:space="0" w:color="auto"/>
            <w:left w:val="none" w:sz="0" w:space="0" w:color="auto"/>
            <w:bottom w:val="none" w:sz="0" w:space="0" w:color="auto"/>
            <w:right w:val="none" w:sz="0" w:space="0" w:color="auto"/>
          </w:divBdr>
        </w:div>
        <w:div w:id="1101294136">
          <w:marLeft w:val="640"/>
          <w:marRight w:val="0"/>
          <w:marTop w:val="0"/>
          <w:marBottom w:val="0"/>
          <w:divBdr>
            <w:top w:val="none" w:sz="0" w:space="0" w:color="auto"/>
            <w:left w:val="none" w:sz="0" w:space="0" w:color="auto"/>
            <w:bottom w:val="none" w:sz="0" w:space="0" w:color="auto"/>
            <w:right w:val="none" w:sz="0" w:space="0" w:color="auto"/>
          </w:divBdr>
        </w:div>
        <w:div w:id="929239204">
          <w:marLeft w:val="640"/>
          <w:marRight w:val="0"/>
          <w:marTop w:val="0"/>
          <w:marBottom w:val="0"/>
          <w:divBdr>
            <w:top w:val="none" w:sz="0" w:space="0" w:color="auto"/>
            <w:left w:val="none" w:sz="0" w:space="0" w:color="auto"/>
            <w:bottom w:val="none" w:sz="0" w:space="0" w:color="auto"/>
            <w:right w:val="none" w:sz="0" w:space="0" w:color="auto"/>
          </w:divBdr>
        </w:div>
        <w:div w:id="1880900393">
          <w:marLeft w:val="640"/>
          <w:marRight w:val="0"/>
          <w:marTop w:val="0"/>
          <w:marBottom w:val="0"/>
          <w:divBdr>
            <w:top w:val="none" w:sz="0" w:space="0" w:color="auto"/>
            <w:left w:val="none" w:sz="0" w:space="0" w:color="auto"/>
            <w:bottom w:val="none" w:sz="0" w:space="0" w:color="auto"/>
            <w:right w:val="none" w:sz="0" w:space="0" w:color="auto"/>
          </w:divBdr>
        </w:div>
        <w:div w:id="1839147901">
          <w:marLeft w:val="640"/>
          <w:marRight w:val="0"/>
          <w:marTop w:val="0"/>
          <w:marBottom w:val="0"/>
          <w:divBdr>
            <w:top w:val="none" w:sz="0" w:space="0" w:color="auto"/>
            <w:left w:val="none" w:sz="0" w:space="0" w:color="auto"/>
            <w:bottom w:val="none" w:sz="0" w:space="0" w:color="auto"/>
            <w:right w:val="none" w:sz="0" w:space="0" w:color="auto"/>
          </w:divBdr>
        </w:div>
        <w:div w:id="361857018">
          <w:marLeft w:val="640"/>
          <w:marRight w:val="0"/>
          <w:marTop w:val="0"/>
          <w:marBottom w:val="0"/>
          <w:divBdr>
            <w:top w:val="none" w:sz="0" w:space="0" w:color="auto"/>
            <w:left w:val="none" w:sz="0" w:space="0" w:color="auto"/>
            <w:bottom w:val="none" w:sz="0" w:space="0" w:color="auto"/>
            <w:right w:val="none" w:sz="0" w:space="0" w:color="auto"/>
          </w:divBdr>
        </w:div>
        <w:div w:id="286085461">
          <w:marLeft w:val="640"/>
          <w:marRight w:val="0"/>
          <w:marTop w:val="0"/>
          <w:marBottom w:val="0"/>
          <w:divBdr>
            <w:top w:val="none" w:sz="0" w:space="0" w:color="auto"/>
            <w:left w:val="none" w:sz="0" w:space="0" w:color="auto"/>
            <w:bottom w:val="none" w:sz="0" w:space="0" w:color="auto"/>
            <w:right w:val="none" w:sz="0" w:space="0" w:color="auto"/>
          </w:divBdr>
        </w:div>
        <w:div w:id="1667246965">
          <w:marLeft w:val="640"/>
          <w:marRight w:val="0"/>
          <w:marTop w:val="0"/>
          <w:marBottom w:val="0"/>
          <w:divBdr>
            <w:top w:val="none" w:sz="0" w:space="0" w:color="auto"/>
            <w:left w:val="none" w:sz="0" w:space="0" w:color="auto"/>
            <w:bottom w:val="none" w:sz="0" w:space="0" w:color="auto"/>
            <w:right w:val="none" w:sz="0" w:space="0" w:color="auto"/>
          </w:divBdr>
        </w:div>
        <w:div w:id="1972322860">
          <w:marLeft w:val="640"/>
          <w:marRight w:val="0"/>
          <w:marTop w:val="0"/>
          <w:marBottom w:val="0"/>
          <w:divBdr>
            <w:top w:val="none" w:sz="0" w:space="0" w:color="auto"/>
            <w:left w:val="none" w:sz="0" w:space="0" w:color="auto"/>
            <w:bottom w:val="none" w:sz="0" w:space="0" w:color="auto"/>
            <w:right w:val="none" w:sz="0" w:space="0" w:color="auto"/>
          </w:divBdr>
        </w:div>
        <w:div w:id="1363553946">
          <w:marLeft w:val="640"/>
          <w:marRight w:val="0"/>
          <w:marTop w:val="0"/>
          <w:marBottom w:val="0"/>
          <w:divBdr>
            <w:top w:val="none" w:sz="0" w:space="0" w:color="auto"/>
            <w:left w:val="none" w:sz="0" w:space="0" w:color="auto"/>
            <w:bottom w:val="none" w:sz="0" w:space="0" w:color="auto"/>
            <w:right w:val="none" w:sz="0" w:space="0" w:color="auto"/>
          </w:divBdr>
        </w:div>
        <w:div w:id="747116085">
          <w:marLeft w:val="640"/>
          <w:marRight w:val="0"/>
          <w:marTop w:val="0"/>
          <w:marBottom w:val="0"/>
          <w:divBdr>
            <w:top w:val="none" w:sz="0" w:space="0" w:color="auto"/>
            <w:left w:val="none" w:sz="0" w:space="0" w:color="auto"/>
            <w:bottom w:val="none" w:sz="0" w:space="0" w:color="auto"/>
            <w:right w:val="none" w:sz="0" w:space="0" w:color="auto"/>
          </w:divBdr>
        </w:div>
        <w:div w:id="1604342118">
          <w:marLeft w:val="640"/>
          <w:marRight w:val="0"/>
          <w:marTop w:val="0"/>
          <w:marBottom w:val="0"/>
          <w:divBdr>
            <w:top w:val="none" w:sz="0" w:space="0" w:color="auto"/>
            <w:left w:val="none" w:sz="0" w:space="0" w:color="auto"/>
            <w:bottom w:val="none" w:sz="0" w:space="0" w:color="auto"/>
            <w:right w:val="none" w:sz="0" w:space="0" w:color="auto"/>
          </w:divBdr>
        </w:div>
        <w:div w:id="781261762">
          <w:marLeft w:val="640"/>
          <w:marRight w:val="0"/>
          <w:marTop w:val="0"/>
          <w:marBottom w:val="0"/>
          <w:divBdr>
            <w:top w:val="none" w:sz="0" w:space="0" w:color="auto"/>
            <w:left w:val="none" w:sz="0" w:space="0" w:color="auto"/>
            <w:bottom w:val="none" w:sz="0" w:space="0" w:color="auto"/>
            <w:right w:val="none" w:sz="0" w:space="0" w:color="auto"/>
          </w:divBdr>
        </w:div>
        <w:div w:id="2035420249">
          <w:marLeft w:val="640"/>
          <w:marRight w:val="0"/>
          <w:marTop w:val="0"/>
          <w:marBottom w:val="0"/>
          <w:divBdr>
            <w:top w:val="none" w:sz="0" w:space="0" w:color="auto"/>
            <w:left w:val="none" w:sz="0" w:space="0" w:color="auto"/>
            <w:bottom w:val="none" w:sz="0" w:space="0" w:color="auto"/>
            <w:right w:val="none" w:sz="0" w:space="0" w:color="auto"/>
          </w:divBdr>
        </w:div>
      </w:divsChild>
    </w:div>
    <w:div w:id="1248925712">
      <w:bodyDiv w:val="1"/>
      <w:marLeft w:val="0"/>
      <w:marRight w:val="0"/>
      <w:marTop w:val="0"/>
      <w:marBottom w:val="0"/>
      <w:divBdr>
        <w:top w:val="none" w:sz="0" w:space="0" w:color="auto"/>
        <w:left w:val="none" w:sz="0" w:space="0" w:color="auto"/>
        <w:bottom w:val="none" w:sz="0" w:space="0" w:color="auto"/>
        <w:right w:val="none" w:sz="0" w:space="0" w:color="auto"/>
      </w:divBdr>
    </w:div>
    <w:div w:id="1278296400">
      <w:bodyDiv w:val="1"/>
      <w:marLeft w:val="0"/>
      <w:marRight w:val="0"/>
      <w:marTop w:val="0"/>
      <w:marBottom w:val="0"/>
      <w:divBdr>
        <w:top w:val="none" w:sz="0" w:space="0" w:color="auto"/>
        <w:left w:val="none" w:sz="0" w:space="0" w:color="auto"/>
        <w:bottom w:val="none" w:sz="0" w:space="0" w:color="auto"/>
        <w:right w:val="none" w:sz="0" w:space="0" w:color="auto"/>
      </w:divBdr>
    </w:div>
    <w:div w:id="1278298497">
      <w:bodyDiv w:val="1"/>
      <w:marLeft w:val="0"/>
      <w:marRight w:val="0"/>
      <w:marTop w:val="0"/>
      <w:marBottom w:val="0"/>
      <w:divBdr>
        <w:top w:val="none" w:sz="0" w:space="0" w:color="auto"/>
        <w:left w:val="none" w:sz="0" w:space="0" w:color="auto"/>
        <w:bottom w:val="none" w:sz="0" w:space="0" w:color="auto"/>
        <w:right w:val="none" w:sz="0" w:space="0" w:color="auto"/>
      </w:divBdr>
    </w:div>
    <w:div w:id="1279532534">
      <w:bodyDiv w:val="1"/>
      <w:marLeft w:val="0"/>
      <w:marRight w:val="0"/>
      <w:marTop w:val="0"/>
      <w:marBottom w:val="0"/>
      <w:divBdr>
        <w:top w:val="none" w:sz="0" w:space="0" w:color="auto"/>
        <w:left w:val="none" w:sz="0" w:space="0" w:color="auto"/>
        <w:bottom w:val="none" w:sz="0" w:space="0" w:color="auto"/>
        <w:right w:val="none" w:sz="0" w:space="0" w:color="auto"/>
      </w:divBdr>
    </w:div>
    <w:div w:id="1285038013">
      <w:bodyDiv w:val="1"/>
      <w:marLeft w:val="0"/>
      <w:marRight w:val="0"/>
      <w:marTop w:val="0"/>
      <w:marBottom w:val="0"/>
      <w:divBdr>
        <w:top w:val="none" w:sz="0" w:space="0" w:color="auto"/>
        <w:left w:val="none" w:sz="0" w:space="0" w:color="auto"/>
        <w:bottom w:val="none" w:sz="0" w:space="0" w:color="auto"/>
        <w:right w:val="none" w:sz="0" w:space="0" w:color="auto"/>
      </w:divBdr>
    </w:div>
    <w:div w:id="1325353410">
      <w:bodyDiv w:val="1"/>
      <w:marLeft w:val="0"/>
      <w:marRight w:val="0"/>
      <w:marTop w:val="0"/>
      <w:marBottom w:val="0"/>
      <w:divBdr>
        <w:top w:val="none" w:sz="0" w:space="0" w:color="auto"/>
        <w:left w:val="none" w:sz="0" w:space="0" w:color="auto"/>
        <w:bottom w:val="none" w:sz="0" w:space="0" w:color="auto"/>
        <w:right w:val="none" w:sz="0" w:space="0" w:color="auto"/>
      </w:divBdr>
    </w:div>
    <w:div w:id="1371028429">
      <w:bodyDiv w:val="1"/>
      <w:marLeft w:val="0"/>
      <w:marRight w:val="0"/>
      <w:marTop w:val="0"/>
      <w:marBottom w:val="0"/>
      <w:divBdr>
        <w:top w:val="none" w:sz="0" w:space="0" w:color="auto"/>
        <w:left w:val="none" w:sz="0" w:space="0" w:color="auto"/>
        <w:bottom w:val="none" w:sz="0" w:space="0" w:color="auto"/>
        <w:right w:val="none" w:sz="0" w:space="0" w:color="auto"/>
      </w:divBdr>
    </w:div>
    <w:div w:id="1380129990">
      <w:bodyDiv w:val="1"/>
      <w:marLeft w:val="0"/>
      <w:marRight w:val="0"/>
      <w:marTop w:val="0"/>
      <w:marBottom w:val="0"/>
      <w:divBdr>
        <w:top w:val="none" w:sz="0" w:space="0" w:color="auto"/>
        <w:left w:val="none" w:sz="0" w:space="0" w:color="auto"/>
        <w:bottom w:val="none" w:sz="0" w:space="0" w:color="auto"/>
        <w:right w:val="none" w:sz="0" w:space="0" w:color="auto"/>
      </w:divBdr>
      <w:divsChild>
        <w:div w:id="1030490597">
          <w:marLeft w:val="640"/>
          <w:marRight w:val="0"/>
          <w:marTop w:val="0"/>
          <w:marBottom w:val="0"/>
          <w:divBdr>
            <w:top w:val="none" w:sz="0" w:space="0" w:color="auto"/>
            <w:left w:val="none" w:sz="0" w:space="0" w:color="auto"/>
            <w:bottom w:val="none" w:sz="0" w:space="0" w:color="auto"/>
            <w:right w:val="none" w:sz="0" w:space="0" w:color="auto"/>
          </w:divBdr>
        </w:div>
        <w:div w:id="2137067228">
          <w:marLeft w:val="640"/>
          <w:marRight w:val="0"/>
          <w:marTop w:val="0"/>
          <w:marBottom w:val="0"/>
          <w:divBdr>
            <w:top w:val="none" w:sz="0" w:space="0" w:color="auto"/>
            <w:left w:val="none" w:sz="0" w:space="0" w:color="auto"/>
            <w:bottom w:val="none" w:sz="0" w:space="0" w:color="auto"/>
            <w:right w:val="none" w:sz="0" w:space="0" w:color="auto"/>
          </w:divBdr>
        </w:div>
        <w:div w:id="850682467">
          <w:marLeft w:val="640"/>
          <w:marRight w:val="0"/>
          <w:marTop w:val="0"/>
          <w:marBottom w:val="0"/>
          <w:divBdr>
            <w:top w:val="none" w:sz="0" w:space="0" w:color="auto"/>
            <w:left w:val="none" w:sz="0" w:space="0" w:color="auto"/>
            <w:bottom w:val="none" w:sz="0" w:space="0" w:color="auto"/>
            <w:right w:val="none" w:sz="0" w:space="0" w:color="auto"/>
          </w:divBdr>
        </w:div>
        <w:div w:id="1702317707">
          <w:marLeft w:val="640"/>
          <w:marRight w:val="0"/>
          <w:marTop w:val="0"/>
          <w:marBottom w:val="0"/>
          <w:divBdr>
            <w:top w:val="none" w:sz="0" w:space="0" w:color="auto"/>
            <w:left w:val="none" w:sz="0" w:space="0" w:color="auto"/>
            <w:bottom w:val="none" w:sz="0" w:space="0" w:color="auto"/>
            <w:right w:val="none" w:sz="0" w:space="0" w:color="auto"/>
          </w:divBdr>
        </w:div>
        <w:div w:id="1592736094">
          <w:marLeft w:val="640"/>
          <w:marRight w:val="0"/>
          <w:marTop w:val="0"/>
          <w:marBottom w:val="0"/>
          <w:divBdr>
            <w:top w:val="none" w:sz="0" w:space="0" w:color="auto"/>
            <w:left w:val="none" w:sz="0" w:space="0" w:color="auto"/>
            <w:bottom w:val="none" w:sz="0" w:space="0" w:color="auto"/>
            <w:right w:val="none" w:sz="0" w:space="0" w:color="auto"/>
          </w:divBdr>
        </w:div>
        <w:div w:id="1237666191">
          <w:marLeft w:val="640"/>
          <w:marRight w:val="0"/>
          <w:marTop w:val="0"/>
          <w:marBottom w:val="0"/>
          <w:divBdr>
            <w:top w:val="none" w:sz="0" w:space="0" w:color="auto"/>
            <w:left w:val="none" w:sz="0" w:space="0" w:color="auto"/>
            <w:bottom w:val="none" w:sz="0" w:space="0" w:color="auto"/>
            <w:right w:val="none" w:sz="0" w:space="0" w:color="auto"/>
          </w:divBdr>
        </w:div>
        <w:div w:id="1930235349">
          <w:marLeft w:val="640"/>
          <w:marRight w:val="0"/>
          <w:marTop w:val="0"/>
          <w:marBottom w:val="0"/>
          <w:divBdr>
            <w:top w:val="none" w:sz="0" w:space="0" w:color="auto"/>
            <w:left w:val="none" w:sz="0" w:space="0" w:color="auto"/>
            <w:bottom w:val="none" w:sz="0" w:space="0" w:color="auto"/>
            <w:right w:val="none" w:sz="0" w:space="0" w:color="auto"/>
          </w:divBdr>
        </w:div>
        <w:div w:id="1381054348">
          <w:marLeft w:val="640"/>
          <w:marRight w:val="0"/>
          <w:marTop w:val="0"/>
          <w:marBottom w:val="0"/>
          <w:divBdr>
            <w:top w:val="none" w:sz="0" w:space="0" w:color="auto"/>
            <w:left w:val="none" w:sz="0" w:space="0" w:color="auto"/>
            <w:bottom w:val="none" w:sz="0" w:space="0" w:color="auto"/>
            <w:right w:val="none" w:sz="0" w:space="0" w:color="auto"/>
          </w:divBdr>
        </w:div>
        <w:div w:id="1600748761">
          <w:marLeft w:val="640"/>
          <w:marRight w:val="0"/>
          <w:marTop w:val="0"/>
          <w:marBottom w:val="0"/>
          <w:divBdr>
            <w:top w:val="none" w:sz="0" w:space="0" w:color="auto"/>
            <w:left w:val="none" w:sz="0" w:space="0" w:color="auto"/>
            <w:bottom w:val="none" w:sz="0" w:space="0" w:color="auto"/>
            <w:right w:val="none" w:sz="0" w:space="0" w:color="auto"/>
          </w:divBdr>
        </w:div>
        <w:div w:id="2034577147">
          <w:marLeft w:val="640"/>
          <w:marRight w:val="0"/>
          <w:marTop w:val="0"/>
          <w:marBottom w:val="0"/>
          <w:divBdr>
            <w:top w:val="none" w:sz="0" w:space="0" w:color="auto"/>
            <w:left w:val="none" w:sz="0" w:space="0" w:color="auto"/>
            <w:bottom w:val="none" w:sz="0" w:space="0" w:color="auto"/>
            <w:right w:val="none" w:sz="0" w:space="0" w:color="auto"/>
          </w:divBdr>
        </w:div>
        <w:div w:id="767313040">
          <w:marLeft w:val="640"/>
          <w:marRight w:val="0"/>
          <w:marTop w:val="0"/>
          <w:marBottom w:val="0"/>
          <w:divBdr>
            <w:top w:val="none" w:sz="0" w:space="0" w:color="auto"/>
            <w:left w:val="none" w:sz="0" w:space="0" w:color="auto"/>
            <w:bottom w:val="none" w:sz="0" w:space="0" w:color="auto"/>
            <w:right w:val="none" w:sz="0" w:space="0" w:color="auto"/>
          </w:divBdr>
        </w:div>
        <w:div w:id="1902053751">
          <w:marLeft w:val="640"/>
          <w:marRight w:val="0"/>
          <w:marTop w:val="0"/>
          <w:marBottom w:val="0"/>
          <w:divBdr>
            <w:top w:val="none" w:sz="0" w:space="0" w:color="auto"/>
            <w:left w:val="none" w:sz="0" w:space="0" w:color="auto"/>
            <w:bottom w:val="none" w:sz="0" w:space="0" w:color="auto"/>
            <w:right w:val="none" w:sz="0" w:space="0" w:color="auto"/>
          </w:divBdr>
        </w:div>
        <w:div w:id="1777561514">
          <w:marLeft w:val="640"/>
          <w:marRight w:val="0"/>
          <w:marTop w:val="0"/>
          <w:marBottom w:val="0"/>
          <w:divBdr>
            <w:top w:val="none" w:sz="0" w:space="0" w:color="auto"/>
            <w:left w:val="none" w:sz="0" w:space="0" w:color="auto"/>
            <w:bottom w:val="none" w:sz="0" w:space="0" w:color="auto"/>
            <w:right w:val="none" w:sz="0" w:space="0" w:color="auto"/>
          </w:divBdr>
        </w:div>
        <w:div w:id="1128352097">
          <w:marLeft w:val="640"/>
          <w:marRight w:val="0"/>
          <w:marTop w:val="0"/>
          <w:marBottom w:val="0"/>
          <w:divBdr>
            <w:top w:val="none" w:sz="0" w:space="0" w:color="auto"/>
            <w:left w:val="none" w:sz="0" w:space="0" w:color="auto"/>
            <w:bottom w:val="none" w:sz="0" w:space="0" w:color="auto"/>
            <w:right w:val="none" w:sz="0" w:space="0" w:color="auto"/>
          </w:divBdr>
        </w:div>
        <w:div w:id="275260447">
          <w:marLeft w:val="640"/>
          <w:marRight w:val="0"/>
          <w:marTop w:val="0"/>
          <w:marBottom w:val="0"/>
          <w:divBdr>
            <w:top w:val="none" w:sz="0" w:space="0" w:color="auto"/>
            <w:left w:val="none" w:sz="0" w:space="0" w:color="auto"/>
            <w:bottom w:val="none" w:sz="0" w:space="0" w:color="auto"/>
            <w:right w:val="none" w:sz="0" w:space="0" w:color="auto"/>
          </w:divBdr>
        </w:div>
        <w:div w:id="574053307">
          <w:marLeft w:val="640"/>
          <w:marRight w:val="0"/>
          <w:marTop w:val="0"/>
          <w:marBottom w:val="0"/>
          <w:divBdr>
            <w:top w:val="none" w:sz="0" w:space="0" w:color="auto"/>
            <w:left w:val="none" w:sz="0" w:space="0" w:color="auto"/>
            <w:bottom w:val="none" w:sz="0" w:space="0" w:color="auto"/>
            <w:right w:val="none" w:sz="0" w:space="0" w:color="auto"/>
          </w:divBdr>
        </w:div>
        <w:div w:id="1123308350">
          <w:marLeft w:val="640"/>
          <w:marRight w:val="0"/>
          <w:marTop w:val="0"/>
          <w:marBottom w:val="0"/>
          <w:divBdr>
            <w:top w:val="none" w:sz="0" w:space="0" w:color="auto"/>
            <w:left w:val="none" w:sz="0" w:space="0" w:color="auto"/>
            <w:bottom w:val="none" w:sz="0" w:space="0" w:color="auto"/>
            <w:right w:val="none" w:sz="0" w:space="0" w:color="auto"/>
          </w:divBdr>
        </w:div>
        <w:div w:id="697391036">
          <w:marLeft w:val="640"/>
          <w:marRight w:val="0"/>
          <w:marTop w:val="0"/>
          <w:marBottom w:val="0"/>
          <w:divBdr>
            <w:top w:val="none" w:sz="0" w:space="0" w:color="auto"/>
            <w:left w:val="none" w:sz="0" w:space="0" w:color="auto"/>
            <w:bottom w:val="none" w:sz="0" w:space="0" w:color="auto"/>
            <w:right w:val="none" w:sz="0" w:space="0" w:color="auto"/>
          </w:divBdr>
        </w:div>
        <w:div w:id="332150306">
          <w:marLeft w:val="640"/>
          <w:marRight w:val="0"/>
          <w:marTop w:val="0"/>
          <w:marBottom w:val="0"/>
          <w:divBdr>
            <w:top w:val="none" w:sz="0" w:space="0" w:color="auto"/>
            <w:left w:val="none" w:sz="0" w:space="0" w:color="auto"/>
            <w:bottom w:val="none" w:sz="0" w:space="0" w:color="auto"/>
            <w:right w:val="none" w:sz="0" w:space="0" w:color="auto"/>
          </w:divBdr>
        </w:div>
        <w:div w:id="434443014">
          <w:marLeft w:val="640"/>
          <w:marRight w:val="0"/>
          <w:marTop w:val="0"/>
          <w:marBottom w:val="0"/>
          <w:divBdr>
            <w:top w:val="none" w:sz="0" w:space="0" w:color="auto"/>
            <w:left w:val="none" w:sz="0" w:space="0" w:color="auto"/>
            <w:bottom w:val="none" w:sz="0" w:space="0" w:color="auto"/>
            <w:right w:val="none" w:sz="0" w:space="0" w:color="auto"/>
          </w:divBdr>
        </w:div>
        <w:div w:id="89813908">
          <w:marLeft w:val="640"/>
          <w:marRight w:val="0"/>
          <w:marTop w:val="0"/>
          <w:marBottom w:val="0"/>
          <w:divBdr>
            <w:top w:val="none" w:sz="0" w:space="0" w:color="auto"/>
            <w:left w:val="none" w:sz="0" w:space="0" w:color="auto"/>
            <w:bottom w:val="none" w:sz="0" w:space="0" w:color="auto"/>
            <w:right w:val="none" w:sz="0" w:space="0" w:color="auto"/>
          </w:divBdr>
        </w:div>
        <w:div w:id="702247663">
          <w:marLeft w:val="640"/>
          <w:marRight w:val="0"/>
          <w:marTop w:val="0"/>
          <w:marBottom w:val="0"/>
          <w:divBdr>
            <w:top w:val="none" w:sz="0" w:space="0" w:color="auto"/>
            <w:left w:val="none" w:sz="0" w:space="0" w:color="auto"/>
            <w:bottom w:val="none" w:sz="0" w:space="0" w:color="auto"/>
            <w:right w:val="none" w:sz="0" w:space="0" w:color="auto"/>
          </w:divBdr>
        </w:div>
        <w:div w:id="1282565470">
          <w:marLeft w:val="640"/>
          <w:marRight w:val="0"/>
          <w:marTop w:val="0"/>
          <w:marBottom w:val="0"/>
          <w:divBdr>
            <w:top w:val="none" w:sz="0" w:space="0" w:color="auto"/>
            <w:left w:val="none" w:sz="0" w:space="0" w:color="auto"/>
            <w:bottom w:val="none" w:sz="0" w:space="0" w:color="auto"/>
            <w:right w:val="none" w:sz="0" w:space="0" w:color="auto"/>
          </w:divBdr>
        </w:div>
      </w:divsChild>
    </w:div>
    <w:div w:id="1402294167">
      <w:bodyDiv w:val="1"/>
      <w:marLeft w:val="0"/>
      <w:marRight w:val="0"/>
      <w:marTop w:val="0"/>
      <w:marBottom w:val="0"/>
      <w:divBdr>
        <w:top w:val="none" w:sz="0" w:space="0" w:color="auto"/>
        <w:left w:val="none" w:sz="0" w:space="0" w:color="auto"/>
        <w:bottom w:val="none" w:sz="0" w:space="0" w:color="auto"/>
        <w:right w:val="none" w:sz="0" w:space="0" w:color="auto"/>
      </w:divBdr>
      <w:divsChild>
        <w:div w:id="2053923716">
          <w:marLeft w:val="480"/>
          <w:marRight w:val="0"/>
          <w:marTop w:val="0"/>
          <w:marBottom w:val="0"/>
          <w:divBdr>
            <w:top w:val="none" w:sz="0" w:space="0" w:color="auto"/>
            <w:left w:val="none" w:sz="0" w:space="0" w:color="auto"/>
            <w:bottom w:val="none" w:sz="0" w:space="0" w:color="auto"/>
            <w:right w:val="none" w:sz="0" w:space="0" w:color="auto"/>
          </w:divBdr>
        </w:div>
        <w:div w:id="644820554">
          <w:marLeft w:val="480"/>
          <w:marRight w:val="0"/>
          <w:marTop w:val="0"/>
          <w:marBottom w:val="0"/>
          <w:divBdr>
            <w:top w:val="none" w:sz="0" w:space="0" w:color="auto"/>
            <w:left w:val="none" w:sz="0" w:space="0" w:color="auto"/>
            <w:bottom w:val="none" w:sz="0" w:space="0" w:color="auto"/>
            <w:right w:val="none" w:sz="0" w:space="0" w:color="auto"/>
          </w:divBdr>
        </w:div>
        <w:div w:id="1791126920">
          <w:marLeft w:val="480"/>
          <w:marRight w:val="0"/>
          <w:marTop w:val="0"/>
          <w:marBottom w:val="0"/>
          <w:divBdr>
            <w:top w:val="none" w:sz="0" w:space="0" w:color="auto"/>
            <w:left w:val="none" w:sz="0" w:space="0" w:color="auto"/>
            <w:bottom w:val="none" w:sz="0" w:space="0" w:color="auto"/>
            <w:right w:val="none" w:sz="0" w:space="0" w:color="auto"/>
          </w:divBdr>
        </w:div>
        <w:div w:id="870384867">
          <w:marLeft w:val="480"/>
          <w:marRight w:val="0"/>
          <w:marTop w:val="0"/>
          <w:marBottom w:val="0"/>
          <w:divBdr>
            <w:top w:val="none" w:sz="0" w:space="0" w:color="auto"/>
            <w:left w:val="none" w:sz="0" w:space="0" w:color="auto"/>
            <w:bottom w:val="none" w:sz="0" w:space="0" w:color="auto"/>
            <w:right w:val="none" w:sz="0" w:space="0" w:color="auto"/>
          </w:divBdr>
        </w:div>
        <w:div w:id="159278471">
          <w:marLeft w:val="480"/>
          <w:marRight w:val="0"/>
          <w:marTop w:val="0"/>
          <w:marBottom w:val="0"/>
          <w:divBdr>
            <w:top w:val="none" w:sz="0" w:space="0" w:color="auto"/>
            <w:left w:val="none" w:sz="0" w:space="0" w:color="auto"/>
            <w:bottom w:val="none" w:sz="0" w:space="0" w:color="auto"/>
            <w:right w:val="none" w:sz="0" w:space="0" w:color="auto"/>
          </w:divBdr>
        </w:div>
        <w:div w:id="1166744849">
          <w:marLeft w:val="480"/>
          <w:marRight w:val="0"/>
          <w:marTop w:val="0"/>
          <w:marBottom w:val="0"/>
          <w:divBdr>
            <w:top w:val="none" w:sz="0" w:space="0" w:color="auto"/>
            <w:left w:val="none" w:sz="0" w:space="0" w:color="auto"/>
            <w:bottom w:val="none" w:sz="0" w:space="0" w:color="auto"/>
            <w:right w:val="none" w:sz="0" w:space="0" w:color="auto"/>
          </w:divBdr>
        </w:div>
        <w:div w:id="1603688976">
          <w:marLeft w:val="480"/>
          <w:marRight w:val="0"/>
          <w:marTop w:val="0"/>
          <w:marBottom w:val="0"/>
          <w:divBdr>
            <w:top w:val="none" w:sz="0" w:space="0" w:color="auto"/>
            <w:left w:val="none" w:sz="0" w:space="0" w:color="auto"/>
            <w:bottom w:val="none" w:sz="0" w:space="0" w:color="auto"/>
            <w:right w:val="none" w:sz="0" w:space="0" w:color="auto"/>
          </w:divBdr>
        </w:div>
        <w:div w:id="1495798202">
          <w:marLeft w:val="480"/>
          <w:marRight w:val="0"/>
          <w:marTop w:val="0"/>
          <w:marBottom w:val="0"/>
          <w:divBdr>
            <w:top w:val="none" w:sz="0" w:space="0" w:color="auto"/>
            <w:left w:val="none" w:sz="0" w:space="0" w:color="auto"/>
            <w:bottom w:val="none" w:sz="0" w:space="0" w:color="auto"/>
            <w:right w:val="none" w:sz="0" w:space="0" w:color="auto"/>
          </w:divBdr>
        </w:div>
        <w:div w:id="244344068">
          <w:marLeft w:val="480"/>
          <w:marRight w:val="0"/>
          <w:marTop w:val="0"/>
          <w:marBottom w:val="0"/>
          <w:divBdr>
            <w:top w:val="none" w:sz="0" w:space="0" w:color="auto"/>
            <w:left w:val="none" w:sz="0" w:space="0" w:color="auto"/>
            <w:bottom w:val="none" w:sz="0" w:space="0" w:color="auto"/>
            <w:right w:val="none" w:sz="0" w:space="0" w:color="auto"/>
          </w:divBdr>
        </w:div>
        <w:div w:id="781848446">
          <w:marLeft w:val="480"/>
          <w:marRight w:val="0"/>
          <w:marTop w:val="0"/>
          <w:marBottom w:val="0"/>
          <w:divBdr>
            <w:top w:val="none" w:sz="0" w:space="0" w:color="auto"/>
            <w:left w:val="none" w:sz="0" w:space="0" w:color="auto"/>
            <w:bottom w:val="none" w:sz="0" w:space="0" w:color="auto"/>
            <w:right w:val="none" w:sz="0" w:space="0" w:color="auto"/>
          </w:divBdr>
        </w:div>
        <w:div w:id="237906077">
          <w:marLeft w:val="480"/>
          <w:marRight w:val="0"/>
          <w:marTop w:val="0"/>
          <w:marBottom w:val="0"/>
          <w:divBdr>
            <w:top w:val="none" w:sz="0" w:space="0" w:color="auto"/>
            <w:left w:val="none" w:sz="0" w:space="0" w:color="auto"/>
            <w:bottom w:val="none" w:sz="0" w:space="0" w:color="auto"/>
            <w:right w:val="none" w:sz="0" w:space="0" w:color="auto"/>
          </w:divBdr>
        </w:div>
        <w:div w:id="349332440">
          <w:marLeft w:val="480"/>
          <w:marRight w:val="0"/>
          <w:marTop w:val="0"/>
          <w:marBottom w:val="0"/>
          <w:divBdr>
            <w:top w:val="none" w:sz="0" w:space="0" w:color="auto"/>
            <w:left w:val="none" w:sz="0" w:space="0" w:color="auto"/>
            <w:bottom w:val="none" w:sz="0" w:space="0" w:color="auto"/>
            <w:right w:val="none" w:sz="0" w:space="0" w:color="auto"/>
          </w:divBdr>
        </w:div>
        <w:div w:id="927226531">
          <w:marLeft w:val="480"/>
          <w:marRight w:val="0"/>
          <w:marTop w:val="0"/>
          <w:marBottom w:val="0"/>
          <w:divBdr>
            <w:top w:val="none" w:sz="0" w:space="0" w:color="auto"/>
            <w:left w:val="none" w:sz="0" w:space="0" w:color="auto"/>
            <w:bottom w:val="none" w:sz="0" w:space="0" w:color="auto"/>
            <w:right w:val="none" w:sz="0" w:space="0" w:color="auto"/>
          </w:divBdr>
        </w:div>
        <w:div w:id="1435592716">
          <w:marLeft w:val="480"/>
          <w:marRight w:val="0"/>
          <w:marTop w:val="0"/>
          <w:marBottom w:val="0"/>
          <w:divBdr>
            <w:top w:val="none" w:sz="0" w:space="0" w:color="auto"/>
            <w:left w:val="none" w:sz="0" w:space="0" w:color="auto"/>
            <w:bottom w:val="none" w:sz="0" w:space="0" w:color="auto"/>
            <w:right w:val="none" w:sz="0" w:space="0" w:color="auto"/>
          </w:divBdr>
        </w:div>
        <w:div w:id="1265772581">
          <w:marLeft w:val="480"/>
          <w:marRight w:val="0"/>
          <w:marTop w:val="0"/>
          <w:marBottom w:val="0"/>
          <w:divBdr>
            <w:top w:val="none" w:sz="0" w:space="0" w:color="auto"/>
            <w:left w:val="none" w:sz="0" w:space="0" w:color="auto"/>
            <w:bottom w:val="none" w:sz="0" w:space="0" w:color="auto"/>
            <w:right w:val="none" w:sz="0" w:space="0" w:color="auto"/>
          </w:divBdr>
        </w:div>
        <w:div w:id="1970935348">
          <w:marLeft w:val="480"/>
          <w:marRight w:val="0"/>
          <w:marTop w:val="0"/>
          <w:marBottom w:val="0"/>
          <w:divBdr>
            <w:top w:val="none" w:sz="0" w:space="0" w:color="auto"/>
            <w:left w:val="none" w:sz="0" w:space="0" w:color="auto"/>
            <w:bottom w:val="none" w:sz="0" w:space="0" w:color="auto"/>
            <w:right w:val="none" w:sz="0" w:space="0" w:color="auto"/>
          </w:divBdr>
        </w:div>
        <w:div w:id="1392653941">
          <w:marLeft w:val="480"/>
          <w:marRight w:val="0"/>
          <w:marTop w:val="0"/>
          <w:marBottom w:val="0"/>
          <w:divBdr>
            <w:top w:val="none" w:sz="0" w:space="0" w:color="auto"/>
            <w:left w:val="none" w:sz="0" w:space="0" w:color="auto"/>
            <w:bottom w:val="none" w:sz="0" w:space="0" w:color="auto"/>
            <w:right w:val="none" w:sz="0" w:space="0" w:color="auto"/>
          </w:divBdr>
        </w:div>
        <w:div w:id="878207298">
          <w:marLeft w:val="480"/>
          <w:marRight w:val="0"/>
          <w:marTop w:val="0"/>
          <w:marBottom w:val="0"/>
          <w:divBdr>
            <w:top w:val="none" w:sz="0" w:space="0" w:color="auto"/>
            <w:left w:val="none" w:sz="0" w:space="0" w:color="auto"/>
            <w:bottom w:val="none" w:sz="0" w:space="0" w:color="auto"/>
            <w:right w:val="none" w:sz="0" w:space="0" w:color="auto"/>
          </w:divBdr>
        </w:div>
        <w:div w:id="2014598805">
          <w:marLeft w:val="480"/>
          <w:marRight w:val="0"/>
          <w:marTop w:val="0"/>
          <w:marBottom w:val="0"/>
          <w:divBdr>
            <w:top w:val="none" w:sz="0" w:space="0" w:color="auto"/>
            <w:left w:val="none" w:sz="0" w:space="0" w:color="auto"/>
            <w:bottom w:val="none" w:sz="0" w:space="0" w:color="auto"/>
            <w:right w:val="none" w:sz="0" w:space="0" w:color="auto"/>
          </w:divBdr>
        </w:div>
        <w:div w:id="353919886">
          <w:marLeft w:val="480"/>
          <w:marRight w:val="0"/>
          <w:marTop w:val="0"/>
          <w:marBottom w:val="0"/>
          <w:divBdr>
            <w:top w:val="none" w:sz="0" w:space="0" w:color="auto"/>
            <w:left w:val="none" w:sz="0" w:space="0" w:color="auto"/>
            <w:bottom w:val="none" w:sz="0" w:space="0" w:color="auto"/>
            <w:right w:val="none" w:sz="0" w:space="0" w:color="auto"/>
          </w:divBdr>
        </w:div>
        <w:div w:id="173152889">
          <w:marLeft w:val="480"/>
          <w:marRight w:val="0"/>
          <w:marTop w:val="0"/>
          <w:marBottom w:val="0"/>
          <w:divBdr>
            <w:top w:val="none" w:sz="0" w:space="0" w:color="auto"/>
            <w:left w:val="none" w:sz="0" w:space="0" w:color="auto"/>
            <w:bottom w:val="none" w:sz="0" w:space="0" w:color="auto"/>
            <w:right w:val="none" w:sz="0" w:space="0" w:color="auto"/>
          </w:divBdr>
        </w:div>
        <w:div w:id="623772982">
          <w:marLeft w:val="480"/>
          <w:marRight w:val="0"/>
          <w:marTop w:val="0"/>
          <w:marBottom w:val="0"/>
          <w:divBdr>
            <w:top w:val="none" w:sz="0" w:space="0" w:color="auto"/>
            <w:left w:val="none" w:sz="0" w:space="0" w:color="auto"/>
            <w:bottom w:val="none" w:sz="0" w:space="0" w:color="auto"/>
            <w:right w:val="none" w:sz="0" w:space="0" w:color="auto"/>
          </w:divBdr>
        </w:div>
        <w:div w:id="1819152979">
          <w:marLeft w:val="480"/>
          <w:marRight w:val="0"/>
          <w:marTop w:val="0"/>
          <w:marBottom w:val="0"/>
          <w:divBdr>
            <w:top w:val="none" w:sz="0" w:space="0" w:color="auto"/>
            <w:left w:val="none" w:sz="0" w:space="0" w:color="auto"/>
            <w:bottom w:val="none" w:sz="0" w:space="0" w:color="auto"/>
            <w:right w:val="none" w:sz="0" w:space="0" w:color="auto"/>
          </w:divBdr>
        </w:div>
        <w:div w:id="134757639">
          <w:marLeft w:val="480"/>
          <w:marRight w:val="0"/>
          <w:marTop w:val="0"/>
          <w:marBottom w:val="0"/>
          <w:divBdr>
            <w:top w:val="none" w:sz="0" w:space="0" w:color="auto"/>
            <w:left w:val="none" w:sz="0" w:space="0" w:color="auto"/>
            <w:bottom w:val="none" w:sz="0" w:space="0" w:color="auto"/>
            <w:right w:val="none" w:sz="0" w:space="0" w:color="auto"/>
          </w:divBdr>
        </w:div>
        <w:div w:id="1598757473">
          <w:marLeft w:val="480"/>
          <w:marRight w:val="0"/>
          <w:marTop w:val="0"/>
          <w:marBottom w:val="0"/>
          <w:divBdr>
            <w:top w:val="none" w:sz="0" w:space="0" w:color="auto"/>
            <w:left w:val="none" w:sz="0" w:space="0" w:color="auto"/>
            <w:bottom w:val="none" w:sz="0" w:space="0" w:color="auto"/>
            <w:right w:val="none" w:sz="0" w:space="0" w:color="auto"/>
          </w:divBdr>
        </w:div>
        <w:div w:id="112016490">
          <w:marLeft w:val="480"/>
          <w:marRight w:val="0"/>
          <w:marTop w:val="0"/>
          <w:marBottom w:val="0"/>
          <w:divBdr>
            <w:top w:val="none" w:sz="0" w:space="0" w:color="auto"/>
            <w:left w:val="none" w:sz="0" w:space="0" w:color="auto"/>
            <w:bottom w:val="none" w:sz="0" w:space="0" w:color="auto"/>
            <w:right w:val="none" w:sz="0" w:space="0" w:color="auto"/>
          </w:divBdr>
        </w:div>
      </w:divsChild>
    </w:div>
    <w:div w:id="1415055933">
      <w:bodyDiv w:val="1"/>
      <w:marLeft w:val="0"/>
      <w:marRight w:val="0"/>
      <w:marTop w:val="0"/>
      <w:marBottom w:val="0"/>
      <w:divBdr>
        <w:top w:val="none" w:sz="0" w:space="0" w:color="auto"/>
        <w:left w:val="none" w:sz="0" w:space="0" w:color="auto"/>
        <w:bottom w:val="none" w:sz="0" w:space="0" w:color="auto"/>
        <w:right w:val="none" w:sz="0" w:space="0" w:color="auto"/>
      </w:divBdr>
    </w:div>
    <w:div w:id="1434861693">
      <w:bodyDiv w:val="1"/>
      <w:marLeft w:val="0"/>
      <w:marRight w:val="0"/>
      <w:marTop w:val="0"/>
      <w:marBottom w:val="0"/>
      <w:divBdr>
        <w:top w:val="none" w:sz="0" w:space="0" w:color="auto"/>
        <w:left w:val="none" w:sz="0" w:space="0" w:color="auto"/>
        <w:bottom w:val="none" w:sz="0" w:space="0" w:color="auto"/>
        <w:right w:val="none" w:sz="0" w:space="0" w:color="auto"/>
      </w:divBdr>
    </w:div>
    <w:div w:id="1443959269">
      <w:bodyDiv w:val="1"/>
      <w:marLeft w:val="0"/>
      <w:marRight w:val="0"/>
      <w:marTop w:val="0"/>
      <w:marBottom w:val="0"/>
      <w:divBdr>
        <w:top w:val="none" w:sz="0" w:space="0" w:color="auto"/>
        <w:left w:val="none" w:sz="0" w:space="0" w:color="auto"/>
        <w:bottom w:val="none" w:sz="0" w:space="0" w:color="auto"/>
        <w:right w:val="none" w:sz="0" w:space="0" w:color="auto"/>
      </w:divBdr>
    </w:div>
    <w:div w:id="1453476615">
      <w:bodyDiv w:val="1"/>
      <w:marLeft w:val="0"/>
      <w:marRight w:val="0"/>
      <w:marTop w:val="0"/>
      <w:marBottom w:val="0"/>
      <w:divBdr>
        <w:top w:val="none" w:sz="0" w:space="0" w:color="auto"/>
        <w:left w:val="none" w:sz="0" w:space="0" w:color="auto"/>
        <w:bottom w:val="none" w:sz="0" w:space="0" w:color="auto"/>
        <w:right w:val="none" w:sz="0" w:space="0" w:color="auto"/>
      </w:divBdr>
    </w:div>
    <w:div w:id="1457597630">
      <w:bodyDiv w:val="1"/>
      <w:marLeft w:val="0"/>
      <w:marRight w:val="0"/>
      <w:marTop w:val="0"/>
      <w:marBottom w:val="0"/>
      <w:divBdr>
        <w:top w:val="none" w:sz="0" w:space="0" w:color="auto"/>
        <w:left w:val="none" w:sz="0" w:space="0" w:color="auto"/>
        <w:bottom w:val="none" w:sz="0" w:space="0" w:color="auto"/>
        <w:right w:val="none" w:sz="0" w:space="0" w:color="auto"/>
      </w:divBdr>
    </w:div>
    <w:div w:id="1522666843">
      <w:bodyDiv w:val="1"/>
      <w:marLeft w:val="0"/>
      <w:marRight w:val="0"/>
      <w:marTop w:val="0"/>
      <w:marBottom w:val="0"/>
      <w:divBdr>
        <w:top w:val="none" w:sz="0" w:space="0" w:color="auto"/>
        <w:left w:val="none" w:sz="0" w:space="0" w:color="auto"/>
        <w:bottom w:val="none" w:sz="0" w:space="0" w:color="auto"/>
        <w:right w:val="none" w:sz="0" w:space="0" w:color="auto"/>
      </w:divBdr>
    </w:div>
    <w:div w:id="1540047446">
      <w:bodyDiv w:val="1"/>
      <w:marLeft w:val="0"/>
      <w:marRight w:val="0"/>
      <w:marTop w:val="0"/>
      <w:marBottom w:val="0"/>
      <w:divBdr>
        <w:top w:val="none" w:sz="0" w:space="0" w:color="auto"/>
        <w:left w:val="none" w:sz="0" w:space="0" w:color="auto"/>
        <w:bottom w:val="none" w:sz="0" w:space="0" w:color="auto"/>
        <w:right w:val="none" w:sz="0" w:space="0" w:color="auto"/>
      </w:divBdr>
    </w:div>
    <w:div w:id="1544292197">
      <w:bodyDiv w:val="1"/>
      <w:marLeft w:val="0"/>
      <w:marRight w:val="0"/>
      <w:marTop w:val="0"/>
      <w:marBottom w:val="0"/>
      <w:divBdr>
        <w:top w:val="none" w:sz="0" w:space="0" w:color="auto"/>
        <w:left w:val="none" w:sz="0" w:space="0" w:color="auto"/>
        <w:bottom w:val="none" w:sz="0" w:space="0" w:color="auto"/>
        <w:right w:val="none" w:sz="0" w:space="0" w:color="auto"/>
      </w:divBdr>
    </w:div>
    <w:div w:id="1548566820">
      <w:bodyDiv w:val="1"/>
      <w:marLeft w:val="0"/>
      <w:marRight w:val="0"/>
      <w:marTop w:val="0"/>
      <w:marBottom w:val="0"/>
      <w:divBdr>
        <w:top w:val="none" w:sz="0" w:space="0" w:color="auto"/>
        <w:left w:val="none" w:sz="0" w:space="0" w:color="auto"/>
        <w:bottom w:val="none" w:sz="0" w:space="0" w:color="auto"/>
        <w:right w:val="none" w:sz="0" w:space="0" w:color="auto"/>
      </w:divBdr>
    </w:div>
    <w:div w:id="1592928644">
      <w:bodyDiv w:val="1"/>
      <w:marLeft w:val="0"/>
      <w:marRight w:val="0"/>
      <w:marTop w:val="0"/>
      <w:marBottom w:val="0"/>
      <w:divBdr>
        <w:top w:val="none" w:sz="0" w:space="0" w:color="auto"/>
        <w:left w:val="none" w:sz="0" w:space="0" w:color="auto"/>
        <w:bottom w:val="none" w:sz="0" w:space="0" w:color="auto"/>
        <w:right w:val="none" w:sz="0" w:space="0" w:color="auto"/>
      </w:divBdr>
    </w:div>
    <w:div w:id="1601330276">
      <w:bodyDiv w:val="1"/>
      <w:marLeft w:val="0"/>
      <w:marRight w:val="0"/>
      <w:marTop w:val="0"/>
      <w:marBottom w:val="0"/>
      <w:divBdr>
        <w:top w:val="none" w:sz="0" w:space="0" w:color="auto"/>
        <w:left w:val="none" w:sz="0" w:space="0" w:color="auto"/>
        <w:bottom w:val="none" w:sz="0" w:space="0" w:color="auto"/>
        <w:right w:val="none" w:sz="0" w:space="0" w:color="auto"/>
      </w:divBdr>
    </w:div>
    <w:div w:id="1606963967">
      <w:bodyDiv w:val="1"/>
      <w:marLeft w:val="0"/>
      <w:marRight w:val="0"/>
      <w:marTop w:val="0"/>
      <w:marBottom w:val="0"/>
      <w:divBdr>
        <w:top w:val="none" w:sz="0" w:space="0" w:color="auto"/>
        <w:left w:val="none" w:sz="0" w:space="0" w:color="auto"/>
        <w:bottom w:val="none" w:sz="0" w:space="0" w:color="auto"/>
        <w:right w:val="none" w:sz="0" w:space="0" w:color="auto"/>
      </w:divBdr>
      <w:divsChild>
        <w:div w:id="1312325528">
          <w:marLeft w:val="640"/>
          <w:marRight w:val="0"/>
          <w:marTop w:val="0"/>
          <w:marBottom w:val="0"/>
          <w:divBdr>
            <w:top w:val="none" w:sz="0" w:space="0" w:color="auto"/>
            <w:left w:val="none" w:sz="0" w:space="0" w:color="auto"/>
            <w:bottom w:val="none" w:sz="0" w:space="0" w:color="auto"/>
            <w:right w:val="none" w:sz="0" w:space="0" w:color="auto"/>
          </w:divBdr>
        </w:div>
        <w:div w:id="855579339">
          <w:marLeft w:val="640"/>
          <w:marRight w:val="0"/>
          <w:marTop w:val="0"/>
          <w:marBottom w:val="0"/>
          <w:divBdr>
            <w:top w:val="none" w:sz="0" w:space="0" w:color="auto"/>
            <w:left w:val="none" w:sz="0" w:space="0" w:color="auto"/>
            <w:bottom w:val="none" w:sz="0" w:space="0" w:color="auto"/>
            <w:right w:val="none" w:sz="0" w:space="0" w:color="auto"/>
          </w:divBdr>
        </w:div>
        <w:div w:id="1136020640">
          <w:marLeft w:val="640"/>
          <w:marRight w:val="0"/>
          <w:marTop w:val="0"/>
          <w:marBottom w:val="0"/>
          <w:divBdr>
            <w:top w:val="none" w:sz="0" w:space="0" w:color="auto"/>
            <w:left w:val="none" w:sz="0" w:space="0" w:color="auto"/>
            <w:bottom w:val="none" w:sz="0" w:space="0" w:color="auto"/>
            <w:right w:val="none" w:sz="0" w:space="0" w:color="auto"/>
          </w:divBdr>
        </w:div>
        <w:div w:id="1782842192">
          <w:marLeft w:val="640"/>
          <w:marRight w:val="0"/>
          <w:marTop w:val="0"/>
          <w:marBottom w:val="0"/>
          <w:divBdr>
            <w:top w:val="none" w:sz="0" w:space="0" w:color="auto"/>
            <w:left w:val="none" w:sz="0" w:space="0" w:color="auto"/>
            <w:bottom w:val="none" w:sz="0" w:space="0" w:color="auto"/>
            <w:right w:val="none" w:sz="0" w:space="0" w:color="auto"/>
          </w:divBdr>
        </w:div>
        <w:div w:id="1193764820">
          <w:marLeft w:val="640"/>
          <w:marRight w:val="0"/>
          <w:marTop w:val="0"/>
          <w:marBottom w:val="0"/>
          <w:divBdr>
            <w:top w:val="none" w:sz="0" w:space="0" w:color="auto"/>
            <w:left w:val="none" w:sz="0" w:space="0" w:color="auto"/>
            <w:bottom w:val="none" w:sz="0" w:space="0" w:color="auto"/>
            <w:right w:val="none" w:sz="0" w:space="0" w:color="auto"/>
          </w:divBdr>
        </w:div>
        <w:div w:id="535584476">
          <w:marLeft w:val="640"/>
          <w:marRight w:val="0"/>
          <w:marTop w:val="0"/>
          <w:marBottom w:val="0"/>
          <w:divBdr>
            <w:top w:val="none" w:sz="0" w:space="0" w:color="auto"/>
            <w:left w:val="none" w:sz="0" w:space="0" w:color="auto"/>
            <w:bottom w:val="none" w:sz="0" w:space="0" w:color="auto"/>
            <w:right w:val="none" w:sz="0" w:space="0" w:color="auto"/>
          </w:divBdr>
        </w:div>
        <w:div w:id="2084595584">
          <w:marLeft w:val="640"/>
          <w:marRight w:val="0"/>
          <w:marTop w:val="0"/>
          <w:marBottom w:val="0"/>
          <w:divBdr>
            <w:top w:val="none" w:sz="0" w:space="0" w:color="auto"/>
            <w:left w:val="none" w:sz="0" w:space="0" w:color="auto"/>
            <w:bottom w:val="none" w:sz="0" w:space="0" w:color="auto"/>
            <w:right w:val="none" w:sz="0" w:space="0" w:color="auto"/>
          </w:divBdr>
        </w:div>
        <w:div w:id="344132580">
          <w:marLeft w:val="640"/>
          <w:marRight w:val="0"/>
          <w:marTop w:val="0"/>
          <w:marBottom w:val="0"/>
          <w:divBdr>
            <w:top w:val="none" w:sz="0" w:space="0" w:color="auto"/>
            <w:left w:val="none" w:sz="0" w:space="0" w:color="auto"/>
            <w:bottom w:val="none" w:sz="0" w:space="0" w:color="auto"/>
            <w:right w:val="none" w:sz="0" w:space="0" w:color="auto"/>
          </w:divBdr>
        </w:div>
        <w:div w:id="1083988047">
          <w:marLeft w:val="640"/>
          <w:marRight w:val="0"/>
          <w:marTop w:val="0"/>
          <w:marBottom w:val="0"/>
          <w:divBdr>
            <w:top w:val="none" w:sz="0" w:space="0" w:color="auto"/>
            <w:left w:val="none" w:sz="0" w:space="0" w:color="auto"/>
            <w:bottom w:val="none" w:sz="0" w:space="0" w:color="auto"/>
            <w:right w:val="none" w:sz="0" w:space="0" w:color="auto"/>
          </w:divBdr>
        </w:div>
        <w:div w:id="1534073230">
          <w:marLeft w:val="640"/>
          <w:marRight w:val="0"/>
          <w:marTop w:val="0"/>
          <w:marBottom w:val="0"/>
          <w:divBdr>
            <w:top w:val="none" w:sz="0" w:space="0" w:color="auto"/>
            <w:left w:val="none" w:sz="0" w:space="0" w:color="auto"/>
            <w:bottom w:val="none" w:sz="0" w:space="0" w:color="auto"/>
            <w:right w:val="none" w:sz="0" w:space="0" w:color="auto"/>
          </w:divBdr>
        </w:div>
        <w:div w:id="584076858">
          <w:marLeft w:val="640"/>
          <w:marRight w:val="0"/>
          <w:marTop w:val="0"/>
          <w:marBottom w:val="0"/>
          <w:divBdr>
            <w:top w:val="none" w:sz="0" w:space="0" w:color="auto"/>
            <w:left w:val="none" w:sz="0" w:space="0" w:color="auto"/>
            <w:bottom w:val="none" w:sz="0" w:space="0" w:color="auto"/>
            <w:right w:val="none" w:sz="0" w:space="0" w:color="auto"/>
          </w:divBdr>
        </w:div>
        <w:div w:id="132329634">
          <w:marLeft w:val="640"/>
          <w:marRight w:val="0"/>
          <w:marTop w:val="0"/>
          <w:marBottom w:val="0"/>
          <w:divBdr>
            <w:top w:val="none" w:sz="0" w:space="0" w:color="auto"/>
            <w:left w:val="none" w:sz="0" w:space="0" w:color="auto"/>
            <w:bottom w:val="none" w:sz="0" w:space="0" w:color="auto"/>
            <w:right w:val="none" w:sz="0" w:space="0" w:color="auto"/>
          </w:divBdr>
        </w:div>
        <w:div w:id="1010521511">
          <w:marLeft w:val="640"/>
          <w:marRight w:val="0"/>
          <w:marTop w:val="0"/>
          <w:marBottom w:val="0"/>
          <w:divBdr>
            <w:top w:val="none" w:sz="0" w:space="0" w:color="auto"/>
            <w:left w:val="none" w:sz="0" w:space="0" w:color="auto"/>
            <w:bottom w:val="none" w:sz="0" w:space="0" w:color="auto"/>
            <w:right w:val="none" w:sz="0" w:space="0" w:color="auto"/>
          </w:divBdr>
        </w:div>
        <w:div w:id="1430278158">
          <w:marLeft w:val="640"/>
          <w:marRight w:val="0"/>
          <w:marTop w:val="0"/>
          <w:marBottom w:val="0"/>
          <w:divBdr>
            <w:top w:val="none" w:sz="0" w:space="0" w:color="auto"/>
            <w:left w:val="none" w:sz="0" w:space="0" w:color="auto"/>
            <w:bottom w:val="none" w:sz="0" w:space="0" w:color="auto"/>
            <w:right w:val="none" w:sz="0" w:space="0" w:color="auto"/>
          </w:divBdr>
        </w:div>
        <w:div w:id="1213271579">
          <w:marLeft w:val="640"/>
          <w:marRight w:val="0"/>
          <w:marTop w:val="0"/>
          <w:marBottom w:val="0"/>
          <w:divBdr>
            <w:top w:val="none" w:sz="0" w:space="0" w:color="auto"/>
            <w:left w:val="none" w:sz="0" w:space="0" w:color="auto"/>
            <w:bottom w:val="none" w:sz="0" w:space="0" w:color="auto"/>
            <w:right w:val="none" w:sz="0" w:space="0" w:color="auto"/>
          </w:divBdr>
        </w:div>
        <w:div w:id="2083288207">
          <w:marLeft w:val="640"/>
          <w:marRight w:val="0"/>
          <w:marTop w:val="0"/>
          <w:marBottom w:val="0"/>
          <w:divBdr>
            <w:top w:val="none" w:sz="0" w:space="0" w:color="auto"/>
            <w:left w:val="none" w:sz="0" w:space="0" w:color="auto"/>
            <w:bottom w:val="none" w:sz="0" w:space="0" w:color="auto"/>
            <w:right w:val="none" w:sz="0" w:space="0" w:color="auto"/>
          </w:divBdr>
        </w:div>
        <w:div w:id="1442920652">
          <w:marLeft w:val="640"/>
          <w:marRight w:val="0"/>
          <w:marTop w:val="0"/>
          <w:marBottom w:val="0"/>
          <w:divBdr>
            <w:top w:val="none" w:sz="0" w:space="0" w:color="auto"/>
            <w:left w:val="none" w:sz="0" w:space="0" w:color="auto"/>
            <w:bottom w:val="none" w:sz="0" w:space="0" w:color="auto"/>
            <w:right w:val="none" w:sz="0" w:space="0" w:color="auto"/>
          </w:divBdr>
        </w:div>
        <w:div w:id="1734308987">
          <w:marLeft w:val="640"/>
          <w:marRight w:val="0"/>
          <w:marTop w:val="0"/>
          <w:marBottom w:val="0"/>
          <w:divBdr>
            <w:top w:val="none" w:sz="0" w:space="0" w:color="auto"/>
            <w:left w:val="none" w:sz="0" w:space="0" w:color="auto"/>
            <w:bottom w:val="none" w:sz="0" w:space="0" w:color="auto"/>
            <w:right w:val="none" w:sz="0" w:space="0" w:color="auto"/>
          </w:divBdr>
        </w:div>
        <w:div w:id="1790661764">
          <w:marLeft w:val="640"/>
          <w:marRight w:val="0"/>
          <w:marTop w:val="0"/>
          <w:marBottom w:val="0"/>
          <w:divBdr>
            <w:top w:val="none" w:sz="0" w:space="0" w:color="auto"/>
            <w:left w:val="none" w:sz="0" w:space="0" w:color="auto"/>
            <w:bottom w:val="none" w:sz="0" w:space="0" w:color="auto"/>
            <w:right w:val="none" w:sz="0" w:space="0" w:color="auto"/>
          </w:divBdr>
        </w:div>
        <w:div w:id="711882118">
          <w:marLeft w:val="640"/>
          <w:marRight w:val="0"/>
          <w:marTop w:val="0"/>
          <w:marBottom w:val="0"/>
          <w:divBdr>
            <w:top w:val="none" w:sz="0" w:space="0" w:color="auto"/>
            <w:left w:val="none" w:sz="0" w:space="0" w:color="auto"/>
            <w:bottom w:val="none" w:sz="0" w:space="0" w:color="auto"/>
            <w:right w:val="none" w:sz="0" w:space="0" w:color="auto"/>
          </w:divBdr>
        </w:div>
        <w:div w:id="1518230252">
          <w:marLeft w:val="640"/>
          <w:marRight w:val="0"/>
          <w:marTop w:val="0"/>
          <w:marBottom w:val="0"/>
          <w:divBdr>
            <w:top w:val="none" w:sz="0" w:space="0" w:color="auto"/>
            <w:left w:val="none" w:sz="0" w:space="0" w:color="auto"/>
            <w:bottom w:val="none" w:sz="0" w:space="0" w:color="auto"/>
            <w:right w:val="none" w:sz="0" w:space="0" w:color="auto"/>
          </w:divBdr>
        </w:div>
        <w:div w:id="1677727564">
          <w:marLeft w:val="640"/>
          <w:marRight w:val="0"/>
          <w:marTop w:val="0"/>
          <w:marBottom w:val="0"/>
          <w:divBdr>
            <w:top w:val="none" w:sz="0" w:space="0" w:color="auto"/>
            <w:left w:val="none" w:sz="0" w:space="0" w:color="auto"/>
            <w:bottom w:val="none" w:sz="0" w:space="0" w:color="auto"/>
            <w:right w:val="none" w:sz="0" w:space="0" w:color="auto"/>
          </w:divBdr>
        </w:div>
        <w:div w:id="333649415">
          <w:marLeft w:val="640"/>
          <w:marRight w:val="0"/>
          <w:marTop w:val="0"/>
          <w:marBottom w:val="0"/>
          <w:divBdr>
            <w:top w:val="none" w:sz="0" w:space="0" w:color="auto"/>
            <w:left w:val="none" w:sz="0" w:space="0" w:color="auto"/>
            <w:bottom w:val="none" w:sz="0" w:space="0" w:color="auto"/>
            <w:right w:val="none" w:sz="0" w:space="0" w:color="auto"/>
          </w:divBdr>
        </w:div>
      </w:divsChild>
    </w:div>
    <w:div w:id="1668091772">
      <w:bodyDiv w:val="1"/>
      <w:marLeft w:val="0"/>
      <w:marRight w:val="0"/>
      <w:marTop w:val="0"/>
      <w:marBottom w:val="0"/>
      <w:divBdr>
        <w:top w:val="none" w:sz="0" w:space="0" w:color="auto"/>
        <w:left w:val="none" w:sz="0" w:space="0" w:color="auto"/>
        <w:bottom w:val="none" w:sz="0" w:space="0" w:color="auto"/>
        <w:right w:val="none" w:sz="0" w:space="0" w:color="auto"/>
      </w:divBdr>
      <w:divsChild>
        <w:div w:id="84570019">
          <w:marLeft w:val="0"/>
          <w:marRight w:val="0"/>
          <w:marTop w:val="0"/>
          <w:marBottom w:val="0"/>
          <w:divBdr>
            <w:top w:val="none" w:sz="0" w:space="0" w:color="auto"/>
            <w:left w:val="none" w:sz="0" w:space="0" w:color="auto"/>
            <w:bottom w:val="none" w:sz="0" w:space="0" w:color="auto"/>
            <w:right w:val="none" w:sz="0" w:space="0" w:color="auto"/>
          </w:divBdr>
          <w:divsChild>
            <w:div w:id="1514761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132831">
      <w:bodyDiv w:val="1"/>
      <w:marLeft w:val="0"/>
      <w:marRight w:val="0"/>
      <w:marTop w:val="0"/>
      <w:marBottom w:val="0"/>
      <w:divBdr>
        <w:top w:val="none" w:sz="0" w:space="0" w:color="auto"/>
        <w:left w:val="none" w:sz="0" w:space="0" w:color="auto"/>
        <w:bottom w:val="none" w:sz="0" w:space="0" w:color="auto"/>
        <w:right w:val="none" w:sz="0" w:space="0" w:color="auto"/>
      </w:divBdr>
    </w:div>
    <w:div w:id="1691371532">
      <w:bodyDiv w:val="1"/>
      <w:marLeft w:val="0"/>
      <w:marRight w:val="0"/>
      <w:marTop w:val="0"/>
      <w:marBottom w:val="0"/>
      <w:divBdr>
        <w:top w:val="none" w:sz="0" w:space="0" w:color="auto"/>
        <w:left w:val="none" w:sz="0" w:space="0" w:color="auto"/>
        <w:bottom w:val="none" w:sz="0" w:space="0" w:color="auto"/>
        <w:right w:val="none" w:sz="0" w:space="0" w:color="auto"/>
      </w:divBdr>
      <w:divsChild>
        <w:div w:id="1071540264">
          <w:marLeft w:val="640"/>
          <w:marRight w:val="0"/>
          <w:marTop w:val="0"/>
          <w:marBottom w:val="0"/>
          <w:divBdr>
            <w:top w:val="none" w:sz="0" w:space="0" w:color="auto"/>
            <w:left w:val="none" w:sz="0" w:space="0" w:color="auto"/>
            <w:bottom w:val="none" w:sz="0" w:space="0" w:color="auto"/>
            <w:right w:val="none" w:sz="0" w:space="0" w:color="auto"/>
          </w:divBdr>
        </w:div>
        <w:div w:id="1834056067">
          <w:marLeft w:val="640"/>
          <w:marRight w:val="0"/>
          <w:marTop w:val="0"/>
          <w:marBottom w:val="0"/>
          <w:divBdr>
            <w:top w:val="none" w:sz="0" w:space="0" w:color="auto"/>
            <w:left w:val="none" w:sz="0" w:space="0" w:color="auto"/>
            <w:bottom w:val="none" w:sz="0" w:space="0" w:color="auto"/>
            <w:right w:val="none" w:sz="0" w:space="0" w:color="auto"/>
          </w:divBdr>
        </w:div>
        <w:div w:id="1117866696">
          <w:marLeft w:val="640"/>
          <w:marRight w:val="0"/>
          <w:marTop w:val="0"/>
          <w:marBottom w:val="0"/>
          <w:divBdr>
            <w:top w:val="none" w:sz="0" w:space="0" w:color="auto"/>
            <w:left w:val="none" w:sz="0" w:space="0" w:color="auto"/>
            <w:bottom w:val="none" w:sz="0" w:space="0" w:color="auto"/>
            <w:right w:val="none" w:sz="0" w:space="0" w:color="auto"/>
          </w:divBdr>
        </w:div>
        <w:div w:id="1260331226">
          <w:marLeft w:val="640"/>
          <w:marRight w:val="0"/>
          <w:marTop w:val="0"/>
          <w:marBottom w:val="0"/>
          <w:divBdr>
            <w:top w:val="none" w:sz="0" w:space="0" w:color="auto"/>
            <w:left w:val="none" w:sz="0" w:space="0" w:color="auto"/>
            <w:bottom w:val="none" w:sz="0" w:space="0" w:color="auto"/>
            <w:right w:val="none" w:sz="0" w:space="0" w:color="auto"/>
          </w:divBdr>
        </w:div>
        <w:div w:id="1749956808">
          <w:marLeft w:val="640"/>
          <w:marRight w:val="0"/>
          <w:marTop w:val="0"/>
          <w:marBottom w:val="0"/>
          <w:divBdr>
            <w:top w:val="none" w:sz="0" w:space="0" w:color="auto"/>
            <w:left w:val="none" w:sz="0" w:space="0" w:color="auto"/>
            <w:bottom w:val="none" w:sz="0" w:space="0" w:color="auto"/>
            <w:right w:val="none" w:sz="0" w:space="0" w:color="auto"/>
          </w:divBdr>
        </w:div>
        <w:div w:id="101149482">
          <w:marLeft w:val="640"/>
          <w:marRight w:val="0"/>
          <w:marTop w:val="0"/>
          <w:marBottom w:val="0"/>
          <w:divBdr>
            <w:top w:val="none" w:sz="0" w:space="0" w:color="auto"/>
            <w:left w:val="none" w:sz="0" w:space="0" w:color="auto"/>
            <w:bottom w:val="none" w:sz="0" w:space="0" w:color="auto"/>
            <w:right w:val="none" w:sz="0" w:space="0" w:color="auto"/>
          </w:divBdr>
        </w:div>
        <w:div w:id="943346874">
          <w:marLeft w:val="640"/>
          <w:marRight w:val="0"/>
          <w:marTop w:val="0"/>
          <w:marBottom w:val="0"/>
          <w:divBdr>
            <w:top w:val="none" w:sz="0" w:space="0" w:color="auto"/>
            <w:left w:val="none" w:sz="0" w:space="0" w:color="auto"/>
            <w:bottom w:val="none" w:sz="0" w:space="0" w:color="auto"/>
            <w:right w:val="none" w:sz="0" w:space="0" w:color="auto"/>
          </w:divBdr>
        </w:div>
        <w:div w:id="1601598538">
          <w:marLeft w:val="640"/>
          <w:marRight w:val="0"/>
          <w:marTop w:val="0"/>
          <w:marBottom w:val="0"/>
          <w:divBdr>
            <w:top w:val="none" w:sz="0" w:space="0" w:color="auto"/>
            <w:left w:val="none" w:sz="0" w:space="0" w:color="auto"/>
            <w:bottom w:val="none" w:sz="0" w:space="0" w:color="auto"/>
            <w:right w:val="none" w:sz="0" w:space="0" w:color="auto"/>
          </w:divBdr>
        </w:div>
        <w:div w:id="235673596">
          <w:marLeft w:val="640"/>
          <w:marRight w:val="0"/>
          <w:marTop w:val="0"/>
          <w:marBottom w:val="0"/>
          <w:divBdr>
            <w:top w:val="none" w:sz="0" w:space="0" w:color="auto"/>
            <w:left w:val="none" w:sz="0" w:space="0" w:color="auto"/>
            <w:bottom w:val="none" w:sz="0" w:space="0" w:color="auto"/>
            <w:right w:val="none" w:sz="0" w:space="0" w:color="auto"/>
          </w:divBdr>
        </w:div>
        <w:div w:id="632248043">
          <w:marLeft w:val="640"/>
          <w:marRight w:val="0"/>
          <w:marTop w:val="0"/>
          <w:marBottom w:val="0"/>
          <w:divBdr>
            <w:top w:val="none" w:sz="0" w:space="0" w:color="auto"/>
            <w:left w:val="none" w:sz="0" w:space="0" w:color="auto"/>
            <w:bottom w:val="none" w:sz="0" w:space="0" w:color="auto"/>
            <w:right w:val="none" w:sz="0" w:space="0" w:color="auto"/>
          </w:divBdr>
        </w:div>
        <w:div w:id="1145856787">
          <w:marLeft w:val="640"/>
          <w:marRight w:val="0"/>
          <w:marTop w:val="0"/>
          <w:marBottom w:val="0"/>
          <w:divBdr>
            <w:top w:val="none" w:sz="0" w:space="0" w:color="auto"/>
            <w:left w:val="none" w:sz="0" w:space="0" w:color="auto"/>
            <w:bottom w:val="none" w:sz="0" w:space="0" w:color="auto"/>
            <w:right w:val="none" w:sz="0" w:space="0" w:color="auto"/>
          </w:divBdr>
        </w:div>
        <w:div w:id="1465809981">
          <w:marLeft w:val="640"/>
          <w:marRight w:val="0"/>
          <w:marTop w:val="0"/>
          <w:marBottom w:val="0"/>
          <w:divBdr>
            <w:top w:val="none" w:sz="0" w:space="0" w:color="auto"/>
            <w:left w:val="none" w:sz="0" w:space="0" w:color="auto"/>
            <w:bottom w:val="none" w:sz="0" w:space="0" w:color="auto"/>
            <w:right w:val="none" w:sz="0" w:space="0" w:color="auto"/>
          </w:divBdr>
        </w:div>
        <w:div w:id="2028287637">
          <w:marLeft w:val="640"/>
          <w:marRight w:val="0"/>
          <w:marTop w:val="0"/>
          <w:marBottom w:val="0"/>
          <w:divBdr>
            <w:top w:val="none" w:sz="0" w:space="0" w:color="auto"/>
            <w:left w:val="none" w:sz="0" w:space="0" w:color="auto"/>
            <w:bottom w:val="none" w:sz="0" w:space="0" w:color="auto"/>
            <w:right w:val="none" w:sz="0" w:space="0" w:color="auto"/>
          </w:divBdr>
        </w:div>
        <w:div w:id="1557086622">
          <w:marLeft w:val="640"/>
          <w:marRight w:val="0"/>
          <w:marTop w:val="0"/>
          <w:marBottom w:val="0"/>
          <w:divBdr>
            <w:top w:val="none" w:sz="0" w:space="0" w:color="auto"/>
            <w:left w:val="none" w:sz="0" w:space="0" w:color="auto"/>
            <w:bottom w:val="none" w:sz="0" w:space="0" w:color="auto"/>
            <w:right w:val="none" w:sz="0" w:space="0" w:color="auto"/>
          </w:divBdr>
        </w:div>
        <w:div w:id="387074092">
          <w:marLeft w:val="640"/>
          <w:marRight w:val="0"/>
          <w:marTop w:val="0"/>
          <w:marBottom w:val="0"/>
          <w:divBdr>
            <w:top w:val="none" w:sz="0" w:space="0" w:color="auto"/>
            <w:left w:val="none" w:sz="0" w:space="0" w:color="auto"/>
            <w:bottom w:val="none" w:sz="0" w:space="0" w:color="auto"/>
            <w:right w:val="none" w:sz="0" w:space="0" w:color="auto"/>
          </w:divBdr>
        </w:div>
        <w:div w:id="1679037556">
          <w:marLeft w:val="640"/>
          <w:marRight w:val="0"/>
          <w:marTop w:val="0"/>
          <w:marBottom w:val="0"/>
          <w:divBdr>
            <w:top w:val="none" w:sz="0" w:space="0" w:color="auto"/>
            <w:left w:val="none" w:sz="0" w:space="0" w:color="auto"/>
            <w:bottom w:val="none" w:sz="0" w:space="0" w:color="auto"/>
            <w:right w:val="none" w:sz="0" w:space="0" w:color="auto"/>
          </w:divBdr>
        </w:div>
        <w:div w:id="248202713">
          <w:marLeft w:val="640"/>
          <w:marRight w:val="0"/>
          <w:marTop w:val="0"/>
          <w:marBottom w:val="0"/>
          <w:divBdr>
            <w:top w:val="none" w:sz="0" w:space="0" w:color="auto"/>
            <w:left w:val="none" w:sz="0" w:space="0" w:color="auto"/>
            <w:bottom w:val="none" w:sz="0" w:space="0" w:color="auto"/>
            <w:right w:val="none" w:sz="0" w:space="0" w:color="auto"/>
          </w:divBdr>
        </w:div>
        <w:div w:id="1775975074">
          <w:marLeft w:val="640"/>
          <w:marRight w:val="0"/>
          <w:marTop w:val="0"/>
          <w:marBottom w:val="0"/>
          <w:divBdr>
            <w:top w:val="none" w:sz="0" w:space="0" w:color="auto"/>
            <w:left w:val="none" w:sz="0" w:space="0" w:color="auto"/>
            <w:bottom w:val="none" w:sz="0" w:space="0" w:color="auto"/>
            <w:right w:val="none" w:sz="0" w:space="0" w:color="auto"/>
          </w:divBdr>
        </w:div>
        <w:div w:id="1912545037">
          <w:marLeft w:val="640"/>
          <w:marRight w:val="0"/>
          <w:marTop w:val="0"/>
          <w:marBottom w:val="0"/>
          <w:divBdr>
            <w:top w:val="none" w:sz="0" w:space="0" w:color="auto"/>
            <w:left w:val="none" w:sz="0" w:space="0" w:color="auto"/>
            <w:bottom w:val="none" w:sz="0" w:space="0" w:color="auto"/>
            <w:right w:val="none" w:sz="0" w:space="0" w:color="auto"/>
          </w:divBdr>
        </w:div>
        <w:div w:id="840200993">
          <w:marLeft w:val="640"/>
          <w:marRight w:val="0"/>
          <w:marTop w:val="0"/>
          <w:marBottom w:val="0"/>
          <w:divBdr>
            <w:top w:val="none" w:sz="0" w:space="0" w:color="auto"/>
            <w:left w:val="none" w:sz="0" w:space="0" w:color="auto"/>
            <w:bottom w:val="none" w:sz="0" w:space="0" w:color="auto"/>
            <w:right w:val="none" w:sz="0" w:space="0" w:color="auto"/>
          </w:divBdr>
        </w:div>
        <w:div w:id="733235150">
          <w:marLeft w:val="640"/>
          <w:marRight w:val="0"/>
          <w:marTop w:val="0"/>
          <w:marBottom w:val="0"/>
          <w:divBdr>
            <w:top w:val="none" w:sz="0" w:space="0" w:color="auto"/>
            <w:left w:val="none" w:sz="0" w:space="0" w:color="auto"/>
            <w:bottom w:val="none" w:sz="0" w:space="0" w:color="auto"/>
            <w:right w:val="none" w:sz="0" w:space="0" w:color="auto"/>
          </w:divBdr>
        </w:div>
        <w:div w:id="1487553470">
          <w:marLeft w:val="640"/>
          <w:marRight w:val="0"/>
          <w:marTop w:val="0"/>
          <w:marBottom w:val="0"/>
          <w:divBdr>
            <w:top w:val="none" w:sz="0" w:space="0" w:color="auto"/>
            <w:left w:val="none" w:sz="0" w:space="0" w:color="auto"/>
            <w:bottom w:val="none" w:sz="0" w:space="0" w:color="auto"/>
            <w:right w:val="none" w:sz="0" w:space="0" w:color="auto"/>
          </w:divBdr>
        </w:div>
        <w:div w:id="1399480787">
          <w:marLeft w:val="640"/>
          <w:marRight w:val="0"/>
          <w:marTop w:val="0"/>
          <w:marBottom w:val="0"/>
          <w:divBdr>
            <w:top w:val="none" w:sz="0" w:space="0" w:color="auto"/>
            <w:left w:val="none" w:sz="0" w:space="0" w:color="auto"/>
            <w:bottom w:val="none" w:sz="0" w:space="0" w:color="auto"/>
            <w:right w:val="none" w:sz="0" w:space="0" w:color="auto"/>
          </w:divBdr>
        </w:div>
      </w:divsChild>
    </w:div>
    <w:div w:id="1693259616">
      <w:bodyDiv w:val="1"/>
      <w:marLeft w:val="0"/>
      <w:marRight w:val="0"/>
      <w:marTop w:val="0"/>
      <w:marBottom w:val="0"/>
      <w:divBdr>
        <w:top w:val="none" w:sz="0" w:space="0" w:color="auto"/>
        <w:left w:val="none" w:sz="0" w:space="0" w:color="auto"/>
        <w:bottom w:val="none" w:sz="0" w:space="0" w:color="auto"/>
        <w:right w:val="none" w:sz="0" w:space="0" w:color="auto"/>
      </w:divBdr>
      <w:divsChild>
        <w:div w:id="275064042">
          <w:marLeft w:val="640"/>
          <w:marRight w:val="0"/>
          <w:marTop w:val="0"/>
          <w:marBottom w:val="0"/>
          <w:divBdr>
            <w:top w:val="none" w:sz="0" w:space="0" w:color="auto"/>
            <w:left w:val="none" w:sz="0" w:space="0" w:color="auto"/>
            <w:bottom w:val="none" w:sz="0" w:space="0" w:color="auto"/>
            <w:right w:val="none" w:sz="0" w:space="0" w:color="auto"/>
          </w:divBdr>
        </w:div>
        <w:div w:id="716048761">
          <w:marLeft w:val="640"/>
          <w:marRight w:val="0"/>
          <w:marTop w:val="0"/>
          <w:marBottom w:val="0"/>
          <w:divBdr>
            <w:top w:val="none" w:sz="0" w:space="0" w:color="auto"/>
            <w:left w:val="none" w:sz="0" w:space="0" w:color="auto"/>
            <w:bottom w:val="none" w:sz="0" w:space="0" w:color="auto"/>
            <w:right w:val="none" w:sz="0" w:space="0" w:color="auto"/>
          </w:divBdr>
        </w:div>
        <w:div w:id="1879659592">
          <w:marLeft w:val="640"/>
          <w:marRight w:val="0"/>
          <w:marTop w:val="0"/>
          <w:marBottom w:val="0"/>
          <w:divBdr>
            <w:top w:val="none" w:sz="0" w:space="0" w:color="auto"/>
            <w:left w:val="none" w:sz="0" w:space="0" w:color="auto"/>
            <w:bottom w:val="none" w:sz="0" w:space="0" w:color="auto"/>
            <w:right w:val="none" w:sz="0" w:space="0" w:color="auto"/>
          </w:divBdr>
        </w:div>
        <w:div w:id="2072732865">
          <w:marLeft w:val="640"/>
          <w:marRight w:val="0"/>
          <w:marTop w:val="0"/>
          <w:marBottom w:val="0"/>
          <w:divBdr>
            <w:top w:val="none" w:sz="0" w:space="0" w:color="auto"/>
            <w:left w:val="none" w:sz="0" w:space="0" w:color="auto"/>
            <w:bottom w:val="none" w:sz="0" w:space="0" w:color="auto"/>
            <w:right w:val="none" w:sz="0" w:space="0" w:color="auto"/>
          </w:divBdr>
        </w:div>
        <w:div w:id="337118336">
          <w:marLeft w:val="640"/>
          <w:marRight w:val="0"/>
          <w:marTop w:val="0"/>
          <w:marBottom w:val="0"/>
          <w:divBdr>
            <w:top w:val="none" w:sz="0" w:space="0" w:color="auto"/>
            <w:left w:val="none" w:sz="0" w:space="0" w:color="auto"/>
            <w:bottom w:val="none" w:sz="0" w:space="0" w:color="auto"/>
            <w:right w:val="none" w:sz="0" w:space="0" w:color="auto"/>
          </w:divBdr>
        </w:div>
        <w:div w:id="821120575">
          <w:marLeft w:val="640"/>
          <w:marRight w:val="0"/>
          <w:marTop w:val="0"/>
          <w:marBottom w:val="0"/>
          <w:divBdr>
            <w:top w:val="none" w:sz="0" w:space="0" w:color="auto"/>
            <w:left w:val="none" w:sz="0" w:space="0" w:color="auto"/>
            <w:bottom w:val="none" w:sz="0" w:space="0" w:color="auto"/>
            <w:right w:val="none" w:sz="0" w:space="0" w:color="auto"/>
          </w:divBdr>
        </w:div>
        <w:div w:id="1462579112">
          <w:marLeft w:val="640"/>
          <w:marRight w:val="0"/>
          <w:marTop w:val="0"/>
          <w:marBottom w:val="0"/>
          <w:divBdr>
            <w:top w:val="none" w:sz="0" w:space="0" w:color="auto"/>
            <w:left w:val="none" w:sz="0" w:space="0" w:color="auto"/>
            <w:bottom w:val="none" w:sz="0" w:space="0" w:color="auto"/>
            <w:right w:val="none" w:sz="0" w:space="0" w:color="auto"/>
          </w:divBdr>
        </w:div>
        <w:div w:id="889418326">
          <w:marLeft w:val="640"/>
          <w:marRight w:val="0"/>
          <w:marTop w:val="0"/>
          <w:marBottom w:val="0"/>
          <w:divBdr>
            <w:top w:val="none" w:sz="0" w:space="0" w:color="auto"/>
            <w:left w:val="none" w:sz="0" w:space="0" w:color="auto"/>
            <w:bottom w:val="none" w:sz="0" w:space="0" w:color="auto"/>
            <w:right w:val="none" w:sz="0" w:space="0" w:color="auto"/>
          </w:divBdr>
        </w:div>
        <w:div w:id="1154950870">
          <w:marLeft w:val="640"/>
          <w:marRight w:val="0"/>
          <w:marTop w:val="0"/>
          <w:marBottom w:val="0"/>
          <w:divBdr>
            <w:top w:val="none" w:sz="0" w:space="0" w:color="auto"/>
            <w:left w:val="none" w:sz="0" w:space="0" w:color="auto"/>
            <w:bottom w:val="none" w:sz="0" w:space="0" w:color="auto"/>
            <w:right w:val="none" w:sz="0" w:space="0" w:color="auto"/>
          </w:divBdr>
        </w:div>
        <w:div w:id="1967153287">
          <w:marLeft w:val="640"/>
          <w:marRight w:val="0"/>
          <w:marTop w:val="0"/>
          <w:marBottom w:val="0"/>
          <w:divBdr>
            <w:top w:val="none" w:sz="0" w:space="0" w:color="auto"/>
            <w:left w:val="none" w:sz="0" w:space="0" w:color="auto"/>
            <w:bottom w:val="none" w:sz="0" w:space="0" w:color="auto"/>
            <w:right w:val="none" w:sz="0" w:space="0" w:color="auto"/>
          </w:divBdr>
        </w:div>
        <w:div w:id="518084488">
          <w:marLeft w:val="640"/>
          <w:marRight w:val="0"/>
          <w:marTop w:val="0"/>
          <w:marBottom w:val="0"/>
          <w:divBdr>
            <w:top w:val="none" w:sz="0" w:space="0" w:color="auto"/>
            <w:left w:val="none" w:sz="0" w:space="0" w:color="auto"/>
            <w:bottom w:val="none" w:sz="0" w:space="0" w:color="auto"/>
            <w:right w:val="none" w:sz="0" w:space="0" w:color="auto"/>
          </w:divBdr>
        </w:div>
        <w:div w:id="775251969">
          <w:marLeft w:val="640"/>
          <w:marRight w:val="0"/>
          <w:marTop w:val="0"/>
          <w:marBottom w:val="0"/>
          <w:divBdr>
            <w:top w:val="none" w:sz="0" w:space="0" w:color="auto"/>
            <w:left w:val="none" w:sz="0" w:space="0" w:color="auto"/>
            <w:bottom w:val="none" w:sz="0" w:space="0" w:color="auto"/>
            <w:right w:val="none" w:sz="0" w:space="0" w:color="auto"/>
          </w:divBdr>
        </w:div>
        <w:div w:id="189103025">
          <w:marLeft w:val="640"/>
          <w:marRight w:val="0"/>
          <w:marTop w:val="0"/>
          <w:marBottom w:val="0"/>
          <w:divBdr>
            <w:top w:val="none" w:sz="0" w:space="0" w:color="auto"/>
            <w:left w:val="none" w:sz="0" w:space="0" w:color="auto"/>
            <w:bottom w:val="none" w:sz="0" w:space="0" w:color="auto"/>
            <w:right w:val="none" w:sz="0" w:space="0" w:color="auto"/>
          </w:divBdr>
        </w:div>
        <w:div w:id="1535341003">
          <w:marLeft w:val="640"/>
          <w:marRight w:val="0"/>
          <w:marTop w:val="0"/>
          <w:marBottom w:val="0"/>
          <w:divBdr>
            <w:top w:val="none" w:sz="0" w:space="0" w:color="auto"/>
            <w:left w:val="none" w:sz="0" w:space="0" w:color="auto"/>
            <w:bottom w:val="none" w:sz="0" w:space="0" w:color="auto"/>
            <w:right w:val="none" w:sz="0" w:space="0" w:color="auto"/>
          </w:divBdr>
        </w:div>
        <w:div w:id="2067412911">
          <w:marLeft w:val="640"/>
          <w:marRight w:val="0"/>
          <w:marTop w:val="0"/>
          <w:marBottom w:val="0"/>
          <w:divBdr>
            <w:top w:val="none" w:sz="0" w:space="0" w:color="auto"/>
            <w:left w:val="none" w:sz="0" w:space="0" w:color="auto"/>
            <w:bottom w:val="none" w:sz="0" w:space="0" w:color="auto"/>
            <w:right w:val="none" w:sz="0" w:space="0" w:color="auto"/>
          </w:divBdr>
        </w:div>
        <w:div w:id="558052147">
          <w:marLeft w:val="640"/>
          <w:marRight w:val="0"/>
          <w:marTop w:val="0"/>
          <w:marBottom w:val="0"/>
          <w:divBdr>
            <w:top w:val="none" w:sz="0" w:space="0" w:color="auto"/>
            <w:left w:val="none" w:sz="0" w:space="0" w:color="auto"/>
            <w:bottom w:val="none" w:sz="0" w:space="0" w:color="auto"/>
            <w:right w:val="none" w:sz="0" w:space="0" w:color="auto"/>
          </w:divBdr>
        </w:div>
        <w:div w:id="1897352254">
          <w:marLeft w:val="640"/>
          <w:marRight w:val="0"/>
          <w:marTop w:val="0"/>
          <w:marBottom w:val="0"/>
          <w:divBdr>
            <w:top w:val="none" w:sz="0" w:space="0" w:color="auto"/>
            <w:left w:val="none" w:sz="0" w:space="0" w:color="auto"/>
            <w:bottom w:val="none" w:sz="0" w:space="0" w:color="auto"/>
            <w:right w:val="none" w:sz="0" w:space="0" w:color="auto"/>
          </w:divBdr>
        </w:div>
        <w:div w:id="1408306462">
          <w:marLeft w:val="640"/>
          <w:marRight w:val="0"/>
          <w:marTop w:val="0"/>
          <w:marBottom w:val="0"/>
          <w:divBdr>
            <w:top w:val="none" w:sz="0" w:space="0" w:color="auto"/>
            <w:left w:val="none" w:sz="0" w:space="0" w:color="auto"/>
            <w:bottom w:val="none" w:sz="0" w:space="0" w:color="auto"/>
            <w:right w:val="none" w:sz="0" w:space="0" w:color="auto"/>
          </w:divBdr>
        </w:div>
        <w:div w:id="1874732025">
          <w:marLeft w:val="640"/>
          <w:marRight w:val="0"/>
          <w:marTop w:val="0"/>
          <w:marBottom w:val="0"/>
          <w:divBdr>
            <w:top w:val="none" w:sz="0" w:space="0" w:color="auto"/>
            <w:left w:val="none" w:sz="0" w:space="0" w:color="auto"/>
            <w:bottom w:val="none" w:sz="0" w:space="0" w:color="auto"/>
            <w:right w:val="none" w:sz="0" w:space="0" w:color="auto"/>
          </w:divBdr>
        </w:div>
        <w:div w:id="1647128984">
          <w:marLeft w:val="640"/>
          <w:marRight w:val="0"/>
          <w:marTop w:val="0"/>
          <w:marBottom w:val="0"/>
          <w:divBdr>
            <w:top w:val="none" w:sz="0" w:space="0" w:color="auto"/>
            <w:left w:val="none" w:sz="0" w:space="0" w:color="auto"/>
            <w:bottom w:val="none" w:sz="0" w:space="0" w:color="auto"/>
            <w:right w:val="none" w:sz="0" w:space="0" w:color="auto"/>
          </w:divBdr>
        </w:div>
        <w:div w:id="606280306">
          <w:marLeft w:val="640"/>
          <w:marRight w:val="0"/>
          <w:marTop w:val="0"/>
          <w:marBottom w:val="0"/>
          <w:divBdr>
            <w:top w:val="none" w:sz="0" w:space="0" w:color="auto"/>
            <w:left w:val="none" w:sz="0" w:space="0" w:color="auto"/>
            <w:bottom w:val="none" w:sz="0" w:space="0" w:color="auto"/>
            <w:right w:val="none" w:sz="0" w:space="0" w:color="auto"/>
          </w:divBdr>
        </w:div>
        <w:div w:id="444349639">
          <w:marLeft w:val="640"/>
          <w:marRight w:val="0"/>
          <w:marTop w:val="0"/>
          <w:marBottom w:val="0"/>
          <w:divBdr>
            <w:top w:val="none" w:sz="0" w:space="0" w:color="auto"/>
            <w:left w:val="none" w:sz="0" w:space="0" w:color="auto"/>
            <w:bottom w:val="none" w:sz="0" w:space="0" w:color="auto"/>
            <w:right w:val="none" w:sz="0" w:space="0" w:color="auto"/>
          </w:divBdr>
        </w:div>
        <w:div w:id="1891644502">
          <w:marLeft w:val="640"/>
          <w:marRight w:val="0"/>
          <w:marTop w:val="0"/>
          <w:marBottom w:val="0"/>
          <w:divBdr>
            <w:top w:val="none" w:sz="0" w:space="0" w:color="auto"/>
            <w:left w:val="none" w:sz="0" w:space="0" w:color="auto"/>
            <w:bottom w:val="none" w:sz="0" w:space="0" w:color="auto"/>
            <w:right w:val="none" w:sz="0" w:space="0" w:color="auto"/>
          </w:divBdr>
        </w:div>
      </w:divsChild>
    </w:div>
    <w:div w:id="1693647833">
      <w:bodyDiv w:val="1"/>
      <w:marLeft w:val="0"/>
      <w:marRight w:val="0"/>
      <w:marTop w:val="0"/>
      <w:marBottom w:val="0"/>
      <w:divBdr>
        <w:top w:val="none" w:sz="0" w:space="0" w:color="auto"/>
        <w:left w:val="none" w:sz="0" w:space="0" w:color="auto"/>
        <w:bottom w:val="none" w:sz="0" w:space="0" w:color="auto"/>
        <w:right w:val="none" w:sz="0" w:space="0" w:color="auto"/>
      </w:divBdr>
    </w:div>
    <w:div w:id="1693915680">
      <w:bodyDiv w:val="1"/>
      <w:marLeft w:val="0"/>
      <w:marRight w:val="0"/>
      <w:marTop w:val="0"/>
      <w:marBottom w:val="0"/>
      <w:divBdr>
        <w:top w:val="none" w:sz="0" w:space="0" w:color="auto"/>
        <w:left w:val="none" w:sz="0" w:space="0" w:color="auto"/>
        <w:bottom w:val="none" w:sz="0" w:space="0" w:color="auto"/>
        <w:right w:val="none" w:sz="0" w:space="0" w:color="auto"/>
      </w:divBdr>
    </w:div>
    <w:div w:id="1715545655">
      <w:bodyDiv w:val="1"/>
      <w:marLeft w:val="0"/>
      <w:marRight w:val="0"/>
      <w:marTop w:val="0"/>
      <w:marBottom w:val="0"/>
      <w:divBdr>
        <w:top w:val="none" w:sz="0" w:space="0" w:color="auto"/>
        <w:left w:val="none" w:sz="0" w:space="0" w:color="auto"/>
        <w:bottom w:val="none" w:sz="0" w:space="0" w:color="auto"/>
        <w:right w:val="none" w:sz="0" w:space="0" w:color="auto"/>
      </w:divBdr>
    </w:div>
    <w:div w:id="1731951733">
      <w:bodyDiv w:val="1"/>
      <w:marLeft w:val="0"/>
      <w:marRight w:val="0"/>
      <w:marTop w:val="0"/>
      <w:marBottom w:val="0"/>
      <w:divBdr>
        <w:top w:val="none" w:sz="0" w:space="0" w:color="auto"/>
        <w:left w:val="none" w:sz="0" w:space="0" w:color="auto"/>
        <w:bottom w:val="none" w:sz="0" w:space="0" w:color="auto"/>
        <w:right w:val="none" w:sz="0" w:space="0" w:color="auto"/>
      </w:divBdr>
      <w:divsChild>
        <w:div w:id="1546405762">
          <w:marLeft w:val="0"/>
          <w:marRight w:val="0"/>
          <w:marTop w:val="0"/>
          <w:marBottom w:val="0"/>
          <w:divBdr>
            <w:top w:val="none" w:sz="0" w:space="0" w:color="auto"/>
            <w:left w:val="none" w:sz="0" w:space="0" w:color="auto"/>
            <w:bottom w:val="none" w:sz="0" w:space="0" w:color="auto"/>
            <w:right w:val="none" w:sz="0" w:space="0" w:color="auto"/>
          </w:divBdr>
          <w:divsChild>
            <w:div w:id="141095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51170">
      <w:bodyDiv w:val="1"/>
      <w:marLeft w:val="0"/>
      <w:marRight w:val="0"/>
      <w:marTop w:val="0"/>
      <w:marBottom w:val="0"/>
      <w:divBdr>
        <w:top w:val="none" w:sz="0" w:space="0" w:color="auto"/>
        <w:left w:val="none" w:sz="0" w:space="0" w:color="auto"/>
        <w:bottom w:val="none" w:sz="0" w:space="0" w:color="auto"/>
        <w:right w:val="none" w:sz="0" w:space="0" w:color="auto"/>
      </w:divBdr>
    </w:div>
    <w:div w:id="1742563272">
      <w:bodyDiv w:val="1"/>
      <w:marLeft w:val="0"/>
      <w:marRight w:val="0"/>
      <w:marTop w:val="0"/>
      <w:marBottom w:val="0"/>
      <w:divBdr>
        <w:top w:val="none" w:sz="0" w:space="0" w:color="auto"/>
        <w:left w:val="none" w:sz="0" w:space="0" w:color="auto"/>
        <w:bottom w:val="none" w:sz="0" w:space="0" w:color="auto"/>
        <w:right w:val="none" w:sz="0" w:space="0" w:color="auto"/>
      </w:divBdr>
    </w:div>
    <w:div w:id="1745301843">
      <w:bodyDiv w:val="1"/>
      <w:marLeft w:val="0"/>
      <w:marRight w:val="0"/>
      <w:marTop w:val="0"/>
      <w:marBottom w:val="0"/>
      <w:divBdr>
        <w:top w:val="none" w:sz="0" w:space="0" w:color="auto"/>
        <w:left w:val="none" w:sz="0" w:space="0" w:color="auto"/>
        <w:bottom w:val="none" w:sz="0" w:space="0" w:color="auto"/>
        <w:right w:val="none" w:sz="0" w:space="0" w:color="auto"/>
      </w:divBdr>
    </w:div>
    <w:div w:id="1771657885">
      <w:bodyDiv w:val="1"/>
      <w:marLeft w:val="0"/>
      <w:marRight w:val="0"/>
      <w:marTop w:val="0"/>
      <w:marBottom w:val="0"/>
      <w:divBdr>
        <w:top w:val="none" w:sz="0" w:space="0" w:color="auto"/>
        <w:left w:val="none" w:sz="0" w:space="0" w:color="auto"/>
        <w:bottom w:val="none" w:sz="0" w:space="0" w:color="auto"/>
        <w:right w:val="none" w:sz="0" w:space="0" w:color="auto"/>
      </w:divBdr>
    </w:div>
    <w:div w:id="1801528362">
      <w:bodyDiv w:val="1"/>
      <w:marLeft w:val="0"/>
      <w:marRight w:val="0"/>
      <w:marTop w:val="0"/>
      <w:marBottom w:val="0"/>
      <w:divBdr>
        <w:top w:val="none" w:sz="0" w:space="0" w:color="auto"/>
        <w:left w:val="none" w:sz="0" w:space="0" w:color="auto"/>
        <w:bottom w:val="none" w:sz="0" w:space="0" w:color="auto"/>
        <w:right w:val="none" w:sz="0" w:space="0" w:color="auto"/>
      </w:divBdr>
    </w:div>
    <w:div w:id="1820808788">
      <w:bodyDiv w:val="1"/>
      <w:marLeft w:val="0"/>
      <w:marRight w:val="0"/>
      <w:marTop w:val="0"/>
      <w:marBottom w:val="0"/>
      <w:divBdr>
        <w:top w:val="none" w:sz="0" w:space="0" w:color="auto"/>
        <w:left w:val="none" w:sz="0" w:space="0" w:color="auto"/>
        <w:bottom w:val="none" w:sz="0" w:space="0" w:color="auto"/>
        <w:right w:val="none" w:sz="0" w:space="0" w:color="auto"/>
      </w:divBdr>
    </w:div>
    <w:div w:id="1822313144">
      <w:bodyDiv w:val="1"/>
      <w:marLeft w:val="0"/>
      <w:marRight w:val="0"/>
      <w:marTop w:val="0"/>
      <w:marBottom w:val="0"/>
      <w:divBdr>
        <w:top w:val="none" w:sz="0" w:space="0" w:color="auto"/>
        <w:left w:val="none" w:sz="0" w:space="0" w:color="auto"/>
        <w:bottom w:val="none" w:sz="0" w:space="0" w:color="auto"/>
        <w:right w:val="none" w:sz="0" w:space="0" w:color="auto"/>
      </w:divBdr>
    </w:div>
    <w:div w:id="1832401336">
      <w:bodyDiv w:val="1"/>
      <w:marLeft w:val="0"/>
      <w:marRight w:val="0"/>
      <w:marTop w:val="0"/>
      <w:marBottom w:val="0"/>
      <w:divBdr>
        <w:top w:val="none" w:sz="0" w:space="0" w:color="auto"/>
        <w:left w:val="none" w:sz="0" w:space="0" w:color="auto"/>
        <w:bottom w:val="none" w:sz="0" w:space="0" w:color="auto"/>
        <w:right w:val="none" w:sz="0" w:space="0" w:color="auto"/>
      </w:divBdr>
    </w:div>
    <w:div w:id="1840466201">
      <w:bodyDiv w:val="1"/>
      <w:marLeft w:val="0"/>
      <w:marRight w:val="0"/>
      <w:marTop w:val="0"/>
      <w:marBottom w:val="0"/>
      <w:divBdr>
        <w:top w:val="none" w:sz="0" w:space="0" w:color="auto"/>
        <w:left w:val="none" w:sz="0" w:space="0" w:color="auto"/>
        <w:bottom w:val="none" w:sz="0" w:space="0" w:color="auto"/>
        <w:right w:val="none" w:sz="0" w:space="0" w:color="auto"/>
      </w:divBdr>
    </w:div>
    <w:div w:id="1871262969">
      <w:bodyDiv w:val="1"/>
      <w:marLeft w:val="0"/>
      <w:marRight w:val="0"/>
      <w:marTop w:val="0"/>
      <w:marBottom w:val="0"/>
      <w:divBdr>
        <w:top w:val="none" w:sz="0" w:space="0" w:color="auto"/>
        <w:left w:val="none" w:sz="0" w:space="0" w:color="auto"/>
        <w:bottom w:val="none" w:sz="0" w:space="0" w:color="auto"/>
        <w:right w:val="none" w:sz="0" w:space="0" w:color="auto"/>
      </w:divBdr>
    </w:div>
    <w:div w:id="1885360887">
      <w:bodyDiv w:val="1"/>
      <w:marLeft w:val="0"/>
      <w:marRight w:val="0"/>
      <w:marTop w:val="0"/>
      <w:marBottom w:val="0"/>
      <w:divBdr>
        <w:top w:val="none" w:sz="0" w:space="0" w:color="auto"/>
        <w:left w:val="none" w:sz="0" w:space="0" w:color="auto"/>
        <w:bottom w:val="none" w:sz="0" w:space="0" w:color="auto"/>
        <w:right w:val="none" w:sz="0" w:space="0" w:color="auto"/>
      </w:divBdr>
      <w:divsChild>
        <w:div w:id="2106075659">
          <w:marLeft w:val="640"/>
          <w:marRight w:val="0"/>
          <w:marTop w:val="0"/>
          <w:marBottom w:val="0"/>
          <w:divBdr>
            <w:top w:val="none" w:sz="0" w:space="0" w:color="auto"/>
            <w:left w:val="none" w:sz="0" w:space="0" w:color="auto"/>
            <w:bottom w:val="none" w:sz="0" w:space="0" w:color="auto"/>
            <w:right w:val="none" w:sz="0" w:space="0" w:color="auto"/>
          </w:divBdr>
        </w:div>
        <w:div w:id="646519899">
          <w:marLeft w:val="640"/>
          <w:marRight w:val="0"/>
          <w:marTop w:val="0"/>
          <w:marBottom w:val="0"/>
          <w:divBdr>
            <w:top w:val="none" w:sz="0" w:space="0" w:color="auto"/>
            <w:left w:val="none" w:sz="0" w:space="0" w:color="auto"/>
            <w:bottom w:val="none" w:sz="0" w:space="0" w:color="auto"/>
            <w:right w:val="none" w:sz="0" w:space="0" w:color="auto"/>
          </w:divBdr>
        </w:div>
        <w:div w:id="296031514">
          <w:marLeft w:val="640"/>
          <w:marRight w:val="0"/>
          <w:marTop w:val="0"/>
          <w:marBottom w:val="0"/>
          <w:divBdr>
            <w:top w:val="none" w:sz="0" w:space="0" w:color="auto"/>
            <w:left w:val="none" w:sz="0" w:space="0" w:color="auto"/>
            <w:bottom w:val="none" w:sz="0" w:space="0" w:color="auto"/>
            <w:right w:val="none" w:sz="0" w:space="0" w:color="auto"/>
          </w:divBdr>
        </w:div>
        <w:div w:id="1791362180">
          <w:marLeft w:val="640"/>
          <w:marRight w:val="0"/>
          <w:marTop w:val="0"/>
          <w:marBottom w:val="0"/>
          <w:divBdr>
            <w:top w:val="none" w:sz="0" w:space="0" w:color="auto"/>
            <w:left w:val="none" w:sz="0" w:space="0" w:color="auto"/>
            <w:bottom w:val="none" w:sz="0" w:space="0" w:color="auto"/>
            <w:right w:val="none" w:sz="0" w:space="0" w:color="auto"/>
          </w:divBdr>
        </w:div>
        <w:div w:id="1298997263">
          <w:marLeft w:val="640"/>
          <w:marRight w:val="0"/>
          <w:marTop w:val="0"/>
          <w:marBottom w:val="0"/>
          <w:divBdr>
            <w:top w:val="none" w:sz="0" w:space="0" w:color="auto"/>
            <w:left w:val="none" w:sz="0" w:space="0" w:color="auto"/>
            <w:bottom w:val="none" w:sz="0" w:space="0" w:color="auto"/>
            <w:right w:val="none" w:sz="0" w:space="0" w:color="auto"/>
          </w:divBdr>
        </w:div>
        <w:div w:id="1202788901">
          <w:marLeft w:val="640"/>
          <w:marRight w:val="0"/>
          <w:marTop w:val="0"/>
          <w:marBottom w:val="0"/>
          <w:divBdr>
            <w:top w:val="none" w:sz="0" w:space="0" w:color="auto"/>
            <w:left w:val="none" w:sz="0" w:space="0" w:color="auto"/>
            <w:bottom w:val="none" w:sz="0" w:space="0" w:color="auto"/>
            <w:right w:val="none" w:sz="0" w:space="0" w:color="auto"/>
          </w:divBdr>
        </w:div>
        <w:div w:id="275645026">
          <w:marLeft w:val="640"/>
          <w:marRight w:val="0"/>
          <w:marTop w:val="0"/>
          <w:marBottom w:val="0"/>
          <w:divBdr>
            <w:top w:val="none" w:sz="0" w:space="0" w:color="auto"/>
            <w:left w:val="none" w:sz="0" w:space="0" w:color="auto"/>
            <w:bottom w:val="none" w:sz="0" w:space="0" w:color="auto"/>
            <w:right w:val="none" w:sz="0" w:space="0" w:color="auto"/>
          </w:divBdr>
        </w:div>
        <w:div w:id="1838184695">
          <w:marLeft w:val="640"/>
          <w:marRight w:val="0"/>
          <w:marTop w:val="0"/>
          <w:marBottom w:val="0"/>
          <w:divBdr>
            <w:top w:val="none" w:sz="0" w:space="0" w:color="auto"/>
            <w:left w:val="none" w:sz="0" w:space="0" w:color="auto"/>
            <w:bottom w:val="none" w:sz="0" w:space="0" w:color="auto"/>
            <w:right w:val="none" w:sz="0" w:space="0" w:color="auto"/>
          </w:divBdr>
        </w:div>
        <w:div w:id="758792712">
          <w:marLeft w:val="640"/>
          <w:marRight w:val="0"/>
          <w:marTop w:val="0"/>
          <w:marBottom w:val="0"/>
          <w:divBdr>
            <w:top w:val="none" w:sz="0" w:space="0" w:color="auto"/>
            <w:left w:val="none" w:sz="0" w:space="0" w:color="auto"/>
            <w:bottom w:val="none" w:sz="0" w:space="0" w:color="auto"/>
            <w:right w:val="none" w:sz="0" w:space="0" w:color="auto"/>
          </w:divBdr>
        </w:div>
        <w:div w:id="194660427">
          <w:marLeft w:val="640"/>
          <w:marRight w:val="0"/>
          <w:marTop w:val="0"/>
          <w:marBottom w:val="0"/>
          <w:divBdr>
            <w:top w:val="none" w:sz="0" w:space="0" w:color="auto"/>
            <w:left w:val="none" w:sz="0" w:space="0" w:color="auto"/>
            <w:bottom w:val="none" w:sz="0" w:space="0" w:color="auto"/>
            <w:right w:val="none" w:sz="0" w:space="0" w:color="auto"/>
          </w:divBdr>
        </w:div>
        <w:div w:id="1642535925">
          <w:marLeft w:val="640"/>
          <w:marRight w:val="0"/>
          <w:marTop w:val="0"/>
          <w:marBottom w:val="0"/>
          <w:divBdr>
            <w:top w:val="none" w:sz="0" w:space="0" w:color="auto"/>
            <w:left w:val="none" w:sz="0" w:space="0" w:color="auto"/>
            <w:bottom w:val="none" w:sz="0" w:space="0" w:color="auto"/>
            <w:right w:val="none" w:sz="0" w:space="0" w:color="auto"/>
          </w:divBdr>
        </w:div>
        <w:div w:id="1994410286">
          <w:marLeft w:val="640"/>
          <w:marRight w:val="0"/>
          <w:marTop w:val="0"/>
          <w:marBottom w:val="0"/>
          <w:divBdr>
            <w:top w:val="none" w:sz="0" w:space="0" w:color="auto"/>
            <w:left w:val="none" w:sz="0" w:space="0" w:color="auto"/>
            <w:bottom w:val="none" w:sz="0" w:space="0" w:color="auto"/>
            <w:right w:val="none" w:sz="0" w:space="0" w:color="auto"/>
          </w:divBdr>
        </w:div>
        <w:div w:id="1533613274">
          <w:marLeft w:val="640"/>
          <w:marRight w:val="0"/>
          <w:marTop w:val="0"/>
          <w:marBottom w:val="0"/>
          <w:divBdr>
            <w:top w:val="none" w:sz="0" w:space="0" w:color="auto"/>
            <w:left w:val="none" w:sz="0" w:space="0" w:color="auto"/>
            <w:bottom w:val="none" w:sz="0" w:space="0" w:color="auto"/>
            <w:right w:val="none" w:sz="0" w:space="0" w:color="auto"/>
          </w:divBdr>
        </w:div>
        <w:div w:id="764766936">
          <w:marLeft w:val="640"/>
          <w:marRight w:val="0"/>
          <w:marTop w:val="0"/>
          <w:marBottom w:val="0"/>
          <w:divBdr>
            <w:top w:val="none" w:sz="0" w:space="0" w:color="auto"/>
            <w:left w:val="none" w:sz="0" w:space="0" w:color="auto"/>
            <w:bottom w:val="none" w:sz="0" w:space="0" w:color="auto"/>
            <w:right w:val="none" w:sz="0" w:space="0" w:color="auto"/>
          </w:divBdr>
        </w:div>
        <w:div w:id="1654945478">
          <w:marLeft w:val="640"/>
          <w:marRight w:val="0"/>
          <w:marTop w:val="0"/>
          <w:marBottom w:val="0"/>
          <w:divBdr>
            <w:top w:val="none" w:sz="0" w:space="0" w:color="auto"/>
            <w:left w:val="none" w:sz="0" w:space="0" w:color="auto"/>
            <w:bottom w:val="none" w:sz="0" w:space="0" w:color="auto"/>
            <w:right w:val="none" w:sz="0" w:space="0" w:color="auto"/>
          </w:divBdr>
        </w:div>
        <w:div w:id="782648170">
          <w:marLeft w:val="640"/>
          <w:marRight w:val="0"/>
          <w:marTop w:val="0"/>
          <w:marBottom w:val="0"/>
          <w:divBdr>
            <w:top w:val="none" w:sz="0" w:space="0" w:color="auto"/>
            <w:left w:val="none" w:sz="0" w:space="0" w:color="auto"/>
            <w:bottom w:val="none" w:sz="0" w:space="0" w:color="auto"/>
            <w:right w:val="none" w:sz="0" w:space="0" w:color="auto"/>
          </w:divBdr>
        </w:div>
        <w:div w:id="70350074">
          <w:marLeft w:val="640"/>
          <w:marRight w:val="0"/>
          <w:marTop w:val="0"/>
          <w:marBottom w:val="0"/>
          <w:divBdr>
            <w:top w:val="none" w:sz="0" w:space="0" w:color="auto"/>
            <w:left w:val="none" w:sz="0" w:space="0" w:color="auto"/>
            <w:bottom w:val="none" w:sz="0" w:space="0" w:color="auto"/>
            <w:right w:val="none" w:sz="0" w:space="0" w:color="auto"/>
          </w:divBdr>
        </w:div>
        <w:div w:id="831024770">
          <w:marLeft w:val="640"/>
          <w:marRight w:val="0"/>
          <w:marTop w:val="0"/>
          <w:marBottom w:val="0"/>
          <w:divBdr>
            <w:top w:val="none" w:sz="0" w:space="0" w:color="auto"/>
            <w:left w:val="none" w:sz="0" w:space="0" w:color="auto"/>
            <w:bottom w:val="none" w:sz="0" w:space="0" w:color="auto"/>
            <w:right w:val="none" w:sz="0" w:space="0" w:color="auto"/>
          </w:divBdr>
        </w:div>
        <w:div w:id="2105883980">
          <w:marLeft w:val="640"/>
          <w:marRight w:val="0"/>
          <w:marTop w:val="0"/>
          <w:marBottom w:val="0"/>
          <w:divBdr>
            <w:top w:val="none" w:sz="0" w:space="0" w:color="auto"/>
            <w:left w:val="none" w:sz="0" w:space="0" w:color="auto"/>
            <w:bottom w:val="none" w:sz="0" w:space="0" w:color="auto"/>
            <w:right w:val="none" w:sz="0" w:space="0" w:color="auto"/>
          </w:divBdr>
        </w:div>
        <w:div w:id="1894347154">
          <w:marLeft w:val="640"/>
          <w:marRight w:val="0"/>
          <w:marTop w:val="0"/>
          <w:marBottom w:val="0"/>
          <w:divBdr>
            <w:top w:val="none" w:sz="0" w:space="0" w:color="auto"/>
            <w:left w:val="none" w:sz="0" w:space="0" w:color="auto"/>
            <w:bottom w:val="none" w:sz="0" w:space="0" w:color="auto"/>
            <w:right w:val="none" w:sz="0" w:space="0" w:color="auto"/>
          </w:divBdr>
        </w:div>
        <w:div w:id="1794789936">
          <w:marLeft w:val="640"/>
          <w:marRight w:val="0"/>
          <w:marTop w:val="0"/>
          <w:marBottom w:val="0"/>
          <w:divBdr>
            <w:top w:val="none" w:sz="0" w:space="0" w:color="auto"/>
            <w:left w:val="none" w:sz="0" w:space="0" w:color="auto"/>
            <w:bottom w:val="none" w:sz="0" w:space="0" w:color="auto"/>
            <w:right w:val="none" w:sz="0" w:space="0" w:color="auto"/>
          </w:divBdr>
        </w:div>
        <w:div w:id="1384718992">
          <w:marLeft w:val="640"/>
          <w:marRight w:val="0"/>
          <w:marTop w:val="0"/>
          <w:marBottom w:val="0"/>
          <w:divBdr>
            <w:top w:val="none" w:sz="0" w:space="0" w:color="auto"/>
            <w:left w:val="none" w:sz="0" w:space="0" w:color="auto"/>
            <w:bottom w:val="none" w:sz="0" w:space="0" w:color="auto"/>
            <w:right w:val="none" w:sz="0" w:space="0" w:color="auto"/>
          </w:divBdr>
        </w:div>
        <w:div w:id="1491100180">
          <w:marLeft w:val="640"/>
          <w:marRight w:val="0"/>
          <w:marTop w:val="0"/>
          <w:marBottom w:val="0"/>
          <w:divBdr>
            <w:top w:val="none" w:sz="0" w:space="0" w:color="auto"/>
            <w:left w:val="none" w:sz="0" w:space="0" w:color="auto"/>
            <w:bottom w:val="none" w:sz="0" w:space="0" w:color="auto"/>
            <w:right w:val="none" w:sz="0" w:space="0" w:color="auto"/>
          </w:divBdr>
        </w:div>
        <w:div w:id="431172362">
          <w:marLeft w:val="640"/>
          <w:marRight w:val="0"/>
          <w:marTop w:val="0"/>
          <w:marBottom w:val="0"/>
          <w:divBdr>
            <w:top w:val="none" w:sz="0" w:space="0" w:color="auto"/>
            <w:left w:val="none" w:sz="0" w:space="0" w:color="auto"/>
            <w:bottom w:val="none" w:sz="0" w:space="0" w:color="auto"/>
            <w:right w:val="none" w:sz="0" w:space="0" w:color="auto"/>
          </w:divBdr>
        </w:div>
      </w:divsChild>
    </w:div>
    <w:div w:id="1900242821">
      <w:bodyDiv w:val="1"/>
      <w:marLeft w:val="0"/>
      <w:marRight w:val="0"/>
      <w:marTop w:val="0"/>
      <w:marBottom w:val="0"/>
      <w:divBdr>
        <w:top w:val="none" w:sz="0" w:space="0" w:color="auto"/>
        <w:left w:val="none" w:sz="0" w:space="0" w:color="auto"/>
        <w:bottom w:val="none" w:sz="0" w:space="0" w:color="auto"/>
        <w:right w:val="none" w:sz="0" w:space="0" w:color="auto"/>
      </w:divBdr>
    </w:div>
    <w:div w:id="1903053624">
      <w:bodyDiv w:val="1"/>
      <w:marLeft w:val="0"/>
      <w:marRight w:val="0"/>
      <w:marTop w:val="0"/>
      <w:marBottom w:val="0"/>
      <w:divBdr>
        <w:top w:val="none" w:sz="0" w:space="0" w:color="auto"/>
        <w:left w:val="none" w:sz="0" w:space="0" w:color="auto"/>
        <w:bottom w:val="none" w:sz="0" w:space="0" w:color="auto"/>
        <w:right w:val="none" w:sz="0" w:space="0" w:color="auto"/>
      </w:divBdr>
    </w:div>
    <w:div w:id="1927375271">
      <w:bodyDiv w:val="1"/>
      <w:marLeft w:val="0"/>
      <w:marRight w:val="0"/>
      <w:marTop w:val="0"/>
      <w:marBottom w:val="0"/>
      <w:divBdr>
        <w:top w:val="none" w:sz="0" w:space="0" w:color="auto"/>
        <w:left w:val="none" w:sz="0" w:space="0" w:color="auto"/>
        <w:bottom w:val="none" w:sz="0" w:space="0" w:color="auto"/>
        <w:right w:val="none" w:sz="0" w:space="0" w:color="auto"/>
      </w:divBdr>
    </w:div>
    <w:div w:id="1939093920">
      <w:bodyDiv w:val="1"/>
      <w:marLeft w:val="0"/>
      <w:marRight w:val="0"/>
      <w:marTop w:val="0"/>
      <w:marBottom w:val="0"/>
      <w:divBdr>
        <w:top w:val="none" w:sz="0" w:space="0" w:color="auto"/>
        <w:left w:val="none" w:sz="0" w:space="0" w:color="auto"/>
        <w:bottom w:val="none" w:sz="0" w:space="0" w:color="auto"/>
        <w:right w:val="none" w:sz="0" w:space="0" w:color="auto"/>
      </w:divBdr>
    </w:div>
    <w:div w:id="1947224579">
      <w:bodyDiv w:val="1"/>
      <w:marLeft w:val="0"/>
      <w:marRight w:val="0"/>
      <w:marTop w:val="0"/>
      <w:marBottom w:val="0"/>
      <w:divBdr>
        <w:top w:val="none" w:sz="0" w:space="0" w:color="auto"/>
        <w:left w:val="none" w:sz="0" w:space="0" w:color="auto"/>
        <w:bottom w:val="none" w:sz="0" w:space="0" w:color="auto"/>
        <w:right w:val="none" w:sz="0" w:space="0" w:color="auto"/>
      </w:divBdr>
    </w:div>
    <w:div w:id="1950700087">
      <w:bodyDiv w:val="1"/>
      <w:marLeft w:val="0"/>
      <w:marRight w:val="0"/>
      <w:marTop w:val="0"/>
      <w:marBottom w:val="0"/>
      <w:divBdr>
        <w:top w:val="none" w:sz="0" w:space="0" w:color="auto"/>
        <w:left w:val="none" w:sz="0" w:space="0" w:color="auto"/>
        <w:bottom w:val="none" w:sz="0" w:space="0" w:color="auto"/>
        <w:right w:val="none" w:sz="0" w:space="0" w:color="auto"/>
      </w:divBdr>
    </w:div>
    <w:div w:id="1959529050">
      <w:bodyDiv w:val="1"/>
      <w:marLeft w:val="0"/>
      <w:marRight w:val="0"/>
      <w:marTop w:val="0"/>
      <w:marBottom w:val="0"/>
      <w:divBdr>
        <w:top w:val="none" w:sz="0" w:space="0" w:color="auto"/>
        <w:left w:val="none" w:sz="0" w:space="0" w:color="auto"/>
        <w:bottom w:val="none" w:sz="0" w:space="0" w:color="auto"/>
        <w:right w:val="none" w:sz="0" w:space="0" w:color="auto"/>
      </w:divBdr>
    </w:div>
    <w:div w:id="1959753754">
      <w:bodyDiv w:val="1"/>
      <w:marLeft w:val="0"/>
      <w:marRight w:val="0"/>
      <w:marTop w:val="0"/>
      <w:marBottom w:val="0"/>
      <w:divBdr>
        <w:top w:val="none" w:sz="0" w:space="0" w:color="auto"/>
        <w:left w:val="none" w:sz="0" w:space="0" w:color="auto"/>
        <w:bottom w:val="none" w:sz="0" w:space="0" w:color="auto"/>
        <w:right w:val="none" w:sz="0" w:space="0" w:color="auto"/>
      </w:divBdr>
    </w:div>
    <w:div w:id="1964654895">
      <w:bodyDiv w:val="1"/>
      <w:marLeft w:val="0"/>
      <w:marRight w:val="0"/>
      <w:marTop w:val="0"/>
      <w:marBottom w:val="0"/>
      <w:divBdr>
        <w:top w:val="none" w:sz="0" w:space="0" w:color="auto"/>
        <w:left w:val="none" w:sz="0" w:space="0" w:color="auto"/>
        <w:bottom w:val="none" w:sz="0" w:space="0" w:color="auto"/>
        <w:right w:val="none" w:sz="0" w:space="0" w:color="auto"/>
      </w:divBdr>
    </w:div>
    <w:div w:id="1989288360">
      <w:bodyDiv w:val="1"/>
      <w:marLeft w:val="0"/>
      <w:marRight w:val="0"/>
      <w:marTop w:val="0"/>
      <w:marBottom w:val="0"/>
      <w:divBdr>
        <w:top w:val="none" w:sz="0" w:space="0" w:color="auto"/>
        <w:left w:val="none" w:sz="0" w:space="0" w:color="auto"/>
        <w:bottom w:val="none" w:sz="0" w:space="0" w:color="auto"/>
        <w:right w:val="none" w:sz="0" w:space="0" w:color="auto"/>
      </w:divBdr>
    </w:div>
    <w:div w:id="2001040094">
      <w:bodyDiv w:val="1"/>
      <w:marLeft w:val="0"/>
      <w:marRight w:val="0"/>
      <w:marTop w:val="0"/>
      <w:marBottom w:val="0"/>
      <w:divBdr>
        <w:top w:val="none" w:sz="0" w:space="0" w:color="auto"/>
        <w:left w:val="none" w:sz="0" w:space="0" w:color="auto"/>
        <w:bottom w:val="none" w:sz="0" w:space="0" w:color="auto"/>
        <w:right w:val="none" w:sz="0" w:space="0" w:color="auto"/>
      </w:divBdr>
    </w:div>
    <w:div w:id="2017806075">
      <w:bodyDiv w:val="1"/>
      <w:marLeft w:val="0"/>
      <w:marRight w:val="0"/>
      <w:marTop w:val="0"/>
      <w:marBottom w:val="0"/>
      <w:divBdr>
        <w:top w:val="none" w:sz="0" w:space="0" w:color="auto"/>
        <w:left w:val="none" w:sz="0" w:space="0" w:color="auto"/>
        <w:bottom w:val="none" w:sz="0" w:space="0" w:color="auto"/>
        <w:right w:val="none" w:sz="0" w:space="0" w:color="auto"/>
      </w:divBdr>
      <w:divsChild>
        <w:div w:id="1519080212">
          <w:marLeft w:val="640"/>
          <w:marRight w:val="0"/>
          <w:marTop w:val="0"/>
          <w:marBottom w:val="0"/>
          <w:divBdr>
            <w:top w:val="none" w:sz="0" w:space="0" w:color="auto"/>
            <w:left w:val="none" w:sz="0" w:space="0" w:color="auto"/>
            <w:bottom w:val="none" w:sz="0" w:space="0" w:color="auto"/>
            <w:right w:val="none" w:sz="0" w:space="0" w:color="auto"/>
          </w:divBdr>
        </w:div>
        <w:div w:id="1494226338">
          <w:marLeft w:val="640"/>
          <w:marRight w:val="0"/>
          <w:marTop w:val="0"/>
          <w:marBottom w:val="0"/>
          <w:divBdr>
            <w:top w:val="none" w:sz="0" w:space="0" w:color="auto"/>
            <w:left w:val="none" w:sz="0" w:space="0" w:color="auto"/>
            <w:bottom w:val="none" w:sz="0" w:space="0" w:color="auto"/>
            <w:right w:val="none" w:sz="0" w:space="0" w:color="auto"/>
          </w:divBdr>
        </w:div>
        <w:div w:id="1105003237">
          <w:marLeft w:val="640"/>
          <w:marRight w:val="0"/>
          <w:marTop w:val="0"/>
          <w:marBottom w:val="0"/>
          <w:divBdr>
            <w:top w:val="none" w:sz="0" w:space="0" w:color="auto"/>
            <w:left w:val="none" w:sz="0" w:space="0" w:color="auto"/>
            <w:bottom w:val="none" w:sz="0" w:space="0" w:color="auto"/>
            <w:right w:val="none" w:sz="0" w:space="0" w:color="auto"/>
          </w:divBdr>
        </w:div>
        <w:div w:id="1133210287">
          <w:marLeft w:val="640"/>
          <w:marRight w:val="0"/>
          <w:marTop w:val="0"/>
          <w:marBottom w:val="0"/>
          <w:divBdr>
            <w:top w:val="none" w:sz="0" w:space="0" w:color="auto"/>
            <w:left w:val="none" w:sz="0" w:space="0" w:color="auto"/>
            <w:bottom w:val="none" w:sz="0" w:space="0" w:color="auto"/>
            <w:right w:val="none" w:sz="0" w:space="0" w:color="auto"/>
          </w:divBdr>
        </w:div>
        <w:div w:id="1630672886">
          <w:marLeft w:val="640"/>
          <w:marRight w:val="0"/>
          <w:marTop w:val="0"/>
          <w:marBottom w:val="0"/>
          <w:divBdr>
            <w:top w:val="none" w:sz="0" w:space="0" w:color="auto"/>
            <w:left w:val="none" w:sz="0" w:space="0" w:color="auto"/>
            <w:bottom w:val="none" w:sz="0" w:space="0" w:color="auto"/>
            <w:right w:val="none" w:sz="0" w:space="0" w:color="auto"/>
          </w:divBdr>
        </w:div>
        <w:div w:id="1724715123">
          <w:marLeft w:val="640"/>
          <w:marRight w:val="0"/>
          <w:marTop w:val="0"/>
          <w:marBottom w:val="0"/>
          <w:divBdr>
            <w:top w:val="none" w:sz="0" w:space="0" w:color="auto"/>
            <w:left w:val="none" w:sz="0" w:space="0" w:color="auto"/>
            <w:bottom w:val="none" w:sz="0" w:space="0" w:color="auto"/>
            <w:right w:val="none" w:sz="0" w:space="0" w:color="auto"/>
          </w:divBdr>
        </w:div>
        <w:div w:id="1617559923">
          <w:marLeft w:val="640"/>
          <w:marRight w:val="0"/>
          <w:marTop w:val="0"/>
          <w:marBottom w:val="0"/>
          <w:divBdr>
            <w:top w:val="none" w:sz="0" w:space="0" w:color="auto"/>
            <w:left w:val="none" w:sz="0" w:space="0" w:color="auto"/>
            <w:bottom w:val="none" w:sz="0" w:space="0" w:color="auto"/>
            <w:right w:val="none" w:sz="0" w:space="0" w:color="auto"/>
          </w:divBdr>
        </w:div>
        <w:div w:id="483474220">
          <w:marLeft w:val="640"/>
          <w:marRight w:val="0"/>
          <w:marTop w:val="0"/>
          <w:marBottom w:val="0"/>
          <w:divBdr>
            <w:top w:val="none" w:sz="0" w:space="0" w:color="auto"/>
            <w:left w:val="none" w:sz="0" w:space="0" w:color="auto"/>
            <w:bottom w:val="none" w:sz="0" w:space="0" w:color="auto"/>
            <w:right w:val="none" w:sz="0" w:space="0" w:color="auto"/>
          </w:divBdr>
        </w:div>
        <w:div w:id="953295111">
          <w:marLeft w:val="640"/>
          <w:marRight w:val="0"/>
          <w:marTop w:val="0"/>
          <w:marBottom w:val="0"/>
          <w:divBdr>
            <w:top w:val="none" w:sz="0" w:space="0" w:color="auto"/>
            <w:left w:val="none" w:sz="0" w:space="0" w:color="auto"/>
            <w:bottom w:val="none" w:sz="0" w:space="0" w:color="auto"/>
            <w:right w:val="none" w:sz="0" w:space="0" w:color="auto"/>
          </w:divBdr>
        </w:div>
        <w:div w:id="1545948131">
          <w:marLeft w:val="640"/>
          <w:marRight w:val="0"/>
          <w:marTop w:val="0"/>
          <w:marBottom w:val="0"/>
          <w:divBdr>
            <w:top w:val="none" w:sz="0" w:space="0" w:color="auto"/>
            <w:left w:val="none" w:sz="0" w:space="0" w:color="auto"/>
            <w:bottom w:val="none" w:sz="0" w:space="0" w:color="auto"/>
            <w:right w:val="none" w:sz="0" w:space="0" w:color="auto"/>
          </w:divBdr>
        </w:div>
        <w:div w:id="1933053314">
          <w:marLeft w:val="640"/>
          <w:marRight w:val="0"/>
          <w:marTop w:val="0"/>
          <w:marBottom w:val="0"/>
          <w:divBdr>
            <w:top w:val="none" w:sz="0" w:space="0" w:color="auto"/>
            <w:left w:val="none" w:sz="0" w:space="0" w:color="auto"/>
            <w:bottom w:val="none" w:sz="0" w:space="0" w:color="auto"/>
            <w:right w:val="none" w:sz="0" w:space="0" w:color="auto"/>
          </w:divBdr>
        </w:div>
        <w:div w:id="1776554511">
          <w:marLeft w:val="640"/>
          <w:marRight w:val="0"/>
          <w:marTop w:val="0"/>
          <w:marBottom w:val="0"/>
          <w:divBdr>
            <w:top w:val="none" w:sz="0" w:space="0" w:color="auto"/>
            <w:left w:val="none" w:sz="0" w:space="0" w:color="auto"/>
            <w:bottom w:val="none" w:sz="0" w:space="0" w:color="auto"/>
            <w:right w:val="none" w:sz="0" w:space="0" w:color="auto"/>
          </w:divBdr>
        </w:div>
        <w:div w:id="1142044167">
          <w:marLeft w:val="640"/>
          <w:marRight w:val="0"/>
          <w:marTop w:val="0"/>
          <w:marBottom w:val="0"/>
          <w:divBdr>
            <w:top w:val="none" w:sz="0" w:space="0" w:color="auto"/>
            <w:left w:val="none" w:sz="0" w:space="0" w:color="auto"/>
            <w:bottom w:val="none" w:sz="0" w:space="0" w:color="auto"/>
            <w:right w:val="none" w:sz="0" w:space="0" w:color="auto"/>
          </w:divBdr>
        </w:div>
        <w:div w:id="559482845">
          <w:marLeft w:val="640"/>
          <w:marRight w:val="0"/>
          <w:marTop w:val="0"/>
          <w:marBottom w:val="0"/>
          <w:divBdr>
            <w:top w:val="none" w:sz="0" w:space="0" w:color="auto"/>
            <w:left w:val="none" w:sz="0" w:space="0" w:color="auto"/>
            <w:bottom w:val="none" w:sz="0" w:space="0" w:color="auto"/>
            <w:right w:val="none" w:sz="0" w:space="0" w:color="auto"/>
          </w:divBdr>
        </w:div>
        <w:div w:id="112293605">
          <w:marLeft w:val="640"/>
          <w:marRight w:val="0"/>
          <w:marTop w:val="0"/>
          <w:marBottom w:val="0"/>
          <w:divBdr>
            <w:top w:val="none" w:sz="0" w:space="0" w:color="auto"/>
            <w:left w:val="none" w:sz="0" w:space="0" w:color="auto"/>
            <w:bottom w:val="none" w:sz="0" w:space="0" w:color="auto"/>
            <w:right w:val="none" w:sz="0" w:space="0" w:color="auto"/>
          </w:divBdr>
        </w:div>
        <w:div w:id="218710676">
          <w:marLeft w:val="640"/>
          <w:marRight w:val="0"/>
          <w:marTop w:val="0"/>
          <w:marBottom w:val="0"/>
          <w:divBdr>
            <w:top w:val="none" w:sz="0" w:space="0" w:color="auto"/>
            <w:left w:val="none" w:sz="0" w:space="0" w:color="auto"/>
            <w:bottom w:val="none" w:sz="0" w:space="0" w:color="auto"/>
            <w:right w:val="none" w:sz="0" w:space="0" w:color="auto"/>
          </w:divBdr>
        </w:div>
        <w:div w:id="795953066">
          <w:marLeft w:val="640"/>
          <w:marRight w:val="0"/>
          <w:marTop w:val="0"/>
          <w:marBottom w:val="0"/>
          <w:divBdr>
            <w:top w:val="none" w:sz="0" w:space="0" w:color="auto"/>
            <w:left w:val="none" w:sz="0" w:space="0" w:color="auto"/>
            <w:bottom w:val="none" w:sz="0" w:space="0" w:color="auto"/>
            <w:right w:val="none" w:sz="0" w:space="0" w:color="auto"/>
          </w:divBdr>
        </w:div>
        <w:div w:id="284311822">
          <w:marLeft w:val="640"/>
          <w:marRight w:val="0"/>
          <w:marTop w:val="0"/>
          <w:marBottom w:val="0"/>
          <w:divBdr>
            <w:top w:val="none" w:sz="0" w:space="0" w:color="auto"/>
            <w:left w:val="none" w:sz="0" w:space="0" w:color="auto"/>
            <w:bottom w:val="none" w:sz="0" w:space="0" w:color="auto"/>
            <w:right w:val="none" w:sz="0" w:space="0" w:color="auto"/>
          </w:divBdr>
        </w:div>
        <w:div w:id="146015729">
          <w:marLeft w:val="640"/>
          <w:marRight w:val="0"/>
          <w:marTop w:val="0"/>
          <w:marBottom w:val="0"/>
          <w:divBdr>
            <w:top w:val="none" w:sz="0" w:space="0" w:color="auto"/>
            <w:left w:val="none" w:sz="0" w:space="0" w:color="auto"/>
            <w:bottom w:val="none" w:sz="0" w:space="0" w:color="auto"/>
            <w:right w:val="none" w:sz="0" w:space="0" w:color="auto"/>
          </w:divBdr>
        </w:div>
        <w:div w:id="624585165">
          <w:marLeft w:val="640"/>
          <w:marRight w:val="0"/>
          <w:marTop w:val="0"/>
          <w:marBottom w:val="0"/>
          <w:divBdr>
            <w:top w:val="none" w:sz="0" w:space="0" w:color="auto"/>
            <w:left w:val="none" w:sz="0" w:space="0" w:color="auto"/>
            <w:bottom w:val="none" w:sz="0" w:space="0" w:color="auto"/>
            <w:right w:val="none" w:sz="0" w:space="0" w:color="auto"/>
          </w:divBdr>
        </w:div>
        <w:div w:id="101998400">
          <w:marLeft w:val="640"/>
          <w:marRight w:val="0"/>
          <w:marTop w:val="0"/>
          <w:marBottom w:val="0"/>
          <w:divBdr>
            <w:top w:val="none" w:sz="0" w:space="0" w:color="auto"/>
            <w:left w:val="none" w:sz="0" w:space="0" w:color="auto"/>
            <w:bottom w:val="none" w:sz="0" w:space="0" w:color="auto"/>
            <w:right w:val="none" w:sz="0" w:space="0" w:color="auto"/>
          </w:divBdr>
        </w:div>
        <w:div w:id="1436057187">
          <w:marLeft w:val="640"/>
          <w:marRight w:val="0"/>
          <w:marTop w:val="0"/>
          <w:marBottom w:val="0"/>
          <w:divBdr>
            <w:top w:val="none" w:sz="0" w:space="0" w:color="auto"/>
            <w:left w:val="none" w:sz="0" w:space="0" w:color="auto"/>
            <w:bottom w:val="none" w:sz="0" w:space="0" w:color="auto"/>
            <w:right w:val="none" w:sz="0" w:space="0" w:color="auto"/>
          </w:divBdr>
        </w:div>
        <w:div w:id="1930887344">
          <w:marLeft w:val="640"/>
          <w:marRight w:val="0"/>
          <w:marTop w:val="0"/>
          <w:marBottom w:val="0"/>
          <w:divBdr>
            <w:top w:val="none" w:sz="0" w:space="0" w:color="auto"/>
            <w:left w:val="none" w:sz="0" w:space="0" w:color="auto"/>
            <w:bottom w:val="none" w:sz="0" w:space="0" w:color="auto"/>
            <w:right w:val="none" w:sz="0" w:space="0" w:color="auto"/>
          </w:divBdr>
        </w:div>
      </w:divsChild>
    </w:div>
    <w:div w:id="2019573097">
      <w:bodyDiv w:val="1"/>
      <w:marLeft w:val="0"/>
      <w:marRight w:val="0"/>
      <w:marTop w:val="0"/>
      <w:marBottom w:val="0"/>
      <w:divBdr>
        <w:top w:val="none" w:sz="0" w:space="0" w:color="auto"/>
        <w:left w:val="none" w:sz="0" w:space="0" w:color="auto"/>
        <w:bottom w:val="none" w:sz="0" w:space="0" w:color="auto"/>
        <w:right w:val="none" w:sz="0" w:space="0" w:color="auto"/>
      </w:divBdr>
    </w:div>
    <w:div w:id="2028869232">
      <w:bodyDiv w:val="1"/>
      <w:marLeft w:val="0"/>
      <w:marRight w:val="0"/>
      <w:marTop w:val="0"/>
      <w:marBottom w:val="0"/>
      <w:divBdr>
        <w:top w:val="none" w:sz="0" w:space="0" w:color="auto"/>
        <w:left w:val="none" w:sz="0" w:space="0" w:color="auto"/>
        <w:bottom w:val="none" w:sz="0" w:space="0" w:color="auto"/>
        <w:right w:val="none" w:sz="0" w:space="0" w:color="auto"/>
      </w:divBdr>
      <w:divsChild>
        <w:div w:id="1570537243">
          <w:marLeft w:val="640"/>
          <w:marRight w:val="0"/>
          <w:marTop w:val="0"/>
          <w:marBottom w:val="0"/>
          <w:divBdr>
            <w:top w:val="none" w:sz="0" w:space="0" w:color="auto"/>
            <w:left w:val="none" w:sz="0" w:space="0" w:color="auto"/>
            <w:bottom w:val="none" w:sz="0" w:space="0" w:color="auto"/>
            <w:right w:val="none" w:sz="0" w:space="0" w:color="auto"/>
          </w:divBdr>
        </w:div>
        <w:div w:id="1274247326">
          <w:marLeft w:val="640"/>
          <w:marRight w:val="0"/>
          <w:marTop w:val="0"/>
          <w:marBottom w:val="0"/>
          <w:divBdr>
            <w:top w:val="none" w:sz="0" w:space="0" w:color="auto"/>
            <w:left w:val="none" w:sz="0" w:space="0" w:color="auto"/>
            <w:bottom w:val="none" w:sz="0" w:space="0" w:color="auto"/>
            <w:right w:val="none" w:sz="0" w:space="0" w:color="auto"/>
          </w:divBdr>
        </w:div>
        <w:div w:id="2095205791">
          <w:marLeft w:val="640"/>
          <w:marRight w:val="0"/>
          <w:marTop w:val="0"/>
          <w:marBottom w:val="0"/>
          <w:divBdr>
            <w:top w:val="none" w:sz="0" w:space="0" w:color="auto"/>
            <w:left w:val="none" w:sz="0" w:space="0" w:color="auto"/>
            <w:bottom w:val="none" w:sz="0" w:space="0" w:color="auto"/>
            <w:right w:val="none" w:sz="0" w:space="0" w:color="auto"/>
          </w:divBdr>
        </w:div>
        <w:div w:id="978874788">
          <w:marLeft w:val="640"/>
          <w:marRight w:val="0"/>
          <w:marTop w:val="0"/>
          <w:marBottom w:val="0"/>
          <w:divBdr>
            <w:top w:val="none" w:sz="0" w:space="0" w:color="auto"/>
            <w:left w:val="none" w:sz="0" w:space="0" w:color="auto"/>
            <w:bottom w:val="none" w:sz="0" w:space="0" w:color="auto"/>
            <w:right w:val="none" w:sz="0" w:space="0" w:color="auto"/>
          </w:divBdr>
        </w:div>
        <w:div w:id="1979533662">
          <w:marLeft w:val="640"/>
          <w:marRight w:val="0"/>
          <w:marTop w:val="0"/>
          <w:marBottom w:val="0"/>
          <w:divBdr>
            <w:top w:val="none" w:sz="0" w:space="0" w:color="auto"/>
            <w:left w:val="none" w:sz="0" w:space="0" w:color="auto"/>
            <w:bottom w:val="none" w:sz="0" w:space="0" w:color="auto"/>
            <w:right w:val="none" w:sz="0" w:space="0" w:color="auto"/>
          </w:divBdr>
        </w:div>
        <w:div w:id="799760841">
          <w:marLeft w:val="640"/>
          <w:marRight w:val="0"/>
          <w:marTop w:val="0"/>
          <w:marBottom w:val="0"/>
          <w:divBdr>
            <w:top w:val="none" w:sz="0" w:space="0" w:color="auto"/>
            <w:left w:val="none" w:sz="0" w:space="0" w:color="auto"/>
            <w:bottom w:val="none" w:sz="0" w:space="0" w:color="auto"/>
            <w:right w:val="none" w:sz="0" w:space="0" w:color="auto"/>
          </w:divBdr>
        </w:div>
        <w:div w:id="1983463831">
          <w:marLeft w:val="640"/>
          <w:marRight w:val="0"/>
          <w:marTop w:val="0"/>
          <w:marBottom w:val="0"/>
          <w:divBdr>
            <w:top w:val="none" w:sz="0" w:space="0" w:color="auto"/>
            <w:left w:val="none" w:sz="0" w:space="0" w:color="auto"/>
            <w:bottom w:val="none" w:sz="0" w:space="0" w:color="auto"/>
            <w:right w:val="none" w:sz="0" w:space="0" w:color="auto"/>
          </w:divBdr>
        </w:div>
        <w:div w:id="314381142">
          <w:marLeft w:val="640"/>
          <w:marRight w:val="0"/>
          <w:marTop w:val="0"/>
          <w:marBottom w:val="0"/>
          <w:divBdr>
            <w:top w:val="none" w:sz="0" w:space="0" w:color="auto"/>
            <w:left w:val="none" w:sz="0" w:space="0" w:color="auto"/>
            <w:bottom w:val="none" w:sz="0" w:space="0" w:color="auto"/>
            <w:right w:val="none" w:sz="0" w:space="0" w:color="auto"/>
          </w:divBdr>
        </w:div>
        <w:div w:id="1879194385">
          <w:marLeft w:val="640"/>
          <w:marRight w:val="0"/>
          <w:marTop w:val="0"/>
          <w:marBottom w:val="0"/>
          <w:divBdr>
            <w:top w:val="none" w:sz="0" w:space="0" w:color="auto"/>
            <w:left w:val="none" w:sz="0" w:space="0" w:color="auto"/>
            <w:bottom w:val="none" w:sz="0" w:space="0" w:color="auto"/>
            <w:right w:val="none" w:sz="0" w:space="0" w:color="auto"/>
          </w:divBdr>
        </w:div>
        <w:div w:id="1042633537">
          <w:marLeft w:val="640"/>
          <w:marRight w:val="0"/>
          <w:marTop w:val="0"/>
          <w:marBottom w:val="0"/>
          <w:divBdr>
            <w:top w:val="none" w:sz="0" w:space="0" w:color="auto"/>
            <w:left w:val="none" w:sz="0" w:space="0" w:color="auto"/>
            <w:bottom w:val="none" w:sz="0" w:space="0" w:color="auto"/>
            <w:right w:val="none" w:sz="0" w:space="0" w:color="auto"/>
          </w:divBdr>
        </w:div>
        <w:div w:id="1580675966">
          <w:marLeft w:val="640"/>
          <w:marRight w:val="0"/>
          <w:marTop w:val="0"/>
          <w:marBottom w:val="0"/>
          <w:divBdr>
            <w:top w:val="none" w:sz="0" w:space="0" w:color="auto"/>
            <w:left w:val="none" w:sz="0" w:space="0" w:color="auto"/>
            <w:bottom w:val="none" w:sz="0" w:space="0" w:color="auto"/>
            <w:right w:val="none" w:sz="0" w:space="0" w:color="auto"/>
          </w:divBdr>
        </w:div>
        <w:div w:id="157156576">
          <w:marLeft w:val="640"/>
          <w:marRight w:val="0"/>
          <w:marTop w:val="0"/>
          <w:marBottom w:val="0"/>
          <w:divBdr>
            <w:top w:val="none" w:sz="0" w:space="0" w:color="auto"/>
            <w:left w:val="none" w:sz="0" w:space="0" w:color="auto"/>
            <w:bottom w:val="none" w:sz="0" w:space="0" w:color="auto"/>
            <w:right w:val="none" w:sz="0" w:space="0" w:color="auto"/>
          </w:divBdr>
        </w:div>
        <w:div w:id="1380738989">
          <w:marLeft w:val="640"/>
          <w:marRight w:val="0"/>
          <w:marTop w:val="0"/>
          <w:marBottom w:val="0"/>
          <w:divBdr>
            <w:top w:val="none" w:sz="0" w:space="0" w:color="auto"/>
            <w:left w:val="none" w:sz="0" w:space="0" w:color="auto"/>
            <w:bottom w:val="none" w:sz="0" w:space="0" w:color="auto"/>
            <w:right w:val="none" w:sz="0" w:space="0" w:color="auto"/>
          </w:divBdr>
        </w:div>
        <w:div w:id="1830905575">
          <w:marLeft w:val="640"/>
          <w:marRight w:val="0"/>
          <w:marTop w:val="0"/>
          <w:marBottom w:val="0"/>
          <w:divBdr>
            <w:top w:val="none" w:sz="0" w:space="0" w:color="auto"/>
            <w:left w:val="none" w:sz="0" w:space="0" w:color="auto"/>
            <w:bottom w:val="none" w:sz="0" w:space="0" w:color="auto"/>
            <w:right w:val="none" w:sz="0" w:space="0" w:color="auto"/>
          </w:divBdr>
        </w:div>
        <w:div w:id="1960718954">
          <w:marLeft w:val="640"/>
          <w:marRight w:val="0"/>
          <w:marTop w:val="0"/>
          <w:marBottom w:val="0"/>
          <w:divBdr>
            <w:top w:val="none" w:sz="0" w:space="0" w:color="auto"/>
            <w:left w:val="none" w:sz="0" w:space="0" w:color="auto"/>
            <w:bottom w:val="none" w:sz="0" w:space="0" w:color="auto"/>
            <w:right w:val="none" w:sz="0" w:space="0" w:color="auto"/>
          </w:divBdr>
        </w:div>
        <w:div w:id="240867497">
          <w:marLeft w:val="640"/>
          <w:marRight w:val="0"/>
          <w:marTop w:val="0"/>
          <w:marBottom w:val="0"/>
          <w:divBdr>
            <w:top w:val="none" w:sz="0" w:space="0" w:color="auto"/>
            <w:left w:val="none" w:sz="0" w:space="0" w:color="auto"/>
            <w:bottom w:val="none" w:sz="0" w:space="0" w:color="auto"/>
            <w:right w:val="none" w:sz="0" w:space="0" w:color="auto"/>
          </w:divBdr>
        </w:div>
        <w:div w:id="1432698421">
          <w:marLeft w:val="640"/>
          <w:marRight w:val="0"/>
          <w:marTop w:val="0"/>
          <w:marBottom w:val="0"/>
          <w:divBdr>
            <w:top w:val="none" w:sz="0" w:space="0" w:color="auto"/>
            <w:left w:val="none" w:sz="0" w:space="0" w:color="auto"/>
            <w:bottom w:val="none" w:sz="0" w:space="0" w:color="auto"/>
            <w:right w:val="none" w:sz="0" w:space="0" w:color="auto"/>
          </w:divBdr>
        </w:div>
        <w:div w:id="1981231925">
          <w:marLeft w:val="640"/>
          <w:marRight w:val="0"/>
          <w:marTop w:val="0"/>
          <w:marBottom w:val="0"/>
          <w:divBdr>
            <w:top w:val="none" w:sz="0" w:space="0" w:color="auto"/>
            <w:left w:val="none" w:sz="0" w:space="0" w:color="auto"/>
            <w:bottom w:val="none" w:sz="0" w:space="0" w:color="auto"/>
            <w:right w:val="none" w:sz="0" w:space="0" w:color="auto"/>
          </w:divBdr>
        </w:div>
        <w:div w:id="1589848983">
          <w:marLeft w:val="640"/>
          <w:marRight w:val="0"/>
          <w:marTop w:val="0"/>
          <w:marBottom w:val="0"/>
          <w:divBdr>
            <w:top w:val="none" w:sz="0" w:space="0" w:color="auto"/>
            <w:left w:val="none" w:sz="0" w:space="0" w:color="auto"/>
            <w:bottom w:val="none" w:sz="0" w:space="0" w:color="auto"/>
            <w:right w:val="none" w:sz="0" w:space="0" w:color="auto"/>
          </w:divBdr>
        </w:div>
        <w:div w:id="1649286512">
          <w:marLeft w:val="640"/>
          <w:marRight w:val="0"/>
          <w:marTop w:val="0"/>
          <w:marBottom w:val="0"/>
          <w:divBdr>
            <w:top w:val="none" w:sz="0" w:space="0" w:color="auto"/>
            <w:left w:val="none" w:sz="0" w:space="0" w:color="auto"/>
            <w:bottom w:val="none" w:sz="0" w:space="0" w:color="auto"/>
            <w:right w:val="none" w:sz="0" w:space="0" w:color="auto"/>
          </w:divBdr>
        </w:div>
        <w:div w:id="1436365925">
          <w:marLeft w:val="640"/>
          <w:marRight w:val="0"/>
          <w:marTop w:val="0"/>
          <w:marBottom w:val="0"/>
          <w:divBdr>
            <w:top w:val="none" w:sz="0" w:space="0" w:color="auto"/>
            <w:left w:val="none" w:sz="0" w:space="0" w:color="auto"/>
            <w:bottom w:val="none" w:sz="0" w:space="0" w:color="auto"/>
            <w:right w:val="none" w:sz="0" w:space="0" w:color="auto"/>
          </w:divBdr>
        </w:div>
        <w:div w:id="1659461687">
          <w:marLeft w:val="640"/>
          <w:marRight w:val="0"/>
          <w:marTop w:val="0"/>
          <w:marBottom w:val="0"/>
          <w:divBdr>
            <w:top w:val="none" w:sz="0" w:space="0" w:color="auto"/>
            <w:left w:val="none" w:sz="0" w:space="0" w:color="auto"/>
            <w:bottom w:val="none" w:sz="0" w:space="0" w:color="auto"/>
            <w:right w:val="none" w:sz="0" w:space="0" w:color="auto"/>
          </w:divBdr>
        </w:div>
        <w:div w:id="890456689">
          <w:marLeft w:val="640"/>
          <w:marRight w:val="0"/>
          <w:marTop w:val="0"/>
          <w:marBottom w:val="0"/>
          <w:divBdr>
            <w:top w:val="none" w:sz="0" w:space="0" w:color="auto"/>
            <w:left w:val="none" w:sz="0" w:space="0" w:color="auto"/>
            <w:bottom w:val="none" w:sz="0" w:space="0" w:color="auto"/>
            <w:right w:val="none" w:sz="0" w:space="0" w:color="auto"/>
          </w:divBdr>
        </w:div>
      </w:divsChild>
    </w:div>
    <w:div w:id="2035183467">
      <w:bodyDiv w:val="1"/>
      <w:marLeft w:val="0"/>
      <w:marRight w:val="0"/>
      <w:marTop w:val="0"/>
      <w:marBottom w:val="0"/>
      <w:divBdr>
        <w:top w:val="none" w:sz="0" w:space="0" w:color="auto"/>
        <w:left w:val="none" w:sz="0" w:space="0" w:color="auto"/>
        <w:bottom w:val="none" w:sz="0" w:space="0" w:color="auto"/>
        <w:right w:val="none" w:sz="0" w:space="0" w:color="auto"/>
      </w:divBdr>
    </w:div>
    <w:div w:id="2037268528">
      <w:bodyDiv w:val="1"/>
      <w:marLeft w:val="0"/>
      <w:marRight w:val="0"/>
      <w:marTop w:val="0"/>
      <w:marBottom w:val="0"/>
      <w:divBdr>
        <w:top w:val="none" w:sz="0" w:space="0" w:color="auto"/>
        <w:left w:val="none" w:sz="0" w:space="0" w:color="auto"/>
        <w:bottom w:val="none" w:sz="0" w:space="0" w:color="auto"/>
        <w:right w:val="none" w:sz="0" w:space="0" w:color="auto"/>
      </w:divBdr>
    </w:div>
    <w:div w:id="2044161448">
      <w:bodyDiv w:val="1"/>
      <w:marLeft w:val="0"/>
      <w:marRight w:val="0"/>
      <w:marTop w:val="0"/>
      <w:marBottom w:val="0"/>
      <w:divBdr>
        <w:top w:val="none" w:sz="0" w:space="0" w:color="auto"/>
        <w:left w:val="none" w:sz="0" w:space="0" w:color="auto"/>
        <w:bottom w:val="none" w:sz="0" w:space="0" w:color="auto"/>
        <w:right w:val="none" w:sz="0" w:space="0" w:color="auto"/>
      </w:divBdr>
    </w:div>
    <w:div w:id="2072337783">
      <w:bodyDiv w:val="1"/>
      <w:marLeft w:val="0"/>
      <w:marRight w:val="0"/>
      <w:marTop w:val="0"/>
      <w:marBottom w:val="0"/>
      <w:divBdr>
        <w:top w:val="none" w:sz="0" w:space="0" w:color="auto"/>
        <w:left w:val="none" w:sz="0" w:space="0" w:color="auto"/>
        <w:bottom w:val="none" w:sz="0" w:space="0" w:color="auto"/>
        <w:right w:val="none" w:sz="0" w:space="0" w:color="auto"/>
      </w:divBdr>
      <w:divsChild>
        <w:div w:id="1445728754">
          <w:marLeft w:val="0"/>
          <w:marRight w:val="0"/>
          <w:marTop w:val="0"/>
          <w:marBottom w:val="0"/>
          <w:divBdr>
            <w:top w:val="none" w:sz="0" w:space="0" w:color="auto"/>
            <w:left w:val="none" w:sz="0" w:space="0" w:color="auto"/>
            <w:bottom w:val="none" w:sz="0" w:space="0" w:color="auto"/>
            <w:right w:val="none" w:sz="0" w:space="0" w:color="auto"/>
          </w:divBdr>
          <w:divsChild>
            <w:div w:id="2093113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45625">
      <w:bodyDiv w:val="1"/>
      <w:marLeft w:val="0"/>
      <w:marRight w:val="0"/>
      <w:marTop w:val="0"/>
      <w:marBottom w:val="0"/>
      <w:divBdr>
        <w:top w:val="none" w:sz="0" w:space="0" w:color="auto"/>
        <w:left w:val="none" w:sz="0" w:space="0" w:color="auto"/>
        <w:bottom w:val="none" w:sz="0" w:space="0" w:color="auto"/>
        <w:right w:val="none" w:sz="0" w:space="0" w:color="auto"/>
      </w:divBdr>
    </w:div>
    <w:div w:id="2094617767">
      <w:bodyDiv w:val="1"/>
      <w:marLeft w:val="0"/>
      <w:marRight w:val="0"/>
      <w:marTop w:val="0"/>
      <w:marBottom w:val="0"/>
      <w:divBdr>
        <w:top w:val="none" w:sz="0" w:space="0" w:color="auto"/>
        <w:left w:val="none" w:sz="0" w:space="0" w:color="auto"/>
        <w:bottom w:val="none" w:sz="0" w:space="0" w:color="auto"/>
        <w:right w:val="none" w:sz="0" w:space="0" w:color="auto"/>
      </w:divBdr>
    </w:div>
    <w:div w:id="2095126014">
      <w:bodyDiv w:val="1"/>
      <w:marLeft w:val="0"/>
      <w:marRight w:val="0"/>
      <w:marTop w:val="0"/>
      <w:marBottom w:val="0"/>
      <w:divBdr>
        <w:top w:val="none" w:sz="0" w:space="0" w:color="auto"/>
        <w:left w:val="none" w:sz="0" w:space="0" w:color="auto"/>
        <w:bottom w:val="none" w:sz="0" w:space="0" w:color="auto"/>
        <w:right w:val="none" w:sz="0" w:space="0" w:color="auto"/>
      </w:divBdr>
    </w:div>
    <w:div w:id="2099475142">
      <w:bodyDiv w:val="1"/>
      <w:marLeft w:val="0"/>
      <w:marRight w:val="0"/>
      <w:marTop w:val="0"/>
      <w:marBottom w:val="0"/>
      <w:divBdr>
        <w:top w:val="none" w:sz="0" w:space="0" w:color="auto"/>
        <w:left w:val="none" w:sz="0" w:space="0" w:color="auto"/>
        <w:bottom w:val="none" w:sz="0" w:space="0" w:color="auto"/>
        <w:right w:val="none" w:sz="0" w:space="0" w:color="auto"/>
      </w:divBdr>
      <w:divsChild>
        <w:div w:id="1857672">
          <w:marLeft w:val="640"/>
          <w:marRight w:val="0"/>
          <w:marTop w:val="0"/>
          <w:marBottom w:val="0"/>
          <w:divBdr>
            <w:top w:val="none" w:sz="0" w:space="0" w:color="auto"/>
            <w:left w:val="none" w:sz="0" w:space="0" w:color="auto"/>
            <w:bottom w:val="none" w:sz="0" w:space="0" w:color="auto"/>
            <w:right w:val="none" w:sz="0" w:space="0" w:color="auto"/>
          </w:divBdr>
        </w:div>
        <w:div w:id="1235049114">
          <w:marLeft w:val="640"/>
          <w:marRight w:val="0"/>
          <w:marTop w:val="0"/>
          <w:marBottom w:val="0"/>
          <w:divBdr>
            <w:top w:val="none" w:sz="0" w:space="0" w:color="auto"/>
            <w:left w:val="none" w:sz="0" w:space="0" w:color="auto"/>
            <w:bottom w:val="none" w:sz="0" w:space="0" w:color="auto"/>
            <w:right w:val="none" w:sz="0" w:space="0" w:color="auto"/>
          </w:divBdr>
        </w:div>
        <w:div w:id="2060741430">
          <w:marLeft w:val="640"/>
          <w:marRight w:val="0"/>
          <w:marTop w:val="0"/>
          <w:marBottom w:val="0"/>
          <w:divBdr>
            <w:top w:val="none" w:sz="0" w:space="0" w:color="auto"/>
            <w:left w:val="none" w:sz="0" w:space="0" w:color="auto"/>
            <w:bottom w:val="none" w:sz="0" w:space="0" w:color="auto"/>
            <w:right w:val="none" w:sz="0" w:space="0" w:color="auto"/>
          </w:divBdr>
        </w:div>
        <w:div w:id="1574588706">
          <w:marLeft w:val="640"/>
          <w:marRight w:val="0"/>
          <w:marTop w:val="0"/>
          <w:marBottom w:val="0"/>
          <w:divBdr>
            <w:top w:val="none" w:sz="0" w:space="0" w:color="auto"/>
            <w:left w:val="none" w:sz="0" w:space="0" w:color="auto"/>
            <w:bottom w:val="none" w:sz="0" w:space="0" w:color="auto"/>
            <w:right w:val="none" w:sz="0" w:space="0" w:color="auto"/>
          </w:divBdr>
        </w:div>
        <w:div w:id="1181043091">
          <w:marLeft w:val="640"/>
          <w:marRight w:val="0"/>
          <w:marTop w:val="0"/>
          <w:marBottom w:val="0"/>
          <w:divBdr>
            <w:top w:val="none" w:sz="0" w:space="0" w:color="auto"/>
            <w:left w:val="none" w:sz="0" w:space="0" w:color="auto"/>
            <w:bottom w:val="none" w:sz="0" w:space="0" w:color="auto"/>
            <w:right w:val="none" w:sz="0" w:space="0" w:color="auto"/>
          </w:divBdr>
        </w:div>
        <w:div w:id="757600501">
          <w:marLeft w:val="640"/>
          <w:marRight w:val="0"/>
          <w:marTop w:val="0"/>
          <w:marBottom w:val="0"/>
          <w:divBdr>
            <w:top w:val="none" w:sz="0" w:space="0" w:color="auto"/>
            <w:left w:val="none" w:sz="0" w:space="0" w:color="auto"/>
            <w:bottom w:val="none" w:sz="0" w:space="0" w:color="auto"/>
            <w:right w:val="none" w:sz="0" w:space="0" w:color="auto"/>
          </w:divBdr>
        </w:div>
        <w:div w:id="1535461370">
          <w:marLeft w:val="640"/>
          <w:marRight w:val="0"/>
          <w:marTop w:val="0"/>
          <w:marBottom w:val="0"/>
          <w:divBdr>
            <w:top w:val="none" w:sz="0" w:space="0" w:color="auto"/>
            <w:left w:val="none" w:sz="0" w:space="0" w:color="auto"/>
            <w:bottom w:val="none" w:sz="0" w:space="0" w:color="auto"/>
            <w:right w:val="none" w:sz="0" w:space="0" w:color="auto"/>
          </w:divBdr>
        </w:div>
        <w:div w:id="186601209">
          <w:marLeft w:val="640"/>
          <w:marRight w:val="0"/>
          <w:marTop w:val="0"/>
          <w:marBottom w:val="0"/>
          <w:divBdr>
            <w:top w:val="none" w:sz="0" w:space="0" w:color="auto"/>
            <w:left w:val="none" w:sz="0" w:space="0" w:color="auto"/>
            <w:bottom w:val="none" w:sz="0" w:space="0" w:color="auto"/>
            <w:right w:val="none" w:sz="0" w:space="0" w:color="auto"/>
          </w:divBdr>
        </w:div>
        <w:div w:id="1353845709">
          <w:marLeft w:val="640"/>
          <w:marRight w:val="0"/>
          <w:marTop w:val="0"/>
          <w:marBottom w:val="0"/>
          <w:divBdr>
            <w:top w:val="none" w:sz="0" w:space="0" w:color="auto"/>
            <w:left w:val="none" w:sz="0" w:space="0" w:color="auto"/>
            <w:bottom w:val="none" w:sz="0" w:space="0" w:color="auto"/>
            <w:right w:val="none" w:sz="0" w:space="0" w:color="auto"/>
          </w:divBdr>
        </w:div>
        <w:div w:id="1123305604">
          <w:marLeft w:val="640"/>
          <w:marRight w:val="0"/>
          <w:marTop w:val="0"/>
          <w:marBottom w:val="0"/>
          <w:divBdr>
            <w:top w:val="none" w:sz="0" w:space="0" w:color="auto"/>
            <w:left w:val="none" w:sz="0" w:space="0" w:color="auto"/>
            <w:bottom w:val="none" w:sz="0" w:space="0" w:color="auto"/>
            <w:right w:val="none" w:sz="0" w:space="0" w:color="auto"/>
          </w:divBdr>
        </w:div>
        <w:div w:id="1023751016">
          <w:marLeft w:val="640"/>
          <w:marRight w:val="0"/>
          <w:marTop w:val="0"/>
          <w:marBottom w:val="0"/>
          <w:divBdr>
            <w:top w:val="none" w:sz="0" w:space="0" w:color="auto"/>
            <w:left w:val="none" w:sz="0" w:space="0" w:color="auto"/>
            <w:bottom w:val="none" w:sz="0" w:space="0" w:color="auto"/>
            <w:right w:val="none" w:sz="0" w:space="0" w:color="auto"/>
          </w:divBdr>
        </w:div>
        <w:div w:id="1858497620">
          <w:marLeft w:val="640"/>
          <w:marRight w:val="0"/>
          <w:marTop w:val="0"/>
          <w:marBottom w:val="0"/>
          <w:divBdr>
            <w:top w:val="none" w:sz="0" w:space="0" w:color="auto"/>
            <w:left w:val="none" w:sz="0" w:space="0" w:color="auto"/>
            <w:bottom w:val="none" w:sz="0" w:space="0" w:color="auto"/>
            <w:right w:val="none" w:sz="0" w:space="0" w:color="auto"/>
          </w:divBdr>
        </w:div>
        <w:div w:id="1442333705">
          <w:marLeft w:val="640"/>
          <w:marRight w:val="0"/>
          <w:marTop w:val="0"/>
          <w:marBottom w:val="0"/>
          <w:divBdr>
            <w:top w:val="none" w:sz="0" w:space="0" w:color="auto"/>
            <w:left w:val="none" w:sz="0" w:space="0" w:color="auto"/>
            <w:bottom w:val="none" w:sz="0" w:space="0" w:color="auto"/>
            <w:right w:val="none" w:sz="0" w:space="0" w:color="auto"/>
          </w:divBdr>
        </w:div>
        <w:div w:id="376510819">
          <w:marLeft w:val="640"/>
          <w:marRight w:val="0"/>
          <w:marTop w:val="0"/>
          <w:marBottom w:val="0"/>
          <w:divBdr>
            <w:top w:val="none" w:sz="0" w:space="0" w:color="auto"/>
            <w:left w:val="none" w:sz="0" w:space="0" w:color="auto"/>
            <w:bottom w:val="none" w:sz="0" w:space="0" w:color="auto"/>
            <w:right w:val="none" w:sz="0" w:space="0" w:color="auto"/>
          </w:divBdr>
        </w:div>
        <w:div w:id="1539319594">
          <w:marLeft w:val="640"/>
          <w:marRight w:val="0"/>
          <w:marTop w:val="0"/>
          <w:marBottom w:val="0"/>
          <w:divBdr>
            <w:top w:val="none" w:sz="0" w:space="0" w:color="auto"/>
            <w:left w:val="none" w:sz="0" w:space="0" w:color="auto"/>
            <w:bottom w:val="none" w:sz="0" w:space="0" w:color="auto"/>
            <w:right w:val="none" w:sz="0" w:space="0" w:color="auto"/>
          </w:divBdr>
        </w:div>
        <w:div w:id="2069724001">
          <w:marLeft w:val="640"/>
          <w:marRight w:val="0"/>
          <w:marTop w:val="0"/>
          <w:marBottom w:val="0"/>
          <w:divBdr>
            <w:top w:val="none" w:sz="0" w:space="0" w:color="auto"/>
            <w:left w:val="none" w:sz="0" w:space="0" w:color="auto"/>
            <w:bottom w:val="none" w:sz="0" w:space="0" w:color="auto"/>
            <w:right w:val="none" w:sz="0" w:space="0" w:color="auto"/>
          </w:divBdr>
        </w:div>
        <w:div w:id="367798247">
          <w:marLeft w:val="640"/>
          <w:marRight w:val="0"/>
          <w:marTop w:val="0"/>
          <w:marBottom w:val="0"/>
          <w:divBdr>
            <w:top w:val="none" w:sz="0" w:space="0" w:color="auto"/>
            <w:left w:val="none" w:sz="0" w:space="0" w:color="auto"/>
            <w:bottom w:val="none" w:sz="0" w:space="0" w:color="auto"/>
            <w:right w:val="none" w:sz="0" w:space="0" w:color="auto"/>
          </w:divBdr>
        </w:div>
        <w:div w:id="993334043">
          <w:marLeft w:val="640"/>
          <w:marRight w:val="0"/>
          <w:marTop w:val="0"/>
          <w:marBottom w:val="0"/>
          <w:divBdr>
            <w:top w:val="none" w:sz="0" w:space="0" w:color="auto"/>
            <w:left w:val="none" w:sz="0" w:space="0" w:color="auto"/>
            <w:bottom w:val="none" w:sz="0" w:space="0" w:color="auto"/>
            <w:right w:val="none" w:sz="0" w:space="0" w:color="auto"/>
          </w:divBdr>
        </w:div>
        <w:div w:id="1827281551">
          <w:marLeft w:val="640"/>
          <w:marRight w:val="0"/>
          <w:marTop w:val="0"/>
          <w:marBottom w:val="0"/>
          <w:divBdr>
            <w:top w:val="none" w:sz="0" w:space="0" w:color="auto"/>
            <w:left w:val="none" w:sz="0" w:space="0" w:color="auto"/>
            <w:bottom w:val="none" w:sz="0" w:space="0" w:color="auto"/>
            <w:right w:val="none" w:sz="0" w:space="0" w:color="auto"/>
          </w:divBdr>
        </w:div>
        <w:div w:id="2133553643">
          <w:marLeft w:val="640"/>
          <w:marRight w:val="0"/>
          <w:marTop w:val="0"/>
          <w:marBottom w:val="0"/>
          <w:divBdr>
            <w:top w:val="none" w:sz="0" w:space="0" w:color="auto"/>
            <w:left w:val="none" w:sz="0" w:space="0" w:color="auto"/>
            <w:bottom w:val="none" w:sz="0" w:space="0" w:color="auto"/>
            <w:right w:val="none" w:sz="0" w:space="0" w:color="auto"/>
          </w:divBdr>
        </w:div>
        <w:div w:id="281695662">
          <w:marLeft w:val="640"/>
          <w:marRight w:val="0"/>
          <w:marTop w:val="0"/>
          <w:marBottom w:val="0"/>
          <w:divBdr>
            <w:top w:val="none" w:sz="0" w:space="0" w:color="auto"/>
            <w:left w:val="none" w:sz="0" w:space="0" w:color="auto"/>
            <w:bottom w:val="none" w:sz="0" w:space="0" w:color="auto"/>
            <w:right w:val="none" w:sz="0" w:space="0" w:color="auto"/>
          </w:divBdr>
        </w:div>
        <w:div w:id="34549723">
          <w:marLeft w:val="640"/>
          <w:marRight w:val="0"/>
          <w:marTop w:val="0"/>
          <w:marBottom w:val="0"/>
          <w:divBdr>
            <w:top w:val="none" w:sz="0" w:space="0" w:color="auto"/>
            <w:left w:val="none" w:sz="0" w:space="0" w:color="auto"/>
            <w:bottom w:val="none" w:sz="0" w:space="0" w:color="auto"/>
            <w:right w:val="none" w:sz="0" w:space="0" w:color="auto"/>
          </w:divBdr>
        </w:div>
        <w:div w:id="1178302828">
          <w:marLeft w:val="640"/>
          <w:marRight w:val="0"/>
          <w:marTop w:val="0"/>
          <w:marBottom w:val="0"/>
          <w:divBdr>
            <w:top w:val="none" w:sz="0" w:space="0" w:color="auto"/>
            <w:left w:val="none" w:sz="0" w:space="0" w:color="auto"/>
            <w:bottom w:val="none" w:sz="0" w:space="0" w:color="auto"/>
            <w:right w:val="none" w:sz="0" w:space="0" w:color="auto"/>
          </w:divBdr>
        </w:div>
      </w:divsChild>
    </w:div>
    <w:div w:id="2114935285">
      <w:bodyDiv w:val="1"/>
      <w:marLeft w:val="0"/>
      <w:marRight w:val="0"/>
      <w:marTop w:val="0"/>
      <w:marBottom w:val="0"/>
      <w:divBdr>
        <w:top w:val="none" w:sz="0" w:space="0" w:color="auto"/>
        <w:left w:val="none" w:sz="0" w:space="0" w:color="auto"/>
        <w:bottom w:val="none" w:sz="0" w:space="0" w:color="auto"/>
        <w:right w:val="none" w:sz="0" w:space="0" w:color="auto"/>
      </w:divBdr>
      <w:divsChild>
        <w:div w:id="86464415">
          <w:marLeft w:val="0"/>
          <w:marRight w:val="0"/>
          <w:marTop w:val="0"/>
          <w:marBottom w:val="0"/>
          <w:divBdr>
            <w:top w:val="none" w:sz="0" w:space="0" w:color="auto"/>
            <w:left w:val="none" w:sz="0" w:space="0" w:color="auto"/>
            <w:bottom w:val="none" w:sz="0" w:space="0" w:color="auto"/>
            <w:right w:val="none" w:sz="0" w:space="0" w:color="auto"/>
          </w:divBdr>
        </w:div>
      </w:divsChild>
    </w:div>
    <w:div w:id="2138061544">
      <w:bodyDiv w:val="1"/>
      <w:marLeft w:val="0"/>
      <w:marRight w:val="0"/>
      <w:marTop w:val="0"/>
      <w:marBottom w:val="0"/>
      <w:divBdr>
        <w:top w:val="none" w:sz="0" w:space="0" w:color="auto"/>
        <w:left w:val="none" w:sz="0" w:space="0" w:color="auto"/>
        <w:bottom w:val="none" w:sz="0" w:space="0" w:color="auto"/>
        <w:right w:val="none" w:sz="0" w:space="0" w:color="auto"/>
      </w:divBdr>
    </w:div>
    <w:div w:id="2145653379">
      <w:bodyDiv w:val="1"/>
      <w:marLeft w:val="0"/>
      <w:marRight w:val="0"/>
      <w:marTop w:val="0"/>
      <w:marBottom w:val="0"/>
      <w:divBdr>
        <w:top w:val="none" w:sz="0" w:space="0" w:color="auto"/>
        <w:left w:val="none" w:sz="0" w:space="0" w:color="auto"/>
        <w:bottom w:val="none" w:sz="0" w:space="0" w:color="auto"/>
        <w:right w:val="none" w:sz="0" w:space="0" w:color="auto"/>
      </w:divBdr>
      <w:divsChild>
        <w:div w:id="904990879">
          <w:marLeft w:val="640"/>
          <w:marRight w:val="0"/>
          <w:marTop w:val="0"/>
          <w:marBottom w:val="0"/>
          <w:divBdr>
            <w:top w:val="none" w:sz="0" w:space="0" w:color="auto"/>
            <w:left w:val="none" w:sz="0" w:space="0" w:color="auto"/>
            <w:bottom w:val="none" w:sz="0" w:space="0" w:color="auto"/>
            <w:right w:val="none" w:sz="0" w:space="0" w:color="auto"/>
          </w:divBdr>
        </w:div>
        <w:div w:id="5836712">
          <w:marLeft w:val="640"/>
          <w:marRight w:val="0"/>
          <w:marTop w:val="0"/>
          <w:marBottom w:val="0"/>
          <w:divBdr>
            <w:top w:val="none" w:sz="0" w:space="0" w:color="auto"/>
            <w:left w:val="none" w:sz="0" w:space="0" w:color="auto"/>
            <w:bottom w:val="none" w:sz="0" w:space="0" w:color="auto"/>
            <w:right w:val="none" w:sz="0" w:space="0" w:color="auto"/>
          </w:divBdr>
        </w:div>
        <w:div w:id="553851963">
          <w:marLeft w:val="640"/>
          <w:marRight w:val="0"/>
          <w:marTop w:val="0"/>
          <w:marBottom w:val="0"/>
          <w:divBdr>
            <w:top w:val="none" w:sz="0" w:space="0" w:color="auto"/>
            <w:left w:val="none" w:sz="0" w:space="0" w:color="auto"/>
            <w:bottom w:val="none" w:sz="0" w:space="0" w:color="auto"/>
            <w:right w:val="none" w:sz="0" w:space="0" w:color="auto"/>
          </w:divBdr>
        </w:div>
        <w:div w:id="1781610069">
          <w:marLeft w:val="640"/>
          <w:marRight w:val="0"/>
          <w:marTop w:val="0"/>
          <w:marBottom w:val="0"/>
          <w:divBdr>
            <w:top w:val="none" w:sz="0" w:space="0" w:color="auto"/>
            <w:left w:val="none" w:sz="0" w:space="0" w:color="auto"/>
            <w:bottom w:val="none" w:sz="0" w:space="0" w:color="auto"/>
            <w:right w:val="none" w:sz="0" w:space="0" w:color="auto"/>
          </w:divBdr>
        </w:div>
        <w:div w:id="1943877355">
          <w:marLeft w:val="640"/>
          <w:marRight w:val="0"/>
          <w:marTop w:val="0"/>
          <w:marBottom w:val="0"/>
          <w:divBdr>
            <w:top w:val="none" w:sz="0" w:space="0" w:color="auto"/>
            <w:left w:val="none" w:sz="0" w:space="0" w:color="auto"/>
            <w:bottom w:val="none" w:sz="0" w:space="0" w:color="auto"/>
            <w:right w:val="none" w:sz="0" w:space="0" w:color="auto"/>
          </w:divBdr>
        </w:div>
        <w:div w:id="146019077">
          <w:marLeft w:val="640"/>
          <w:marRight w:val="0"/>
          <w:marTop w:val="0"/>
          <w:marBottom w:val="0"/>
          <w:divBdr>
            <w:top w:val="none" w:sz="0" w:space="0" w:color="auto"/>
            <w:left w:val="none" w:sz="0" w:space="0" w:color="auto"/>
            <w:bottom w:val="none" w:sz="0" w:space="0" w:color="auto"/>
            <w:right w:val="none" w:sz="0" w:space="0" w:color="auto"/>
          </w:divBdr>
        </w:div>
        <w:div w:id="26488342">
          <w:marLeft w:val="640"/>
          <w:marRight w:val="0"/>
          <w:marTop w:val="0"/>
          <w:marBottom w:val="0"/>
          <w:divBdr>
            <w:top w:val="none" w:sz="0" w:space="0" w:color="auto"/>
            <w:left w:val="none" w:sz="0" w:space="0" w:color="auto"/>
            <w:bottom w:val="none" w:sz="0" w:space="0" w:color="auto"/>
            <w:right w:val="none" w:sz="0" w:space="0" w:color="auto"/>
          </w:divBdr>
        </w:div>
        <w:div w:id="733085738">
          <w:marLeft w:val="640"/>
          <w:marRight w:val="0"/>
          <w:marTop w:val="0"/>
          <w:marBottom w:val="0"/>
          <w:divBdr>
            <w:top w:val="none" w:sz="0" w:space="0" w:color="auto"/>
            <w:left w:val="none" w:sz="0" w:space="0" w:color="auto"/>
            <w:bottom w:val="none" w:sz="0" w:space="0" w:color="auto"/>
            <w:right w:val="none" w:sz="0" w:space="0" w:color="auto"/>
          </w:divBdr>
        </w:div>
        <w:div w:id="737361547">
          <w:marLeft w:val="640"/>
          <w:marRight w:val="0"/>
          <w:marTop w:val="0"/>
          <w:marBottom w:val="0"/>
          <w:divBdr>
            <w:top w:val="none" w:sz="0" w:space="0" w:color="auto"/>
            <w:left w:val="none" w:sz="0" w:space="0" w:color="auto"/>
            <w:bottom w:val="none" w:sz="0" w:space="0" w:color="auto"/>
            <w:right w:val="none" w:sz="0" w:space="0" w:color="auto"/>
          </w:divBdr>
        </w:div>
        <w:div w:id="1343362478">
          <w:marLeft w:val="640"/>
          <w:marRight w:val="0"/>
          <w:marTop w:val="0"/>
          <w:marBottom w:val="0"/>
          <w:divBdr>
            <w:top w:val="none" w:sz="0" w:space="0" w:color="auto"/>
            <w:left w:val="none" w:sz="0" w:space="0" w:color="auto"/>
            <w:bottom w:val="none" w:sz="0" w:space="0" w:color="auto"/>
            <w:right w:val="none" w:sz="0" w:space="0" w:color="auto"/>
          </w:divBdr>
        </w:div>
        <w:div w:id="194000057">
          <w:marLeft w:val="640"/>
          <w:marRight w:val="0"/>
          <w:marTop w:val="0"/>
          <w:marBottom w:val="0"/>
          <w:divBdr>
            <w:top w:val="none" w:sz="0" w:space="0" w:color="auto"/>
            <w:left w:val="none" w:sz="0" w:space="0" w:color="auto"/>
            <w:bottom w:val="none" w:sz="0" w:space="0" w:color="auto"/>
            <w:right w:val="none" w:sz="0" w:space="0" w:color="auto"/>
          </w:divBdr>
        </w:div>
        <w:div w:id="891692766">
          <w:marLeft w:val="640"/>
          <w:marRight w:val="0"/>
          <w:marTop w:val="0"/>
          <w:marBottom w:val="0"/>
          <w:divBdr>
            <w:top w:val="none" w:sz="0" w:space="0" w:color="auto"/>
            <w:left w:val="none" w:sz="0" w:space="0" w:color="auto"/>
            <w:bottom w:val="none" w:sz="0" w:space="0" w:color="auto"/>
            <w:right w:val="none" w:sz="0" w:space="0" w:color="auto"/>
          </w:divBdr>
        </w:div>
        <w:div w:id="1720351499">
          <w:marLeft w:val="640"/>
          <w:marRight w:val="0"/>
          <w:marTop w:val="0"/>
          <w:marBottom w:val="0"/>
          <w:divBdr>
            <w:top w:val="none" w:sz="0" w:space="0" w:color="auto"/>
            <w:left w:val="none" w:sz="0" w:space="0" w:color="auto"/>
            <w:bottom w:val="none" w:sz="0" w:space="0" w:color="auto"/>
            <w:right w:val="none" w:sz="0" w:space="0" w:color="auto"/>
          </w:divBdr>
        </w:div>
        <w:div w:id="354235962">
          <w:marLeft w:val="640"/>
          <w:marRight w:val="0"/>
          <w:marTop w:val="0"/>
          <w:marBottom w:val="0"/>
          <w:divBdr>
            <w:top w:val="none" w:sz="0" w:space="0" w:color="auto"/>
            <w:left w:val="none" w:sz="0" w:space="0" w:color="auto"/>
            <w:bottom w:val="none" w:sz="0" w:space="0" w:color="auto"/>
            <w:right w:val="none" w:sz="0" w:space="0" w:color="auto"/>
          </w:divBdr>
        </w:div>
        <w:div w:id="1728454437">
          <w:marLeft w:val="640"/>
          <w:marRight w:val="0"/>
          <w:marTop w:val="0"/>
          <w:marBottom w:val="0"/>
          <w:divBdr>
            <w:top w:val="none" w:sz="0" w:space="0" w:color="auto"/>
            <w:left w:val="none" w:sz="0" w:space="0" w:color="auto"/>
            <w:bottom w:val="none" w:sz="0" w:space="0" w:color="auto"/>
            <w:right w:val="none" w:sz="0" w:space="0" w:color="auto"/>
          </w:divBdr>
        </w:div>
        <w:div w:id="1955868521">
          <w:marLeft w:val="640"/>
          <w:marRight w:val="0"/>
          <w:marTop w:val="0"/>
          <w:marBottom w:val="0"/>
          <w:divBdr>
            <w:top w:val="none" w:sz="0" w:space="0" w:color="auto"/>
            <w:left w:val="none" w:sz="0" w:space="0" w:color="auto"/>
            <w:bottom w:val="none" w:sz="0" w:space="0" w:color="auto"/>
            <w:right w:val="none" w:sz="0" w:space="0" w:color="auto"/>
          </w:divBdr>
        </w:div>
        <w:div w:id="1258443701">
          <w:marLeft w:val="640"/>
          <w:marRight w:val="0"/>
          <w:marTop w:val="0"/>
          <w:marBottom w:val="0"/>
          <w:divBdr>
            <w:top w:val="none" w:sz="0" w:space="0" w:color="auto"/>
            <w:left w:val="none" w:sz="0" w:space="0" w:color="auto"/>
            <w:bottom w:val="none" w:sz="0" w:space="0" w:color="auto"/>
            <w:right w:val="none" w:sz="0" w:space="0" w:color="auto"/>
          </w:divBdr>
        </w:div>
        <w:div w:id="1837382067">
          <w:marLeft w:val="640"/>
          <w:marRight w:val="0"/>
          <w:marTop w:val="0"/>
          <w:marBottom w:val="0"/>
          <w:divBdr>
            <w:top w:val="none" w:sz="0" w:space="0" w:color="auto"/>
            <w:left w:val="none" w:sz="0" w:space="0" w:color="auto"/>
            <w:bottom w:val="none" w:sz="0" w:space="0" w:color="auto"/>
            <w:right w:val="none" w:sz="0" w:space="0" w:color="auto"/>
          </w:divBdr>
        </w:div>
        <w:div w:id="275528777">
          <w:marLeft w:val="640"/>
          <w:marRight w:val="0"/>
          <w:marTop w:val="0"/>
          <w:marBottom w:val="0"/>
          <w:divBdr>
            <w:top w:val="none" w:sz="0" w:space="0" w:color="auto"/>
            <w:left w:val="none" w:sz="0" w:space="0" w:color="auto"/>
            <w:bottom w:val="none" w:sz="0" w:space="0" w:color="auto"/>
            <w:right w:val="none" w:sz="0" w:space="0" w:color="auto"/>
          </w:divBdr>
        </w:div>
        <w:div w:id="976957950">
          <w:marLeft w:val="640"/>
          <w:marRight w:val="0"/>
          <w:marTop w:val="0"/>
          <w:marBottom w:val="0"/>
          <w:divBdr>
            <w:top w:val="none" w:sz="0" w:space="0" w:color="auto"/>
            <w:left w:val="none" w:sz="0" w:space="0" w:color="auto"/>
            <w:bottom w:val="none" w:sz="0" w:space="0" w:color="auto"/>
            <w:right w:val="none" w:sz="0" w:space="0" w:color="auto"/>
          </w:divBdr>
        </w:div>
        <w:div w:id="1226529398">
          <w:marLeft w:val="640"/>
          <w:marRight w:val="0"/>
          <w:marTop w:val="0"/>
          <w:marBottom w:val="0"/>
          <w:divBdr>
            <w:top w:val="none" w:sz="0" w:space="0" w:color="auto"/>
            <w:left w:val="none" w:sz="0" w:space="0" w:color="auto"/>
            <w:bottom w:val="none" w:sz="0" w:space="0" w:color="auto"/>
            <w:right w:val="none" w:sz="0" w:space="0" w:color="auto"/>
          </w:divBdr>
        </w:div>
        <w:div w:id="1781609796">
          <w:marLeft w:val="640"/>
          <w:marRight w:val="0"/>
          <w:marTop w:val="0"/>
          <w:marBottom w:val="0"/>
          <w:divBdr>
            <w:top w:val="none" w:sz="0" w:space="0" w:color="auto"/>
            <w:left w:val="none" w:sz="0" w:space="0" w:color="auto"/>
            <w:bottom w:val="none" w:sz="0" w:space="0" w:color="auto"/>
            <w:right w:val="none" w:sz="0" w:space="0" w:color="auto"/>
          </w:divBdr>
        </w:div>
        <w:div w:id="1379552152">
          <w:marLeft w:val="640"/>
          <w:marRight w:val="0"/>
          <w:marTop w:val="0"/>
          <w:marBottom w:val="0"/>
          <w:divBdr>
            <w:top w:val="none" w:sz="0" w:space="0" w:color="auto"/>
            <w:left w:val="none" w:sz="0" w:space="0" w:color="auto"/>
            <w:bottom w:val="none" w:sz="0" w:space="0" w:color="auto"/>
            <w:right w:val="none" w:sz="0" w:space="0" w:color="auto"/>
          </w:divBdr>
        </w:div>
        <w:div w:id="1748527482">
          <w:marLeft w:val="640"/>
          <w:marRight w:val="0"/>
          <w:marTop w:val="0"/>
          <w:marBottom w:val="0"/>
          <w:divBdr>
            <w:top w:val="none" w:sz="0" w:space="0" w:color="auto"/>
            <w:left w:val="none" w:sz="0" w:space="0" w:color="auto"/>
            <w:bottom w:val="none" w:sz="0" w:space="0" w:color="auto"/>
            <w:right w:val="none" w:sz="0" w:space="0" w:color="auto"/>
          </w:divBdr>
        </w:div>
        <w:div w:id="1294943389">
          <w:marLeft w:val="640"/>
          <w:marRight w:val="0"/>
          <w:marTop w:val="0"/>
          <w:marBottom w:val="0"/>
          <w:divBdr>
            <w:top w:val="none" w:sz="0" w:space="0" w:color="auto"/>
            <w:left w:val="none" w:sz="0" w:space="0" w:color="auto"/>
            <w:bottom w:val="none" w:sz="0" w:space="0" w:color="auto"/>
            <w:right w:val="none" w:sz="0" w:space="0" w:color="auto"/>
          </w:divBdr>
        </w:div>
        <w:div w:id="2110588354">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DBCC448-687D-45BB-85DB-74505D27A3DC}">
  <we:reference id="wa104382081" version="1.55.1.0" store="en-US" storeType="OMEX"/>
  <we:alternateReferences>
    <we:reference id="wa104382081" version="1.55.1.0" store="en-US" storeType="OMEX"/>
  </we:alternateReferences>
  <we:properties>
    <we:property name="MENDELEY_CITATIONS" value="[{&quot;citationID&quot;:&quot;MENDELEY_CITATION_b0732888-b213-4f79-ad64-7266c2adf796&quot;,&quot;properties&quot;:{&quot;noteIndex&quot;:0},&quot;isEdited&quot;:false,&quot;manualOverride&quot;:{&quot;isManuallyOverridden&quot;:false,&quot;citeprocText&quot;:&quot;[1, 2]&quot;,&quot;manualOverrideText&quot;:&quot;&quot;},&quot;citationTag&quot;:&quot;MENDELEY_CITATION_v3_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&quot;,&quot;citationItems&quot;:[{&quot;id&quot;:&quot;0a538aa4-eb74-3cd5-a4c6-3d50b2947c50&quot;,&quot;itemData&quot;:{&quot;type&quot;:&quot;article-journal&quot;,&quot;id&quot;:&quot;0a538aa4-eb74-3cd5-a4c6-3d50b2947c50&quot;,&quot;title&quot;:&quot;Assessment of fracture risk and its application to screening for postmenopausal  osteoporosis. Report of a WHO Study Group.&quot;,&quot;container-title&quot;:&quot;World Health Organization technical report series&quot;,&quot;container-title-short&quot;:&quot;World Health Organ Tech Rep Ser&quot;,&quot;ISSN&quot;:&quot;0512-3054 (Print)&quot;,&quot;PMID&quot;:&quot;7941614&quot;,&quot;issued&quot;:{&quot;date-parts&quot;:[[1994]]},&quot;publisher-place&quot;:&quot;Switzerland&quot;,&quot;page&quot;:&quot;1-129&quot;,&quot;language&quot;:&quot;eng&quot;,&quot;volume&quot;:&quot;843&quot;},&quot;isTemporary&quot;:false},{&quot;id&quot;:&quot;ced1ad5f-2cea-3020-8dbf-1ac819696585&quot;,&quot;itemData&quot;:{&quot;type&quot;:&quot;article-journal&quot;,&quot;id&quot;:&quot;ced1ad5f-2cea-3020-8dbf-1ac819696585&quot;,&quot;title&quot;:&quot;Osteoporosis in the European Union: medical management, epidemiology and economic burden: A report prepared in collaboration with the International Osteoporosis Foundation (IOF) and the European Federation of Pharmaceutical Industry Associations (EFPIA)&quot;,&quot;author&quot;:[{&quot;family&quot;:&quot;Hernlund&quot;,&quot;given&quot;:&quot;E.&quot;,&quot;parse-names&quot;:false,&quot;dropping-particle&quot;:&quot;&quot;,&quot;non-dropping-particle&quot;:&quot;&quot;},{&quot;family&quot;:&quot;Svedbom&quot;,&quot;given&quot;:&quot;A.&quot;,&quot;parse-names&quot;:false,&quot;dropping-particle&quot;:&quot;&quot;,&quot;non-dropping-particle&quot;:&quot;&quot;},{&quot;family&quot;:&quot;Ivergård&quot;,&quot;given&quot;:&quot;M.&quot;,&quot;parse-names&quot;:false,&quot;dropping-particle&quot;:&quot;&quot;,&quot;non-dropping-particle&quot;:&quot;&quot;},{&quot;family&quot;:&quot;Compston&quot;,&quot;given&quot;:&quot;J.&quot;,&quot;parse-names&quot;:false,&quot;dropping-particle&quot;:&quot;&quot;,&quot;non-dropping-particle&quot;:&quot;&quot;},{&quot;family&quot;:&quot;Cooper&quot;,&quot;given&quot;:&quot;C.&quot;,&quot;parse-names&quot;:false,&quot;dropping-particle&quot;:&quot;&quot;,&quot;non-dropping-particle&quot;:&quot;&quot;},{&quot;family&quot;:&quot;Stenmark&quot;,&quot;given&quot;:&quot;J.&quot;,&quot;parse-names&quot;:false,&quot;dropping-particle&quot;:&quot;&quot;,&quot;non-dropping-particle&quot;:&quot;&quot;},{&quot;family&quot;:&quot;McCloskey&quot;,&quot;given&quot;:&quot;E.&quot;,&quot;parse-names&quot;:false,&quot;dropping-particle&quot;:&quot;V.&quot;,&quot;non-dropping-particle&quot;:&quot;&quot;},{&quot;family&quot;:&quot;Jönsson&quot;,&quot;given&quot;:&quot;B.&quot;,&quot;parse-names&quot;:false,&quot;dropping-particle&quot;:&quot;&quot;,&quot;non-dropping-particle&quot;:&quot;&quot;},{&quot;family&quot;:&quot;Kanis&quot;,&quot;given&quot;:&quot;J. A.&quot;,&quot;parse-names&quot;:false,&quot;dropping-particle&quot;:&quot;&quot;,&quot;non-dropping-particle&quot;:&quot;&quot;}],&quot;container-title&quot;:&quot;Archives of Osteoporosis&quot;,&quot;container-title-short&quot;:&quot;Arch Osteoporos&quot;,&quot;accessed&quot;:{&quot;date-parts&quot;:[[2024,10,23]]},&quot;DOI&quot;:&quot;10.1007/S11657-013-0136-1&quot;,&quot;ISSN&quot;:&quot;18623514&quot;,&quot;PMID&quot;:&quot;24113837&quot;,&quot;URL&quot;:&quot;https://pmc-ncbi-nlm-nih-gov.ezproxy.utu.fi/articles/PMC3880487/&quot;,&quot;issued&quot;:{&quot;date-parts&quot;:[[2013,12,1]]},&quot;page&quot;:&quot;136&quot;,&quot;abstract&quot;:&quot;This report describes the epidemiology, burden, and treatment of osteoporosis in the 27 countries of the European Union (EU27). Introduction: Osteoporosis is characterized by reduced bone mass and disruption of bone architecture, resulting in increased risk of fragility fractures which represent the main clinical consequence of the disease. Fragility fractures are associated with substantial pain and suffering, disability and even death for affected patients and substantial costs to society. The aim of this report was to characterize the burden of osteoporosis in the EU27 in 2010 and beyond. Methods: The literature on fracture incidence and costs of fractures in the EU27 was reviewed and incorporated into a model estimating the clinical and economic burden of osteoporotic fractures in 2010. Results: Twenty-two million women and 5.5 million men were estimated to have osteoporosis; and 3.5 million new fragility fractures were sustained, comprising 610,000 hip fractures, 520,000 vertebral fractures, 560,000 forearm fractures and 1,800,000 other fractures (i.e. fractures of the pelvis, rib, humerus, tibia, fibula, clavicle, scapula, sternum and other femoral fractures). The economic burden of incident and prior fragility fractures was estimated at € 37 billion. Incident fractures represented 66 % of this cost, long-term fracture care 29 % and pharmacological prevention 5 %. Previous and incident fractures also accounted for 1,180,000 quality-adjusted life years lost during 2010. The costs are expected to increase by 25 % in 2025. The majority of individuals who have sustained an osteoporosis-related fracture or who are at high risk of fracture are untreated and the number of patients on treatment is declining. Conclusions: In spite of the high social and economic cost of osteoporosis, a substantial treatment gap and projected increase of the economic burden driven by the aging populations, the use of pharmacological interventions to prevent fractures has decreased in recent years, suggesting that a change in healthcare policy is warranted. © 2013 The Author(s).&quot;,&quot;publisher&quot;:&quot;Springer London&quot;,&quot;issue&quot;:&quot;1&quot;,&quot;volume&quot;:&quot;8&quot;},&quot;isTemporary&quot;:false}]},{&quot;citationID&quot;:&quot;MENDELEY_CITATION_2469808a-58fe-4c7e-a071-a0b8abb38ed6&quot;,&quot;properties&quot;:{&quot;noteIndex&quot;:0},&quot;isEdited&quot;:false,&quot;manualOverride&quot;:{&quot;isManuallyOverridden&quot;:false,&quot;citeprocText&quot;:&quot;[1, 2]&quot;,&quot;manualOverrideText&quot;:&quot;&quot;},&quot;citationTag&quot;:&quot;MENDELEY_CITATION_v3_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&quot;,&quot;citationItems&quot;:[{&quot;id&quot;:&quot;ced1ad5f-2cea-3020-8dbf-1ac819696585&quot;,&quot;itemData&quot;:{&quot;type&quot;:&quot;article-journal&quot;,&quot;id&quot;:&quot;ced1ad5f-2cea-3020-8dbf-1ac819696585&quot;,&quot;title&quot;:&quot;Osteoporosis in the European Union: medical management, epidemiology and economic burden: A report prepared in collaboration with the International Osteoporosis Foundation (IOF) and the European Federation of Pharmaceutical Industry Associations (EFPIA)&quot;,&quot;author&quot;:[{&quot;family&quot;:&quot;Hernlund&quot;,&quot;given&quot;:&quot;E.&quot;,&quot;parse-names&quot;:false,&quot;dropping-particle&quot;:&quot;&quot;,&quot;non-dropping-particle&quot;:&quot;&quot;},{&quot;family&quot;:&quot;Svedbom&quot;,&quot;given&quot;:&quot;A.&quot;,&quot;parse-names&quot;:false,&quot;dropping-particle&quot;:&quot;&quot;,&quot;non-dropping-particle&quot;:&quot;&quot;},{&quot;family&quot;:&quot;Ivergård&quot;,&quot;given&quot;:&quot;M.&quot;,&quot;parse-names&quot;:false,&quot;dropping-particle&quot;:&quot;&quot;,&quot;non-dropping-particle&quot;:&quot;&quot;},{&quot;family&quot;:&quot;Compston&quot;,&quot;given&quot;:&quot;J.&quot;,&quot;parse-names&quot;:false,&quot;dropping-particle&quot;:&quot;&quot;,&quot;non-dropping-particle&quot;:&quot;&quot;},{&quot;family&quot;:&quot;Cooper&quot;,&quot;given&quot;:&quot;C.&quot;,&quot;parse-names&quot;:false,&quot;dropping-particle&quot;:&quot;&quot;,&quot;non-dropping-particle&quot;:&quot;&quot;},{&quot;family&quot;:&quot;Stenmark&quot;,&quot;given&quot;:&quot;J.&quot;,&quot;parse-names&quot;:false,&quot;dropping-particle&quot;:&quot;&quot;,&quot;non-dropping-particle&quot;:&quot;&quot;},{&quot;family&quot;:&quot;McCloskey&quot;,&quot;given&quot;:&quot;E.&quot;,&quot;parse-names&quot;:false,&quot;dropping-particle&quot;:&quot;V.&quot;,&quot;non-dropping-particle&quot;:&quot;&quot;},{&quot;family&quot;:&quot;Jönsson&quot;,&quot;given&quot;:&quot;B.&quot;,&quot;parse-names&quot;:false,&quot;dropping-particle&quot;:&quot;&quot;,&quot;non-dropping-particle&quot;:&quot;&quot;},{&quot;family&quot;:&quot;Kanis&quot;,&quot;given&quot;:&quot;J. A.&quot;,&quot;parse-names&quot;:false,&quot;dropping-particle&quot;:&quot;&quot;,&quot;non-dropping-particle&quot;:&quot;&quot;}],&quot;container-title&quot;:&quot;Archives of Osteoporosis&quot;,&quot;container-title-short&quot;:&quot;Arch Osteoporos&quot;,&quot;accessed&quot;:{&quot;date-parts&quot;:[[2024,10,23]]},&quot;DOI&quot;:&quot;10.1007/S11657-013-0136-1&quot;,&quot;ISSN&quot;:&quot;18623514&quot;,&quot;PMID&quot;:&quot;24113837&quot;,&quot;URL&quot;:&quot;https://pmc-ncbi-nlm-nih-gov.ezproxy.utu.fi/articles/PMC3880487/&quot;,&quot;issued&quot;:{&quot;date-parts&quot;:[[2013,12,1]]},&quot;page&quot;:&quot;136&quot;,&quot;abstract&quot;:&quot;This report describes the epidemiology, burden, and treatment of osteoporosis in the 27 countries of the European Union (EU27). Introduction: Osteoporosis is characterized by reduced bone mass and disruption of bone architecture, resulting in increased risk of fragility fractures which represent the main clinical consequence of the disease. Fragility fractures are associated with substantial pain and suffering, disability and even death for affected patients and substantial costs to society. The aim of this report was to characterize the burden of osteoporosis in the EU27 in 2010 and beyond. Methods: The literature on fracture incidence and costs of fractures in the EU27 was reviewed and incorporated into a model estimating the clinical and economic burden of osteoporotic fractures in 2010. Results: Twenty-two million women and 5.5 million men were estimated to have osteoporosis; and 3.5 million new fragility fractures were sustained, comprising 610,000 hip fractures, 520,000 vertebral fractures, 560,000 forearm fractures and 1,800,000 other fractures (i.e. fractures of the pelvis, rib, humerus, tibia, fibula, clavicle, scapula, sternum and other femoral fractures). The economic burden of incident and prior fragility fractures was estimated at € 37 billion. Incident fractures represented 66 % of this cost, long-term fracture care 29 % and pharmacological prevention 5 %. Previous and incident fractures also accounted for 1,180,000 quality-adjusted life years lost during 2010. The costs are expected to increase by 25 % in 2025. The majority of individuals who have sustained an osteoporosis-related fracture or who are at high risk of fracture are untreated and the number of patients on treatment is declining. Conclusions: In spite of the high social and economic cost of osteoporosis, a substantial treatment gap and projected increase of the economic burden driven by the aging populations, the use of pharmacological interventions to prevent fractures has decreased in recent years, suggesting that a change in healthcare policy is warranted. © 2013 The Author(s).&quot;,&quot;publisher&quot;:&quot;Springer London&quot;,&quot;issue&quot;:&quot;1&quot;,&quot;volume&quot;:&quot;8&quot;},&quot;isTemporary&quot;:false},{&quot;id&quot;:&quot;0a538aa4-eb74-3cd5-a4c6-3d50b2947c50&quot;,&quot;itemData&quot;:{&quot;type&quot;:&quot;article-journal&quot;,&quot;id&quot;:&quot;0a538aa4-eb74-3cd5-a4c6-3d50b2947c50&quot;,&quot;title&quot;:&quot;Assessment of fracture risk and its application to screening for postmenopausal  osteoporosis. Report of a WHO Study Group.&quot;,&quot;container-title&quot;:&quot;World Health Organization technical report series&quot;,&quot;container-title-short&quot;:&quot;World Health Organ Tech Rep Ser&quot;,&quot;ISSN&quot;:&quot;0512-3054 (Print)&quot;,&quot;PMID&quot;:&quot;7941614&quot;,&quot;issued&quot;:{&quot;date-parts&quot;:[[1994]]},&quot;publisher-place&quot;:&quot;Switzerland&quot;,&quot;page&quot;:&quot;1-129&quot;,&quot;language&quot;:&quot;eng&quot;,&quot;volume&quot;:&quot;843&quot;},&quot;isTemporary&quot;:false}]},{&quot;citationID&quot;:&quot;MENDELEY_CITATION_61e640bd-5387-4a3d-bd03-5614092ba7fc&quot;,&quot;properties&quot;:{&quot;noteIndex&quot;:0},&quot;isEdited&quot;:false,&quot;manualOverride&quot;:{&quot;isManuallyOverridden&quot;:false,&quot;citeprocText&quot;:&quot;[3–6]&quot;,&quot;manualOverrideText&quot;:&quot;&quot;},&quot;citationTag&quot;:&quot;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&quot;,&quot;citationItems&quot;:[{&quot;id&quot;:&quot;196f12cd-812c-3679-ab80-3c88345071ce&quot;,&quot;itemData&quot;:{&quot;type&quot;:&quot;article-journal&quot;,&quot;id&quot;:&quot;196f12cd-812c-3679-ab80-3c88345071ce&quot;,&quot;title&quot;:&quot;Sarcopenia and its association with falls and fractures in older adults: A systematic review and meta-analysis&quot;,&quot;author&quot;:[{&quot;family&quot;:&quot;Yeung&quot;,&quot;given&quot;:&quot;Suey S.Y.&quot;,&quot;parse-names&quot;:false,&quot;dropping-particle&quot;:&quot;&quot;,&quot;non-dropping-particle&quot;:&quot;&quot;},{&quot;family&quot;:&quot;Reijnierse&quot;,&quot;given&quot;:&quot;Esmee M.&quot;,&quot;parse-names&quot;:false,&quot;dropping-particle&quot;:&quot;&quot;,&quot;non-dropping-particle&quot;:&quot;&quot;},{&quot;family&quot;:&quot;Pham&quot;,&quot;given&quot;:&quot;Vivien K.&quot;,&quot;parse-names&quot;:false,&quot;dropping-particle&quot;:&quot;&quot;,&quot;non-dropping-particle&quot;:&quot;&quot;},{&quot;family&quot;:&quot;Trappenburg&quot;,&quot;given&quot;:&quot;Marijke C.&quot;,&quot;parse-names&quot;:false,&quot;dropping-particle&quot;:&quot;&quot;,&quot;non-dropping-particle&quot;:&quot;&quot;},{&quot;family&quot;:&quot;Lim&quot;,&quot;given&quot;:&quot;Wen Kwang&quot;,&quot;parse-names&quot;:false,&quot;dropping-particle&quot;:&quot;&quot;,&quot;non-dropping-particle&quot;:&quot;&quot;},{&quot;family&quot;:&quot;Meskers&quot;,&quot;given&quot;:&quot;Carel G.M.&quot;,&quot;parse-names&quot;:false,&quot;dropping-particle&quot;:&quot;&quot;,&quot;non-dropping-particle&quot;:&quot;&quot;},{&quot;family&quot;:&quot;Maier&quot;,&quot;given&quot;:&quot;Andrea B.&quot;,&quot;parse-names&quot;:false,&quot;dropping-particle&quot;:&quot;&quot;,&quot;non-dropping-particle&quot;:&quot;&quot;}],&quot;container-title&quot;:&quot;Journal of cachexia, sarcopenia and muscle&quot;,&quot;container-title-short&quot;:&quot;J Cachexia Sarcopenia Muscle&quot;,&quot;accessed&quot;:{&quot;date-parts&quot;:[[2024,9,11]]},&quot;DOI&quot;:&quot;10.1002/JCSM.12411&quot;,&quot;ISSN&quot;:&quot;2190-6009&quot;,&quot;PMID&quot;:&quot;30993881&quot;,&quot;URL&quot;:&quot;https://pubmed.ncbi.nlm.nih.gov/30993881/&quot;,&quot;issued&quot;:{&quot;date-parts&quot;:[[2019,6,1]]},&quot;page&quot;:&quot;485-500&quot;,&quot;abstract&quot;:&quot;Sarcopenia is a potentially modifiable risk factor for falls and fractures in older adults, but the strength of the association between sarcopenia, falls, and fractures is unclear. This study aims to systematically assess the literature and perform a meta-analysis of the association between sarcopenia with falls and fractures among older adults. A literature search was performed using MEDLINE, EMBASE, Cochrane, and CINAHL from inception to May 2018. Inclusion criteria were the following: published in English, mean/median age ≥ 65 years, sarcopenia diagnosis (based on definitions used by the original studies' authors), falls and/or fractures outcomes, and any study population. Pooled analyses were conducted of the associations of sarcopenia with falls and fractures, expressed in odds ratios (OR) and 95% confidence intervals (CIs). Subgroup analyses were performed by study design, population, sex, sarcopenia definition, continent, and study quality. Heterogeneity was assessed using the I2 statistics. The search identified 2771 studies. Thirty-six studies (52 838 individuals, 48.8% females, and mean age of the study populations ranging from 65.0 to 86.7 years) were included in the systematic review. Four studies reported on both falls and fractures. Ten out of 22 studies reported a significantly higher risk of falls in sarcopenic compared with non-sarcopenic individuals; 11 out of 19 studies showed a significant positive association with fractures. Thirty-three studies (45 926 individuals) were included in the meta-analysis. Sarcopenic individuals had a significant higher risk of falls (cross-sectional studies: OR 1.60; 95% CI 1.37–1.86, P &lt; 0.001, I2 = 34%; prospective studies: OR 1.89; 95% CI 1.33–2.68, P &lt; 0.001, I2 = 37%) and fractures (cross-sectional studies: OR 1.84; 95% CI 1.30–2.62, P = 0.001, I2 = 91%; prospective studies: OR 1.71; 95% CI 1.44–2.03, P = 0.011, I2 = 0%) compared with non-sarcopenic individuals. This was independent of study design, population, sex, sarcopenia definition, continent, and study quality. The positive association between sarcopenia with falls and fractures in older adults strengthens the need to invest in sarcopenia prevention and interventions to evaluate its effect on falls and fractures.&quot;,&quot;publisher&quot;:&quot;J Cachexia Sarcopenia Muscle&quot;,&quot;issue&quot;:&quot;3&quot;,&quot;volume&quot;:&quot;10&quot;},&quot;isTemporary&quot;:false},{&quot;id&quot;:&quot;3fb911f3-727c-36ef-8e75-504756a95968&quot;,&quot;itemData&quot;:{&quot;type&quot;:&quot;article-journal&quot;,&quot;id&quot;:&quot;3fb911f3-727c-36ef-8e75-504756a95968&quot;,&quot;title&quot;:&quot;Sarcopenia: revised European consensus on definition and diagnosis.&quot;,&quot;author&quot;:[{&quot;family&quot;:&quot;Cruz-Jentoft&quot;,&quot;given&quot;:&quot;Alfonso J&quot;,&quot;parse-names&quot;:false,&quot;dropping-particle&quot;:&quot;&quot;,&quot;non-dropping-particle&quot;:&quot;&quot;},{&quot;family&quot;:&quot;Bahat&quot;,&quot;given&quot;:&quot;Gülistan&quot;,&quot;parse-names&quot;:false,&quot;dropping-particle&quot;:&quot;&quot;,&quot;non-dropping-particle&quot;:&quot;&quot;},{&quot;family&quot;:&quot;Bauer&quot;,&quot;given&quot;:&quot;Jürgen&quot;,&quot;parse-names&quot;:false,&quot;dropping-particle&quot;:&quot;&quot;,&quot;non-dropping-particle&quot;:&quot;&quot;},{&quot;family&quot;:&quot;Boirie&quot;,&quot;given&quot;:&quot;Yves&quot;,&quot;parse-names&quot;:false,&quot;dropping-particle&quot;:&quot;&quot;,&quot;non-dropping-particle&quot;:&quot;&quot;},{&quot;family&quot;:&quot;Bruyère&quot;,&quot;given&quot;:&quot;Olivier&quot;,&quot;parse-names&quot;:false,&quot;dropping-particle&quot;:&quot;&quot;,&quot;non-dropping-particle&quot;:&quot;&quot;},{&quot;family&quot;:&quot;Cederholm&quot;,&quot;given&quot;:&quot;Tommy&quot;,&quot;parse-names&quot;:false,&quot;dropping-particle&quot;:&quot;&quot;,&quot;non-dropping-particle&quot;:&quot;&quot;},{&quot;family&quot;:&quot;Cooper&quot;,&quot;given&quot;:&quot;Cyrus&quot;,&quot;parse-names&quot;:false,&quot;dropping-particle&quot;:&quot;&quot;,&quot;non-dropping-particle&quot;:&quot;&quot;},{&quot;family&quot;:&quot;Landi&quot;,&quot;given&quot;:&quot;Francesco&quot;,&quot;parse-names&quot;:false,&quot;dropping-particle&quot;:&quot;&quot;,&quot;non-dropping-particle&quot;:&quot;&quot;},{&quot;family&quot;:&quot;Rolland&quot;,&quot;given&quot;:&quot;Yves&quot;,&quot;parse-names&quot;:false,&quot;dropping-particle&quot;:&quot;&quot;,&quot;non-dropping-particle&quot;:&quot;&quot;},{&quot;family&quot;:&quot;Sayer&quot;,&quot;given&quot;:&quot;Avan Aihie&quot;,&quot;parse-names&quot;:false,&quot;dropping-particle&quot;:&quot;&quot;,&quot;non-dropping-particle&quot;:&quot;&quot;},{&quot;family&quot;:&quot;Schneider&quot;,&quot;given&quot;:&quot;Stéphane M&quot;,&quot;parse-names&quot;:false,&quot;dropping-particle&quot;:&quot;&quot;,&quot;non-dropping-particle&quot;:&quot;&quot;},{&quot;family&quot;:&quot;Sieber&quot;,&quot;given&quot;:&quot;Cornel C&quot;,&quot;parse-names&quot;:false,&quot;dropping-particle&quot;:&quot;&quot;,&quot;non-dropping-particle&quot;:&quot;&quot;},{&quot;family&quot;:&quot;Topinkova&quot;,&quot;given&quot;:&quot;Eva&quot;,&quot;parse-names&quot;:false,&quot;dropping-particle&quot;:&quot;&quot;,&quot;non-dropping-particle&quot;:&quot;&quot;},{&quot;family&quot;:&quot;Vandewoude&quot;,&quot;given&quot;:&quot;Maurits&quot;,&quot;parse-names&quot;:false,&quot;dropping-particle&quot;:&quot;&quot;,&quot;non-dropping-particle&quot;:&quot;&quot;},{&quot;family&quot;:&quot;Visser&quot;,&quot;given&quot;:&quot;Marjolein&quot;,&quot;parse-names&quot;:false,&quot;dropping-particle&quot;:&quot;&quot;,&quot;non-dropping-particle&quot;:&quot;&quot;},{&quot;family&quot;:&quot;Zamboni&quot;,&quot;given&quot;:&quot;Mauro&quot;,&quot;parse-names&quot;:false,&quot;dropping-particle&quot;:&quot;&quot;,&quot;non-dropping-particle&quot;:&quot;&quot;},{&quot;family&quot;:&quot;Writing Group for the European Working Group on Sarcopenia in Older People 2 (EWGSOP2), and the Extended Group for EWGSOP2&quot;,&quot;given&quot;:&quot;&quot;,&quot;parse-names&quot;:false,&quot;dropping-particle&quot;:&quot;&quot;,&quot;non-dropping-particle&quot;:&quot;&quot;}],&quot;container-title&quot;:&quot;Age and ageing&quot;,&quot;container-title-short&quot;:&quot;Age Ageing&quot;,&quot;accessed&quot;:{&quot;date-parts&quot;:[[2021,4,5]]},&quot;DOI&quot;:&quot;10.1093/ageing/afy169&quot;,&quot;ISSN&quot;:&quot;1468-2834&quot;,&quot;PMID&quot;:&quot;30312372&quot;,&quot;URL&quot;:&quot;http://www.ncbi.nlm.nih.gov/pubmed/30312372&quot;,&quot;issued&quot;:{&quot;date-parts&quot;:[[2019]]},&quot;page&quot;:&quot;16-31&quot;,&quot;abstract&quot;:&quot;Background in 2010, the European Working Group on Sarcopenia in Older People (EWGSOP) published a sarcopenia definition that aimed to foster advances in identifying and caring for people with sarcopenia. In early 2018, the Working Group met again (EWGSOP2) to update the original definition in order to reflect scientific and clinical evidence that has built over the last decade. This paper presents our updated findings. Objectives to increase consistency of research design, clinical diagnoses and ultimately, care for people with sarcopenia. Recommendations sarcopenia is a muscle disease (muscle failure) rooted in adverse muscle changes that accrue across a lifetime; sarcopenia is common among adults of older age but can also occur earlier in life. In this updated consensus paper on sarcopenia, EWGSOP2: (1) focuses on low muscle strength as a key characteristic of sarcopenia, uses detection of low muscle quantity and quality to confirm the sarcopenia diagnosis, and identifies poor physical performance as indicative of severe sarcopenia; (2) updates the clinical algorithm that can be used for sarcopenia case-finding, diagnosis and confirmation, and severity determination and (3) provides clear cut-off points for measurements of variables that identify and characterise sarcopenia. Conclusions EWGSOP2's updated recommendations aim to increase awareness of sarcopenia and its risk. With these new recommendations, EWGSOP2 calls for healthcare professionals who treat patients at risk for sarcopenia to take actions that will promote early detection and treatment. We also encourage more research in the field of sarcopenia in order to prevent or delay adverse health outcomes that incur a heavy burden for patients and healthcare systems.&quot;,&quot;publisher&quot;:&quot;Age Ageing&quot;,&quot;issue&quot;:&quot;1&quot;,&quot;volume&quot;:&quot;48&quot;},&quot;isTemporary&quot;:false},{&quot;id&quot;:&quot;43a60f85-68c4-3488-a13f-4ab01f9f32bc&quot;,&quot;itemData&quot;:{&quot;type&quot;:&quot;article-journal&quot;,&quot;id&quot;:&quot;43a60f85-68c4-3488-a13f-4ab01f9f32bc&quot;,&quot;title&quot;:&quot;Sarcopenia and sarcopenic leg as potential risk factors for acute osteoporotic vertebral fracture among older women&quot;,&quot;author&quot;:[{&quot;family&quot;:&quot;Hida&quot;,&quot;given&quot;:&quot;Tetsuro&quot;,&quot;parse-names&quot;:false,&quot;dropping-particle&quot;:&quot;&quot;,&quot;non-dropping-particle&quot;:&quot;&quot;},{&quot;family&quot;:&quot;Shimokata&quot;,&quot;given&quot;:&quot;Hiroshi&quot;,&quot;parse-names&quot;:false,&quot;dropping-particle&quot;:&quot;&quot;,&quot;non-dropping-particle&quot;:&quot;&quot;},{&quot;family&quot;:&quot;Sakai&quot;,&quot;given&quot;:&quot;Yoshihito&quot;,&quot;parse-names&quot;:false,&quot;dropping-particle&quot;:&quot;&quot;,&quot;non-dropping-particle&quot;:&quot;&quot;},{&quot;family&quot;:&quot;Ito&quot;,&quot;given&quot;:&quot;Sadayuki&quot;,&quot;parse-names&quot;:false,&quot;dropping-particle&quot;:&quot;&quot;,&quot;non-dropping-particle&quot;:&quot;&quot;},{&quot;family&quot;:&quot;Matsui&quot;,&quot;given&quot;:&quot;Yasumoto&quot;,&quot;parse-names&quot;:false,&quot;dropping-particle&quot;:&quot;&quot;,&quot;non-dropping-particle&quot;:&quot;&quot;},{&quot;family&quot;:&quot;Takemura&quot;,&quot;given&quot;:&quot;Marie&quot;,&quot;parse-names&quot;:false,&quot;dropping-particle&quot;:&quot;&quot;,&quot;non-dropping-particle&quot;:&quot;&quot;},{&quot;family&quot;:&quot;Kasai&quot;,&quot;given&quot;:&quot;Takehiro&quot;,&quot;parse-names&quot;:false,&quot;dropping-particle&quot;:&quot;&quot;,&quot;non-dropping-particle&quot;:&quot;&quot;},{&quot;family&quot;:&quot;Ishiguro&quot;,&quot;given&quot;:&quot;Naoki&quot;,&quot;parse-names&quot;:false,&quot;dropping-particle&quot;:&quot;&quot;,&quot;non-dropping-particle&quot;:&quot;&quot;},{&quot;family&quot;:&quot;Harada&quot;,&quot;given&quot;:&quot;Atsushi&quot;,&quot;parse-names&quot;:false,&quot;dropping-particle&quot;:&quot;&quot;,&quot;non-dropping-particle&quot;:&quot;&quot;}],&quot;container-title&quot;:&quot;European spine journal : official publication of the European Spine Society, the European Spinal Deformity Society, and the European Section of the Cervical Spine Research Society&quot;,&quot;container-title-short&quot;:&quot;Eur Spine J&quot;,&quot;accessed&quot;:{&quot;date-parts&quot;:[[2024,10,23]]},&quot;DOI&quot;:&quot;10.1007/S00586-015-3805-5&quot;,&quot;ISSN&quot;:&quot;1432-0932&quot;,&quot;PMID&quot;:&quot;25690348&quot;,&quot;URL&quot;:&quot;https://pubmed.ncbi.nlm.nih.gov/25690348/&quot;,&quot;issued&quot;:{&quot;date-parts&quot;:[[2016,11,1]]},&quot;page&quot;:&quot;3424-3431&quot;,&quot;abstract&quot;:&quot;Purpose: Sarcopenia-related falls and fractures among women with osteoporosis are becoming an emerging problem because of rapid aging worldwide. We aimed to investigate the association between sarcopenia, given by the muscle mass of the arms and legs, and osteoporotic vertebral fracture (OVF) among female patients. Methods: This cross-sectional study examined 216 women with fresh OVF (OVF group) diagnosed by magnetic resonance imaging and 1,608 women from an outpatient clinic who did not have a OVF [non-fracture (NF) group]. We performed whole-body dual-energy X-ray absorptiometry to analyze body composition, including skeletal muscle mass index (SMI; lean mass/height2) and bone mineral density (BMD). We used stepwise logistic regression analysis to determine the risk factors associated with OVF. Results: After controlling for age, the OVF group showed lower appendicular SMI (5.62 vs. 5.97 kg/m2, P &lt; 0.001), lower arm SMI (1.36 vs. 1.42 kg/m2, P = 0.004), lower leg SMI (4.27 vs. 4.55 kg/m2, P &lt; 0.001), and higher prevalence of sarcopenia (42.3 vs. 25.9 %, P &lt; 0.001), compared with the NF group. Reduced leg muscle mass and presence of sarcopenia were independent risk factors for acute OVF in multivariate analysis (odds ratio = 1.4, P = 0.002; odds ratio = 1.96, P &lt; 0.001, respectively). Conclusions: We found higher prevalence of sarcopenia and lower leg muscle mass among patients with acute OVF compared with patients who did not have an OVF. These results suggest that sarcopenia may be a risk factor for OVF.&quot;,&quot;publisher&quot;:&quot;Eur Spine J&quot;,&quot;issue&quot;:&quot;11&quot;,&quot;volume&quot;:&quot;25&quot;},&quot;isTemporary&quot;:false},{&quot;id&quot;:&quot;8f622915-17d9-3722-a045-bd8093d6291e&quot;,&quot;itemData&quot;:{&quot;type&quot;:&quot;article-journal&quot;,&quot;id&quot;:&quot;8f622915-17d9-3722-a045-bd8093d6291e&quot;,&quot;title&quot;:&quot;Sarcopenia combined with FRAX probabilities improves fracture risk prediction in older Chinese men&quot;,&quot;author&quot;:[{&quot;family&quot;:&quot;Yu&quot;,&quot;given&quot;:&quot;Ruby&quot;,&quot;parse-names&quot;:false,&quot;dropping-particle&quot;:&quot;&quot;,&quot;non-dropping-particle&quot;:&quot;&quot;},{&quot;family&quot;:&quot;Leung&quot;,&quot;given&quot;:&quot;Jason&quot;,&quot;parse-names&quot;:false,&quot;dropping-particle&quot;:&quot;&quot;,&quot;non-dropping-particle&quot;:&quot;&quot;},{&quot;family&quot;:&quot;Woo&quot;,&quot;given&quot;:&quot;Jean&quot;,&quot;parse-names&quot;:false,&quot;dropping-particle&quot;:&quot;&quot;,&quot;non-dropping-particle&quot;:&quot;&quot;}],&quot;container-title&quot;:&quot;Journal of the American Medical Directors Association&quot;,&quot;container-title-short&quot;:&quot;J Am Med Dir Assoc&quot;,&quot;accessed&quot;:{&quot;date-parts&quot;:[[2024,10,23]]},&quot;DOI&quot;:&quot;10.1016/J.JAMDA.2014.07.011&quot;,&quot;ISSN&quot;:&quot;1538-9375&quot;,&quot;PMID&quot;:&quot;25262197&quot;,&quot;URL&quot;:&quot;https://pubmed.ncbi.nlm.nih.gov/25262197/&quot;,&quot;issued&quot;:{&quot;date-parts&quot;:[[2014,12,1]]},&quot;page&quot;:&quot;918-923&quot;,&quot;abstract&quot;:&quot;Objectives: To examine whether the inclusion of sarcopenia in prediction models adds any incremental value to fracture risk assessment tool (FRAX). Design, Setting, and Participants: Data from a prospective cohort of 4000 community-dwelling Chinese men and women aged 65 years and older with adjudicated fracture outcomes were analyzed. Measurements: At baseline, femoral neck bone mineral density (BMD) was assessed, as were the clinical risk factors included in FRAX, along with additional appendicular skeletal muscle mass, grip strength, and gait speed. Sarcopenia was defined according to the Asian Working Group for Sarcopenia algorithm. Incident fractures were documented during the follow-up period from 2001 to2013. Results: Of 4000 participants, 565 experienced at least 1 type of incident fracture and 132 experienced a hip fracture during a follow-up of 10.2 years. Hazard ratios (HRs) for 1-unit increase in FRAX score without BMD in men were 1.12 [95% confidence interval (CI) 1.08-1.16] for all fractures combined and 1.19 (95% CI 1.13-1.27) for hip fracture, and in women were 1.04 (95% CI 1.03-1.06) for all fractures combined and 1.08 (95% CI 1.06-1.11) for hip fracture. Similar to results of the FRAX score without BMD, HRs for 1-unit increase in FRAX score with BMD in men were 1.04 (95% CI 1.03-1.06) for all fractures combined and 1.19 (95% CI 1.13-1.25) for hip fracture, and in women were 1.04 (95% CI 1.03-1.05) for all fractures combined and 1.06 (95% CI 1.05-1.08) for hip fracture. Sarcopenia was significantly associated with all fractures combined (Adjusted HR 1.87; 95% CI 1.30-2.68) and hip fracture (Adjusted HR 2.67; 95% CI 1.46-4.90) in men but not in women. The discriminative values for fracture, as measured by the area under the receiver operating characteristic curve, were 0.60-0.73 and 0.62-0.76 for FRAX without and with BMD, respectively. Adding sarcopenia did not significantly improve the discriminatory capacity over FRAX (. P&gt;.05). Using reclassification techniques, sarcopenia significantly enhanced the integrated discrimination improvement by 0.6% to 1.2% and the net reclassification improvement by 7.2% to 20.8% in men, but it did not contribute to predictive accuracy in women. Conclusions: Sarcopenia added incremental value to FRAX in predicting incident fracture in older Chinesemen.&quot;,&quot;publisher&quot;:&quot;J Am Med Dir Assoc&quot;,&quot;issue&quot;:&quot;12&quot;,&quot;volume&quot;:&quot;15&quot;},&quot;isTemporary&quot;:false}]},{&quot;citationID&quot;:&quot;MENDELEY_CITATION_207087dd-e57c-463a-80cd-7c73efa3d6fd&quot;,&quot;properties&quot;:{&quot;noteIndex&quot;:0},&quot;isEdited&quot;:false,&quot;manualOverride&quot;:{&quot;isManuallyOverridden&quot;:false,&quot;citeprocText&quot;:&quot;[7]&quot;,&quot;manualOverrideText&quot;:&quot;&quot;},&quot;citationTag&quot;:&quot;MENDELEY_CITATION_v3_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&quot;,&quot;citationItems&quot;:[{&quot;id&quot;:&quot;9e3c8d6c-8b85-32ef-b294-a9c0957eef2c&quot;,&quot;itemData&quot;:{&quot;type&quot;:&quot;article-journal&quot;,&quot;id&quot;:&quot;9e3c8d6c-8b85-32ef-b294-a9c0957eef2c&quot;,&quot;title&quot;:&quot;Sarcopenia Is Associated with Mortality in Adults: A Systematic Review and Meta-Analysis&quot;,&quot;author&quot;:[{&quot;family&quot;:&quot;Xu&quot;,&quot;given&quot;:&quot;Jane&quot;,&quot;parse-names&quot;:false,&quot;dropping-particle&quot;:&quot;&quot;,&quot;non-dropping-particle&quot;:&quot;&quot;},{&quot;family&quot;:&quot;Wan&quot;,&quot;given&quot;:&quot;Ching S.&quot;,&quot;parse-names&quot;:false,&quot;dropping-particle&quot;:&quot;&quot;,&quot;non-dropping-particle&quot;:&quot;&quot;},{&quot;family&quot;:&quot;Ktoris&quot;,&quot;given&quot;:&quot;Kiriakos&quot;,&quot;parse-names&quot;:false,&quot;dropping-particle&quot;:&quot;&quot;,&quot;non-dropping-particle&quot;:&quot;&quot;},{&quot;family&quot;:&quot;Reijnierse&quot;,&quot;given&quot;:&quot;Esmee M.&quot;,&quot;parse-names&quot;:false,&quot;dropping-particle&quot;:&quot;&quot;,&quot;non-dropping-particle&quot;:&quot;&quot;},{&quot;family&quot;:&quot;Maier&quot;,&quot;given&quot;:&quot;Andrea B.&quot;,&quot;parse-names&quot;:false,&quot;dropping-particle&quot;:&quot;&quot;,&quot;non-dropping-particle&quot;:&quot;&quot;}],&quot;container-title&quot;:&quot;Gerontology&quot;,&quot;container-title-short&quot;:&quot;Gerontology&quot;,&quot;accessed&quot;:{&quot;date-parts&quot;:[[2024,9,11]]},&quot;DOI&quot;:&quot;10.1159/000517099&quot;,&quot;ISSN&quot;:&quot;1423-0003&quot;,&quot;PMID&quot;:&quot;34315158&quot;,&quot;URL&quot;:&quot;https://pubmed.ncbi.nlm.nih.gov/34315158/&quot;,&quot;issued&quot;:{&quot;date-parts&quot;:[[2022,5,1]]},&quot;page&quot;:&quot;361-376&quot;,&quot;abstract&quot;:&quot;Background: Sarcopenia can predispose individuals to falls, fractures, hospitalization, and mortality. The prevalence of sarcopenia depends on the population studied and the definition used for the diagnosis. Objective: This systematic review and meta-analysis aimed to investigate the association between sarcopenia and mortality and if it is dependent on the population and sarcopenia definition. Methods: A systematic search was conducted in MEDLINE, EMBASE, and Cochrane from 1 January 2010 to 6 April 2020 for articles relating to sarcopenia and mortality. Articles were included if they met the following criteria - cohorts with a mean or median age ≥18 years and either of the following sarcopenia definitions: Asian Working Group for Sarcopenia (AWGS and AWGS2019), European Working Group on Sarcopenia in Older People (EWGSOP and EWGSOP2), Foundation for the National Institutes of Health (FNIH), International Working Group for Sarcopenia (IWGS), or Sarcopenia Definition and Outcomes Consortium (SDOC). Hazard ratios (HR) and odds ratios (OR) were pooled separately in meta-analyses using a random-effects model, stratified by population (community-dwelling adults, outpatients, inpatients, and nursing home residents). Subgroup analyses were performed for sarcopenia definition and follow-up period. Results: Out of 3,025 articles, 57 articles were included in the systematic review and 56 in the meta-analysis (42,108 participants, mean age of 49.4 ± 11.7 to 86.6 ± 1.0 years, 40.3% females). Overall, sarcopenia was associated with a significantly higher risk of mortality (HR: 2.00 [95% CI: 1.71, 2.34]; OR: 2.35 [95% CI: 1.64, 3.37]), which was independent of population, sarcopenia definition, and follow-up period in subgroup analyses. Conclusions: Sarcopenia is associated with a significantly higher risk of mortality, independent of population and sarcopenia definition, which highlights the need for screening and early diagnosis in all populations.&quot;,&quot;publisher&quot;:&quot;Gerontology&quot;,&quot;issue&quot;:&quot;4&quot;,&quot;volume&quot;:&quot;68&quot;},&quot;isTemporary&quot;:false,&quot;suppress-author&quot;:false,&quot;composite&quot;:false,&quot;author-only&quot;:false}]},{&quot;citationID&quot;:&quot;MENDELEY_CITATION_c0b3753a-6846-4626-b980-22089d8c281c&quot;,&quot;properties&quot;:{&quot;noteIndex&quot;:0},&quot;isEdited&quot;:false,&quot;manualOverride&quot;:{&quot;isManuallyOverridden&quot;:false,&quot;citeprocText&quot;:&quot;[4]&quot;,&quot;manualOverrideText&quot;:&quot;&quot;},&quot;citationTag&quot;:&quot;MENDELEY_CITATION_v3_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&quot;,&quot;citationItems&quot;:[{&quot;id&quot;:&quot;3fb911f3-727c-36ef-8e75-504756a95968&quot;,&quot;itemData&quot;:{&quot;type&quot;:&quot;article-journal&quot;,&quot;id&quot;:&quot;3fb911f3-727c-36ef-8e75-504756a95968&quot;,&quot;title&quot;:&quot;Sarcopenia: revised European consensus on definition and diagnosis.&quot;,&quot;author&quot;:[{&quot;family&quot;:&quot;Cruz-Jentoft&quot;,&quot;given&quot;:&quot;Alfonso J&quot;,&quot;parse-names&quot;:false,&quot;dropping-particle&quot;:&quot;&quot;,&quot;non-dropping-particle&quot;:&quot;&quot;},{&quot;family&quot;:&quot;Bahat&quot;,&quot;given&quot;:&quot;Gülistan&quot;,&quot;parse-names&quot;:false,&quot;dropping-particle&quot;:&quot;&quot;,&quot;non-dropping-particle&quot;:&quot;&quot;},{&quot;family&quot;:&quot;Bauer&quot;,&quot;given&quot;:&quot;Jürgen&quot;,&quot;parse-names&quot;:false,&quot;dropping-particle&quot;:&quot;&quot;,&quot;non-dropping-particle&quot;:&quot;&quot;},{&quot;family&quot;:&quot;Boirie&quot;,&quot;given&quot;:&quot;Yves&quot;,&quot;parse-names&quot;:false,&quot;dropping-particle&quot;:&quot;&quot;,&quot;non-dropping-particle&quot;:&quot;&quot;},{&quot;family&quot;:&quot;Bruyère&quot;,&quot;given&quot;:&quot;Olivier&quot;,&quot;parse-names&quot;:false,&quot;dropping-particle&quot;:&quot;&quot;,&quot;non-dropping-particle&quot;:&quot;&quot;},{&quot;family&quot;:&quot;Cederholm&quot;,&quot;given&quot;:&quot;Tommy&quot;,&quot;parse-names&quot;:false,&quot;dropping-particle&quot;:&quot;&quot;,&quot;non-dropping-particle&quot;:&quot;&quot;},{&quot;family&quot;:&quot;Cooper&quot;,&quot;given&quot;:&quot;Cyrus&quot;,&quot;parse-names&quot;:false,&quot;dropping-particle&quot;:&quot;&quot;,&quot;non-dropping-particle&quot;:&quot;&quot;},{&quot;family&quot;:&quot;Landi&quot;,&quot;given&quot;:&quot;Francesco&quot;,&quot;parse-names&quot;:false,&quot;dropping-particle&quot;:&quot;&quot;,&quot;non-dropping-particle&quot;:&quot;&quot;},{&quot;family&quot;:&quot;Rolland&quot;,&quot;given&quot;:&quot;Yves&quot;,&quot;parse-names&quot;:false,&quot;dropping-particle&quot;:&quot;&quot;,&quot;non-dropping-particle&quot;:&quot;&quot;},{&quot;family&quot;:&quot;Sayer&quot;,&quot;given&quot;:&quot;Avan Aihie&quot;,&quot;parse-names&quot;:false,&quot;dropping-particle&quot;:&quot;&quot;,&quot;non-dropping-particle&quot;:&quot;&quot;},{&quot;family&quot;:&quot;Schneider&quot;,&quot;given&quot;:&quot;Stéphane M&quot;,&quot;parse-names&quot;:false,&quot;dropping-particle&quot;:&quot;&quot;,&quot;non-dropping-particle&quot;:&quot;&quot;},{&quot;family&quot;:&quot;Sieber&quot;,&quot;given&quot;:&quot;Cornel C&quot;,&quot;parse-names&quot;:false,&quot;dropping-particle&quot;:&quot;&quot;,&quot;non-dropping-particle&quot;:&quot;&quot;},{&quot;family&quot;:&quot;Topinkova&quot;,&quot;given&quot;:&quot;Eva&quot;,&quot;parse-names&quot;:false,&quot;dropping-particle&quot;:&quot;&quot;,&quot;non-dropping-particle&quot;:&quot;&quot;},{&quot;family&quot;:&quot;Vandewoude&quot;,&quot;given&quot;:&quot;Maurits&quot;,&quot;parse-names&quot;:false,&quot;dropping-particle&quot;:&quot;&quot;,&quot;non-dropping-particle&quot;:&quot;&quot;},{&quot;family&quot;:&quot;Visser&quot;,&quot;given&quot;:&quot;Marjolein&quot;,&quot;parse-names&quot;:false,&quot;dropping-particle&quot;:&quot;&quot;,&quot;non-dropping-particle&quot;:&quot;&quot;},{&quot;family&quot;:&quot;Zamboni&quot;,&quot;given&quot;:&quot;Mauro&quot;,&quot;parse-names&quot;:false,&quot;dropping-particle&quot;:&quot;&quot;,&quot;non-dropping-particle&quot;:&quot;&quot;},{&quot;family&quot;:&quot;Writing Group for the European Working Group on Sarcopenia in Older People 2 (EWGSOP2), and the Extended Group for EWGSOP2&quot;,&quot;given&quot;:&quot;&quot;,&quot;parse-names&quot;:false,&quot;dropping-particle&quot;:&quot;&quot;,&quot;non-dropping-particle&quot;:&quot;&quot;}],&quot;container-title&quot;:&quot;Age and ageing&quot;,&quot;container-title-short&quot;:&quot;Age Ageing&quot;,&quot;accessed&quot;:{&quot;date-parts&quot;:[[2021,4,5]]},&quot;DOI&quot;:&quot;10.1093/ageing/afy169&quot;,&quot;ISSN&quot;:&quot;1468-2834&quot;,&quot;PMID&quot;:&quot;30312372&quot;,&quot;URL&quot;:&quot;http://www.ncbi.nlm.nih.gov/pubmed/30312372&quot;,&quot;issued&quot;:{&quot;date-parts&quot;:[[2019]]},&quot;page&quot;:&quot;16-31&quot;,&quot;abstract&quot;:&quot;Background in 2010, the European Working Group on Sarcopenia in Older People (EWGSOP) published a sarcopenia definition that aimed to foster advances in identifying and caring for people with sarcopenia. In early 2018, the Working Group met again (EWGSOP2) to update the original definition in order to reflect scientific and clinical evidence that has built over the last decade. This paper presents our updated findings. Objectives to increase consistency of research design, clinical diagnoses and ultimately, care for people with sarcopenia. Recommendations sarcopenia is a muscle disease (muscle failure) rooted in adverse muscle changes that accrue across a lifetime; sarcopenia is common among adults of older age but can also occur earlier in life. In this updated consensus paper on sarcopenia, EWGSOP2: (1) focuses on low muscle strength as a key characteristic of sarcopenia, uses detection of low muscle quantity and quality to confirm the sarcopenia diagnosis, and identifies poor physical performance as indicative of severe sarcopenia; (2) updates the clinical algorithm that can be used for sarcopenia case-finding, diagnosis and confirmation, and severity determination and (3) provides clear cut-off points for measurements of variables that identify and characterise sarcopenia. Conclusions EWGSOP2's updated recommendations aim to increase awareness of sarcopenia and its risk. With these new recommendations, EWGSOP2 calls for healthcare professionals who treat patients at risk for sarcopenia to take actions that will promote early detection and treatment. We also encourage more research in the field of sarcopenia in order to prevent or delay adverse health outcomes that incur a heavy burden for patients and healthcare systems.&quot;,&quot;publisher&quot;:&quot;Age Ageing&quot;,&quot;issue&quot;:&quot;1&quot;,&quot;volume&quot;:&quot;48&quot;},&quot;isTemporary&quot;:false,&quot;suppress-author&quot;:false,&quot;composite&quot;:false,&quot;author-only&quot;:false}]},{&quot;citationID&quot;:&quot;MENDELEY_CITATION_3f204d89-77fc-4573-a977-ea95684d0bce&quot;,&quot;properties&quot;:{&quot;noteIndex&quot;:0},&quot;isEdited&quot;:false,&quot;manualOverride&quot;:{&quot;isManuallyOverridden&quot;:false,&quot;citeprocText&quot;:&quot;[8]&quot;,&quot;manualOverrideText&quot;:&quot;&quot;},&quot;citationTag&quot;:&quot;MENDELEY_CITATION_v3_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&quot;,&quot;citationItems&quot;:[{&quot;id&quot;:&quot;2ad3af5c-c1f2-3eec-8a2c-fea99f6194c4&quot;,&quot;itemData&quot;:{&quot;type&quot;:&quot;article-journal&quot;,&quot;id&quot;:&quot;2ad3af5c-c1f2-3eec-8a2c-fea99f6194c4&quot;,&quot;title&quot;:&quot;The clinical usefulness of muscle mass and strength measures in older people: a systematic review.&quot;,&quot;author&quot;:[{&quot;family&quot;:&quot;Lunt&quot;,&quot;given&quot;:&quot;Eleanor&quot;,&quot;parse-names&quot;:false,&quot;dropping-particle&quot;:&quot;&quot;,&quot;non-dropping-particle&quot;:&quot;&quot;},{&quot;family&quot;:&quot;Ong&quot;,&quot;given&quot;:&quot;Terence&quot;,&quot;parse-names&quot;:false,&quot;dropping-particle&quot;:&quot;&quot;,&quot;non-dropping-particle&quot;:&quot;&quot;},{&quot;family&quot;:&quot;Gordon&quot;,&quot;given&quot;:&quot;Adam L&quot;,&quot;parse-names&quot;:false,&quot;dropping-particle&quot;:&quot;&quot;,&quot;non-dropping-particle&quot;:&quot;&quot;},{&quot;family&quot;:&quot;Greenhaff&quot;,&quot;given&quot;:&quot;Paul L&quot;,&quot;parse-names&quot;:false,&quot;dropping-particle&quot;:&quot;&quot;,&quot;non-dropping-particle&quot;:&quot;&quot;},{&quot;family&quot;:&quot;Gladman&quot;,&quot;given&quot;:&quot;John R F&quot;,&quot;parse-names&quot;:false,&quot;dropping-particle&quot;:&quot;&quot;,&quot;non-dropping-particle&quot;:&quot;&quot;}],&quot;container-title&quot;:&quot;Age and ageing&quot;,&quot;container-title-short&quot;:&quot;Age Ageing&quot;,&quot;accessed&quot;:{&quot;date-parts&quot;:[[2021,2,14]]},&quot;DOI&quot;:&quot;10.1093/ageing/afaa123&quot;,&quot;ISSN&quot;:&quot;1468-2834&quot;,&quot;PMID&quot;:&quot;32706848&quot;,&quot;URL&quot;:&quot;http://www.ncbi.nlm.nih.gov/pubmed/32706848&quot;,&quot;issued&quot;:{&quot;date-parts&quot;:[[2021]]},&quot;page&quot;:&quot;88-95&quot;,&quot;abstract&quot;:&quot;BACKGROUND sarcopenia is the loss of muscle mass and quality and is diagnosed using measures of muscle strength, size and mass. We evaluated the literature on whether sarcopenia measures are predictive of motor outcomes in older people in clinical settings. METHODS electronic databases (MEDLINE Ovid, EMBASE, CINAHL and Web of Science) were searched for articles on measures of muscle mass, volume, thickness or strength, in older people in clinical settings, which reported cross-sectional or longitudinal associations with motor outcomes. Clinical cohorts included geriatric medical inpatients and outpatients, patients with hip fracture, geriatric rehabilitation and care home residents. Motor outcomes were mobility, falls, balance and activities of daily living (ADL). Due to high study heterogeneity, standardised mean differences were used to compare strength of associations. RESULTS in total, 83 articles were identified. The most frequently studied measures were grip strength (47 studies), knee extension strength (21 studies) and bioelectrical impedance analysis (18 studies). Handgrip strength (HGS) had evidence for cross-sectional associations with mobility (14 of 16 studies, 2,088 participants), balance (6 of 6 studies, 1,177 participants) and ADL independence (10 of 11 studies, 3,228 participants), and evidence of longitudinal associations with mobility (3 of 3 studies, 883 participants) and ADL independence (7 of 10 studies, 1,511 participants). There was no conclusive evidence for association with falls. CONCLUSIONS HS was the most studied measure and was associated with mobility, balance and ADL outcomes. There was a paucity of studies, particularly with longitudinal follow-up, measuring muscle mass, volume or thickness using gold-standard approaches.&quot;,&quot;publisher&quot;:&quot;Age Ageing&quot;,&quot;issue&quot;:&quot;1&quot;,&quot;volume&quot;:&quot;50&quot;},&quot;isTemporary&quot;:false,&quot;suppress-author&quot;:false,&quot;composite&quot;:false,&quot;author-only&quot;:false}]},{&quot;citationID&quot;:&quot;MENDELEY_CITATION_f1efc86b-71bd-44c9-a674-cb8f10e7c503&quot;,&quot;properties&quot;:{&quot;noteIndex&quot;:0},&quot;isEdited&quot;:false,&quot;manualOverride&quot;:{&quot;isManuallyOverridden&quot;:false,&quot;citeprocText&quot;:&quot;[4]&quot;,&quot;manualOverrideText&quot;:&quot;&quot;},&quot;citationTag&quot;:&quot;MENDELEY_CITATION_v3_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&quot;,&quot;citationItems&quot;:[{&quot;id&quot;:&quot;3fb911f3-727c-36ef-8e75-504756a95968&quot;,&quot;itemData&quot;:{&quot;type&quot;:&quot;article-journal&quot;,&quot;id&quot;:&quot;3fb911f3-727c-36ef-8e75-504756a95968&quot;,&quot;title&quot;:&quot;Sarcopenia: revised European consensus on definition and diagnosis.&quot;,&quot;author&quot;:[{&quot;family&quot;:&quot;Cruz-Jentoft&quot;,&quot;given&quot;:&quot;Alfonso J&quot;,&quot;parse-names&quot;:false,&quot;dropping-particle&quot;:&quot;&quot;,&quot;non-dropping-particle&quot;:&quot;&quot;},{&quot;family&quot;:&quot;Bahat&quot;,&quot;given&quot;:&quot;Gülistan&quot;,&quot;parse-names&quot;:false,&quot;dropping-particle&quot;:&quot;&quot;,&quot;non-dropping-particle&quot;:&quot;&quot;},{&quot;family&quot;:&quot;Bauer&quot;,&quot;given&quot;:&quot;Jürgen&quot;,&quot;parse-names&quot;:false,&quot;dropping-particle&quot;:&quot;&quot;,&quot;non-dropping-particle&quot;:&quot;&quot;},{&quot;family&quot;:&quot;Boirie&quot;,&quot;given&quot;:&quot;Yves&quot;,&quot;parse-names&quot;:false,&quot;dropping-particle&quot;:&quot;&quot;,&quot;non-dropping-particle&quot;:&quot;&quot;},{&quot;family&quot;:&quot;Bruyère&quot;,&quot;given&quot;:&quot;Olivier&quot;,&quot;parse-names&quot;:false,&quot;dropping-particle&quot;:&quot;&quot;,&quot;non-dropping-particle&quot;:&quot;&quot;},{&quot;family&quot;:&quot;Cederholm&quot;,&quot;given&quot;:&quot;Tommy&quot;,&quot;parse-names&quot;:false,&quot;dropping-particle&quot;:&quot;&quot;,&quot;non-dropping-particle&quot;:&quot;&quot;},{&quot;family&quot;:&quot;Cooper&quot;,&quot;given&quot;:&quot;Cyrus&quot;,&quot;parse-names&quot;:false,&quot;dropping-particle&quot;:&quot;&quot;,&quot;non-dropping-particle&quot;:&quot;&quot;},{&quot;family&quot;:&quot;Landi&quot;,&quot;given&quot;:&quot;Francesco&quot;,&quot;parse-names&quot;:false,&quot;dropping-particle&quot;:&quot;&quot;,&quot;non-dropping-particle&quot;:&quot;&quot;},{&quot;family&quot;:&quot;Rolland&quot;,&quot;given&quot;:&quot;Yves&quot;,&quot;parse-names&quot;:false,&quot;dropping-particle&quot;:&quot;&quot;,&quot;non-dropping-particle&quot;:&quot;&quot;},{&quot;family&quot;:&quot;Sayer&quot;,&quot;given&quot;:&quot;Avan Aihie&quot;,&quot;parse-names&quot;:false,&quot;dropping-particle&quot;:&quot;&quot;,&quot;non-dropping-particle&quot;:&quot;&quot;},{&quot;family&quot;:&quot;Schneider&quot;,&quot;given&quot;:&quot;Stéphane M&quot;,&quot;parse-names&quot;:false,&quot;dropping-particle&quot;:&quot;&quot;,&quot;non-dropping-particle&quot;:&quot;&quot;},{&quot;family&quot;:&quot;Sieber&quot;,&quot;given&quot;:&quot;Cornel C&quot;,&quot;parse-names&quot;:false,&quot;dropping-particle&quot;:&quot;&quot;,&quot;non-dropping-particle&quot;:&quot;&quot;},{&quot;family&quot;:&quot;Topinkova&quot;,&quot;given&quot;:&quot;Eva&quot;,&quot;parse-names&quot;:false,&quot;dropping-particle&quot;:&quot;&quot;,&quot;non-dropping-particle&quot;:&quot;&quot;},{&quot;family&quot;:&quot;Vandewoude&quot;,&quot;given&quot;:&quot;Maurits&quot;,&quot;parse-names&quot;:false,&quot;dropping-particle&quot;:&quot;&quot;,&quot;non-dropping-particle&quot;:&quot;&quot;},{&quot;family&quot;:&quot;Visser&quot;,&quot;given&quot;:&quot;Marjolein&quot;,&quot;parse-names&quot;:false,&quot;dropping-particle&quot;:&quot;&quot;,&quot;non-dropping-particle&quot;:&quot;&quot;},{&quot;family&quot;:&quot;Zamboni&quot;,&quot;given&quot;:&quot;Mauro&quot;,&quot;parse-names&quot;:false,&quot;dropping-particle&quot;:&quot;&quot;,&quot;non-dropping-particle&quot;:&quot;&quot;},{&quot;family&quot;:&quot;Writing Group for the European Working Group on Sarcopenia in Older People 2 (EWGSOP2), and the Extended Group for EWGSOP2&quot;,&quot;given&quot;:&quot;&quot;,&quot;parse-names&quot;:false,&quot;dropping-particle&quot;:&quot;&quot;,&quot;non-dropping-particle&quot;:&quot;&quot;}],&quot;container-title&quot;:&quot;Age and ageing&quot;,&quot;container-title-short&quot;:&quot;Age Ageing&quot;,&quot;accessed&quot;:{&quot;date-parts&quot;:[[2021,4,5]]},&quot;DOI&quot;:&quot;10.1093/ageing/afy169&quot;,&quot;ISSN&quot;:&quot;1468-2834&quot;,&quot;PMID&quot;:&quot;30312372&quot;,&quot;URL&quot;:&quot;http://www.ncbi.nlm.nih.gov/pubmed/30312372&quot;,&quot;issued&quot;:{&quot;date-parts&quot;:[[2019]]},&quot;page&quot;:&quot;16-31&quot;,&quot;abstract&quot;:&quot;Background in 2010, the European Working Group on Sarcopenia in Older People (EWGSOP) published a sarcopenia definition that aimed to foster advances in identifying and caring for people with sarcopenia. In early 2018, the Working Group met again (EWGSOP2) to update the original definition in order to reflect scientific and clinical evidence that has built over the last decade. This paper presents our updated findings. Objectives to increase consistency of research design, clinical diagnoses and ultimately, care for people with sarcopenia. Recommendations sarcopenia is a muscle disease (muscle failure) rooted in adverse muscle changes that accrue across a lifetime; sarcopenia is common among adults of older age but can also occur earlier in life. In this updated consensus paper on sarcopenia, EWGSOP2: (1) focuses on low muscle strength as a key characteristic of sarcopenia, uses detection of low muscle quantity and quality to confirm the sarcopenia diagnosis, and identifies poor physical performance as indicative of severe sarcopenia; (2) updates the clinical algorithm that can be used for sarcopenia case-finding, diagnosis and confirmation, and severity determination and (3) provides clear cut-off points for measurements of variables that identify and characterise sarcopenia. Conclusions EWGSOP2's updated recommendations aim to increase awareness of sarcopenia and its risk. With these new recommendations, EWGSOP2 calls for healthcare professionals who treat patients at risk for sarcopenia to take actions that will promote early detection and treatment. We also encourage more research in the field of sarcopenia in order to prevent or delay adverse health outcomes that incur a heavy burden for patients and healthcare systems.&quot;,&quot;publisher&quot;:&quot;Age Ageing&quot;,&quot;issue&quot;:&quot;1&quot;,&quot;volume&quot;:&quot;48&quot;},&quot;isTemporary&quot;:false,&quot;suppress-author&quot;:false,&quot;composite&quot;:false,&quot;author-only&quot;:false}]},{&quot;citationID&quot;:&quot;MENDELEY_CITATION_9a8a75b9-43b8-447e-ab63-e612804f68f5&quot;,&quot;properties&quot;:{&quot;noteIndex&quot;:0},&quot;isEdited&quot;:false,&quot;manualOverride&quot;:{&quot;isManuallyOverridden&quot;:false,&quot;citeprocText&quot;:&quot;[3]&quot;,&quot;manualOverrideText&quot;:&quot;&quot;},&quot;citationTag&quot;:&quot;MENDELEY_CITATION_v3_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&quot;,&quot;citationItems&quot;:[{&quot;id&quot;:&quot;196f12cd-812c-3679-ab80-3c88345071ce&quot;,&quot;itemData&quot;:{&quot;type&quot;:&quot;article-journal&quot;,&quot;id&quot;:&quot;196f12cd-812c-3679-ab80-3c88345071ce&quot;,&quot;title&quot;:&quot;Sarcopenia and its association with falls and fractures in older adults: A systematic review and meta-analysis&quot;,&quot;author&quot;:[{&quot;family&quot;:&quot;Yeung&quot;,&quot;given&quot;:&quot;Suey S.Y.&quot;,&quot;parse-names&quot;:false,&quot;dropping-particle&quot;:&quot;&quot;,&quot;non-dropping-particle&quot;:&quot;&quot;},{&quot;family&quot;:&quot;Reijnierse&quot;,&quot;given&quot;:&quot;Esmee M.&quot;,&quot;parse-names&quot;:false,&quot;dropping-particle&quot;:&quot;&quot;,&quot;non-dropping-particle&quot;:&quot;&quot;},{&quot;family&quot;:&quot;Pham&quot;,&quot;given&quot;:&quot;Vivien K.&quot;,&quot;parse-names&quot;:false,&quot;dropping-particle&quot;:&quot;&quot;,&quot;non-dropping-particle&quot;:&quot;&quot;},{&quot;family&quot;:&quot;Trappenburg&quot;,&quot;given&quot;:&quot;Marijke C.&quot;,&quot;parse-names&quot;:false,&quot;dropping-particle&quot;:&quot;&quot;,&quot;non-dropping-particle&quot;:&quot;&quot;},{&quot;family&quot;:&quot;Lim&quot;,&quot;given&quot;:&quot;Wen Kwang&quot;,&quot;parse-names&quot;:false,&quot;dropping-particle&quot;:&quot;&quot;,&quot;non-dropping-particle&quot;:&quot;&quot;},{&quot;family&quot;:&quot;Meskers&quot;,&quot;given&quot;:&quot;Carel G.M.&quot;,&quot;parse-names&quot;:false,&quot;dropping-particle&quot;:&quot;&quot;,&quot;non-dropping-particle&quot;:&quot;&quot;},{&quot;family&quot;:&quot;Maier&quot;,&quot;given&quot;:&quot;Andrea B.&quot;,&quot;parse-names&quot;:false,&quot;dropping-particle&quot;:&quot;&quot;,&quot;non-dropping-particle&quot;:&quot;&quot;}],&quot;container-title&quot;:&quot;Journal of cachexia, sarcopenia and muscle&quot;,&quot;container-title-short&quot;:&quot;J Cachexia Sarcopenia Muscle&quot;,&quot;accessed&quot;:{&quot;date-parts&quot;:[[2024,9,11]]},&quot;DOI&quot;:&quot;10.1002/JCSM.12411&quot;,&quot;ISSN&quot;:&quot;2190-6009&quot;,&quot;PMID&quot;:&quot;30993881&quot;,&quot;URL&quot;:&quot;https://pubmed.ncbi.nlm.nih.gov/30993881/&quot;,&quot;issued&quot;:{&quot;date-parts&quot;:[[2019,6,1]]},&quot;page&quot;:&quot;485-500&quot;,&quot;abstract&quot;:&quot;Sarcopenia is a potentially modifiable risk factor for falls and fractures in older adults, but the strength of the association between sarcopenia, falls, and fractures is unclear. This study aims to systematically assess the literature and perform a meta-analysis of the association between sarcopenia with falls and fractures among older adults. A literature search was performed using MEDLINE, EMBASE, Cochrane, and CINAHL from inception to May 2018. Inclusion criteria were the following: published in English, mean/median age ≥ 65 years, sarcopenia diagnosis (based on definitions used by the original studies' authors), falls and/or fractures outcomes, and any study population. Pooled analyses were conducted of the associations of sarcopenia with falls and fractures, expressed in odds ratios (OR) and 95% confidence intervals (CIs). Subgroup analyses were performed by study design, population, sex, sarcopenia definition, continent, and study quality. Heterogeneity was assessed using the I2 statistics. The search identified 2771 studies. Thirty-six studies (52 838 individuals, 48.8% females, and mean age of the study populations ranging from 65.0 to 86.7 years) were included in the systematic review. Four studies reported on both falls and fractures. Ten out of 22 studies reported a significantly higher risk of falls in sarcopenic compared with non-sarcopenic individuals; 11 out of 19 studies showed a significant positive association with fractures. Thirty-three studies (45 926 individuals) were included in the meta-analysis. Sarcopenic individuals had a significant higher risk of falls (cross-sectional studies: OR 1.60; 95% CI 1.37–1.86, P &lt; 0.001, I2 = 34%; prospective studies: OR 1.89; 95% CI 1.33–2.68, P &lt; 0.001, I2 = 37%) and fractures (cross-sectional studies: OR 1.84; 95% CI 1.30–2.62, P = 0.001, I2 = 91%; prospective studies: OR 1.71; 95% CI 1.44–2.03, P = 0.011, I2 = 0%) compared with non-sarcopenic individuals. This was independent of study design, population, sex, sarcopenia definition, continent, and study quality. The positive association between sarcopenia with falls and fractures in older adults strengthens the need to invest in sarcopenia prevention and interventions to evaluate its effect on falls and fractures.&quot;,&quot;publisher&quot;:&quot;J Cachexia Sarcopenia Muscle&quot;,&quot;issue&quot;:&quot;3&quot;,&quot;volume&quot;:&quot;10&quot;},&quot;isTemporary&quot;:false}]},{&quot;citationID&quot;:&quot;MENDELEY_CITATION_a02bfbea-7971-4a8e-9870-45b044d94598&quot;,&quot;properties&quot;:{&quot;noteIndex&quot;:0},&quot;isEdited&quot;:false,&quot;manualOverride&quot;:{&quot;isManuallyOverridden&quot;:false,&quot;citeprocText&quot;:&quot;[9]&quot;,&quot;manualOverrideText&quot;:&quot;&quot;},&quot;citationTag&quot;:&quot;MENDELEY_CITATION_v3_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&quot;,&quot;citationItems&quot;:[{&quot;id&quot;:&quot;90f385cd-ba88-32e3-9f99-d6266f224dcd&quot;,&quot;itemData&quot;:{&quot;type&quot;:&quot;article-journal&quot;,&quot;id&quot;:&quot;90f385cd-ba88-32e3-9f99-d6266f224dcd&quot;,&quot;title&quot;:&quot;Osteosarcopenia&quot;,&quot;author&quot;:[{&quot;family&quot;:&quot;Paintin&quot;,&quot;given&quot;:&quot;James&quot;,&quot;parse-names&quot;:false,&quot;dropping-particle&quot;:&quot;&quot;,&quot;non-dropping-particle&quot;:&quot;&quot;},{&quot;family&quot;:&quot;Cooper&quot;,&quot;given&quot;:&quot;Cyrus&quot;,&quot;parse-names&quot;:false,&quot;dropping-particle&quot;:&quot;&quot;,&quot;non-dropping-particle&quot;:&quot;&quot;},{&quot;family&quot;:&quot;Dennison&quot;,&quot;given&quot;:&quot;Elaine&quot;,&quot;parse-names&quot;:false,&quot;dropping-particle&quot;:&quot;&quot;,&quot;non-dropping-particle&quot;:&quot;&quot;}],&quot;container-title&quot;:&quot;British Journal of Hospital Medicine&quot;,&quot;container-title-short&quot;:&quot;Br J Hosp Med&quot;,&quot;accessed&quot;:{&quot;date-parts&quot;:[[2021,6,3]]},&quot;DOI&quot;:&quot;10.12968/hmed.2018.79.5.253&quot;,&quot;ISSN&quot;:&quot;17508460&quot;,&quot;PMID&quot;:&quot;29727228&quot;,&quot;issued&quot;:{&quot;date-parts&quot;:[[2018,5,2]]},&quot;page&quot;:&quot;253-258&quot;,&quot;publisher&quot;:&quot;MA Healthcare Ltd&quot;,&quot;issue&quot;:&quot;5&quot;,&quot;volume&quot;:&quot;79&quot;},&quot;isTemporary&quot;:false,&quot;suppress-author&quot;:false,&quot;composite&quot;:false,&quot;author-only&quot;:false}]},{&quot;citationID&quot;:&quot;MENDELEY_CITATION_5cefea4d-be56-4a44-b125-7c3e07a5e15f&quot;,&quot;properties&quot;:{&quot;noteIndex&quot;:0},&quot;isEdited&quot;:false,&quot;manualOverride&quot;:{&quot;isManuallyOverridden&quot;:false,&quot;citeprocText&quot;:&quot;[10]&quot;,&quot;manualOverrideText&quot;:&quot;&quot;},&quot;citationTag&quot;:&quot;MENDELEY_CITATION_v3_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&quot;,&quot;citationItems&quot;:[{&quot;id&quot;:&quot;d2877651-8de5-3fc2-b6fa-7be4d93d1cff&quot;,&quot;itemData&quot;:{&quot;type&quot;:&quot;article-journal&quot;,&quot;id&quot;:&quot;d2877651-8de5-3fc2-b6fa-7be4d93d1cff&quot;,&quot;title&quot;:&quot;The analysis of osteosarcopenia as a risk factor for fractures, mortality, and falls&quot;,&quot;author&quot;:[{&quot;family&quot;:&quot;Teng&quot;,&quot;given&quot;:&quot;Z.&quot;,&quot;parse-names&quot;:false,&quot;dropping-particle&quot;:&quot;&quot;,&quot;non-dropping-particle&quot;:&quot;&quot;},{&quot;family&quot;:&quot;Zhu&quot;,&quot;given&quot;:&quot;Y.&quot;,&quot;parse-names&quot;:false,&quot;dropping-particle&quot;:&quot;&quot;,&quot;non-dropping-particle&quot;:&quot;&quot;},{&quot;family&quot;:&quot;Teng&quot;,&quot;given&quot;:&quot;Y.&quot;,&quot;parse-names&quot;:false,&quot;dropping-particle&quot;:&quot;&quot;,&quot;non-dropping-particle&quot;:&quot;&quot;},{&quot;family&quot;:&quot;Long&quot;,&quot;given&quot;:&quot;Q.&quot;,&quot;parse-names&quot;:false,&quot;dropping-particle&quot;:&quot;&quot;,&quot;non-dropping-particle&quot;:&quot;&quot;},{&quot;family&quot;:&quot;Hao&quot;,&quot;given&quot;:&quot;Q.&quot;,&quot;parse-names&quot;:false,&quot;dropping-particle&quot;:&quot;&quot;,&quot;non-dropping-particle&quot;:&quot;&quot;},{&quot;family&quot;:&quot;Yu&quot;,&quot;given&quot;:&quot;X.&quot;,&quot;parse-names&quot;:false,&quot;dropping-particle&quot;:&quot;&quot;,&quot;non-dropping-particle&quot;:&quot;&quot;},{&quot;family&quot;:&quot;Yang&quot;,&quot;given&quot;:&quot;L.&quot;,&quot;parse-names&quot;:false,&quot;dropping-particle&quot;:&quot;&quot;,&quot;non-dropping-particle&quot;:&quot;&quot;},{&quot;family&quot;:&quot;Lv&quot;,&quot;given&quot;:&quot;Y.&quot;,&quot;parse-names&quot;:false,&quot;dropping-particle&quot;:&quot;&quot;,&quot;non-dropping-particle&quot;:&quot;&quot;},{&quot;family&quot;:&quot;Liu&quot;,&quot;given&quot;:&quot;J.&quot;,&quot;parse-names&quot;:false,&quot;dropping-particle&quot;:&quot;&quot;,&quot;non-dropping-particle&quot;:&quot;&quot;},{&quot;family&quot;:&quot;Zeng&quot;,&quot;given&quot;:&quot;Y.&quot;,&quot;parse-names&quot;:false,&quot;dropping-particle&quot;:&quot;&quot;,&quot;non-dropping-particle&quot;:&quot;&quot;},{&quot;family&quot;:&quot;Lu&quot;,&quot;given&quot;:&quot;S.&quot;,&quot;parse-names&quot;:false,&quot;dropping-particle&quot;:&quot;&quot;,&quot;non-dropping-particle&quot;:&quot;&quot;}],&quot;container-title&quot;:&quot;Osteoporosis International&quot;,&quot;accessed&quot;:{&quot;date-parts&quot;:[[2021,6,10]]},&quot;DOI&quot;:&quot;10.1007/s00198-021-05963-x&quot;,&quot;ISSN&quot;:&quot;14332965&quot;,&quot;PMID&quot;:&quot;33877382&quot;,&quot;URL&quot;:&quot;https://pubmed-ncbi-nlm-nih-gov.ezproxy.utu.fi/33877382/&quot;,&quot;issued&quot;:{&quot;date-parts&quot;:[[2021]]},&quot;abstract&quot;:&quot;Summary: Osteosarcopenia is defined as the concomitant occurrence of sarcopenia and osteoporosis/osteopenia. This study aimed to clarify whether osteosarcopenia implies a greater risk of fractures, mortality, and falls and to draw attention to osteosarcopenia. Introduction: Osteosarcopenia, which is characterized by the co-existence of osteoporosis/osteopenia and sarcopenia, is one of the most challenging geriatric syndromes. However, the association between osteosarcopenia and the risk of falls, fractures, disability, and mortality is controversial. Methods: We searched PubMed, Embase, and the Cochrane Central Register of Controlled Trials, from their inception to March 18, 2021, for cohort studies on the relationship between osteosarcopenia and fractures, falls, and mortality. Two reviewers independently extracted data and assessed study quality. A pooled analysis was performed to calculate odds ratios (ORs) and 95% confidence intervals (CIs) using fixed or random-effects models. Results: Eight cohort studies including 19,836 participants showed that osteosarcopenia significantly increased the risk of fracture (OR 2.46, 95% CI 1.83–3.30, Pheterogeneity = 0.006, I2 = 63.0%), three cohort studies involving 2601 participants indicated that osteosarcopenia significantly increased the risk of mortality (OR 1.66, 95% CI 1.23–2.26, Pheterogeneity = 0.214, I2 = 35.2%), and three cohort studies involving 3144 participants indicated that osteosarcopenia significantly increased the risk of falls (OR 1.62, 95% CI 1.28–2.04, Pheterogeneity = 0.219, I2 = 34.1%). No publication bias existed among the studies regarding the association between osteosarcopenia and fractures. The findings were robust according to the subgroup and sensitivity analyses. Conclusions: This pooled analysis demonstrated that osteosarcopenia significantly increased the risk of fractures, falls, and mortality, thus highlighting its relevance in daily life. Therefore, we suggest that elderly persons should be aware of the risks associated with osteosarcopenia.&quot;,&quot;publisher&quot;:&quot;Springer Science and Business Media Deutschland GmbH&quot;,&quot;container-title-short&quot;:&quot;&quot;},&quot;isTemporary&quot;:false,&quot;suppress-author&quot;:false,&quot;composite&quot;:false,&quot;author-only&quot;:false}]},{&quot;citationID&quot;:&quot;MENDELEY_CITATION_2091d4a2-3682-4840-b4c8-884c562ad911&quot;,&quot;properties&quot;:{&quot;noteIndex&quot;:0},&quot;isEdited&quot;:false,&quot;manualOverride&quot;:{&quot;isManuallyOverridden&quot;:false,&quot;citeprocText&quot;:&quot;[11, 12]&quot;,&quot;manualOverrideText&quot;:&quot;&quot;},&quot;citationTag&quot;:&quot;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&quot;,&quot;citationItems&quot;:[{&quot;id&quot;:&quot;1fb52392-7c83-38fb-bca9-6af95b58aabd&quot;,&quot;itemData&quot;:{&quot;type&quot;:&quot;article-journal&quot;,&quot;id&quot;:&quot;1fb52392-7c83-38fb-bca9-6af95b58aabd&quot;,&quot;title&quot;:&quot;Prospective associations of osteosarcopenia and osteodynapenia with incident fracture and mortality over 10 years in community-dwelling older adults&quot;,&quot;author&quot;:[{&quot;family&quot;:&quot;Balogun&quot;,&quot;given&quot;:&quot;Saliu&quot;,&quot;parse-names&quot;:false,&quot;dropping-particle&quot;:&quot;&quot;,&quot;non-dropping-particle&quot;:&quot;&quot;},{&quot;family&quot;:&quot;Winzenberg&quot;,&quot;given&quot;:&quot;Tania&quot;,&quot;parse-names&quot;:false,&quot;dropping-particle&quot;:&quot;&quot;,&quot;non-dropping-particle&quot;:&quot;&quot;},{&quot;family&quot;:&quot;Wills&quot;,&quot;given&quot;:&quot;Karen&quot;,&quot;parse-names&quot;:false,&quot;dropping-particle&quot;:&quot;&quot;,&quot;non-dropping-particle&quot;:&quot;&quot;},{&quot;family&quot;:&quot;Scott&quot;,&quot;given&quot;:&quot;David&quot;,&quot;parse-names&quot;:false,&quot;dropping-particle&quot;:&quot;&quot;,&quot;non-dropping-particle&quot;:&quot;&quot;},{&quot;family&quot;:&quot;Callisaya&quot;,&quot;given&quot;:&quot;Michele&quot;,&quot;parse-names&quot;:false,&quot;dropping-particle&quot;:&quot;&quot;,&quot;non-dropping-particle&quot;:&quot;&quot;},{&quot;family&quot;:&quot;Cicuttini&quot;,&quot;given&quot;:&quot;Flavia&quot;,&quot;parse-names&quot;:false,&quot;dropping-particle&quot;:&quot;&quot;,&quot;non-dropping-particle&quot;:&quot;&quot;},{&quot;family&quot;:&quot;Jones&quot;,&quot;given&quot;:&quot;Graeme&quot;,&quot;parse-names&quot;:false,&quot;dropping-particle&quot;:&quot;&quot;,&quot;non-dropping-particle&quot;:&quot;&quot;},{&quot;family&quot;:&quot;Aitken&quot;,&quot;given&quot;:&quot;Dawn&quot;,&quot;parse-names&quot;:false,&quot;dropping-particle&quot;:&quot;&quot;,&quot;non-dropping-particle&quot;:&quot;&quot;}],&quot;container-title&quot;:&quot;Archives of gerontology and geriatrics&quot;,&quot;container-title-short&quot;:&quot;Arch Gerontol Geriatr&quot;,&quot;accessed&quot;:{&quot;date-parts&quot;:[[2023,11,29]]},&quot;DOI&quot;:&quot;10.1016/J.ARCHGER.2019.01.015&quot;,&quot;ISSN&quot;:&quot;1872-6976&quot;,&quot;PMID&quot;:&quot;30716680&quot;,&quot;URL&quot;:&quot;https://pubmed-ncbi-nlm-nih-gov.ezproxy.utu.fi/30716680/&quot;,&quot;issued&quot;:{&quot;date-parts&quot;:[[2019,5,1]]},&quot;page&quot;:&quot;67-73&quot;,&quot;abstract&quot;:&quot;Aim: To determine whether older adults with low muscle mass (sarcopenia) and strength (dynapenia), in the presence of osteoporosis/osteopenia, have an increased risk of fracture and mortality over 10 years, compared to those with low muscle or low bone mass alone or with neither condition. Methods: 1032 participants (52% women; mean age 62.9 ± 7.4 years) were prospectively followed for 10 years. Mortality was ascertained from the death registry and fractures were self-reported. Baseline appendicular lean mass (ALM) was assessed using dual-energy X-ray absorptiometry and normalised to body mass index (BMI). Hand grip strength (HGS) was assessed by dynamometer. Osteosarcopenia and osteodynapenia were defined as having T-scores of the total hip and/or lumbar spine bone mineral density (BMD) &lt; –1 combined with being in the lowest 20% of the sex-specific distribution for ALM/BMI or HGS respectively. Results: Incident fracture risk was significantly higher in participants who were osteodynapenic (RR = 2.07, 95% CI: 1.26–3.39), dynapenic alone (RR = 1.74, 95% CI: 1.05–2.87), and osteopenic alone (RR = 1.63, 95% CI: 1.15–2.31), compared to those without dynapenia or osteopenia. Mortality risk was significantly higher only in participants with osteosarcopenia (RR = 1.49, 95% CI: 1.01–2.21) compared to those without sarcopenia or osteopenia. However, osteosarcopenia and osteodynapenia did not lead to a significantly greater fracture or mortality risk compared to having these conditions on their own. Conclusion: These findings suggest that the combined effect of osteopenia and sarcopenia or dynapenia on fracture and mortality risk, respectively, may not be greater than that of each individual condition.&quot;,&quot;publisher&quot;:&quot;Arch Gerontol Geriatr&quot;,&quot;volume&quot;:&quot;82&quot;},&quot;isTemporary&quot;:false},{&quot;id&quot;:&quot;f5ee98e2-7e62-3169-b671-6228e1eeb9d2&quot;,&quot;itemData&quot;:{&quot;type&quot;:&quot;article-journal&quot;,&quot;id&quot;:&quot;f5ee98e2-7e62-3169-b671-6228e1eeb9d2&quot;,&quot;title&quot;:&quot;Does Combined Osteopenia/Osteoporosis and Sarcopenia Confer Greater Risk of Falls and Fracture Than Either Condition Alone in Older Men? The Concord Health and Ageing in Men Project&quot;,&quot;author&quot;:[{&quot;family&quot;:&quot;Scott&quot;,&quot;given&quot;:&quot;David&quot;,&quot;parse-names&quot;:false,&quot;dropping-particle&quot;:&quot;&quot;,&quot;non-dropping-particle&quot;:&quot;&quot;},{&quot;family&quot;:&quot;Seibel&quot;,&quot;given&quot;:&quot;Markus&quot;,&quot;parse-names&quot;:false,&quot;dropping-particle&quot;:&quot;&quot;,&quot;non-dropping-particle&quot;:&quot;&quot;},{&quot;family&quot;:&quot;Cumming&quot;,&quot;given&quot;:&quot;Robert&quot;,&quot;parse-names&quot;:false,&quot;dropping-particle&quot;:&quot;&quot;,&quot;non-dropping-particle&quot;:&quot;&quot;},{&quot;family&quot;:&quot;Naganathan&quot;,&quot;given&quot;:&quot;Vasi&quot;,&quot;parse-names&quot;:false,&quot;dropping-particle&quot;:&quot;&quot;,&quot;non-dropping-particle&quot;:&quot;&quot;},{&quot;family&quot;:&quot;Blyth&quot;,&quot;given&quot;:&quot;Fiona&quot;,&quot;parse-names&quot;:false,&quot;dropping-particle&quot;:&quot;&quot;,&quot;non-dropping-particle&quot;:&quot;&quot;},{&quot;family&quot;:&quot;Couteur&quot;,&quot;given&quot;:&quot;David G.&quot;,&quot;parse-names&quot;:false,&quot;dropping-particle&quot;:&quot;&quot;,&quot;non-dropping-particle&quot;:&quot;Le&quot;},{&quot;family&quot;:&quot;Handelsman&quot;,&quot;given&quot;:&quot;David J.&quot;,&quot;parse-names&quot;:false,&quot;dropping-particle&quot;:&quot;&quot;,&quot;non-dropping-particle&quot;:&quot;&quot;},{&quot;family&quot;:&quot;Waite&quot;,&quot;given&quot;:&quot;Louise M.&quot;,&quot;parse-names&quot;:false,&quot;dropping-particle&quot;:&quot;&quot;,&quot;non-dropping-particle&quot;:&quot;&quot;},{&quot;family&quot;:&quot;Hirani&quot;,&quot;given&quot;:&quot;Vasant&quot;,&quot;parse-names&quot;:false,&quot;dropping-particle&quot;:&quot;&quot;,&quot;non-dropping-particle&quot;:&quot;&quot;}],&quot;container-title&quot;:&quot;The journals of gerontology. Series A, Biological sciences and medical sciences&quot;,&quot;container-title-short&quot;:&quot;J Gerontol A Biol Sci Med Sci&quot;,&quot;accessed&quot;:{&quot;date-parts&quot;:[[2022,8,30]]},&quot;DOI&quot;:&quot;10.1093/GERONA/GLY162&quot;,&quot;ISSN&quot;:&quot;1758-535X&quot;,&quot;PMID&quot;:&quot;30032209&quot;,&quot;URL&quot;:&quot;https://pubmed-ncbi-nlm-nih-gov.ezproxy.utu.fi/30032209/&quot;,&quot;issued&quot;:{&quot;date-parts&quot;:[[2019,5,16]]},&quot;page&quot;:&quot;827-834&quot;,&quot;abstract&quot;:&quot;Background: It is unclear whether older men with osteopenia/osteoporosis and sarcopenia (so-called osteosarcopenia) are at greater risk of falls and fractures than those with either condition alone. Methods: One thousand five hundred seventy-five community-dwelling men aged ≥70 years had appendicular lean mass, total hip and lumbar spine bone mineral density determined by dual-energy x-ray absorptiometry, and completed hand grip strength and gait speed tests. Osteopenia/osteoporosis was defined as a T-score at any site ≤−1.0 SD. Sarcopenia was defined using the European Working Group on Sarcopenia algorithm. Participants were contacted every 4 months for 6 ± 2 years to ascertain incident fractures (confirmed by radiographic reports) and for 2 years for incident falls. Results: Prevalence of osteosarcopenia was 8%, while 34% of participants had osteopenia/osteoporosis alone and 7% had sarcopenia alone. Men with osteosarcopenia had significantly increased fall (incidence rate ratio: 1.41; 95% confidence interval [CI]: 1.02 to 1.95) and fracture risk (hazard ratio: 1.87; 95% CI: 1.07 to 3.26) compared with men with neither osteopenia/osteoporosis nor sarcopenia. There was no statistical interaction between osteopenia/osteoporosis and sarcopenia, and falls and fracture risk were not different for osteosarcopenia compared with either condition alone (all p &gt; .05).&quot;,&quot;publisher&quot;:&quot;J Gerontol A Biol Sci Med Sci&quot;,&quot;issue&quot;:&quot;6&quot;,&quot;volume&quot;:&quot;74&quot;},&quot;isTemporary&quot;:false}]},{&quot;citationID&quot;:&quot;MENDELEY_CITATION_d1c517c7-011b-4b7b-972e-71405a2feaa6&quot;,&quot;properties&quot;:{&quot;noteIndex&quot;:0},&quot;isEdited&quot;:false,&quot;manualOverride&quot;:{&quot;isManuallyOverridden&quot;:false,&quot;citeprocText&quot;:&quot;[13]&quot;,&quot;manualOverrideText&quot;:&quot;&quot;},&quot;citationTag&quot;:&quot;MENDELEY_CITATION_v3_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&quot;,&quot;citationItems&quot;:[{&quot;id&quot;:&quot;6fd71234-6bc0-3123-a41e-001e92fad93d&quot;,&quot;itemData&quot;:{&quot;type&quot;:&quot;book&quot;,&quot;id&quot;:&quot;6fd71234-6bc0-3123-a41e-001e92fad93d&quot;,&quot;title&quot;:&quot;Methodology report: Health 2000 Survey&quot;,&quot;author&quot;:[{&quot;family&quot;:&quot;Heistaro&quot;,&quot;given&quot;:&quot;Sami&quot;,&quot;parse-names&quot;:false,&quot;dropping-particle&quot;:&quot;&quot;,&quot;non-dropping-particle&quot;:&quot;&quot;}],&quot;ISBN&quot;:&quot;978-951-740-860-8&quot;,&quot;issued&quot;:{&quot;date-parts&quot;:[[2008]]},&quot;abstract&quot;:&quot;This book describes the implementation and methods of the Health 2000 Survey. It also contains an account of the sampling and the recommended methods for statistical analysis. A random sample of the Finnish population was examined in 2000–2001 by comprehensive methods. After the fielfwork sub-populations were invited to attend several in-depth studies. This major co-operative effort was led by the National Public Health Institute of Finland (KTL). The two-stage stratified sample comprised 10 000 persons aged 18 or over of whom 8028 were aged 30 or over. The survey was carried out in 80 study areas all over the country. The interviewers of Statistics Finland carried the home interviews. The five study teams of KTL executed the health examinations. The main objects of the study were the major public health problems, functioning and their determinants. Special emphasis was placed on cardiovascular and respiratory diseases, musculoskeletal and mental disorders and oral health. The study also concerned use of and need for care, rehabilitation and help. The methods were interviews, questionnaires, measurements, determinations from blood samples and clinical examinations. Of persons aged 30 and over 89% participated in the home interview and 85% in the health examination (including home health examinations). Of young adults (18–29) 80% were interviewed. The study material is of high quality and it represents the whole population unusually well. Thus, it provides exceptionally good opportunities for public health research and for health monitoring. In order to enhance the use of the data KTL has created a facility to order sub-sets of the data via the Internet (www.terveys2000.fi). An Internet-version is published simultaneously with this book. In addition to the current material it comprises links to questionnaires and other forms as well as to original operating instructions and method descriptions.&quot;,&quot;container-title-short&quot;:&quot;&quot;},&quot;isTemporary&quot;:false,&quot;suppress-author&quot;:false,&quot;composite&quot;:false,&quot;author-only&quot;:false}]},{&quot;citationID&quot;:&quot;MENDELEY_CITATION_899ca24e-11a8-4b57-b74e-cb860317da20&quot;,&quot;properties&quot;:{&quot;noteIndex&quot;:0},&quot;isEdited&quot;:false,&quot;manualOverride&quot;:{&quot;isManuallyOverridden&quot;:false,&quot;citeprocText&quot;:&quot;[13, 14]&quot;,&quot;manualOverrideText&quot;:&quot;&quot;},&quot;citationTag&quot;:&quot;MENDELEY_CITATION_v3_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&quot;,&quot;citationItems&quot;:[{&quot;id&quot;:&quot;6fd71234-6bc0-3123-a41e-001e92fad93d&quot;,&quot;itemData&quot;:{&quot;type&quot;:&quot;book&quot;,&quot;id&quot;:&quot;6fd71234-6bc0-3123-a41e-001e92fad93d&quot;,&quot;title&quot;:&quot;Methodology report: Health 2000 Survey&quot;,&quot;author&quot;:[{&quot;family&quot;:&quot;Heistaro&quot;,&quot;given&quot;:&quot;Sami&quot;,&quot;parse-names&quot;:false,&quot;dropping-particle&quot;:&quot;&quot;,&quot;non-dropping-particle&quot;:&quot;&quot;}],&quot;ISBN&quot;:&quot;978-951-740-860-8&quot;,&quot;issued&quot;:{&quot;date-parts&quot;:[[2008]]},&quot;abstract&quot;:&quot;This book describes the implementation and methods of the Health 2000 Survey. It also contains an account of the sampling and the recommended methods for statistical analysis. A random sample of the Finnish population was examined in 2000–2001 by comprehensive methods. After the fielfwork sub-populations were invited to attend several in-depth studies. This major co-operative effort was led by the National Public Health Institute of Finland (KTL). The two-stage stratified sample comprised 10 000 persons aged 18 or over of whom 8028 were aged 30 or over. The survey was carried out in 80 study areas all over the country. The interviewers of Statistics Finland carried the home interviews. The five study teams of KTL executed the health examinations. The main objects of the study were the major public health problems, functioning and their determinants. Special emphasis was placed on cardiovascular and respiratory diseases, musculoskeletal and mental disorders and oral health. The study also concerned use of and need for care, rehabilitation and help. The methods were interviews, questionnaires, measurements, determinations from blood samples and clinical examinations. Of persons aged 30 and over 89% participated in the home interview and 85% in the health examination (including home health examinations). Of young adults (18–29) 80% were interviewed. The study material is of high quality and it represents the whole population unusually well. Thus, it provides exceptionally good opportunities for public health research and for health monitoring. In order to enhance the use of the data KTL has created a facility to order sub-sets of the data via the Internet (www.terveys2000.fi). An Internet-version is published simultaneously with this book. In addition to the current material it comprises links to questionnaires and other forms as well as to original operating instructions and method descriptions.&quot;,&quot;container-title-short&quot;:&quot;&quot;},&quot;isTemporary&quot;:false,&quot;suppress-author&quot;:false,&quot;composite&quot;:false,&quot;author-only&quot;:false},{&quot;id&quot;:&quot;9eaf790c-f2bc-386c-af82-6da3b8f7b566&quot;,&quot;itemData&quot;:{&quot;type&quot;:&quot;article&quot;,&quot;id&quot;:&quot;9eaf790c-f2bc-386c-af82-6da3b8f7b566&quot;,&quot;title&quot;:&quot;Health and functional capacity in Finland. Baseline results of the Health 2000 health examination survey.&quot;,&quot;author&quot;:[{&quot;family&quot;:&quot;Aromaa&quot;,&quot;given&quot;:&quot;Arpo&quot;,&quot;parse-names&quot;:false,&quot;dropping-particle&quot;:&quot;&quot;,&quot;non-dropping-particle&quot;:&quot;&quot;},{&quot;family&quot;:&quot;Koskinen&quot;,&quot;given&quot;:&quot;Seppo&quot;,&quot;parse-names&quot;:false,&quot;dropping-particle&quot;:&quot;&quot;,&quot;non-dropping-particle&quot;:&quot;&quot;}],&quot;issued&quot;:{&quot;date-parts&quot;:[[2004]]},&quot;container-title-short&quot;:&quot;&quot;},&quot;isTemporary&quot;:false}]},{&quot;citationID&quot;:&quot;MENDELEY_CITATION_2e30912f-6765-49f4-9e6f-a22d195ed68b&quot;,&quot;properties&quot;:{&quot;noteIndex&quot;:0},&quot;isEdited&quot;:false,&quot;manualOverride&quot;:{&quot;isManuallyOverridden&quot;:false,&quot;citeprocText&quot;:&quot;[4]&quot;,&quot;manualOverrideText&quot;:&quot;&quot;},&quot;citationTag&quot;:&quot;MENDELEY_CITATION_v3_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&quot;,&quot;citationItems&quot;:[{&quot;id&quot;:&quot;3fb911f3-727c-36ef-8e75-504756a95968&quot;,&quot;itemData&quot;:{&quot;type&quot;:&quot;article-journal&quot;,&quot;id&quot;:&quot;3fb911f3-727c-36ef-8e75-504756a95968&quot;,&quot;title&quot;:&quot;Sarcopenia: revised European consensus on definition and diagnosis.&quot;,&quot;author&quot;:[{&quot;family&quot;:&quot;Cruz-Jentoft&quot;,&quot;given&quot;:&quot;Alfonso J&quot;,&quot;parse-names&quot;:false,&quot;dropping-particle&quot;:&quot;&quot;,&quot;non-dropping-particle&quot;:&quot;&quot;},{&quot;family&quot;:&quot;Bahat&quot;,&quot;given&quot;:&quot;Gülistan&quot;,&quot;parse-names&quot;:false,&quot;dropping-particle&quot;:&quot;&quot;,&quot;non-dropping-particle&quot;:&quot;&quot;},{&quot;family&quot;:&quot;Bauer&quot;,&quot;given&quot;:&quot;Jürgen&quot;,&quot;parse-names&quot;:false,&quot;dropping-particle&quot;:&quot;&quot;,&quot;non-dropping-particle&quot;:&quot;&quot;},{&quot;family&quot;:&quot;Boirie&quot;,&quot;given&quot;:&quot;Yves&quot;,&quot;parse-names&quot;:false,&quot;dropping-particle&quot;:&quot;&quot;,&quot;non-dropping-particle&quot;:&quot;&quot;},{&quot;family&quot;:&quot;Bruyère&quot;,&quot;given&quot;:&quot;Olivier&quot;,&quot;parse-names&quot;:false,&quot;dropping-particle&quot;:&quot;&quot;,&quot;non-dropping-particle&quot;:&quot;&quot;},{&quot;family&quot;:&quot;Cederholm&quot;,&quot;given&quot;:&quot;Tommy&quot;,&quot;parse-names&quot;:false,&quot;dropping-particle&quot;:&quot;&quot;,&quot;non-dropping-particle&quot;:&quot;&quot;},{&quot;family&quot;:&quot;Cooper&quot;,&quot;given&quot;:&quot;Cyrus&quot;,&quot;parse-names&quot;:false,&quot;dropping-particle&quot;:&quot;&quot;,&quot;non-dropping-particle&quot;:&quot;&quot;},{&quot;family&quot;:&quot;Landi&quot;,&quot;given&quot;:&quot;Francesco&quot;,&quot;parse-names&quot;:false,&quot;dropping-particle&quot;:&quot;&quot;,&quot;non-dropping-particle&quot;:&quot;&quot;},{&quot;family&quot;:&quot;Rolland&quot;,&quot;given&quot;:&quot;Yves&quot;,&quot;parse-names&quot;:false,&quot;dropping-particle&quot;:&quot;&quot;,&quot;non-dropping-particle&quot;:&quot;&quot;},{&quot;family&quot;:&quot;Sayer&quot;,&quot;given&quot;:&quot;Avan Aihie&quot;,&quot;parse-names&quot;:false,&quot;dropping-particle&quot;:&quot;&quot;,&quot;non-dropping-particle&quot;:&quot;&quot;},{&quot;family&quot;:&quot;Schneider&quot;,&quot;given&quot;:&quot;Stéphane M&quot;,&quot;parse-names&quot;:false,&quot;dropping-particle&quot;:&quot;&quot;,&quot;non-dropping-particle&quot;:&quot;&quot;},{&quot;family&quot;:&quot;Sieber&quot;,&quot;given&quot;:&quot;Cornel C&quot;,&quot;parse-names&quot;:false,&quot;dropping-particle&quot;:&quot;&quot;,&quot;non-dropping-particle&quot;:&quot;&quot;},{&quot;family&quot;:&quot;Topinkova&quot;,&quot;given&quot;:&quot;Eva&quot;,&quot;parse-names&quot;:false,&quot;dropping-particle&quot;:&quot;&quot;,&quot;non-dropping-particle&quot;:&quot;&quot;},{&quot;family&quot;:&quot;Vandewoude&quot;,&quot;given&quot;:&quot;Maurits&quot;,&quot;parse-names&quot;:false,&quot;dropping-particle&quot;:&quot;&quot;,&quot;non-dropping-particle&quot;:&quot;&quot;},{&quot;family&quot;:&quot;Visser&quot;,&quot;given&quot;:&quot;Marjolein&quot;,&quot;parse-names&quot;:false,&quot;dropping-particle&quot;:&quot;&quot;,&quot;non-dropping-particle&quot;:&quot;&quot;},{&quot;family&quot;:&quot;Zamboni&quot;,&quot;given&quot;:&quot;Mauro&quot;,&quot;parse-names&quot;:false,&quot;dropping-particle&quot;:&quot;&quot;,&quot;non-dropping-particle&quot;:&quot;&quot;},{&quot;family&quot;:&quot;Writing Group for the European Working Group on Sarcopenia in Older People 2 (EWGSOP2), and the Extended Group for EWGSOP2&quot;,&quot;given&quot;:&quot;&quot;,&quot;parse-names&quot;:false,&quot;dropping-particle&quot;:&quot;&quot;,&quot;non-dropping-particle&quot;:&quot;&quot;}],&quot;container-title&quot;:&quot;Age and ageing&quot;,&quot;container-title-short&quot;:&quot;Age Ageing&quot;,&quot;accessed&quot;:{&quot;date-parts&quot;:[[2021,4,5]]},&quot;DOI&quot;:&quot;10.1093/ageing/afy169&quot;,&quot;ISSN&quot;:&quot;1468-2834&quot;,&quot;PMID&quot;:&quot;30312372&quot;,&quot;URL&quot;:&quot;http://www.ncbi.nlm.nih.gov/pubmed/30312372&quot;,&quot;issued&quot;:{&quot;date-parts&quot;:[[2019]]},&quot;page&quot;:&quot;16-31&quot;,&quot;abstract&quot;:&quot;Background in 2010, the European Working Group on Sarcopenia in Older People (EWGSOP) published a sarcopenia definition that aimed to foster advances in identifying and caring for people with sarcopenia. In early 2018, the Working Group met again (EWGSOP2) to update the original definition in order to reflect scientific and clinical evidence that has built over the last decade. This paper presents our updated findings. Objectives to increase consistency of research design, clinical diagnoses and ultimately, care for people with sarcopenia. Recommendations sarcopenia is a muscle disease (muscle failure) rooted in adverse muscle changes that accrue across a lifetime; sarcopenia is common among adults of older age but can also occur earlier in life. In this updated consensus paper on sarcopenia, EWGSOP2: (1) focuses on low muscle strength as a key characteristic of sarcopenia, uses detection of low muscle quantity and quality to confirm the sarcopenia diagnosis, and identifies poor physical performance as indicative of severe sarcopenia; (2) updates the clinical algorithm that can be used for sarcopenia case-finding, diagnosis and confirmation, and severity determination and (3) provides clear cut-off points for measurements of variables that identify and characterise sarcopenia. Conclusions EWGSOP2's updated recommendations aim to increase awareness of sarcopenia and its risk. With these new recommendations, EWGSOP2 calls for healthcare professionals who treat patients at risk for sarcopenia to take actions that will promote early detection and treatment. We also encourage more research in the field of sarcopenia in order to prevent or delay adverse health outcomes that incur a heavy burden for patients and healthcare systems.&quot;,&quot;publisher&quot;:&quot;Age Ageing&quot;,&quot;issue&quot;:&quot;1&quot;,&quot;volume&quot;:&quot;48&quot;},&quot;isTemporary&quot;:false,&quot;suppress-author&quot;:false,&quot;composite&quot;:false,&quot;author-only&quot;:false}]},{&quot;citationID&quot;:&quot;MENDELEY_CITATION_26d0a96f-b2fc-4f78-9d20-1a06cf1f3ed9&quot;,&quot;properties&quot;:{&quot;noteIndex&quot;:0},&quot;isEdited&quot;:false,&quot;manualOverride&quot;:{&quot;isManuallyOverridden&quot;:false,&quot;citeprocText&quot;:&quot;[1]&quot;,&quot;manualOverrideText&quot;:&quot;&quot;},&quot;citationTag&quot;:&quot;MENDELEY_CITATION_v3_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&quot;,&quot;citationItems&quot;:[{&quot;id&quot;:&quot;0a538aa4-eb74-3cd5-a4c6-3d50b2947c50&quot;,&quot;itemData&quot;:{&quot;type&quot;:&quot;article-journal&quot;,&quot;id&quot;:&quot;0a538aa4-eb74-3cd5-a4c6-3d50b2947c50&quot;,&quot;title&quot;:&quot;Assessment of fracture risk and its application to screening for postmenopausal  osteoporosis. Report of a WHO Study Group.&quot;,&quot;container-title&quot;:&quot;World Health Organization technical report series&quot;,&quot;container-title-short&quot;:&quot;World Health Organ Tech Rep Ser&quot;,&quot;ISSN&quot;:&quot;0512-3054 (Print)&quot;,&quot;PMID&quot;:&quot;7941614&quot;,&quot;issued&quot;:{&quot;date-parts&quot;:[[1994]]},&quot;publisher-place&quot;:&quot;Switzerland&quot;,&quot;page&quot;:&quot;1-129&quot;,&quot;language&quot;:&quot;eng&quot;,&quot;volume&quot;:&quot;843&quot;},&quot;isTemporary&quot;:false,&quot;suppress-author&quot;:false,&quot;composite&quot;:false,&quot;author-only&quot;:false}]},{&quot;citationID&quot;:&quot;MENDELEY_CITATION_05b4f4e5-6345-46a8-a029-699a34e29666&quot;,&quot;properties&quot;:{&quot;noteIndex&quot;:0},&quot;isEdited&quot;:false,&quot;manualOverride&quot;:{&quot;isManuallyOverridden&quot;:false,&quot;citeprocText&quot;:&quot;[15]&quot;,&quot;manualOverrideText&quot;:&quot;&quot;},&quot;citationTag&quot;:&quot;MENDELEY_CITATION_v3_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&quot;,&quot;citationItems&quot;:[{&quot;id&quot;:&quot;09a361cf-33da-3e82-846a-40a1bcb9adef&quot;,&quot;itemData&quot;:{&quot;type&quot;:&quot;report&quot;,&quot;id&quot;:&quot;09a361cf-33da-3e82-846a-40a1bcb9adef&quot;,&quot;title&quot;:&quot;Assessment of osteoporosis at the primary health-care level. Technical Report.&quot;,&quot;author&quot;:[{&quot;family&quot;:&quot;Kanis JA on behalf of the World Health Organization Scientific Group (2007)&quot;,&quot;given&quot;:&quot;&quot;,&quot;parse-names&quot;:false,&quot;dropping-particle&quot;:&quot;&quot;,&quot;non-dropping-particle&quot;:&quot;&quot;}],&quot;issued&quot;:{&quot;date-parts&quot;:[[2007]]},&quot;container-title-short&quot;:&quot;&quot;},&quot;isTemporary&quot;:false,&quot;suppress-author&quot;:false,&quot;composite&quot;:false,&quot;author-only&quot;:false}]},{&quot;citationID&quot;:&quot;MENDELEY_CITATION_2ebdca71-1217-485f-ab6e-1c036bf69af6&quot;,&quot;properties&quot;:{&quot;noteIndex&quot;:0},&quot;isEdited&quot;:false,&quot;manualOverride&quot;:{&quot;isManuallyOverridden&quot;:false,&quot;citeprocText&quot;:&quot;[16]&quot;,&quot;manualOverrideText&quot;:&quot;&quot;},&quot;citationTag&quot;:&quot;MENDELEY_CITATION_v3_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&quot;,&quot;citationItems&quot;:[{&quot;id&quot;:&quot;905b8627-af94-3568-9fd4-382ce0da7ad8&quot;,&quot;itemData&quot;:{&quot;type&quot;:&quot;article-journal&quot;,&quot;id&quot;:&quot;905b8627-af94-3568-9fd4-382ce0da7ad8&quot;,&quot;title&quot;:&quot;Physiological analysis of middle-aged and old former athletes. Comparison with still active athletes of the same ages&quot;,&quot;author&quot;:[{&quot;family&quot;:&quot;Saltin&quot;,&quot;given&quot;:&quot;B.&quot;,&quot;parse-names&quot;:false,&quot;dropping-particle&quot;:&quot;&quot;,&quot;non-dropping-particle&quot;:&quot;&quot;},{&quot;family&quot;:&quot;Grimby&quot;,&quot;given&quot;:&quot;G.&quot;,&quot;parse-names&quot;:false,&quot;dropping-particle&quot;:&quot;&quot;,&quot;non-dropping-particle&quot;:&quot;&quot;}],&quot;container-title&quot;:&quot;Circulation&quot;,&quot;container-title-short&quot;:&quot;Circulation&quot;,&quot;accessed&quot;:{&quot;date-parts&quot;:[[2024,11,27]]},&quot;DOI&quot;:&quot;10.1161/01.CIR.38.6.1104&quot;,&quot;ISSN&quot;:&quot;0009-7322&quot;,&quot;PMID&quot;:&quot;5721960&quot;,&quot;URL&quot;:&quot;https://pubmed-ncbi-nlm-nih-gov.ezproxy.utu.fi/5721960/&quot;,&quot;issued&quot;:{&quot;date-parts&quot;:[[1968]]},&quot;page&quot;:&quot;1104-1115&quot;,&quot;publisher&quot;:&quot;Circulation&quot;,&quot;issue&quot;:&quot;6&quot;,&quot;volume&quot;:&quot;38&quot;},&quot;isTemporary&quot;:false,&quot;suppress-author&quot;:false,&quot;composite&quot;:false,&quot;author-only&quot;:false}]},{&quot;citationID&quot;:&quot;MENDELEY_CITATION_4af6e44d-b435-41eb-9e9f-42525985f7d7&quot;,&quot;properties&quot;:{&quot;noteIndex&quot;:0},&quot;isEdited&quot;:false,&quot;manualOverride&quot;:{&quot;isManuallyOverridden&quot;:false,&quot;citeprocText&quot;:&quot;[17]&quot;,&quot;manualOverrideText&quot;:&quot;&quot;},&quot;citationTag&quot;:&quot;MENDELEY_CITATION_v3_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&quot;,&quot;citationItems&quot;:[{&quot;id&quot;:&quot;eb01244f-d0f3-3c98-8e40-523e6eee36c1&quot;,&quot;itemData&quot;:{&quot;type&quot;:&quot;article-journal&quot;,&quot;id&quot;:&quot;eb01244f-d0f3-3c98-8e40-523e6eee36c1&quot;,&quot;title&quot;:&quot;A Proportional Hazards Model for the Subdistribution of a Competing Risk&quot;,&quot;author&quot;:[{&quot;family&quot;:&quot;Fine&quot;,&quot;given&quot;:&quot;Jason P.&quot;,&quot;parse-names&quot;:false,&quot;dropping-particle&quot;:&quot;&quot;,&quot;non-dropping-particle&quot;:&quot;&quot;},{&quot;family&quot;:&quot;Gray&quot;,&quot;given&quot;:&quot;Robert J.&quot;,&quot;parse-names&quot;:false,&quot;dropping-particle&quot;:&quot;&quot;,&quot;non-dropping-particle&quot;:&quot;&quot;}],&quot;container-title&quot;:&quot;Journal of the American Statistical Association&quot;,&quot;container-title-short&quot;:&quot;J Am Stat Assoc&quot;,&quot;accessed&quot;:{&quot;date-parts&quot;:[[2024,9,18]]},&quot;DOI&quot;:&quot;10.1080/01621459.1999.10474144&quot;,&quot;ISSN&quot;:&quot;1537274X&quot;,&quot;URL&quot;:&quot;https://www.tandfonline.com/action/journalInformation?journalCode=uasa20&quot;,&quot;issued&quot;:{&quot;date-parts&quot;:[[1999,6,1]]},&quot;page&quot;:&quot;496-509&quot;,&quot;abstract&quot;:&quot;With explanatory covariates, the standard analysis for competing risks data involves modeling the cause-specific hazard functions via a proportional hazards assumption. Unfortunately, the cause-specific hazard function does not have a direct interpretation in terms of survival probabilities for the particular failure type. In recent years many clinicians have begun using the cumulative incidence function, the marginal failure probabilities for a particular cause, which is intuitively appealing and more easily explained to the nonstatistician. The cumulative incidence is especially relevant in cost-effectiveness analyses in which the survival probabilities are needed to determine treatment utility. Previously, authors have considered methods for combining estimates of the cause-specific hazard functions under the proportional hazards formulation. However, these methods do not allow the analyst to directly assess the effect of a covariate on the marginal probability function. In this article we propose a novel semiparametric proportional hazards model for the subdistribution. Using the partial likelihood principle and weighting techniques, we derive estimation and inference procedures for the finite-dimensional regression parameter under a variety of censoring scenarios. We give a uniformly consistent estimator for the predicted cumulative incidence for an individual with certain covariates; confidence intervals and bands can be obtained analytically or with an easy-to-implement simulation technique. To contrast the two approaches, we analyze a dataset from a breast cancer clinical trial under both models. © 1999 Taylor &amp; Francis Group, LLC.&quot;,&quot;issue&quot;:&quot;446&quot;,&quot;volume&quot;:&quot;94&quot;},&quot;isTemporary&quot;:false,&quot;suppress-author&quot;:false,&quot;composite&quot;:false,&quot;author-only&quot;:false}]},{&quot;citationID&quot;:&quot;MENDELEY_CITATION_475225ae-6ec7-433f-8f55-ca0e4836a86f&quot;,&quot;properties&quot;:{&quot;noteIndex&quot;:0},&quot;isEdited&quot;:false,&quot;manualOverride&quot;:{&quot;isManuallyOverridden&quot;:false,&quot;citeprocText&quot;:&quot;[3, 7, 10–12, 18]&quot;,&quot;manualOverrideText&quot;:&quot;&quot;},&quot;citationTag&quot;:&quot;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&quot;,&quot;citationItems&quot;:[{&quot;id&quot;:&quot;9e3c8d6c-8b85-32ef-b294-a9c0957eef2c&quot;,&quot;itemData&quot;:{&quot;type&quot;:&quot;article-journal&quot;,&quot;id&quot;:&quot;9e3c8d6c-8b85-32ef-b294-a9c0957eef2c&quot;,&quot;title&quot;:&quot;Sarcopenia Is Associated with Mortality in Adults: A Systematic Review and Meta-Analysis&quot;,&quot;author&quot;:[{&quot;family&quot;:&quot;Xu&quot;,&quot;given&quot;:&quot;Jane&quot;,&quot;parse-names&quot;:false,&quot;dropping-particle&quot;:&quot;&quot;,&quot;non-dropping-particle&quot;:&quot;&quot;},{&quot;family&quot;:&quot;Wan&quot;,&quot;given&quot;:&quot;Ching S.&quot;,&quot;parse-names&quot;:false,&quot;dropping-particle&quot;:&quot;&quot;,&quot;non-dropping-particle&quot;:&quot;&quot;},{&quot;family&quot;:&quot;Ktoris&quot;,&quot;given&quot;:&quot;Kiriakos&quot;,&quot;parse-names&quot;:false,&quot;dropping-particle&quot;:&quot;&quot;,&quot;non-dropping-particle&quot;:&quot;&quot;},{&quot;family&quot;:&quot;Reijnierse&quot;,&quot;given&quot;:&quot;Esmee M.&quot;,&quot;parse-names&quot;:false,&quot;dropping-particle&quot;:&quot;&quot;,&quot;non-dropping-particle&quot;:&quot;&quot;},{&quot;family&quot;:&quot;Maier&quot;,&quot;given&quot;:&quot;Andrea B.&quot;,&quot;parse-names&quot;:false,&quot;dropping-particle&quot;:&quot;&quot;,&quot;non-dropping-particle&quot;:&quot;&quot;}],&quot;container-title&quot;:&quot;Gerontology&quot;,&quot;container-title-short&quot;:&quot;Gerontology&quot;,&quot;accessed&quot;:{&quot;date-parts&quot;:[[2024,9,11]]},&quot;DOI&quot;:&quot;10.1159/000517099&quot;,&quot;ISSN&quot;:&quot;1423-0003&quot;,&quot;PMID&quot;:&quot;34315158&quot;,&quot;URL&quot;:&quot;https://pubmed.ncbi.nlm.nih.gov/34315158/&quot;,&quot;issued&quot;:{&quot;date-parts&quot;:[[2022,5,1]]},&quot;page&quot;:&quot;361-376&quot;,&quot;abstract&quot;:&quot;Background: Sarcopenia can predispose individuals to falls, fractures, hospitalization, and mortality. The prevalence of sarcopenia depends on the population studied and the definition used for the diagnosis. Objective: This systematic review and meta-analysis aimed to investigate the association between sarcopenia and mortality and if it is dependent on the population and sarcopenia definition. Methods: A systematic search was conducted in MEDLINE, EMBASE, and Cochrane from 1 January 2010 to 6 April 2020 for articles relating to sarcopenia and mortality. Articles were included if they met the following criteria - cohorts with a mean or median age ≥18 years and either of the following sarcopenia definitions: Asian Working Group for Sarcopenia (AWGS and AWGS2019), European Working Group on Sarcopenia in Older People (EWGSOP and EWGSOP2), Foundation for the National Institutes of Health (FNIH), International Working Group for Sarcopenia (IWGS), or Sarcopenia Definition and Outcomes Consortium (SDOC). Hazard ratios (HR) and odds ratios (OR) were pooled separately in meta-analyses using a random-effects model, stratified by population (community-dwelling adults, outpatients, inpatients, and nursing home residents). Subgroup analyses were performed for sarcopenia definition and follow-up period. Results: Out of 3,025 articles, 57 articles were included in the systematic review and 56 in the meta-analysis (42,108 participants, mean age of 49.4 ± 11.7 to 86.6 ± 1.0 years, 40.3% females). Overall, sarcopenia was associated with a significantly higher risk of mortality (HR: 2.00 [95% CI: 1.71, 2.34]; OR: 2.35 [95% CI: 1.64, 3.37]), which was independent of population, sarcopenia definition, and follow-up period in subgroup analyses. Conclusions: Sarcopenia is associated with a significantly higher risk of mortality, independent of population and sarcopenia definition, which highlights the need for screening and early diagnosis in all populations.&quot;,&quot;publisher&quot;:&quot;Gerontology&quot;,&quot;issue&quot;:&quot;4&quot;,&quot;volume&quot;:&quot;68&quot;},&quot;isTemporary&quot;:false},{&quot;id&quot;:&quot;196f12cd-812c-3679-ab80-3c88345071ce&quot;,&quot;itemData&quot;:{&quot;type&quot;:&quot;article-journal&quot;,&quot;id&quot;:&quot;196f12cd-812c-3679-ab80-3c88345071ce&quot;,&quot;title&quot;:&quot;Sarcopenia and its association with falls and fractures in older adults: A systematic review and meta-analysis&quot;,&quot;author&quot;:[{&quot;family&quot;:&quot;Yeung&quot;,&quot;given&quot;:&quot;Suey S.Y.&quot;,&quot;parse-names&quot;:false,&quot;dropping-particle&quot;:&quot;&quot;,&quot;non-dropping-particle&quot;:&quot;&quot;},{&quot;family&quot;:&quot;Reijnierse&quot;,&quot;given&quot;:&quot;Esmee M.&quot;,&quot;parse-names&quot;:false,&quot;dropping-particle&quot;:&quot;&quot;,&quot;non-dropping-particle&quot;:&quot;&quot;},{&quot;family&quot;:&quot;Pham&quot;,&quot;given&quot;:&quot;Vivien K.&quot;,&quot;parse-names&quot;:false,&quot;dropping-particle&quot;:&quot;&quot;,&quot;non-dropping-particle&quot;:&quot;&quot;},{&quot;family&quot;:&quot;Trappenburg&quot;,&quot;given&quot;:&quot;Marijke C.&quot;,&quot;parse-names&quot;:false,&quot;dropping-particle&quot;:&quot;&quot;,&quot;non-dropping-particle&quot;:&quot;&quot;},{&quot;family&quot;:&quot;Lim&quot;,&quot;given&quot;:&quot;Wen Kwang&quot;,&quot;parse-names&quot;:false,&quot;dropping-particle&quot;:&quot;&quot;,&quot;non-dropping-particle&quot;:&quot;&quot;},{&quot;family&quot;:&quot;Meskers&quot;,&quot;given&quot;:&quot;Carel G.M.&quot;,&quot;parse-names&quot;:false,&quot;dropping-particle&quot;:&quot;&quot;,&quot;non-dropping-particle&quot;:&quot;&quot;},{&quot;family&quot;:&quot;Maier&quot;,&quot;given&quot;:&quot;Andrea B.&quot;,&quot;parse-names&quot;:false,&quot;dropping-particle&quot;:&quot;&quot;,&quot;non-dropping-particle&quot;:&quot;&quot;}],&quot;container-title&quot;:&quot;Journal of cachexia, sarcopenia and muscle&quot;,&quot;container-title-short&quot;:&quot;J Cachexia Sarcopenia Muscle&quot;,&quot;accessed&quot;:{&quot;date-parts&quot;:[[2024,9,11]]},&quot;DOI&quot;:&quot;10.1002/JCSM.12411&quot;,&quot;ISSN&quot;:&quot;2190-6009&quot;,&quot;PMID&quot;:&quot;30993881&quot;,&quot;URL&quot;:&quot;https://pubmed.ncbi.nlm.nih.gov/30993881/&quot;,&quot;issued&quot;:{&quot;date-parts&quot;:[[2019,6,1]]},&quot;page&quot;:&quot;485-500&quot;,&quot;abstract&quot;:&quot;Sarcopenia is a potentially modifiable risk factor for falls and fractures in older adults, but the strength of the association between sarcopenia, falls, and fractures is unclear. This study aims to systematically assess the literature and perform a meta-analysis of the association between sarcopenia with falls and fractures among older adults. A literature search was performed using MEDLINE, EMBASE, Cochrane, and CINAHL from inception to May 2018. Inclusion criteria were the following: published in English, mean/median age ≥ 65 years, sarcopenia diagnosis (based on definitions used by the original studies' authors), falls and/or fractures outcomes, and any study population. Pooled analyses were conducted of the associations of sarcopenia with falls and fractures, expressed in odds ratios (OR) and 95% confidence intervals (CIs). Subgroup analyses were performed by study design, population, sex, sarcopenia definition, continent, and study quality. Heterogeneity was assessed using the I2 statistics. The search identified 2771 studies. Thirty-six studies (52 838 individuals, 48.8% females, and mean age of the study populations ranging from 65.0 to 86.7 years) were included in the systematic review. Four studies reported on both falls and fractures. Ten out of 22 studies reported a significantly higher risk of falls in sarcopenic compared with non-sarcopenic individuals; 11 out of 19 studies showed a significant positive association with fractures. Thirty-three studies (45 926 individuals) were included in the meta-analysis. Sarcopenic individuals had a significant higher risk of falls (cross-sectional studies: OR 1.60; 95% CI 1.37–1.86, P &lt; 0.001, I2 = 34%; prospective studies: OR 1.89; 95% CI 1.33–2.68, P &lt; 0.001, I2 = 37%) and fractures (cross-sectional studies: OR 1.84; 95% CI 1.30–2.62, P = 0.001, I2 = 91%; prospective studies: OR 1.71; 95% CI 1.44–2.03, P = 0.011, I2 = 0%) compared with non-sarcopenic individuals. This was independent of study design, population, sex, sarcopenia definition, continent, and study quality. The positive association between sarcopenia with falls and fractures in older adults strengthens the need to invest in sarcopenia prevention and interventions to evaluate its effect on falls and fractures.&quot;,&quot;publisher&quot;:&quot;J Cachexia Sarcopenia Muscle&quot;,&quot;issue&quot;:&quot;3&quot;,&quot;volume&quot;:&quot;10&quot;},&quot;isTemporary&quot;:false},{&quot;id&quot;:&quot;d2877651-8de5-3fc2-b6fa-7be4d93d1cff&quot;,&quot;itemData&quot;:{&quot;type&quot;:&quot;article-journal&quot;,&quot;id&quot;:&quot;d2877651-8de5-3fc2-b6fa-7be4d93d1cff&quot;,&quot;title&quot;:&quot;The analysis of osteosarcopenia as a risk factor for fractures, mortality, and falls&quot;,&quot;author&quot;:[{&quot;family&quot;:&quot;Teng&quot;,&quot;given&quot;:&quot;Z.&quot;,&quot;parse-names&quot;:false,&quot;dropping-particle&quot;:&quot;&quot;,&quot;non-dropping-particle&quot;:&quot;&quot;},{&quot;family&quot;:&quot;Zhu&quot;,&quot;given&quot;:&quot;Y.&quot;,&quot;parse-names&quot;:false,&quot;dropping-particle&quot;:&quot;&quot;,&quot;non-dropping-particle&quot;:&quot;&quot;},{&quot;family&quot;:&quot;Teng&quot;,&quot;given&quot;:&quot;Y.&quot;,&quot;parse-names&quot;:false,&quot;dropping-particle&quot;:&quot;&quot;,&quot;non-dropping-particle&quot;:&quot;&quot;},{&quot;family&quot;:&quot;Long&quot;,&quot;given&quot;:&quot;Q.&quot;,&quot;parse-names&quot;:false,&quot;dropping-particle&quot;:&quot;&quot;,&quot;non-dropping-particle&quot;:&quot;&quot;},{&quot;family&quot;:&quot;Hao&quot;,&quot;given&quot;:&quot;Q.&quot;,&quot;parse-names&quot;:false,&quot;dropping-particle&quot;:&quot;&quot;,&quot;non-dropping-particle&quot;:&quot;&quot;},{&quot;family&quot;:&quot;Yu&quot;,&quot;given&quot;:&quot;X.&quot;,&quot;parse-names&quot;:false,&quot;dropping-particle&quot;:&quot;&quot;,&quot;non-dropping-particle&quot;:&quot;&quot;},{&quot;family&quot;:&quot;Yang&quot;,&quot;given&quot;:&quot;L.&quot;,&quot;parse-names&quot;:false,&quot;dropping-particle&quot;:&quot;&quot;,&quot;non-dropping-particle&quot;:&quot;&quot;},{&quot;family&quot;:&quot;Lv&quot;,&quot;given&quot;:&quot;Y.&quot;,&quot;parse-names&quot;:false,&quot;dropping-particle&quot;:&quot;&quot;,&quot;non-dropping-particle&quot;:&quot;&quot;},{&quot;family&quot;:&quot;Liu&quot;,&quot;given&quot;:&quot;J.&quot;,&quot;parse-names&quot;:false,&quot;dropping-particle&quot;:&quot;&quot;,&quot;non-dropping-particle&quot;:&quot;&quot;},{&quot;family&quot;:&quot;Zeng&quot;,&quot;given&quot;:&quot;Y.&quot;,&quot;parse-names&quot;:false,&quot;dropping-particle&quot;:&quot;&quot;,&quot;non-dropping-particle&quot;:&quot;&quot;},{&quot;family&quot;:&quot;Lu&quot;,&quot;given&quot;:&quot;S.&quot;,&quot;parse-names&quot;:false,&quot;dropping-particle&quot;:&quot;&quot;,&quot;non-dropping-particle&quot;:&quot;&quot;}],&quot;container-title&quot;:&quot;Osteoporosis International&quot;,&quot;accessed&quot;:{&quot;date-parts&quot;:[[2021,6,10]]},&quot;DOI&quot;:&quot;10.1007/s00198-021-05963-x&quot;,&quot;ISSN&quot;:&quot;14332965&quot;,&quot;PMID&quot;:&quot;33877382&quot;,&quot;URL&quot;:&quot;https://pubmed-ncbi-nlm-nih-gov.ezproxy.utu.fi/33877382/&quot;,&quot;issued&quot;:{&quot;date-parts&quot;:[[2021]]},&quot;abstract&quot;:&quot;Summary: Osteosarcopenia is defined as the concomitant occurrence of sarcopenia and osteoporosis/osteopenia. This study aimed to clarify whether osteosarcopenia implies a greater risk of fractures, mortality, and falls and to draw attention to osteosarcopenia. Introduction: Osteosarcopenia, which is characterized by the co-existence of osteoporosis/osteopenia and sarcopenia, is one of the most challenging geriatric syndromes. However, the association between osteosarcopenia and the risk of falls, fractures, disability, and mortality is controversial. Methods: We searched PubMed, Embase, and the Cochrane Central Register of Controlled Trials, from their inception to March 18, 2021, for cohort studies on the relationship between osteosarcopenia and fractures, falls, and mortality. Two reviewers independently extracted data and assessed study quality. A pooled analysis was performed to calculate odds ratios (ORs) and 95% confidence intervals (CIs) using fixed or random-effects models. Results: Eight cohort studies including 19,836 participants showed that osteosarcopenia significantly increased the risk of fracture (OR 2.46, 95% CI 1.83–3.30, Pheterogeneity = 0.006, I2 = 63.0%), three cohort studies involving 2601 participants indicated that osteosarcopenia significantly increased the risk of mortality (OR 1.66, 95% CI 1.23–2.26, Pheterogeneity = 0.214, I2 = 35.2%), and three cohort studies involving 3144 participants indicated that osteosarcopenia significantly increased the risk of falls (OR 1.62, 95% CI 1.28–2.04, Pheterogeneity = 0.219, I2 = 34.1%). No publication bias existed among the studies regarding the association between osteosarcopenia and fractures. The findings were robust according to the subgroup and sensitivity analyses. Conclusions: This pooled analysis demonstrated that osteosarcopenia significantly increased the risk of fractures, falls, and mortality, thus highlighting its relevance in daily life. Therefore, we suggest that elderly persons should be aware of the risks associated with osteosarcopenia.&quot;,&quot;publisher&quot;:&quot;Springer Science and Business Media Deutschland GmbH&quot;,&quot;container-title-short&quot;:&quot;&quot;},&quot;isTemporary&quot;:false},{&quot;id&quot;:&quot;1fb52392-7c83-38fb-bca9-6af95b58aabd&quot;,&quot;itemData&quot;:{&quot;type&quot;:&quot;article-journal&quot;,&quot;id&quot;:&quot;1fb52392-7c83-38fb-bca9-6af95b58aabd&quot;,&quot;title&quot;:&quot;Prospective associations of osteosarcopenia and osteodynapenia with incident fracture and mortality over 10 years in community-dwelling older adults&quot;,&quot;author&quot;:[{&quot;family&quot;:&quot;Balogun&quot;,&quot;given&quot;:&quot;Saliu&quot;,&quot;parse-names&quot;:false,&quot;dropping-particle&quot;:&quot;&quot;,&quot;non-dropping-particle&quot;:&quot;&quot;},{&quot;family&quot;:&quot;Winzenberg&quot;,&quot;given&quot;:&quot;Tania&quot;,&quot;parse-names&quot;:false,&quot;dropping-particle&quot;:&quot;&quot;,&quot;non-dropping-particle&quot;:&quot;&quot;},{&quot;family&quot;:&quot;Wills&quot;,&quot;given&quot;:&quot;Karen&quot;,&quot;parse-names&quot;:false,&quot;dropping-particle&quot;:&quot;&quot;,&quot;non-dropping-particle&quot;:&quot;&quot;},{&quot;family&quot;:&quot;Scott&quot;,&quot;given&quot;:&quot;David&quot;,&quot;parse-names&quot;:false,&quot;dropping-particle&quot;:&quot;&quot;,&quot;non-dropping-particle&quot;:&quot;&quot;},{&quot;family&quot;:&quot;Callisaya&quot;,&quot;given&quot;:&quot;Michele&quot;,&quot;parse-names&quot;:false,&quot;dropping-particle&quot;:&quot;&quot;,&quot;non-dropping-particle&quot;:&quot;&quot;},{&quot;family&quot;:&quot;Cicuttini&quot;,&quot;given&quot;:&quot;Flavia&quot;,&quot;parse-names&quot;:false,&quot;dropping-particle&quot;:&quot;&quot;,&quot;non-dropping-particle&quot;:&quot;&quot;},{&quot;family&quot;:&quot;Jones&quot;,&quot;given&quot;:&quot;Graeme&quot;,&quot;parse-names&quot;:false,&quot;dropping-particle&quot;:&quot;&quot;,&quot;non-dropping-particle&quot;:&quot;&quot;},{&quot;family&quot;:&quot;Aitken&quot;,&quot;given&quot;:&quot;Dawn&quot;,&quot;parse-names&quot;:false,&quot;dropping-particle&quot;:&quot;&quot;,&quot;non-dropping-particle&quot;:&quot;&quot;}],&quot;container-title&quot;:&quot;Archives of gerontology and geriatrics&quot;,&quot;container-title-short&quot;:&quot;Arch Gerontol Geriatr&quot;,&quot;accessed&quot;:{&quot;date-parts&quot;:[[2023,11,29]]},&quot;DOI&quot;:&quot;10.1016/J.ARCHGER.2019.01.015&quot;,&quot;ISSN&quot;:&quot;1872-6976&quot;,&quot;PMID&quot;:&quot;30716680&quot;,&quot;URL&quot;:&quot;https://pubmed-ncbi-nlm-nih-gov.ezproxy.utu.fi/30716680/&quot;,&quot;issued&quot;:{&quot;date-parts&quot;:[[2019,5,1]]},&quot;page&quot;:&quot;67-73&quot;,&quot;abstract&quot;:&quot;Aim: To determine whether older adults with low muscle mass (sarcopenia) and strength (dynapenia), in the presence of osteoporosis/osteopenia, have an increased risk of fracture and mortality over 10 years, compared to those with low muscle or low bone mass alone or with neither condition. Methods: 1032 participants (52% women; mean age 62.9 ± 7.4 years) were prospectively followed for 10 years. Mortality was ascertained from the death registry and fractures were self-reported. Baseline appendicular lean mass (ALM) was assessed using dual-energy X-ray absorptiometry and normalised to body mass index (BMI). Hand grip strength (HGS) was assessed by dynamometer. Osteosarcopenia and osteodynapenia were defined as having T-scores of the total hip and/or lumbar spine bone mineral density (BMD) &lt; –1 combined with being in the lowest 20% of the sex-specific distribution for ALM/BMI or HGS respectively. Results: Incident fracture risk was significantly higher in participants who were osteodynapenic (RR = 2.07, 95% CI: 1.26–3.39), dynapenic alone (RR = 1.74, 95% CI: 1.05–2.87), and osteopenic alone (RR = 1.63, 95% CI: 1.15–2.31), compared to those without dynapenia or osteopenia. Mortality risk was significantly higher only in participants with osteosarcopenia (RR = 1.49, 95% CI: 1.01–2.21) compared to those without sarcopenia or osteopenia. However, osteosarcopenia and osteodynapenia did not lead to a significantly greater fracture or mortality risk compared to having these conditions on their own. Conclusion: These findings suggest that the combined effect of osteopenia and sarcopenia or dynapenia on fracture and mortality risk, respectively, may not be greater than that of each individual condition.&quot;,&quot;publisher&quot;:&quot;Arch Gerontol Geriatr&quot;,&quot;volume&quot;:&quot;82&quot;},&quot;isTemporary&quot;:false},{&quot;id&quot;:&quot;f5ee98e2-7e62-3169-b671-6228e1eeb9d2&quot;,&quot;itemData&quot;:{&quot;type&quot;:&quot;article-journal&quot;,&quot;id&quot;:&quot;f5ee98e2-7e62-3169-b671-6228e1eeb9d2&quot;,&quot;title&quot;:&quot;Does Combined Osteopenia/Osteoporosis and Sarcopenia Confer Greater Risk of Falls and Fracture Than Either Condition Alone in Older Men? The Concord Health and Ageing in Men Project&quot;,&quot;author&quot;:[{&quot;family&quot;:&quot;Scott&quot;,&quot;given&quot;:&quot;David&quot;,&quot;parse-names&quot;:false,&quot;dropping-particle&quot;:&quot;&quot;,&quot;non-dropping-particle&quot;:&quot;&quot;},{&quot;family&quot;:&quot;Seibel&quot;,&quot;given&quot;:&quot;Markus&quot;,&quot;parse-names&quot;:false,&quot;dropping-particle&quot;:&quot;&quot;,&quot;non-dropping-particle&quot;:&quot;&quot;},{&quot;family&quot;:&quot;Cumming&quot;,&quot;given&quot;:&quot;Robert&quot;,&quot;parse-names&quot;:false,&quot;dropping-particle&quot;:&quot;&quot;,&quot;non-dropping-particle&quot;:&quot;&quot;},{&quot;family&quot;:&quot;Naganathan&quot;,&quot;given&quot;:&quot;Vasi&quot;,&quot;parse-names&quot;:false,&quot;dropping-particle&quot;:&quot;&quot;,&quot;non-dropping-particle&quot;:&quot;&quot;},{&quot;family&quot;:&quot;Blyth&quot;,&quot;given&quot;:&quot;Fiona&quot;,&quot;parse-names&quot;:false,&quot;dropping-particle&quot;:&quot;&quot;,&quot;non-dropping-particle&quot;:&quot;&quot;},{&quot;family&quot;:&quot;Couteur&quot;,&quot;given&quot;:&quot;David G.&quot;,&quot;parse-names&quot;:false,&quot;dropping-particle&quot;:&quot;&quot;,&quot;non-dropping-particle&quot;:&quot;Le&quot;},{&quot;family&quot;:&quot;Handelsman&quot;,&quot;given&quot;:&quot;David J.&quot;,&quot;parse-names&quot;:false,&quot;dropping-particle&quot;:&quot;&quot;,&quot;non-dropping-particle&quot;:&quot;&quot;},{&quot;family&quot;:&quot;Waite&quot;,&quot;given&quot;:&quot;Louise M.&quot;,&quot;parse-names&quot;:false,&quot;dropping-particle&quot;:&quot;&quot;,&quot;non-dropping-particle&quot;:&quot;&quot;},{&quot;family&quot;:&quot;Hirani&quot;,&quot;given&quot;:&quot;Vasant&quot;,&quot;parse-names&quot;:false,&quot;dropping-particle&quot;:&quot;&quot;,&quot;non-dropping-particle&quot;:&quot;&quot;}],&quot;container-title&quot;:&quot;The journals of gerontology. Series A, Biological sciences and medical sciences&quot;,&quot;container-title-short&quot;:&quot;J Gerontol A Biol Sci Med Sci&quot;,&quot;accessed&quot;:{&quot;date-parts&quot;:[[2022,8,30]]},&quot;DOI&quot;:&quot;10.1093/GERONA/GLY162&quot;,&quot;ISSN&quot;:&quot;1758-535X&quot;,&quot;PMID&quot;:&quot;30032209&quot;,&quot;URL&quot;:&quot;https://pubmed-ncbi-nlm-nih-gov.ezproxy.utu.fi/30032209/&quot;,&quot;issued&quot;:{&quot;date-parts&quot;:[[2019,5,16]]},&quot;page&quot;:&quot;827-834&quot;,&quot;abstract&quot;:&quot;Background: It is unclear whether older men with osteopenia/osteoporosis and sarcopenia (so-called osteosarcopenia) are at greater risk of falls and fractures than those with either condition alone. Methods: One thousand five hundred seventy-five community-dwelling men aged ≥70 years had appendicular lean mass, total hip and lumbar spine bone mineral density determined by dual-energy x-ray absorptiometry, and completed hand grip strength and gait speed tests. Osteopenia/osteoporosis was defined as a T-score at any site ≤−1.0 SD. Sarcopenia was defined using the European Working Group on Sarcopenia algorithm. Participants were contacted every 4 months for 6 ± 2 years to ascertain incident fractures (confirmed by radiographic reports) and for 2 years for incident falls. Results: Prevalence of osteosarcopenia was 8%, while 34% of participants had osteopenia/osteoporosis alone and 7% had sarcopenia alone. Men with osteosarcopenia had significantly increased fall (incidence rate ratio: 1.41; 95% confidence interval [CI]: 1.02 to 1.95) and fracture risk (hazard ratio: 1.87; 95% CI: 1.07 to 3.26) compared with men with neither osteopenia/osteoporosis nor sarcopenia. There was no statistical interaction between osteopenia/osteoporosis and sarcopenia, and falls and fracture risk were not different for osteosarcopenia compared with either condition alone (all p &gt; .05).&quot;,&quot;publisher&quot;:&quot;J Gerontol A Biol Sci Med Sci&quot;,&quot;issue&quot;:&quot;6&quot;,&quot;volume&quot;:&quot;74&quot;},&quot;isTemporary&quot;:false},{&quot;id&quot;:&quot;105d76f8-6aef-318f-b9ed-c922093e9419&quot;,&quot;itemData&quot;:{&quot;type&quot;:&quot;article-journal&quot;,&quot;id&quot;:&quot;105d76f8-6aef-318f-b9ed-c922093e9419&quot;,&quot;title&quot;:&quot;Osteosarcopenia increases the risk of mortality: a systematic review and meta-analysis of prospective observational studies&quot;,&quot;author&quot;:[{&quot;family&quot;:&quot;Veronese&quot;,&quot;given&quot;:&quot;Nicola&quot;,&quot;parse-names&quot;:false,&quot;dropping-particle&quot;:&quot;&quot;,&quot;non-dropping-particle&quot;:&quot;&quot;},{&quot;family&quot;:&quot;Ragusa&quot;,&quot;given&quot;:&quot;Francesco Saverio&quot;,&quot;parse-names&quot;:false,&quot;dropping-particle&quot;:&quot;&quot;,&quot;non-dropping-particle&quot;:&quot;&quot;},{&quot;family&quot;:&quot;Sabico&quot;,&quot;given&quot;:&quot;Shaun&quot;,&quot;parse-names&quot;:false,&quot;dropping-particle&quot;:&quot;&quot;,&quot;non-dropping-particle&quot;:&quot;&quot;},{&quot;family&quot;:&quot;Dominguez&quot;,&quot;given&quot;:&quot;Ligia J.&quot;,&quot;parse-names&quot;:false,&quot;dropping-particle&quot;:&quot;&quot;,&quot;non-dropping-particle&quot;:&quot;&quot;},{&quot;family&quot;:&quot;Barbagallo&quot;,&quot;given&quot;:&quot;Mario&quot;,&quot;parse-names&quot;:false,&quot;dropping-particle&quot;:&quot;&quot;,&quot;non-dropping-particle&quot;:&quot;&quot;},{&quot;family&quot;:&quot;Duque&quot;,&quot;given&quot;:&quot;Gustavo&quot;,&quot;parse-names&quot;:false,&quot;dropping-particle&quot;:&quot;&quot;,&quot;non-dropping-particle&quot;:&quot;&quot;},{&quot;family&quot;:&quot;Al-Daghri&quot;,&quot;given&quot;:&quot;Nasser&quot;,&quot;parse-names&quot;:false,&quot;dropping-particle&quot;:&quot;&quot;,&quot;non-dropping-particle&quot;:&quot;&quot;}],&quot;container-title&quot;:&quot;Aging clinical and experimental research&quot;,&quot;container-title-short&quot;:&quot;Aging Clin Exp Res&quot;,&quot;accessed&quot;:{&quot;date-parts&quot;:[[2024,9,11]]},&quot;DOI&quot;:&quot;10.1007/S40520-024-02785-9&quot;,&quot;ISSN&quot;:&quot;1720-8319&quot;,&quot;PMID&quot;:&quot;38888670&quot;,&quot;URL&quot;:&quot;https://pubmed-ncbi-nlm-nih-gov.ezproxy.utu.fi/38888670/&quot;,&quot;issued&quot;:{&quot;date-parts&quot;:[[2024,12,1]]},&quot;abstract&quot;:&quot;Background &amp; aims: Osteosarcopenia is a recently recognized geriatric syndrome. The association between osteosarcopenia and mortality risk is still largely underexplored. In this systematic review with meta-analysis of prospective cohort studies, we aimed to explore whether osteosarcopenia could be associated with a higher mortality risk. Methods: Several databases were searched from the inception to 16th February 2024 for prospective cohort studies dealing with osteosarcopenia and mortality. We calculated the mortality risk in osteosarcopenia vs. controls using the most adjusted estimate available and summarized the data as risk ratios (RRs) with their 95% confidence intervals (CIs). A random-effect model was considered for all analyses. Results: Among 231 studies initially considered, nine articles were included after exclusions for a total of 14,429 participants (mean age: 70 years; 64.5% females). The weighted prevalence of osteosarcopenia was 12.72%. Over a mean follow-up of 6.6 years and after adjusting for a mean of four covariates, osteosarcopenia was associated with approximately 53% increased risk of mortality (RR: 1.53; 95% CI: 1.28–1.78). After accounting for publication bias, the re-calculated RR was 1.48 (95%CI: 1.23–1.72). The quality of the studies was generally good, as determined by the Newcastle Ottawa Scale. Conclusions: Osteosarcopenia was significantly linked with an increased risk of mortality in older people, indicating the need to consider the presence of osteoporosis in patients with sarcopenia, and vice versa, since the combination of these two conditions typical of older people may lead to further complications, such as mortality.&quot;,&quot;publisher&quot;:&quot;Aging Clin Exp Res&quot;,&quot;issue&quot;:&quot;1&quot;,&quot;volume&quot;:&quot;36&quot;},&quot;isTemporary&quot;:false}]},{&quot;citationID&quot;:&quot;MENDELEY_CITATION_e613bb72-56c8-48bd-a040-2e5dfba51aff&quot;,&quot;properties&quot;:{&quot;noteIndex&quot;:0},&quot;isEdited&quot;:false,&quot;manualOverride&quot;:{&quot;isManuallyOverridden&quot;:false,&quot;citeprocText&quot;:&quot;[11, 12]&quot;,&quot;manualOverrideText&quot;:&quot;&quot;},&quot;citationTag&quot;:&quot;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&quot;,&quot;citationItems&quot;:[{&quot;id&quot;:&quot;1fb52392-7c83-38fb-bca9-6af95b58aabd&quot;,&quot;itemData&quot;:{&quot;type&quot;:&quot;article-journal&quot;,&quot;id&quot;:&quot;1fb52392-7c83-38fb-bca9-6af95b58aabd&quot;,&quot;title&quot;:&quot;Prospective associations of osteosarcopenia and osteodynapenia with incident fracture and mortality over 10 years in community-dwelling older adults&quot;,&quot;author&quot;:[{&quot;family&quot;:&quot;Balogun&quot;,&quot;given&quot;:&quot;Saliu&quot;,&quot;parse-names&quot;:false,&quot;dropping-particle&quot;:&quot;&quot;,&quot;non-dropping-particle&quot;:&quot;&quot;},{&quot;family&quot;:&quot;Winzenberg&quot;,&quot;given&quot;:&quot;Tania&quot;,&quot;parse-names&quot;:false,&quot;dropping-particle&quot;:&quot;&quot;,&quot;non-dropping-particle&quot;:&quot;&quot;},{&quot;family&quot;:&quot;Wills&quot;,&quot;given&quot;:&quot;Karen&quot;,&quot;parse-names&quot;:false,&quot;dropping-particle&quot;:&quot;&quot;,&quot;non-dropping-particle&quot;:&quot;&quot;},{&quot;family&quot;:&quot;Scott&quot;,&quot;given&quot;:&quot;David&quot;,&quot;parse-names&quot;:false,&quot;dropping-particle&quot;:&quot;&quot;,&quot;non-dropping-particle&quot;:&quot;&quot;},{&quot;family&quot;:&quot;Callisaya&quot;,&quot;given&quot;:&quot;Michele&quot;,&quot;parse-names&quot;:false,&quot;dropping-particle&quot;:&quot;&quot;,&quot;non-dropping-particle&quot;:&quot;&quot;},{&quot;family&quot;:&quot;Cicuttini&quot;,&quot;given&quot;:&quot;Flavia&quot;,&quot;parse-names&quot;:false,&quot;dropping-particle&quot;:&quot;&quot;,&quot;non-dropping-particle&quot;:&quot;&quot;},{&quot;family&quot;:&quot;Jones&quot;,&quot;given&quot;:&quot;Graeme&quot;,&quot;parse-names&quot;:false,&quot;dropping-particle&quot;:&quot;&quot;,&quot;non-dropping-particle&quot;:&quot;&quot;},{&quot;family&quot;:&quot;Aitken&quot;,&quot;given&quot;:&quot;Dawn&quot;,&quot;parse-names&quot;:false,&quot;dropping-particle&quot;:&quot;&quot;,&quot;non-dropping-particle&quot;:&quot;&quot;}],&quot;container-title&quot;:&quot;Archives of gerontology and geriatrics&quot;,&quot;container-title-short&quot;:&quot;Arch Gerontol Geriatr&quot;,&quot;accessed&quot;:{&quot;date-parts&quot;:[[2023,11,29]]},&quot;DOI&quot;:&quot;10.1016/J.ARCHGER.2019.01.015&quot;,&quot;ISSN&quot;:&quot;1872-6976&quot;,&quot;PMID&quot;:&quot;30716680&quot;,&quot;URL&quot;:&quot;https://pubmed-ncbi-nlm-nih-gov.ezproxy.utu.fi/30716680/&quot;,&quot;issued&quot;:{&quot;date-parts&quot;:[[2019,5,1]]},&quot;page&quot;:&quot;67-73&quot;,&quot;abstract&quot;:&quot;Aim: To determine whether older adults with low muscle mass (sarcopenia) and strength (dynapenia), in the presence of osteoporosis/osteopenia, have an increased risk of fracture and mortality over 10 years, compared to those with low muscle or low bone mass alone or with neither condition. Methods: 1032 participants (52% women; mean age 62.9 ± 7.4 years) were prospectively followed for 10 years. Mortality was ascertained from the death registry and fractures were self-reported. Baseline appendicular lean mass (ALM) was assessed using dual-energy X-ray absorptiometry and normalised to body mass index (BMI). Hand grip strength (HGS) was assessed by dynamometer. Osteosarcopenia and osteodynapenia were defined as having T-scores of the total hip and/or lumbar spine bone mineral density (BMD) &lt; –1 combined with being in the lowest 20% of the sex-specific distribution for ALM/BMI or HGS respectively. Results: Incident fracture risk was significantly higher in participants who were osteodynapenic (RR = 2.07, 95% CI: 1.26–3.39), dynapenic alone (RR = 1.74, 95% CI: 1.05–2.87), and osteopenic alone (RR = 1.63, 95% CI: 1.15–2.31), compared to those without dynapenia or osteopenia. Mortality risk was significantly higher only in participants with osteosarcopenia (RR = 1.49, 95% CI: 1.01–2.21) compared to those without sarcopenia or osteopenia. However, osteosarcopenia and osteodynapenia did not lead to a significantly greater fracture or mortality risk compared to having these conditions on their own. Conclusion: These findings suggest that the combined effect of osteopenia and sarcopenia or dynapenia on fracture and mortality risk, respectively, may not be greater than that of each individual condition.&quot;,&quot;publisher&quot;:&quot;Arch Gerontol Geriatr&quot;,&quot;volume&quot;:&quot;82&quot;},&quot;isTemporary&quot;:false},{&quot;id&quot;:&quot;f5ee98e2-7e62-3169-b671-6228e1eeb9d2&quot;,&quot;itemData&quot;:{&quot;type&quot;:&quot;article-journal&quot;,&quot;id&quot;:&quot;f5ee98e2-7e62-3169-b671-6228e1eeb9d2&quot;,&quot;title&quot;:&quot;Does Combined Osteopenia/Osteoporosis and Sarcopenia Confer Greater Risk of Falls and Fracture Than Either Condition Alone in Older Men? The Concord Health and Ageing in Men Project&quot;,&quot;author&quot;:[{&quot;family&quot;:&quot;Scott&quot;,&quot;given&quot;:&quot;David&quot;,&quot;parse-names&quot;:false,&quot;dropping-particle&quot;:&quot;&quot;,&quot;non-dropping-particle&quot;:&quot;&quot;},{&quot;family&quot;:&quot;Seibel&quot;,&quot;given&quot;:&quot;Markus&quot;,&quot;parse-names&quot;:false,&quot;dropping-particle&quot;:&quot;&quot;,&quot;non-dropping-particle&quot;:&quot;&quot;},{&quot;family&quot;:&quot;Cumming&quot;,&quot;given&quot;:&quot;Robert&quot;,&quot;parse-names&quot;:false,&quot;dropping-particle&quot;:&quot;&quot;,&quot;non-dropping-particle&quot;:&quot;&quot;},{&quot;family&quot;:&quot;Naganathan&quot;,&quot;given&quot;:&quot;Vasi&quot;,&quot;parse-names&quot;:false,&quot;dropping-particle&quot;:&quot;&quot;,&quot;non-dropping-particle&quot;:&quot;&quot;},{&quot;family&quot;:&quot;Blyth&quot;,&quot;given&quot;:&quot;Fiona&quot;,&quot;parse-names&quot;:false,&quot;dropping-particle&quot;:&quot;&quot;,&quot;non-dropping-particle&quot;:&quot;&quot;},{&quot;family&quot;:&quot;Couteur&quot;,&quot;given&quot;:&quot;David G.&quot;,&quot;parse-names&quot;:false,&quot;dropping-particle&quot;:&quot;&quot;,&quot;non-dropping-particle&quot;:&quot;Le&quot;},{&quot;family&quot;:&quot;Handelsman&quot;,&quot;given&quot;:&quot;David J.&quot;,&quot;parse-names&quot;:false,&quot;dropping-particle&quot;:&quot;&quot;,&quot;non-dropping-particle&quot;:&quot;&quot;},{&quot;family&quot;:&quot;Waite&quot;,&quot;given&quot;:&quot;Louise M.&quot;,&quot;parse-names&quot;:false,&quot;dropping-particle&quot;:&quot;&quot;,&quot;non-dropping-particle&quot;:&quot;&quot;},{&quot;family&quot;:&quot;Hirani&quot;,&quot;given&quot;:&quot;Vasant&quot;,&quot;parse-names&quot;:false,&quot;dropping-particle&quot;:&quot;&quot;,&quot;non-dropping-particle&quot;:&quot;&quot;}],&quot;container-title&quot;:&quot;The journals of gerontology. Series A, Biological sciences and medical sciences&quot;,&quot;container-title-short&quot;:&quot;J Gerontol A Biol Sci Med Sci&quot;,&quot;accessed&quot;:{&quot;date-parts&quot;:[[2022,8,30]]},&quot;DOI&quot;:&quot;10.1093/GERONA/GLY162&quot;,&quot;ISSN&quot;:&quot;1758-535X&quot;,&quot;PMID&quot;:&quot;30032209&quot;,&quot;URL&quot;:&quot;https://pubmed-ncbi-nlm-nih-gov.ezproxy.utu.fi/30032209/&quot;,&quot;issued&quot;:{&quot;date-parts&quot;:[[2019,5,16]]},&quot;page&quot;:&quot;827-834&quot;,&quot;abstract&quot;:&quot;Background: It is unclear whether older men with osteopenia/osteoporosis and sarcopenia (so-called osteosarcopenia) are at greater risk of falls and fractures than those with either condition alone. Methods: One thousand five hundred seventy-five community-dwelling men aged ≥70 years had appendicular lean mass, total hip and lumbar spine bone mineral density determined by dual-energy x-ray absorptiometry, and completed hand grip strength and gait speed tests. Osteopenia/osteoporosis was defined as a T-score at any site ≤−1.0 SD. Sarcopenia was defined using the European Working Group on Sarcopenia algorithm. Participants were contacted every 4 months for 6 ± 2 years to ascertain incident fractures (confirmed by radiographic reports) and for 2 years for incident falls. Results: Prevalence of osteosarcopenia was 8%, while 34% of participants had osteopenia/osteoporosis alone and 7% had sarcopenia alone. Men with osteosarcopenia had significantly increased fall (incidence rate ratio: 1.41; 95% confidence interval [CI]: 1.02 to 1.95) and fracture risk (hazard ratio: 1.87; 95% CI: 1.07 to 3.26) compared with men with neither osteopenia/osteoporosis nor sarcopenia. There was no statistical interaction between osteopenia/osteoporosis and sarcopenia, and falls and fracture risk were not different for osteosarcopenia compared with either condition alone (all p &gt; .05).&quot;,&quot;publisher&quot;:&quot;J Gerontol A Biol Sci Med Sci&quot;,&quot;issue&quot;:&quot;6&quot;,&quot;volume&quot;:&quot;74&quot;},&quot;isTemporary&quot;:false}]},{&quot;citationID&quot;:&quot;MENDELEY_CITATION_b8992d42-d7bb-4d86-a716-d318fdb52218&quot;,&quot;properties&quot;:{&quot;noteIndex&quot;:0},&quot;isEdited&quot;:false,&quot;manualOverride&quot;:{&quot;isManuallyOverridden&quot;:false,&quot;citeprocText&quot;:&quot;[11]&quot;,&quot;manualOverrideText&quot;:&quot;&quot;},&quot;citationTag&quot;:&quot;MENDELEY_CITATION_v3_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&quot;,&quot;citationItems&quot;:[{&quot;id&quot;:&quot;1fb52392-7c83-38fb-bca9-6af95b58aabd&quot;,&quot;itemData&quot;:{&quot;type&quot;:&quot;article-journal&quot;,&quot;id&quot;:&quot;1fb52392-7c83-38fb-bca9-6af95b58aabd&quot;,&quot;title&quot;:&quot;Prospective associations of osteosarcopenia and osteodynapenia with incident fracture and mortality over 10 years in community-dwelling older adults&quot;,&quot;author&quot;:[{&quot;family&quot;:&quot;Balogun&quot;,&quot;given&quot;:&quot;Saliu&quot;,&quot;parse-names&quot;:false,&quot;dropping-particle&quot;:&quot;&quot;,&quot;non-dropping-particle&quot;:&quot;&quot;},{&quot;family&quot;:&quot;Winzenberg&quot;,&quot;given&quot;:&quot;Tania&quot;,&quot;parse-names&quot;:false,&quot;dropping-particle&quot;:&quot;&quot;,&quot;non-dropping-particle&quot;:&quot;&quot;},{&quot;family&quot;:&quot;Wills&quot;,&quot;given&quot;:&quot;Karen&quot;,&quot;parse-names&quot;:false,&quot;dropping-particle&quot;:&quot;&quot;,&quot;non-dropping-particle&quot;:&quot;&quot;},{&quot;family&quot;:&quot;Scott&quot;,&quot;given&quot;:&quot;David&quot;,&quot;parse-names&quot;:false,&quot;dropping-particle&quot;:&quot;&quot;,&quot;non-dropping-particle&quot;:&quot;&quot;},{&quot;family&quot;:&quot;Callisaya&quot;,&quot;given&quot;:&quot;Michele&quot;,&quot;parse-names&quot;:false,&quot;dropping-particle&quot;:&quot;&quot;,&quot;non-dropping-particle&quot;:&quot;&quot;},{&quot;family&quot;:&quot;Cicuttini&quot;,&quot;given&quot;:&quot;Flavia&quot;,&quot;parse-names&quot;:false,&quot;dropping-particle&quot;:&quot;&quot;,&quot;non-dropping-particle&quot;:&quot;&quot;},{&quot;family&quot;:&quot;Jones&quot;,&quot;given&quot;:&quot;Graeme&quot;,&quot;parse-names&quot;:false,&quot;dropping-particle&quot;:&quot;&quot;,&quot;non-dropping-particle&quot;:&quot;&quot;},{&quot;family&quot;:&quot;Aitken&quot;,&quot;given&quot;:&quot;Dawn&quot;,&quot;parse-names&quot;:false,&quot;dropping-particle&quot;:&quot;&quot;,&quot;non-dropping-particle&quot;:&quot;&quot;}],&quot;container-title&quot;:&quot;Archives of gerontology and geriatrics&quot;,&quot;container-title-short&quot;:&quot;Arch Gerontol Geriatr&quot;,&quot;accessed&quot;:{&quot;date-parts&quot;:[[2023,11,29]]},&quot;DOI&quot;:&quot;10.1016/J.ARCHGER.2019.01.015&quot;,&quot;ISSN&quot;:&quot;1872-6976&quot;,&quot;PMID&quot;:&quot;30716680&quot;,&quot;URL&quot;:&quot;https://pubmed-ncbi-nlm-nih-gov.ezproxy.utu.fi/30716680/&quot;,&quot;issued&quot;:{&quot;date-parts&quot;:[[2019,5,1]]},&quot;page&quot;:&quot;67-73&quot;,&quot;abstract&quot;:&quot;Aim: To determine whether older adults with low muscle mass (sarcopenia) and strength (dynapenia), in the presence of osteoporosis/osteopenia, have an increased risk of fracture and mortality over 10 years, compared to those with low muscle or low bone mass alone or with neither condition. Methods: 1032 participants (52% women; mean age 62.9 ± 7.4 years) were prospectively followed for 10 years. Mortality was ascertained from the death registry and fractures were self-reported. Baseline appendicular lean mass (ALM) was assessed using dual-energy X-ray absorptiometry and normalised to body mass index (BMI). Hand grip strength (HGS) was assessed by dynamometer. Osteosarcopenia and osteodynapenia were defined as having T-scores of the total hip and/or lumbar spine bone mineral density (BMD) &lt; –1 combined with being in the lowest 20% of the sex-specific distribution for ALM/BMI or HGS respectively. Results: Incident fracture risk was significantly higher in participants who were osteodynapenic (RR = 2.07, 95% CI: 1.26–3.39), dynapenic alone (RR = 1.74, 95% CI: 1.05–2.87), and osteopenic alone (RR = 1.63, 95% CI: 1.15–2.31), compared to those without dynapenia or osteopenia. Mortality risk was significantly higher only in participants with osteosarcopenia (RR = 1.49, 95% CI: 1.01–2.21) compared to those without sarcopenia or osteopenia. However, osteosarcopenia and osteodynapenia did not lead to a significantly greater fracture or mortality risk compared to having these conditions on their own. Conclusion: These findings suggest that the combined effect of osteopenia and sarcopenia or dynapenia on fracture and mortality risk, respectively, may not be greater than that of each individual condition.&quot;,&quot;publisher&quot;:&quot;Arch Gerontol Geriatr&quot;,&quot;volume&quot;:&quot;82&quot;},&quot;isTemporary&quot;:false,&quot;suppress-author&quot;:false,&quot;composite&quot;:false,&quot;author-only&quot;:false}]},{&quot;citationID&quot;:&quot;MENDELEY_CITATION_c072867d-bbfa-47a8-a8b0-5e17a45bf63e&quot;,&quot;properties&quot;:{&quot;noteIndex&quot;:0},&quot;isEdited&quot;:false,&quot;manualOverride&quot;:{&quot;isManuallyOverridden&quot;:false,&quot;citeprocText&quot;:&quot;[12]&quot;,&quot;manualOverrideText&quot;:&quot;&quot;},&quot;citationTag&quot;:&quot;MENDELEY_CITATION_v3_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&quot;,&quot;citationItems&quot;:[{&quot;id&quot;:&quot;f5ee98e2-7e62-3169-b671-6228e1eeb9d2&quot;,&quot;itemData&quot;:{&quot;type&quot;:&quot;article-journal&quot;,&quot;id&quot;:&quot;f5ee98e2-7e62-3169-b671-6228e1eeb9d2&quot;,&quot;title&quot;:&quot;Does Combined Osteopenia/Osteoporosis and Sarcopenia Confer Greater Risk of Falls and Fracture Than Either Condition Alone in Older Men? The Concord Health and Ageing in Men Project&quot;,&quot;author&quot;:[{&quot;family&quot;:&quot;Scott&quot;,&quot;given&quot;:&quot;David&quot;,&quot;parse-names&quot;:false,&quot;dropping-particle&quot;:&quot;&quot;,&quot;non-dropping-particle&quot;:&quot;&quot;},{&quot;family&quot;:&quot;Seibel&quot;,&quot;given&quot;:&quot;Markus&quot;,&quot;parse-names&quot;:false,&quot;dropping-particle&quot;:&quot;&quot;,&quot;non-dropping-particle&quot;:&quot;&quot;},{&quot;family&quot;:&quot;Cumming&quot;,&quot;given&quot;:&quot;Robert&quot;,&quot;parse-names&quot;:false,&quot;dropping-particle&quot;:&quot;&quot;,&quot;non-dropping-particle&quot;:&quot;&quot;},{&quot;family&quot;:&quot;Naganathan&quot;,&quot;given&quot;:&quot;Vasi&quot;,&quot;parse-names&quot;:false,&quot;dropping-particle&quot;:&quot;&quot;,&quot;non-dropping-particle&quot;:&quot;&quot;},{&quot;family&quot;:&quot;Blyth&quot;,&quot;given&quot;:&quot;Fiona&quot;,&quot;parse-names&quot;:false,&quot;dropping-particle&quot;:&quot;&quot;,&quot;non-dropping-particle&quot;:&quot;&quot;},{&quot;family&quot;:&quot;Couteur&quot;,&quot;given&quot;:&quot;David G.&quot;,&quot;parse-names&quot;:false,&quot;dropping-particle&quot;:&quot;&quot;,&quot;non-dropping-particle&quot;:&quot;Le&quot;},{&quot;family&quot;:&quot;Handelsman&quot;,&quot;given&quot;:&quot;David J.&quot;,&quot;parse-names&quot;:false,&quot;dropping-particle&quot;:&quot;&quot;,&quot;non-dropping-particle&quot;:&quot;&quot;},{&quot;family&quot;:&quot;Waite&quot;,&quot;given&quot;:&quot;Louise M.&quot;,&quot;parse-names&quot;:false,&quot;dropping-particle&quot;:&quot;&quot;,&quot;non-dropping-particle&quot;:&quot;&quot;},{&quot;family&quot;:&quot;Hirani&quot;,&quot;given&quot;:&quot;Vasant&quot;,&quot;parse-names&quot;:false,&quot;dropping-particle&quot;:&quot;&quot;,&quot;non-dropping-particle&quot;:&quot;&quot;}],&quot;container-title&quot;:&quot;The journals of gerontology. Series A, Biological sciences and medical sciences&quot;,&quot;container-title-short&quot;:&quot;J Gerontol A Biol Sci Med Sci&quot;,&quot;accessed&quot;:{&quot;date-parts&quot;:[[2022,8,30]]},&quot;DOI&quot;:&quot;10.1093/GERONA/GLY162&quot;,&quot;ISSN&quot;:&quot;1758-535X&quot;,&quot;PMID&quot;:&quot;30032209&quot;,&quot;URL&quot;:&quot;https://pubmed-ncbi-nlm-nih-gov.ezproxy.utu.fi/30032209/&quot;,&quot;issued&quot;:{&quot;date-parts&quot;:[[2019,5,16]]},&quot;page&quot;:&quot;827-834&quot;,&quot;abstract&quot;:&quot;Background: It is unclear whether older men with osteopenia/osteoporosis and sarcopenia (so-called osteosarcopenia) are at greater risk of falls and fractures than those with either condition alone. Methods: One thousand five hundred seventy-five community-dwelling men aged ≥70 years had appendicular lean mass, total hip and lumbar spine bone mineral density determined by dual-energy x-ray absorptiometry, and completed hand grip strength and gait speed tests. Osteopenia/osteoporosis was defined as a T-score at any site ≤−1.0 SD. Sarcopenia was defined using the European Working Group on Sarcopenia algorithm. Participants were contacted every 4 months for 6 ± 2 years to ascertain incident fractures (confirmed by radiographic reports) and for 2 years for incident falls. Results: Prevalence of osteosarcopenia was 8%, while 34% of participants had osteopenia/osteoporosis alone and 7% had sarcopenia alone. Men with osteosarcopenia had significantly increased fall (incidence rate ratio: 1.41; 95% confidence interval [CI]: 1.02 to 1.95) and fracture risk (hazard ratio: 1.87; 95% CI: 1.07 to 3.26) compared with men with neither osteopenia/osteoporosis nor sarcopenia. There was no statistical interaction between osteopenia/osteoporosis and sarcopenia, and falls and fracture risk were not different for osteosarcopenia compared with either condition alone (all p &gt; .05).&quot;,&quot;publisher&quot;:&quot;J Gerontol A Biol Sci Med Sci&quot;,&quot;issue&quot;:&quot;6&quot;,&quot;volume&quot;:&quot;74&quot;},&quot;isTemporary&quot;:false,&quot;suppress-author&quot;:false,&quot;composite&quot;:false,&quot;author-only&quot;:false}]},{&quot;citationID&quot;:&quot;MENDELEY_CITATION_231923a8-3ea5-4126-887d-56cebad0fa50&quot;,&quot;properties&quot;:{&quot;noteIndex&quot;:0},&quot;isEdited&quot;:false,&quot;manualOverride&quot;:{&quot;isManuallyOverridden&quot;:false,&quot;citeprocText&quot;:&quot;[15]&quot;,&quot;manualOverrideText&quot;:&quot;&quot;},&quot;citationTag&quot;:&quot;MENDELEY_CITATION_v3_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&quot;,&quot;citationItems&quot;:[{&quot;id&quot;:&quot;09a361cf-33da-3e82-846a-40a1bcb9adef&quot;,&quot;itemData&quot;:{&quot;type&quot;:&quot;report&quot;,&quot;id&quot;:&quot;09a361cf-33da-3e82-846a-40a1bcb9adef&quot;,&quot;title&quot;:&quot;Assessment of osteoporosis at the primary health-care level. Technical Report.&quot;,&quot;author&quot;:[{&quot;family&quot;:&quot;Kanis JA on behalf of the World Health Organization Scientific Group (2007)&quot;,&quot;given&quot;:&quot;&quot;,&quot;parse-names&quot;:false,&quot;dropping-particle&quot;:&quot;&quot;,&quot;non-dropping-particle&quot;:&quot;&quot;}],&quot;issued&quot;:{&quot;date-parts&quot;:[[2007]]},&quot;container-title-short&quot;:&quot;&quot;},&quot;isTemporary&quot;:false,&quot;suppress-author&quot;:false,&quot;composite&quot;:false,&quot;author-only&quot;:false}]},{&quot;citationID&quot;:&quot;MENDELEY_CITATION_e29f8ec2-e785-4679-b823-2e2ba5bea381&quot;,&quot;properties&quot;:{&quot;noteIndex&quot;:0},&quot;isEdited&quot;:false,&quot;manualOverride&quot;:{&quot;isManuallyOverridden&quot;:false,&quot;citeprocText&quot;:&quot;[6, 19, 20]&quot;,&quot;manualOverrideText&quot;:&quot;&quot;},&quot;citationTag&quot;:&quot;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&quot;,&quot;citationItems&quot;:[{&quot;id&quot;:&quot;fa24e4c8-0aba-3a51-ac0b-c18208c465f7&quot;,&quot;itemData&quot;:{&quot;type&quot;:&quot;article-journal&quot;,&quot;id&quot;:&quot;fa24e4c8-0aba-3a51-ac0b-c18208c465f7&quot;,&quot;title&quot;:&quot;Muscle Strength and Physical Performance Improve Fracture Risk Prediction Beyond Garvan and FRAX: The Osteoporotic Fractures in Men (MrOS) Study&quot;,&quot;author&quot;:[{&quot;family&quot;:&quot;Alajlouni&quot;,&quot;given&quot;:&quot;Dima&quot;,&quot;parse-names&quot;:false,&quot;dropping-particle&quot;:&quot;&quot;,&quot;non-dropping-particle&quot;:&quot;&quot;},{&quot;family&quot;:&quot;Tran&quot;,&quot;given&quot;:&quot;Thach&quot;,&quot;parse-names&quot;:false,&quot;dropping-particle&quot;:&quot;&quot;,&quot;non-dropping-particle&quot;:&quot;&quot;},{&quot;family&quot;:&quot;Bliuc&quot;,&quot;given&quot;:&quot;Dana&quot;,&quot;parse-names&quot;:false,&quot;dropping-particle&quot;:&quot;&quot;,&quot;non-dropping-particle&quot;:&quot;&quot;},{&quot;family&quot;:&quot;Blank&quot;,&quot;given&quot;:&quot;Robert D.&quot;,&quot;parse-names&quot;:false,&quot;dropping-particle&quot;:&quot;&quot;,&quot;non-dropping-particle&quot;:&quot;&quot;},{&quot;family&quot;:&quot;Cawthon&quot;,&quot;given&quot;:&quot;Peggy M.&quot;,&quot;parse-names&quot;:false,&quot;dropping-particle&quot;:&quot;&quot;,&quot;non-dropping-particle&quot;:&quot;&quot;},{&quot;family&quot;:&quot;Orwoll&quot;,&quot;given&quot;:&quot;Eric S.&quot;,&quot;parse-names&quot;:false,&quot;dropping-particle&quot;:&quot;&quot;,&quot;non-dropping-particle&quot;:&quot;&quot;},{&quot;family&quot;:&quot;Center&quot;,&quot;given&quot;:&quot;Jacqueline R.&quot;,&quot;parse-names&quot;:false,&quot;dropping-particle&quot;:&quot;&quot;,&quot;non-dropping-particle&quot;:&quot;&quot;}],&quot;container-title&quot;:&quot;Journal of bone and mineral research : the official journal of the American Society for Bone and Mineral Research&quot;,&quot;container-title-short&quot;:&quot;J Bone Miner Res&quot;,&quot;accessed&quot;:{&quot;date-parts&quot;:[[2024,9,11]]},&quot;DOI&quot;:&quot;10.1002/JBMR.4483&quot;,&quot;ISSN&quot;:&quot;1523-4681&quot;,&quot;PMID&quot;:&quot;34842309&quot;,&quot;URL&quot;:&quot;https://pubmed-ncbi-nlm-nih-gov.ezproxy.utu.fi/34842309/&quot;,&quot;issued&quot;:{&quot;date-parts&quot;:[[2022,3,1]]},&quot;page&quot;:&quot;411-419&quot;,&quot;abstract&quot;:&quot;Muscle strength and physical performance are associated with fracture risk in men. However, it is not known whether these measurements enhance fracture prediction beyond Garvan and FRAX tools. A total of 5665 community-dwelling men, aged ≥65 years, from the Osteoporotic Fractures in Men (MrOS) Study, who had data on muscle strength (grip strength) and physical performance (gait speed and chair stand tests), were followed from 2000 to 2019 for any fracture, major osteoporotic fracture (MOF), initial hip, and any hip fracture. The contributions to different fracture outcomes were assessed using Cox's proportional hazard models. Tool-specific analysis approaches and outcome definitions were used. The added predictive values of muscle strength and physical performance beyond Garvan and FRAX were assessed using categorical net reclassification improvement (NRI) and relative importance analyses. During a median follow-up of 13 (interquartile range 7–17) years, there were 1014 fractures, 536 MOFs, 215 initial hip, and 274 any hip fractures. Grip strength and chair stand improved prediction of any fracture (NRI for grip strength 3.9% and for chair stand 3.2%) and MOF (5.2% and 6.1%). Gait speed improved prediction of initial hip (5.7%) and any hip (7.0%) fracture. Combining grip strength and the relevant performance test further improved the models (5.7%, 8.9%, 9.4%, and 7.0% for any, MOF, initial, and any hip fractures, respectively). The improvements were predominantly driven by reclassification of those with fracture to higher risk categories. Apart from age and femoral neck bone mineral density, muscle strength and performance were ranked equal to or better than the other risk factors included in fracture models, including prior fractures, falls, smoking, alcohol, and glucocorticoid use. Muscle strength and performance measurements improved fracture risk prediction in men beyond Garvan and FRAX. They were as or more important than other established risk factors. These measures should be considered for inclusion in fracture risk assessment tools. © 2021 American Society for Bone and Mineral Research (ASBMR).&quot;,&quot;publisher&quot;:&quot;J Bone Miner Res&quot;,&quot;issue&quot;:&quot;3&quot;,&quot;volume&quot;:&quot;37&quot;},&quot;isTemporary&quot;:false,&quot;suppress-author&quot;:false,&quot;composite&quot;:false,&quot;author-only&quot;:false},{&quot;id&quot;:&quot;101bedca-aba4-3eac-9284-bc29127f2aad&quot;,&quot;itemData&quot;:{&quot;type&quot;:&quot;article-journal&quot;,&quot;id&quot;:&quot;101bedca-aba4-3eac-9284-bc29127f2aad&quot;,&quot;title&quot;:&quot;Influence of hand grip strength test and short physical performance battery on FRAX in post-menopausal women: a machine learning cross-sectional study&quot;,&quot;author&quot;:[{&quot;family&quot;:&quot;Sire&quot;,&quot;given&quot;:&quot;Alessandro&quot;,&quot;parse-names&quot;:false,&quot;dropping-particle&quot;:&quot;&quot;,&quot;non-dropping-particle&quot;:&quot;De&quot;},{&quot;family&quot;:&quot;Marotta&quot;,&quot;given&quot;:&quot;Nicola&quot;,&quot;parse-names&quot;:false,&quot;dropping-particle&quot;:&quot;&quot;,&quot;non-dropping-particle&quot;:&quot;&quot;},{&quot;family&quot;:&quot;Prestifilippo&quot;,&quot;given&quot;:&quot;Emanuele&quot;,&quot;parse-names&quot;:false,&quot;dropping-particle&quot;:&quot;&quot;,&quot;non-dropping-particle&quot;:&quot;&quot;},{&quot;family&quot;:&quot;Calafiore&quot;,&quot;given&quot;:&quot;Dario&quot;,&quot;parse-names&quot;:false,&quot;dropping-particle&quot;:&quot;&quot;,&quot;non-dropping-particle&quot;:&quot;&quot;},{&quot;family&quot;:&quot;Lippi&quot;,&quot;given&quot;:&quot;Lorenzo&quot;,&quot;parse-names&quot;:false,&quot;dropping-particle&quot;:&quot;&quot;,&quot;non-dropping-particle&quot;:&quot;&quot;},{&quot;family&quot;:&quot;Sconza&quot;,&quot;given&quot;:&quot;Cristiano&quot;,&quot;parse-names&quot;:false,&quot;dropping-particle&quot;:&quot;&quot;,&quot;non-dropping-particle&quot;:&quot;&quot;},{&quot;family&quot;:&quot;Muraca&quot;,&quot;given&quot;:&quot;Lucia&quot;,&quot;parse-names&quot;:false,&quot;dropping-particle&quot;:&quot;&quot;,&quot;non-dropping-particle&quot;:&quot;&quot;},{&quot;family&quot;:&quot;Invernizzi&quot;,&quot;given&quot;:&quot;Marco&quot;,&quot;parse-names&quot;:false,&quot;dropping-particle&quot;:&quot;&quot;,&quot;non-dropping-particle&quot;:&quot;&quot;},{&quot;family&quot;:&quot;Mezian&quot;,&quot;given&quot;:&quot;Kamal&quot;,&quot;parse-names&quot;:false,&quot;dropping-particle&quot;:&quot;&quot;,&quot;non-dropping-particle&quot;:&quot;&quot;},{&quot;family&quot;:&quot;Ammendolia&quot;,&quot;given&quot;:&quot;Antonio&quot;,&quot;parse-names&quot;:false,&quot;dropping-particle&quot;:&quot;&quot;,&quot;non-dropping-particle&quot;:&quot;&quot;}],&quot;container-title&quot;:&quot;The Journal of sports medicine and physical fitness&quot;,&quot;container-title-short&quot;:&quot;J Sports Med Phys Fitness&quot;,&quot;accessed&quot;:{&quot;date-parts&quot;:[[2024,9,11]]},&quot;DOI&quot;:&quot;10.23736/S0022-4707.23.15417-X&quot;,&quot;ISSN&quot;:&quot;1827-1928&quot;,&quot;PMID&quot;:&quot;38126971&quot;,&quot;URL&quot;:&quot;https://pubmed-ncbi-nlm-nih-gov.ezproxy.utu.fi/38126971/&quot;,&quot;issued&quot;:{&quot;date-parts&quot;:[[2024,3,1]]},&quot;page&quot;:&quot;293-300&quot;,&quot;abstract&quot;:&quot;BACKGROUND: Impaired physical performance and muscle strength are recognized risk factors for fragility fractures, frequently associated with osteoporosis and sarcopenia. However, the integration of muscle strength and physical performance in the comprehensive assessment of fracture risk is still debated. Therefore, this cross-sectional study aimed to assess the potential role of hand grip strength (HGS) and short physical performance battery (SPPB) for predicting fragility fractures and their correlation with Fracture Risk Assessment Tool (FRAX) with a machine learning approach. METHODS: In this cross-sectional study, a group of postmenopausal women underwent assessment of their strength, with the outcome measured using the HSG, their physical performance evaluated using the SPPB, and the predictive algorithm for fragility fractures known as FRAX. The statistical analysis included correlation analysis using Pearson’s r and a decision tree model to compare different variables and their relationship with the FRAX Index. This machine learning approach allowed to create a visual decision boundaries plot, providing a dynamic representation of variables interactions in predicting fracture risk. RESULTS: Thirty-four patients (mean age 63.8±10.7 years) were included. Both HGS and SPPB negatively correlate with FRAX major (r=-0.381, P=0.034; and r=-0.407, P=0.023 respectively), whereas only SPPB significantly correlated with an inverse proportionality to FRAX hip (r=-0.492, P=0.001). According to a machine learning approach, FRAX major ≥20 and/or hip ≥3 might be reported for an SPPB&lt;6. Concurrently, HGS&lt;17.5 kg correlated with FRAX major ≥20 and/or hip ≥3. CONCLUSIONS: In light of the major findings, this cross-sectional study using a machine learning model related SPPB and HGS to FRAX. Therefore, a precise assessment including muscle strength and physical performance might be considered in the multidisciplinary assessment of fracture risk in post-menopausal women.&quot;,&quot;publisher&quot;:&quot;J Sports Med Phys Fitness&quot;,&quot;issue&quot;:&quot;3&quot;,&quot;volume&quot;:&quot;64&quot;},&quot;isTemporary&quot;:false},{&quot;id&quot;:&quot;8f622915-17d9-3722-a045-bd8093d6291e&quot;,&quot;itemData&quot;:{&quot;type&quot;:&quot;article-journal&quot;,&quot;id&quot;:&quot;8f622915-17d9-3722-a045-bd8093d6291e&quot;,&quot;title&quot;:&quot;Sarcopenia combined with FRAX probabilities improves fracture risk prediction in older Chinese men&quot;,&quot;author&quot;:[{&quot;family&quot;:&quot;Yu&quot;,&quot;given&quot;:&quot;Ruby&quot;,&quot;parse-names&quot;:false,&quot;dropping-particle&quot;:&quot;&quot;,&quot;non-dropping-particle&quot;:&quot;&quot;},{&quot;family&quot;:&quot;Leung&quot;,&quot;given&quot;:&quot;Jason&quot;,&quot;parse-names&quot;:false,&quot;dropping-particle&quot;:&quot;&quot;,&quot;non-dropping-particle&quot;:&quot;&quot;},{&quot;family&quot;:&quot;Woo&quot;,&quot;given&quot;:&quot;Jean&quot;,&quot;parse-names&quot;:false,&quot;dropping-particle&quot;:&quot;&quot;,&quot;non-dropping-particle&quot;:&quot;&quot;}],&quot;container-title&quot;:&quot;Journal of the American Medical Directors Association&quot;,&quot;container-title-short&quot;:&quot;J Am Med Dir Assoc&quot;,&quot;accessed&quot;:{&quot;date-parts&quot;:[[2024,10,23]]},&quot;DOI&quot;:&quot;10.1016/J.JAMDA.2014.07.011&quot;,&quot;ISSN&quot;:&quot;1538-9375&quot;,&quot;PMID&quot;:&quot;25262197&quot;,&quot;URL&quot;:&quot;https://pubmed.ncbi.nlm.nih.gov/25262197/&quot;,&quot;issued&quot;:{&quot;date-parts&quot;:[[2014,12,1]]},&quot;page&quot;:&quot;918-923&quot;,&quot;abstract&quot;:&quot;Objectives: To examine whether the inclusion of sarcopenia in prediction models adds any incremental value to fracture risk assessment tool (FRAX). Design, Setting, and Participants: Data from a prospective cohort of 4000 community-dwelling Chinese men and women aged 65 years and older with adjudicated fracture outcomes were analyzed. Measurements: At baseline, femoral neck bone mineral density (BMD) was assessed, as were the clinical risk factors included in FRAX, along with additional appendicular skeletal muscle mass, grip strength, and gait speed. Sarcopenia was defined according to the Asian Working Group for Sarcopenia algorithm. Incident fractures were documented during the follow-up period from 2001 to2013. Results: Of 4000 participants, 565 experienced at least 1 type of incident fracture and 132 experienced a hip fracture during a follow-up of 10.2 years. Hazard ratios (HRs) for 1-unit increase in FRAX score without BMD in men were 1.12 [95% confidence interval (CI) 1.08-1.16] for all fractures combined and 1.19 (95% CI 1.13-1.27) for hip fracture, and in women were 1.04 (95% CI 1.03-1.06) for all fractures combined and 1.08 (95% CI 1.06-1.11) for hip fracture. Similar to results of the FRAX score without BMD, HRs for 1-unit increase in FRAX score with BMD in men were 1.04 (95% CI 1.03-1.06) for all fractures combined and 1.19 (95% CI 1.13-1.25) for hip fracture, and in women were 1.04 (95% CI 1.03-1.05) for all fractures combined and 1.06 (95% CI 1.05-1.08) for hip fracture. Sarcopenia was significantly associated with all fractures combined (Adjusted HR 1.87; 95% CI 1.30-2.68) and hip fracture (Adjusted HR 2.67; 95% CI 1.46-4.90) in men but not in women. The discriminative values for fracture, as measured by the area under the receiver operating characteristic curve, were 0.60-0.73 and 0.62-0.76 for FRAX without and with BMD, respectively. Adding sarcopenia did not significantly improve the discriminatory capacity over FRAX (. P&gt;.05). Using reclassification techniques, sarcopenia significantly enhanced the integrated discrimination improvement by 0.6% to 1.2% and the net reclassification improvement by 7.2% to 20.8% in men, but it did not contribute to predictive accuracy in women. Conclusions: Sarcopenia added incremental value to FRAX in predicting incident fracture in older Chinesemen.&quot;,&quot;publisher&quot;:&quot;J Am Med Dir Assoc&quot;,&quot;issue&quot;:&quot;12&quot;,&quot;volume&quot;:&quot;15&quot;},&quot;isTemporary&quot;:false}]},{&quot;citationID&quot;:&quot;MENDELEY_CITATION_99602b55-bc00-42b6-b979-f3840aac4513&quot;,&quot;properties&quot;:{&quot;noteIndex&quot;:0},&quot;isEdited&quot;:false,&quot;manualOverride&quot;:{&quot;isManuallyOverridden&quot;:false,&quot;citeprocText&quot;:&quot;[3, 4]&quot;,&quot;manualOverrideText&quot;:&quot;&quot;},&quot;citationTag&quot;:&quot;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&quot;,&quot;citationItems&quot;:[{&quot;id&quot;:&quot;196f12cd-812c-3679-ab80-3c88345071ce&quot;,&quot;itemData&quot;:{&quot;type&quot;:&quot;article-journal&quot;,&quot;id&quot;:&quot;196f12cd-812c-3679-ab80-3c88345071ce&quot;,&quot;title&quot;:&quot;Sarcopenia and its association with falls and fractures in older adults: A systematic review and meta-analysis&quot;,&quot;author&quot;:[{&quot;family&quot;:&quot;Yeung&quot;,&quot;given&quot;:&quot;Suey S.Y.&quot;,&quot;parse-names&quot;:false,&quot;dropping-particle&quot;:&quot;&quot;,&quot;non-dropping-particle&quot;:&quot;&quot;},{&quot;family&quot;:&quot;Reijnierse&quot;,&quot;given&quot;:&quot;Esmee M.&quot;,&quot;parse-names&quot;:false,&quot;dropping-particle&quot;:&quot;&quot;,&quot;non-dropping-particle&quot;:&quot;&quot;},{&quot;family&quot;:&quot;Pham&quot;,&quot;given&quot;:&quot;Vivien K.&quot;,&quot;parse-names&quot;:false,&quot;dropping-particle&quot;:&quot;&quot;,&quot;non-dropping-particle&quot;:&quot;&quot;},{&quot;family&quot;:&quot;Trappenburg&quot;,&quot;given&quot;:&quot;Marijke C.&quot;,&quot;parse-names&quot;:false,&quot;dropping-particle&quot;:&quot;&quot;,&quot;non-dropping-particle&quot;:&quot;&quot;},{&quot;family&quot;:&quot;Lim&quot;,&quot;given&quot;:&quot;Wen Kwang&quot;,&quot;parse-names&quot;:false,&quot;dropping-particle&quot;:&quot;&quot;,&quot;non-dropping-particle&quot;:&quot;&quot;},{&quot;family&quot;:&quot;Meskers&quot;,&quot;given&quot;:&quot;Carel G.M.&quot;,&quot;parse-names&quot;:false,&quot;dropping-particle&quot;:&quot;&quot;,&quot;non-dropping-particle&quot;:&quot;&quot;},{&quot;family&quot;:&quot;Maier&quot;,&quot;given&quot;:&quot;Andrea B.&quot;,&quot;parse-names&quot;:false,&quot;dropping-particle&quot;:&quot;&quot;,&quot;non-dropping-particle&quot;:&quot;&quot;}],&quot;container-title&quot;:&quot;Journal of cachexia, sarcopenia and muscle&quot;,&quot;container-title-short&quot;:&quot;J Cachexia Sarcopenia Muscle&quot;,&quot;accessed&quot;:{&quot;date-parts&quot;:[[2024,9,11]]},&quot;DOI&quot;:&quot;10.1002/JCSM.12411&quot;,&quot;ISSN&quot;:&quot;2190-6009&quot;,&quot;PMID&quot;:&quot;30993881&quot;,&quot;URL&quot;:&quot;https://pubmed.ncbi.nlm.nih.gov/30993881/&quot;,&quot;issued&quot;:{&quot;date-parts&quot;:[[2019,6,1]]},&quot;page&quot;:&quot;485-500&quot;,&quot;abstract&quot;:&quot;Sarcopenia is a potentially modifiable risk factor for falls and fractures in older adults, but the strength of the association between sarcopenia, falls, and fractures is unclear. This study aims to systematically assess the literature and perform a meta-analysis of the association between sarcopenia with falls and fractures among older adults. A literature search was performed using MEDLINE, EMBASE, Cochrane, and CINAHL from inception to May 2018. Inclusion criteria were the following: published in English, mean/median age ≥ 65 years, sarcopenia diagnosis (based on definitions used by the original studies' authors), falls and/or fractures outcomes, and any study population. Pooled analyses were conducted of the associations of sarcopenia with falls and fractures, expressed in odds ratios (OR) and 95% confidence intervals (CIs). Subgroup analyses were performed by study design, population, sex, sarcopenia definition, continent, and study quality. Heterogeneity was assessed using the I2 statistics. The search identified 2771 studies. Thirty-six studies (52 838 individuals, 48.8% females, and mean age of the study populations ranging from 65.0 to 86.7 years) were included in the systematic review. Four studies reported on both falls and fractures. Ten out of 22 studies reported a significantly higher risk of falls in sarcopenic compared with non-sarcopenic individuals; 11 out of 19 studies showed a significant positive association with fractures. Thirty-three studies (45 926 individuals) were included in the meta-analysis. Sarcopenic individuals had a significant higher risk of falls (cross-sectional studies: OR 1.60; 95% CI 1.37–1.86, P &lt; 0.001, I2 = 34%; prospective studies: OR 1.89; 95% CI 1.33–2.68, P &lt; 0.001, I2 = 37%) and fractures (cross-sectional studies: OR 1.84; 95% CI 1.30–2.62, P = 0.001, I2 = 91%; prospective studies: OR 1.71; 95% CI 1.44–2.03, P = 0.011, I2 = 0%) compared with non-sarcopenic individuals. This was independent of study design, population, sex, sarcopenia definition, continent, and study quality. The positive association between sarcopenia with falls and fractures in older adults strengthens the need to invest in sarcopenia prevention and interventions to evaluate its effect on falls and fractures.&quot;,&quot;publisher&quot;:&quot;J Cachexia Sarcopenia Muscle&quot;,&quot;issue&quot;:&quot;3&quot;,&quot;volume&quot;:&quot;10&quot;},&quot;isTemporary&quot;:false},{&quot;id&quot;:&quot;3fb911f3-727c-36ef-8e75-504756a95968&quot;,&quot;itemData&quot;:{&quot;type&quot;:&quot;article-journal&quot;,&quot;id&quot;:&quot;3fb911f3-727c-36ef-8e75-504756a95968&quot;,&quot;title&quot;:&quot;Sarcopenia: revised European consensus on definition and diagnosis.&quot;,&quot;author&quot;:[{&quot;family&quot;:&quot;Cruz-Jentoft&quot;,&quot;given&quot;:&quot;Alfonso J&quot;,&quot;parse-names&quot;:false,&quot;dropping-particle&quot;:&quot;&quot;,&quot;non-dropping-particle&quot;:&quot;&quot;},{&quot;family&quot;:&quot;Bahat&quot;,&quot;given&quot;:&quot;Gülistan&quot;,&quot;parse-names&quot;:false,&quot;dropping-particle&quot;:&quot;&quot;,&quot;non-dropping-particle&quot;:&quot;&quot;},{&quot;family&quot;:&quot;Bauer&quot;,&quot;given&quot;:&quot;Jürgen&quot;,&quot;parse-names&quot;:false,&quot;dropping-particle&quot;:&quot;&quot;,&quot;non-dropping-particle&quot;:&quot;&quot;},{&quot;family&quot;:&quot;Boirie&quot;,&quot;given&quot;:&quot;Yves&quot;,&quot;parse-names&quot;:false,&quot;dropping-particle&quot;:&quot;&quot;,&quot;non-dropping-particle&quot;:&quot;&quot;},{&quot;family&quot;:&quot;Bruyère&quot;,&quot;given&quot;:&quot;Olivier&quot;,&quot;parse-names&quot;:false,&quot;dropping-particle&quot;:&quot;&quot;,&quot;non-dropping-particle&quot;:&quot;&quot;},{&quot;family&quot;:&quot;Cederholm&quot;,&quot;given&quot;:&quot;Tommy&quot;,&quot;parse-names&quot;:false,&quot;dropping-particle&quot;:&quot;&quot;,&quot;non-dropping-particle&quot;:&quot;&quot;},{&quot;family&quot;:&quot;Cooper&quot;,&quot;given&quot;:&quot;Cyrus&quot;,&quot;parse-names&quot;:false,&quot;dropping-particle&quot;:&quot;&quot;,&quot;non-dropping-particle&quot;:&quot;&quot;},{&quot;family&quot;:&quot;Landi&quot;,&quot;given&quot;:&quot;Francesco&quot;,&quot;parse-names&quot;:false,&quot;dropping-particle&quot;:&quot;&quot;,&quot;non-dropping-particle&quot;:&quot;&quot;},{&quot;family&quot;:&quot;Rolland&quot;,&quot;given&quot;:&quot;Yves&quot;,&quot;parse-names&quot;:false,&quot;dropping-particle&quot;:&quot;&quot;,&quot;non-dropping-particle&quot;:&quot;&quot;},{&quot;family&quot;:&quot;Sayer&quot;,&quot;given&quot;:&quot;Avan Aihie&quot;,&quot;parse-names&quot;:false,&quot;dropping-particle&quot;:&quot;&quot;,&quot;non-dropping-particle&quot;:&quot;&quot;},{&quot;family&quot;:&quot;Schneider&quot;,&quot;given&quot;:&quot;Stéphane M&quot;,&quot;parse-names&quot;:false,&quot;dropping-particle&quot;:&quot;&quot;,&quot;non-dropping-particle&quot;:&quot;&quot;},{&quot;family&quot;:&quot;Sieber&quot;,&quot;given&quot;:&quot;Cornel C&quot;,&quot;parse-names&quot;:false,&quot;dropping-particle&quot;:&quot;&quot;,&quot;non-dropping-particle&quot;:&quot;&quot;},{&quot;family&quot;:&quot;Topinkova&quot;,&quot;given&quot;:&quot;Eva&quot;,&quot;parse-names&quot;:false,&quot;dropping-particle&quot;:&quot;&quot;,&quot;non-dropping-particle&quot;:&quot;&quot;},{&quot;family&quot;:&quot;Vandewoude&quot;,&quot;given&quot;:&quot;Maurits&quot;,&quot;parse-names&quot;:false,&quot;dropping-particle&quot;:&quot;&quot;,&quot;non-dropping-particle&quot;:&quot;&quot;},{&quot;family&quot;:&quot;Visser&quot;,&quot;given&quot;:&quot;Marjolein&quot;,&quot;parse-names&quot;:false,&quot;dropping-particle&quot;:&quot;&quot;,&quot;non-dropping-particle&quot;:&quot;&quot;},{&quot;family&quot;:&quot;Zamboni&quot;,&quot;given&quot;:&quot;Mauro&quot;,&quot;parse-names&quot;:false,&quot;dropping-particle&quot;:&quot;&quot;,&quot;non-dropping-particle&quot;:&quot;&quot;},{&quot;family&quot;:&quot;Writing Group for the European Working Group on Sarcopenia in Older People 2 (EWGSOP2), and the Extended Group for EWGSOP2&quot;,&quot;given&quot;:&quot;&quot;,&quot;parse-names&quot;:false,&quot;dropping-particle&quot;:&quot;&quot;,&quot;non-dropping-particle&quot;:&quot;&quot;}],&quot;container-title&quot;:&quot;Age and ageing&quot;,&quot;container-title-short&quot;:&quot;Age Ageing&quot;,&quot;accessed&quot;:{&quot;date-parts&quot;:[[2021,4,5]]},&quot;DOI&quot;:&quot;10.1093/ageing/afy169&quot;,&quot;ISSN&quot;:&quot;1468-2834&quot;,&quot;PMID&quot;:&quot;30312372&quot;,&quot;URL&quot;:&quot;http://www.ncbi.nlm.nih.gov/pubmed/30312372&quot;,&quot;issued&quot;:{&quot;date-parts&quot;:[[2019]]},&quot;page&quot;:&quot;16-31&quot;,&quot;abstract&quot;:&quot;Background in 2010, the European Working Group on Sarcopenia in Older People (EWGSOP) published a sarcopenia definition that aimed to foster advances in identifying and caring for people with sarcopenia. In early 2018, the Working Group met again (EWGSOP2) to update the original definition in order to reflect scientific and clinical evidence that has built over the last decade. This paper presents our updated findings. Objectives to increase consistency of research design, clinical diagnoses and ultimately, care for people with sarcopenia. Recommendations sarcopenia is a muscle disease (muscle failure) rooted in adverse muscle changes that accrue across a lifetime; sarcopenia is common among adults of older age but can also occur earlier in life. In this updated consensus paper on sarcopenia, EWGSOP2: (1) focuses on low muscle strength as a key characteristic of sarcopenia, uses detection of low muscle quantity and quality to confirm the sarcopenia diagnosis, and identifies poor physical performance as indicative of severe sarcopenia; (2) updates the clinical algorithm that can be used for sarcopenia case-finding, diagnosis and confirmation, and severity determination and (3) provides clear cut-off points for measurements of variables that identify and characterise sarcopenia. Conclusions EWGSOP2's updated recommendations aim to increase awareness of sarcopenia and its risk. With these new recommendations, EWGSOP2 calls for healthcare professionals who treat patients at risk for sarcopenia to take actions that will promote early detection and treatment. We also encourage more research in the field of sarcopenia in order to prevent or delay adverse health outcomes that incur a heavy burden for patients and healthcare systems.&quot;,&quot;publisher&quot;:&quot;Age Ageing&quot;,&quot;issue&quot;:&quot;1&quot;,&quot;volume&quot;:&quot;48&quot;},&quot;isTemporary&quot;:false}]},{&quot;citationID&quot;:&quot;MENDELEY_CITATION_6c4fd0c7-0ba2-424b-87c4-a7d3be75a557&quot;,&quot;properties&quot;:{&quot;noteIndex&quot;:0},&quot;isEdited&quot;:false,&quot;manualOverride&quot;:{&quot;isManuallyOverridden&quot;:false,&quot;citeprocText&quot;:&quot;[21]&quot;,&quot;manualOverrideText&quot;:&quot;&quot;},&quot;citationTag&quot;:&quot;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&quot;,&quot;citationItems&quot;:[{&quot;id&quot;:&quot;d096f12c-3859-35e8-9d45-ab57d6954a15&quot;,&quot;itemData&quot;:{&quot;type&quot;:&quot;article-journal&quot;,&quot;id&quot;:&quot;d096f12c-3859-35e8-9d45-ab57d6954a15&quot;,&quot;title&quot;:&quot;Exercise for preventing falls in older people living in the community&quot;,&quot;author&quot;:[{&quot;family&quot;:&quot;Sherrington&quot;,&quot;given&quot;:&quot;Catherine&quot;,&quot;parse-names&quot;:false,&quot;dropping-particle&quot;:&quot;&quot;,&quot;non-dropping-particle&quot;:&quot;&quot;},{&quot;family&quot;:&quot;Fairhall&quot;,&quot;given&quot;:&quot;Nicola J.&quot;,&quot;parse-names&quot;:false,&quot;dropping-particle&quot;:&quot;&quot;,&quot;non-dropping-particle&quot;:&quot;&quot;},{&quot;family&quot;:&quot;Wallbank&quot;,&quot;given&quot;:&quot;Geraldine K.&quot;,&quot;parse-names&quot;:false,&quot;dropping-particle&quot;:&quot;&quot;,&quot;non-dropping-particle&quot;:&quot;&quot;},{&quot;family&quot;:&quot;Tiedemann&quot;,&quot;given&quot;:&quot;Anne&quot;,&quot;parse-names&quot;:false,&quot;dropping-particle&quot;:&quot;&quot;,&quot;non-dropping-particle&quot;:&quot;&quot;},{&quot;family&quot;:&quot;Michaleff&quot;,&quot;given&quot;:&quot;Zoe A.&quot;,&quot;parse-names&quot;:false,&quot;dropping-particle&quot;:&quot;&quot;,&quot;non-dropping-particle&quot;:&quot;&quot;},{&quot;family&quot;:&quot;Howard&quot;,&quot;given&quot;:&quot;Kirsten&quot;,&quot;parse-names&quot;:false,&quot;dropping-particle&quot;:&quot;&quot;,&quot;non-dropping-particle&quot;:&quot;&quot;},{&quot;family&quot;:&quot;Clemson&quot;,&quot;given&quot;:&quot;Lindy&quot;,&quot;parse-names&quot;:false,&quot;dropping-particle&quot;:&quot;&quot;,&quot;non-dropping-particle&quot;:&quot;&quot;},{&quot;family&quot;:&quot;Hopewell&quot;,&quot;given&quot;:&quot;Sally&quot;,&quot;parse-names&quot;:false,&quot;dropping-particle&quot;:&quot;&quot;,&quot;non-dropping-particle&quot;:&quot;&quot;},{&quot;family&quot;:&quot;Lamb&quot;,&quot;given&quot;:&quot;Sarah E.&quot;,&quot;parse-names&quot;:false,&quot;dropping-particle&quot;:&quot;&quot;,&quot;non-dropping-particle&quot;:&quot;&quot;}],&quot;container-title&quot;:&quot;The Cochrane database of systematic reviews&quot;,&quot;container-title-short&quot;:&quot;Cochrane Database Syst Rev&quot;,&quot;accessed&quot;:{&quot;date-parts&quot;:[[2024,10,30]]},&quot;DOI&quot;:&quot;10.1002/14651858.CD012424.PUB2&quot;,&quot;ISSN&quot;:&quot;1469-493X&quot;,&quot;PMID&quot;:&quot;30703272&quot;,&quot;URL&quot;:&quot;https://pubmed-ncbi-nlm-nih-gov.ezproxy.utu.fi/30703272/&quot;,&quot;issued&quot;:{&quot;date-parts&quot;:[[2019,1,31]]},&quot;abstract&quot;:&quot;Background: At least one-third of community-dwelling people over 65 years of age fall each year. Exercises that target balance, gait and muscle strength have been found to prevent falls in these people. An up-to-date synthesis of the evidence is important given the major long-term consequences associated with falls and fall-related injuries Objectives: To assess the effects (benefits and harms) of exercise interventions for preventing falls in older people living in the community. Search methods: We searched CENTRAL, MEDLINE, Embase, three other databases and two trial registers up to 2 May 2018, together with reference checking and contact with study authors to identify additional studies. Selection criteria: We included randomised controlled trials (RCTs) evaluating the effects of any form of exercise as a single intervention on falls in people aged 60+ years living in the community. We excluded trials focused on particular conditions, such as stroke. Data collection and analysis: We used standard methodological procedures expected by Cochrane. Our primary outcome was rate of falls. Main results: We included 108 RCTs with 23,407 participants living in the community in 25 countries. There were nine cluster-RCTs. On average, participants were 76 years old and 77% were women. Most trials had unclear or high risk of bias for one or more items. Results from four trials focusing on people who had been recently discharged from hospital and from comparisons of different exercises are not described here. Exercise (all types) versus control Eighty-one trials (19,684 participants) compared exercise (all types) with control intervention (one not thought to reduce falls). Exercise reduces the rate of falls by 23% (rate ratio (RaR) 0.77, 95% confidence interval (CI) 0.71 to 0.83; 12,981 participants, 59 studies; high-certainty evidence). Based on an illustrative risk of 850 falls in 1000 people followed over one year (data based on control group risk data from the 59 studies), this equates to 195 (95% CI 144 to 246) fewer falls in the exercise group. Exercise also reduces the number of people experiencing one or more falls by 15% (risk ratio (RR) 0.85, 95% CI 0.81 to 0.89; 13,518 participants, 63 studies; high-certainty evidence). Based on an illustrative risk of 480 fallers in 1000 people followed over one year (data based on control group risk data from the 63 studies), this equates to 72 (95% CI 52 to 91) fewer fallers in the exercise group. Subgroup analyses showed no evidence of a difference in effect on both falls outcomes according to whether trials selected participants at increased risk of falling or not. The findings for other outcomes are less certain, reflecting in part the relatively low number of studies and participants. Exercise may reduce the number of people experiencing one or more fall-related fractures (RR 0.73, 95% CI 0.56 to 0.95; 4047 participants, 10 studies; low-certainty evidence) and the number of people experiencing one or more falls requiring medical attention (RR 0.61, 95% CI 0.47 to 0.79; 1019 participants, 5 studies; low-certainty evidence). The effect of exercise on the number of people who experience one or more falls requiring hospital admission is unclear (RR 0.78, 95% CI 0.51 to 1.18; 1705 participants, 2 studies, very low-certainty evidence). Exercise may make little important difference to health-related quality of life: conversion of the pooled result (standardised mean difference (SMD) -0.03, 95% CI -0.10 to 0.04; 3172 participants, 15 studies; low-certainty evidence) to the EQ-5D and SF-36 scores showed the respective 95% CIs were much smaller than minimally important differences for both scales. Adverse events were reported to some degree in 27 trials (6019 participants) but were monitored closely in both exercise and control groups in only one trial. Fourteen trials reported no adverse events. Aside from two serious adverse events (one pelvic stress fracture and one inguinal hernia surgery) reported in one trial, the remainder were non-serious adverse events, primarily of a musculoskeletal nature. There was a median of three events (range 1 to 26) in the exercise groups. Different exercise types versus control Different forms of exercise had different impacts on falls (test for subgroup differences, rate of falls: P = 0.004, I2 = 71%). Compared with control, balance and functional exercises reduce the rate of falls by 24% (RaR 0.76, 95% CI 0.70 to 0.81; 7920 participants, 39 studies; high-certainty evidence) and the number of people experiencing one or more falls by 13% (RR 0.87, 95% CI 0.82 to 0.91; 8288 participants, 37 studies; high-certainty evidence). Multiple types of exercise (most commonly balance and functional exercises plus resistance exercises) probably reduce the rate of falls by 34% (RaR 0.66, 95% CI 0.50 to 0.88; 1374 participants, 11 studies; moderate-certainty evidence) and the number of people experiencing one or more falls by 22% (RR 0.78, 95% CI 0.64 to 0.96; 1623 participants, 17 studies; moderate-certainty evidence). Tai Chi may reduce the rate of falls by 19% (RaR 0.81, 95% CI 0.67 to 0.99; 2655 participants, 7 studies; low-certainty evidence) as well as reducing the number of people who experience falls by 20% (RR 0.80, 95% CI 0.70 to 0.91; 2677 participants, 8 studies; high-certainty evidence). We are uncertain of the effects of programmes that are primarily resistance training, or dance or walking programmes on the rate of falls and the number of people who experience falls. No trials compared flexibility or endurance exercise versus control. Authors' conclusions: Exercise programmes reduce the rate of falls and the number of people experiencing falls in older people living in the community (high-certainty evidence). The effects of such exercise programmes are uncertain for other non-falls outcomes. Where reported, adverse events were predominantly non-serious. Exercise programmes that reduce falls primarily involve balance and functional exercises, while programmes that probably reduce falls include multiple exercise categories (typically balance and functional exercises plus resistance exercises). Tai Chi may also prevent falls but we are uncertain of the effect of resistance exercise (without balance and functional exercises), dance, or walking on the rate of falls.&quot;,&quot;publisher&quot;:&quot;Cochrane Database Syst Rev&quot;,&quot;issue&quot;:&quot;1&quot;,&quot;volume&quot;:&quot;1&quot;},&quot;isTemporary&quot;:false,&quot;suppress-author&quot;:false,&quot;composite&quot;:false,&quot;author-only&quot;:false}]},{&quot;citationID&quot;:&quot;MENDELEY_CITATION_8958008b-ee32-4ff0-8dd2-123c9376a68b&quot;,&quot;properties&quot;:{&quot;noteIndex&quot;:0},&quot;isEdited&quot;:false,&quot;manualOverride&quot;:{&quot;isManuallyOverridden&quot;:false,&quot;citeprocText&quot;:&quot;[22, 23]&quot;,&quot;manualOverrideText&quot;:&quot;&quot;},&quot;citationTag&quot;:&quot;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&quot;,&quot;citationItems&quot;:[{&quot;id&quot;:&quot;a9b8551c-7dd9-3b9c-89ef-b49356945fd4&quot;,&quot;itemData&quot;:{&quot;type&quot;:&quot;article-journal&quot;,&quot;id&quot;:&quot;a9b8551c-7dd9-3b9c-89ef-b49356945fd4&quot;,&quot;title&quot;:&quot;Quantitative ultrasound of the heel and fracture risk assessment: an updated meta-analysis&quot;,&quot;author&quot;:[{&quot;family&quot;:&quot;Moayyeri&quot;,&quot;given&quot;:&quot;A.&quot;,&quot;parse-names&quot;:false,&quot;dropping-particle&quot;:&quot;&quot;,&quot;non-dropping-particle&quot;:&quot;&quot;},{&quot;family&quot;:&quot;Adams&quot;,&quot;given&quot;:&quot;J. E.&quot;,&quot;parse-names&quot;:false,&quot;dropping-particle&quot;:&quot;&quot;,&quot;non-dropping-particle&quot;:&quot;&quot;},{&quot;family&quot;:&quot;Adler&quot;,&quot;given&quot;:&quot;R. A.&quot;,&quot;parse-names&quot;:false,&quot;dropping-particle&quot;:&quot;&quot;,&quot;non-dropping-particle&quot;:&quot;&quot;},{&quot;family&quot;:&quot;Krieg&quot;,&quot;given&quot;:&quot;M. A.&quot;,&quot;parse-names&quot;:false,&quot;dropping-particle&quot;:&quot;&quot;,&quot;non-dropping-particle&quot;:&quot;&quot;},{&quot;family&quot;:&quot;Hans&quot;,&quot;given&quot;:&quot;D.&quot;,&quot;parse-names&quot;:false,&quot;dropping-particle&quot;:&quot;&quot;,&quot;non-dropping-particle&quot;:&quot;&quot;},{&quot;family&quot;:&quot;Compston&quot;,&quot;given&quot;:&quot;J.&quot;,&quot;parse-names&quot;:false,&quot;dropping-particle&quot;:&quot;&quot;,&quot;non-dropping-particle&quot;:&quot;&quot;},{&quot;family&quot;:&quot;Lewiecki&quot;,&quot;given&quot;:&quot;E. M.&quot;,&quot;parse-names&quot;:false,&quot;dropping-particle&quot;:&quot;&quot;,&quot;non-dropping-particle&quot;:&quot;&quot;}],&quot;container-title&quot;:&quot;Osteoporosis international : a journal established as result of cooperation between the European Foundation for Osteoporosis and the National Osteoporosis Foundation of the USA&quot;,&quot;container-title-short&quot;:&quot;Osteoporos Int&quot;,&quot;accessed&quot;:{&quot;date-parts&quot;:[[2024,10,16]]},&quot;DOI&quot;:&quot;10.1007/S00198-011-1817-5&quot;,&quot;ISSN&quot;:&quot;1433-2965&quot;,&quot;PMID&quot;:&quot;22037972&quot;,&quot;URL&quot;:&quot;https://pubmed-ncbi-nlm-nih-gov.ezproxy.utu.fi/22037972/&quot;,&quot;issued&quot;:{&quot;date-parts&quot;:[[2012,1]]},&quot;page&quot;:&quot;143-153&quot;,&quot;abstract&quot;:&quot;Summary Meta-analysis of prospective studies shows that quantitative ultrasound of the heel using validated devices predicts risk of different types of fracture with similar performance across different devices and in elderly men and women. These predictions are independent of the risk estimates from hip DXA measures. Introduction Clinical utilisation of heel quantitative ultrasound (QUS) depends on its power to predict clinical fractures. This is particularly important in settings that have no access to DXA-derived bone density measurements. We aimed to assess the predictive power of heel QUS for fractures using a meta-analysis approach. Methods We conducted an inverse variance random effects meta-analysis of prospective studies with heel QUS measures at baseline and fracture outcomes in their follow-up. Relative risks (RR) per standard deviation (SD) of different QUS parameters (broadband ultrasound attenuation [BUA], speed of sound [SOS], stiffness index [SI], and quantitative ultrasound index [QUI]) for various fracture outcomes (hip, vertebral, any clinical, any osteoporotic and major osteoporotic fractures) were reported based on study questions. Results Twenty-one studies including 55,164 women and 13,742 men were included in the meta-analysis with a total follow-up of 279,124 person-years. All four QUS parameters were associated with risk of different fracture. For instance, RR of hip fracture for 1 SD decrease of BUA was 1.69 (95% CI 1.43-2.00), SOS was 1.96 (95% CI 1.64-2.34), SI was 2.26 (95%CI 1.71-2.99) and QUI was 1.99 (95% CI 1.49-2.67). There was marked heterogeneity among studies on hip and any clinical fractures but no evidence of publication bias amongst them. Validated devices from different manufacturers predicted fracture risks with similar performance (meta-regression p values&gt; 0.05 for difference of devices). QUS measures predicted fracture with a similar performance in men and women. Meta-analysis of studies with QUS measures adjusted for hip BMD showed a significant and independent association with fracture risk (RR/SD for BUA=1.34 [95%CI 1.22-1.49]). Conclusions This study confirms that heel QUS, using validated devices, predicts risk of different fracture outcomes in elderly men and women. Further research is needed for more widespread utilisation of the heel QUS in clinical settings across the world. © International Osteoporosis Foundation and National Osteoporosis Foundation 2011.&quot;,&quot;publisher&quot;:&quot;Osteoporos Int&quot;,&quot;issue&quot;:&quot;1&quot;,&quot;volume&quot;:&quot;23&quot;},&quot;isTemporary&quot;:false},{&quot;id&quot;:&quot;5e0345dd-90ab-37ea-9c37-ef76753cbf20&quot;,&quot;itemData&quot;:{&quot;type&quot;:&quot;article-journal&quot;,&quot;id&quot;:&quot;5e0345dd-90ab-37ea-9c37-ef76753cbf20&quot;,&quot;title&quot;:&quot;Meta-analysis: accuracy of quantitative ultrasound for identifying patients with osteoporosis&quot;,&quot;author&quot;:[{&quot;family&quot;:&quot;Nayak&quot;,&quot;given&quot;:&quot;Smita&quot;,&quot;parse-names&quot;:false,&quot;dropping-particle&quot;:&quot;&quot;,&quot;non-dropping-particle&quot;:&quot;&quot;},{&quot;family&quot;:&quot;Olkin&quot;,&quot;given&quot;:&quot;Ingram&quot;,&quot;parse-names&quot;:false,&quot;dropping-particle&quot;:&quot;&quot;,&quot;non-dropping-particle&quot;:&quot;&quot;},{&quot;family&quot;:&quot;Liu&quot;,&quot;given&quot;:&quot;Hau&quot;,&quot;parse-names&quot;:false,&quot;dropping-particle&quot;:&quot;&quot;,&quot;non-dropping-particle&quot;:&quot;&quot;},{&quot;family&quot;:&quot;Grabe&quot;,&quot;given&quot;:&quot;Michael&quot;,&quot;parse-names&quot;:false,&quot;dropping-particle&quot;:&quot;&quot;,&quot;non-dropping-particle&quot;:&quot;&quot;},{&quot;family&quot;:&quot;Gould&quot;,&quot;given&quot;:&quot;Michael K.&quot;,&quot;parse-names&quot;:false,&quot;dropping-particle&quot;:&quot;&quot;,&quot;non-dropping-particle&quot;:&quot;&quot;},{&quot;family&quot;:&quot;Allen&quot;,&quot;given&quot;:&quot;I. Elaine&quot;,&quot;parse-names&quot;:false,&quot;dropping-particle&quot;:&quot;&quot;,&quot;non-dropping-particle&quot;:&quot;&quot;},{&quot;family&quot;:&quot;Owens&quot;,&quot;given&quot;:&quot;Douglas K.&quot;,&quot;parse-names&quot;:false,&quot;dropping-particle&quot;:&quot;&quot;,&quot;non-dropping-particle&quot;:&quot;&quot;},{&quot;family&quot;:&quot;Bravata&quot;,&quot;given&quot;:&quot;Dena M.&quot;,&quot;parse-names&quot;:false,&quot;dropping-particle&quot;:&quot;&quot;,&quot;non-dropping-particle&quot;:&quot;&quot;}],&quot;container-title&quot;:&quot;Annals of internal medicine&quot;,&quot;container-title-short&quot;:&quot;Ann Intern Med&quot;,&quot;accessed&quot;:{&quot;date-parts&quot;:[[2024,10,16]]},&quot;DOI&quot;:&quot;10.7326/0003-4819-144-11-200606060-00009&quot;,&quot;ISSN&quot;:&quot;1539-3704&quot;,&quot;PMID&quot;:&quot;16754925&quot;,&quot;URL&quot;:&quot;https://pubmed-ncbi-nlm-nih-gov.ezproxy.utu.fi/16754925/&quot;,&quot;issued&quot;:{&quot;date-parts&quot;:[[2006,6,6]]},&quot;page&quot;:&quot;832-841&quot;,&quot;abstract&quot;:&quot;Background: There is increased interest in quantitative ultrasound for osteoporosis screening because it predicts fracture risk, is portable, and is relatively inexpensive. However, there is no consensus regarding its accuracy for identifying patients with osteoporosis. Purpose: To determine the sensitivity and specificity of calcaneal quantitative ultrasound for identifying patients who meet the World Health Organization's diagnostic criteria for osteoporosis. Dual-energy x-ray absorptiometry (DXA) was used as the reference standard. Data Sources: MEDLINE (1966 to October 2005), EMBASE (1993 to May 2004), Cochrane Central Register of Controlled Trials and Cochrane Database of Systematic Reviews (1952 to March 2004), and the Science Citation Index (1945 to April 2004). Study Selection: English-language articles that evaluated the sensitivity and specificity of calcaneal quantitative ultrasound for identifying adults with DXA T-scores of -2.5 or less at the hip or spine. Data Extraction: Two authors independently reviewed articles and abstracted data. Data Synthesis: The authors identified 1908 potentially relevant articles, of which 25 met the inclusion criteria, and calculated the sensitivity and specificity of quantitative ultrasound over a range of thresholds. For the quantitative ultrasound index parameter T-score cutoff threshold of -1, sensitivity was 79% (95% CI, 69% to 86%) and specificity was 58% (CI, 44% to 70%) for identifying individuals with DXA T-scores of -2.5 or less at the hip or spine. For a T-score threshold of 0, sensitivity improved to 93% (CI, 87% to 97%) but specificity decreased to 24% (CI, 10% to 47%). At a pretest probability of 22% (for example, a 65-year-old white woman at average risk), the post-test probability of DXA-determined osteoporosis was 34% (CI, 26% to 41%) after a positive result and 10% (CI, 5% to 12%) after a negative result when using a T-score cutoff threshold of -1. Analysis of other quantitative ultrasound parameters (for example, broadband ultrasound attenuation) revealed similar estimates of accuracy. Limitations: The relatively small number of included studies limited the authors' ability to evaluate the effects of heterogeneous study characteristics on the diagnostic accuracy of quantitative ultrasound. Conclusions: The currently available literature suggests that results of calcaneal quantitative ultrasound at commonly used cutoff thresholds do not definitively exclude or confirm DXA-determined osteoporosis. Additional research is needed before use of this test can be recommended in evidence-based screening programs for osteoporosis. © 2006 American College of Physicians.&quot;,&quot;publisher&quot;:&quot;Ann Intern Med&quot;,&quot;issue&quot;:&quot;11&quot;,&quot;volume&quot;:&quot;144&quot;},&quot;isTemporary&quot;:false}]},{&quot;citationID&quot;:&quot;MENDELEY_CITATION_f5ff3594-e0ba-48d7-a796-f5aed4122efb&quot;,&quot;properties&quot;:{&quot;noteIndex&quot;:0},&quot;isEdited&quot;:false,&quot;manualOverride&quot;:{&quot;isManuallyOverridden&quot;:false,&quot;citeprocText&quot;:&quot;[4]&quot;,&quot;manualOverrideText&quot;:&quot;&quot;},&quot;citationTag&quot;:&quot;MENDELEY_CITATION_v3_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&quot;,&quot;citationItems&quot;:[{&quot;id&quot;:&quot;3fb911f3-727c-36ef-8e75-504756a95968&quot;,&quot;itemData&quot;:{&quot;type&quot;:&quot;article-journal&quot;,&quot;id&quot;:&quot;3fb911f3-727c-36ef-8e75-504756a95968&quot;,&quot;title&quot;:&quot;Sarcopenia: revised European consensus on definition and diagnosis.&quot;,&quot;author&quot;:[{&quot;family&quot;:&quot;Cruz-Jentoft&quot;,&quot;given&quot;:&quot;Alfonso J&quot;,&quot;parse-names&quot;:false,&quot;dropping-particle&quot;:&quot;&quot;,&quot;non-dropping-particle&quot;:&quot;&quot;},{&quot;family&quot;:&quot;Bahat&quot;,&quot;given&quot;:&quot;Gülistan&quot;,&quot;parse-names&quot;:false,&quot;dropping-particle&quot;:&quot;&quot;,&quot;non-dropping-particle&quot;:&quot;&quot;},{&quot;family&quot;:&quot;Bauer&quot;,&quot;given&quot;:&quot;Jürgen&quot;,&quot;parse-names&quot;:false,&quot;dropping-particle&quot;:&quot;&quot;,&quot;non-dropping-particle&quot;:&quot;&quot;},{&quot;family&quot;:&quot;Boirie&quot;,&quot;given&quot;:&quot;Yves&quot;,&quot;parse-names&quot;:false,&quot;dropping-particle&quot;:&quot;&quot;,&quot;non-dropping-particle&quot;:&quot;&quot;},{&quot;family&quot;:&quot;Bruyère&quot;,&quot;given&quot;:&quot;Olivier&quot;,&quot;parse-names&quot;:false,&quot;dropping-particle&quot;:&quot;&quot;,&quot;non-dropping-particle&quot;:&quot;&quot;},{&quot;family&quot;:&quot;Cederholm&quot;,&quot;given&quot;:&quot;Tommy&quot;,&quot;parse-names&quot;:false,&quot;dropping-particle&quot;:&quot;&quot;,&quot;non-dropping-particle&quot;:&quot;&quot;},{&quot;family&quot;:&quot;Cooper&quot;,&quot;given&quot;:&quot;Cyrus&quot;,&quot;parse-names&quot;:false,&quot;dropping-particle&quot;:&quot;&quot;,&quot;non-dropping-particle&quot;:&quot;&quot;},{&quot;family&quot;:&quot;Landi&quot;,&quot;given&quot;:&quot;Francesco&quot;,&quot;parse-names&quot;:false,&quot;dropping-particle&quot;:&quot;&quot;,&quot;non-dropping-particle&quot;:&quot;&quot;},{&quot;family&quot;:&quot;Rolland&quot;,&quot;given&quot;:&quot;Yves&quot;,&quot;parse-names&quot;:false,&quot;dropping-particle&quot;:&quot;&quot;,&quot;non-dropping-particle&quot;:&quot;&quot;},{&quot;family&quot;:&quot;Sayer&quot;,&quot;given&quot;:&quot;Avan Aihie&quot;,&quot;parse-names&quot;:false,&quot;dropping-particle&quot;:&quot;&quot;,&quot;non-dropping-particle&quot;:&quot;&quot;},{&quot;family&quot;:&quot;Schneider&quot;,&quot;given&quot;:&quot;Stéphane M&quot;,&quot;parse-names&quot;:false,&quot;dropping-particle&quot;:&quot;&quot;,&quot;non-dropping-particle&quot;:&quot;&quot;},{&quot;family&quot;:&quot;Sieber&quot;,&quot;given&quot;:&quot;Cornel C&quot;,&quot;parse-names&quot;:false,&quot;dropping-particle&quot;:&quot;&quot;,&quot;non-dropping-particle&quot;:&quot;&quot;},{&quot;family&quot;:&quot;Topinkova&quot;,&quot;given&quot;:&quot;Eva&quot;,&quot;parse-names&quot;:false,&quot;dropping-particle&quot;:&quot;&quot;,&quot;non-dropping-particle&quot;:&quot;&quot;},{&quot;family&quot;:&quot;Vandewoude&quot;,&quot;given&quot;:&quot;Maurits&quot;,&quot;parse-names&quot;:false,&quot;dropping-particle&quot;:&quot;&quot;,&quot;non-dropping-particle&quot;:&quot;&quot;},{&quot;family&quot;:&quot;Visser&quot;,&quot;given&quot;:&quot;Marjolein&quot;,&quot;parse-names&quot;:false,&quot;dropping-particle&quot;:&quot;&quot;,&quot;non-dropping-particle&quot;:&quot;&quot;},{&quot;family&quot;:&quot;Zamboni&quot;,&quot;given&quot;:&quot;Mauro&quot;,&quot;parse-names&quot;:false,&quot;dropping-particle&quot;:&quot;&quot;,&quot;non-dropping-particle&quot;:&quot;&quot;},{&quot;family&quot;:&quot;Writing Group for the European Working Group on Sarcopenia in Older People 2 (EWGSOP2), and the Extended Group for EWGSOP2&quot;,&quot;given&quot;:&quot;&quot;,&quot;parse-names&quot;:false,&quot;dropping-particle&quot;:&quot;&quot;,&quot;non-dropping-particle&quot;:&quot;&quot;}],&quot;container-title&quot;:&quot;Age and ageing&quot;,&quot;container-title-short&quot;:&quot;Age Ageing&quot;,&quot;accessed&quot;:{&quot;date-parts&quot;:[[2021,4,5]]},&quot;DOI&quot;:&quot;10.1093/ageing/afy169&quot;,&quot;ISSN&quot;:&quot;1468-2834&quot;,&quot;PMID&quot;:&quot;30312372&quot;,&quot;URL&quot;:&quot;http://www.ncbi.nlm.nih.gov/pubmed/30312372&quot;,&quot;issued&quot;:{&quot;date-parts&quot;:[[2019]]},&quot;page&quot;:&quot;16-31&quot;,&quot;abstract&quot;:&quot;Background in 2010, the European Working Group on Sarcopenia in Older People (EWGSOP) published a sarcopenia definition that aimed to foster advances in identifying and caring for people with sarcopenia. In early 2018, the Working Group met again (EWGSOP2) to update the original definition in order to reflect scientific and clinical evidence that has built over the last decade. This paper presents our updated findings. Objectives to increase consistency of research design, clinical diagnoses and ultimately, care for people with sarcopenia. Recommendations sarcopenia is a muscle disease (muscle failure) rooted in adverse muscle changes that accrue across a lifetime; sarcopenia is common among adults of older age but can also occur earlier in life. In this updated consensus paper on sarcopenia, EWGSOP2: (1) focuses on low muscle strength as a key characteristic of sarcopenia, uses detection of low muscle quantity and quality to confirm the sarcopenia diagnosis, and identifies poor physical performance as indicative of severe sarcopenia; (2) updates the clinical algorithm that can be used for sarcopenia case-finding, diagnosis and confirmation, and severity determination and (3) provides clear cut-off points for measurements of variables that identify and characterise sarcopenia. Conclusions EWGSOP2's updated recommendations aim to increase awareness of sarcopenia and its risk. With these new recommendations, EWGSOP2 calls for healthcare professionals who treat patients at risk for sarcopenia to take actions that will promote early detection and treatment. We also encourage more research in the field of sarcopenia in order to prevent or delay adverse health outcomes that incur a heavy burden for patients and healthcare systems.&quot;,&quot;publisher&quot;:&quot;Age Ageing&quot;,&quot;issue&quot;:&quot;1&quot;,&quot;volume&quot;:&quot;48&quot;},&quot;isTemporary&quot;:false,&quot;suppress-author&quot;:false,&quot;composite&quot;:false,&quot;author-only&quot;:false}]}]"/>
    <we:property name="MENDELEY_CITATIONS_LOCALE_CODE" value="&quot;en-US&quot;"/>
    <we:property name="MENDELEY_CITATIONS_STYLE" value="{&quot;id&quot;:&quot;https://www.zotero.org/styles/osteoporosis-international&quot;,&quot;title&quot;:&quot;Osteoporosis International&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F42527-3F34-4F5D-BBAF-D6399D21DF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4</Pages>
  <Words>837</Words>
  <Characters>4772</Characters>
  <Application>Microsoft Office Word</Application>
  <DocSecurity>0</DocSecurity>
  <Lines>39</Lines>
  <Paragraphs>11</Paragraphs>
  <ScaleCrop>false</ScaleCrop>
  <HeadingPairs>
    <vt:vector size="4" baseType="variant">
      <vt:variant>
        <vt:lpstr>Title</vt:lpstr>
      </vt:variant>
      <vt:variant>
        <vt:i4>1</vt:i4>
      </vt:variant>
      <vt:variant>
        <vt:lpstr>Otsikko</vt:lpstr>
      </vt:variant>
      <vt:variant>
        <vt:i4>1</vt:i4>
      </vt:variant>
    </vt:vector>
  </HeadingPairs>
  <TitlesOfParts>
    <vt:vector size="2" baseType="lpstr">
      <vt:lpstr/>
      <vt:lpstr/>
    </vt:vector>
  </TitlesOfParts>
  <Company/>
  <LinksUpToDate>false</LinksUpToDate>
  <CharactersWithSpaces>5598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Matias Blomqvist</dc:creator>
  <cp:keywords/>
  <dc:description/>
  <cp:lastModifiedBy>Nilesh Nawale</cp:lastModifiedBy>
  <cp:revision>2</cp:revision>
  <dcterms:created xsi:type="dcterms:W3CDTF">2025-06-30T06:54:00Z</dcterms:created>
  <dcterms:modified xsi:type="dcterms:W3CDTF">2025-06-30T06:54:00Z</dcterms:modified>
</cp:coreProperties>
</file>