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88B166" w14:textId="2146B0C4" w:rsidR="00FB6128" w:rsidRDefault="00482AC9" w:rsidP="00D75C63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color w:val="0E101A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E101A"/>
          <w:sz w:val="24"/>
          <w:szCs w:val="24"/>
        </w:rPr>
        <w:drawing>
          <wp:inline distT="0" distB="0" distL="0" distR="0" wp14:anchorId="2FF810C4" wp14:editId="28E204C1">
            <wp:extent cx="4976497" cy="6120000"/>
            <wp:effectExtent l="0" t="0" r="0" b="0"/>
            <wp:docPr id="5736248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624818" name="Picture 573624818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649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71BCC" w14:textId="5E5ACAC0" w:rsidR="00A744F7" w:rsidRDefault="00A744F7" w:rsidP="00A744F7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A744F7" w:rsidSect="007B5F3F"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ascii="Times New Roman" w:eastAsia="Times New Roman" w:hAnsi="Times New Roman" w:cs="Times New Roman"/>
          <w:b/>
          <w:color w:val="0E101A"/>
          <w:sz w:val="24"/>
          <w:szCs w:val="24"/>
        </w:rPr>
        <w:t xml:space="preserve">Supplementary Figure </w:t>
      </w:r>
      <w:r w:rsidR="00C1005C">
        <w:rPr>
          <w:rFonts w:ascii="Times New Roman" w:eastAsia="Times New Roman" w:hAnsi="Times New Roman" w:cs="Times New Roman"/>
          <w:b/>
          <w:color w:val="0E101A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b/>
          <w:color w:val="0E101A"/>
          <w:sz w:val="24"/>
          <w:szCs w:val="24"/>
        </w:rPr>
        <w:t xml:space="preserve">. Risk estimates for new infections among various population groups within </w:t>
      </w:r>
      <w:r w:rsidR="00D75C63">
        <w:rPr>
          <w:rFonts w:ascii="Times New Roman" w:eastAsia="Times New Roman" w:hAnsi="Times New Roman" w:cs="Times New Roman"/>
          <w:b/>
          <w:color w:val="0E101A"/>
          <w:sz w:val="24"/>
          <w:szCs w:val="24"/>
        </w:rPr>
        <w:t>80</w:t>
      </w:r>
      <w:r>
        <w:rPr>
          <w:rFonts w:ascii="Times New Roman" w:eastAsia="Times New Roman" w:hAnsi="Times New Roman" w:cs="Times New Roman"/>
          <w:b/>
          <w:color w:val="0E101A"/>
          <w:sz w:val="24"/>
          <w:szCs w:val="24"/>
        </w:rPr>
        <w:t xml:space="preserve"> weeks</w:t>
      </w:r>
      <w:r w:rsidR="00D75C63">
        <w:rPr>
          <w:rFonts w:ascii="Times New Roman" w:eastAsia="Times New Roman" w:hAnsi="Times New Roman" w:cs="Times New Roman"/>
          <w:b/>
          <w:color w:val="0E101A"/>
          <w:sz w:val="24"/>
          <w:szCs w:val="24"/>
        </w:rPr>
        <w:t xml:space="preserve"> follow-up</w:t>
      </w:r>
      <w:r>
        <w:rPr>
          <w:rFonts w:ascii="Times New Roman" w:eastAsia="Times New Roman" w:hAnsi="Times New Roman" w:cs="Times New Roman"/>
          <w:b/>
          <w:color w:val="0E101A"/>
          <w:sz w:val="24"/>
          <w:szCs w:val="24"/>
        </w:rPr>
        <w:t xml:space="preserve"> after initial vaccination. </w:t>
      </w:r>
      <w:r w:rsidR="0060167F">
        <w:rPr>
          <w:rFonts w:ascii="Times New Roman" w:eastAsia="Times New Roman" w:hAnsi="Times New Roman" w:cs="Times New Roman"/>
          <w:bCs/>
          <w:color w:val="0E101A"/>
          <w:sz w:val="24"/>
          <w:szCs w:val="24"/>
        </w:rPr>
        <w:t xml:space="preserve"> </w:t>
      </w:r>
      <w:bookmarkStart w:id="0" w:name="_Hlk197160063"/>
      <w:r w:rsidR="00D75C63">
        <w:rPr>
          <w:rFonts w:ascii="Times New Roman" w:eastAsia="Times New Roman" w:hAnsi="Times New Roman" w:cs="Times New Roman"/>
          <w:bCs/>
          <w:color w:val="0E101A"/>
          <w:sz w:val="24"/>
          <w:szCs w:val="24"/>
        </w:rPr>
        <w:t>n, number of cases; %, percent of cases; OR, odds ratio; RR, relative risk; p, statistical significance level (Fisher’s exact test)</w:t>
      </w:r>
      <w:r w:rsidR="006757EE">
        <w:rPr>
          <w:rFonts w:ascii="Times New Roman" w:eastAsia="Times New Roman" w:hAnsi="Times New Roman" w:cs="Times New Roman"/>
          <w:bCs/>
          <w:color w:val="0E101A"/>
          <w:sz w:val="24"/>
          <w:szCs w:val="24"/>
        </w:rPr>
        <w:t xml:space="preserve"> when compared population groups</w:t>
      </w:r>
      <w:r w:rsidR="00D75C63">
        <w:rPr>
          <w:rFonts w:ascii="Times New Roman" w:eastAsia="Times New Roman" w:hAnsi="Times New Roman" w:cs="Times New Roman"/>
          <w:bCs/>
          <w:color w:val="0E101A"/>
          <w:sz w:val="24"/>
          <w:szCs w:val="24"/>
        </w:rPr>
        <w:t xml:space="preserve">; IRP, increased risk population; GAP, general adult population; FWs, frontline workers; Pf, Pfizer BioNTech; SpV, Sputnik V; AZ, AstraZeneca </w:t>
      </w:r>
      <w:r w:rsidR="00892052">
        <w:rPr>
          <w:rFonts w:ascii="Times New Roman" w:eastAsia="Times New Roman" w:hAnsi="Times New Roman" w:cs="Times New Roman"/>
          <w:bCs/>
          <w:color w:val="0E101A"/>
          <w:sz w:val="24"/>
          <w:szCs w:val="24"/>
        </w:rPr>
        <w:t>ChadOX1; SP, Sinopharm BBIBP</w:t>
      </w:r>
      <w:bookmarkEnd w:id="0"/>
    </w:p>
    <w:p w14:paraId="35F6996D" w14:textId="5D6D380F" w:rsidR="005016FA" w:rsidRDefault="005016FA" w:rsidP="005016FA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color w:val="0E101A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E101A"/>
          <w:sz w:val="24"/>
          <w:szCs w:val="24"/>
        </w:rPr>
        <w:lastRenderedPageBreak/>
        <w:drawing>
          <wp:inline distT="0" distB="0" distL="0" distR="0" wp14:anchorId="420C7303" wp14:editId="10182ABB">
            <wp:extent cx="4320000" cy="3959414"/>
            <wp:effectExtent l="0" t="0" r="4445" b="3175"/>
            <wp:docPr id="136810686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106866" name="Picture 136810686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95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F57A3" w14:textId="3C08B737" w:rsidR="00F76203" w:rsidRDefault="00F76203" w:rsidP="00F76203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E101A"/>
          <w:sz w:val="24"/>
          <w:szCs w:val="24"/>
        </w:rPr>
        <w:t xml:space="preserve">Supplementary Figure </w:t>
      </w:r>
      <w:r w:rsidR="006F27EC">
        <w:rPr>
          <w:rFonts w:ascii="Times New Roman" w:eastAsia="Times New Roman" w:hAnsi="Times New Roman" w:cs="Times New Roman"/>
          <w:b/>
          <w:color w:val="0E101A"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/>
          <w:color w:val="0E101A"/>
          <w:sz w:val="24"/>
          <w:szCs w:val="24"/>
        </w:rPr>
        <w:t xml:space="preserve">. </w:t>
      </w:r>
      <w:r w:rsidRPr="00F7620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ROC curves of sex-adjusted age of participants stratified by the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new </w:t>
      </w:r>
      <w:r w:rsidRPr="00F76203">
        <w:rPr>
          <w:rFonts w:ascii="Times New Roman" w:eastAsia="Times New Roman" w:hAnsi="Times New Roman" w:cs="Times New Roman"/>
          <w:b/>
          <w:bCs/>
          <w:sz w:val="24"/>
          <w:szCs w:val="24"/>
        </w:rPr>
        <w:t>infection state.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A. ROC curve of age </w:t>
      </w:r>
      <w:r w:rsidR="005016FA" w:rsidRPr="005016FA">
        <w:rPr>
          <w:rFonts w:ascii="Times New Roman" w:eastAsia="Times New Roman" w:hAnsi="Times New Roman" w:cs="Times New Roman"/>
          <w:sz w:val="24"/>
          <w:szCs w:val="24"/>
        </w:rPr>
        <w:t>in male participants stratified by new infections occur</w:t>
      </w:r>
      <w:r w:rsidR="005016FA">
        <w:rPr>
          <w:rFonts w:ascii="Times New Roman" w:eastAsia="Times New Roman" w:hAnsi="Times New Roman" w:cs="Times New Roman"/>
          <w:sz w:val="24"/>
          <w:szCs w:val="24"/>
        </w:rPr>
        <w:t>red</w:t>
      </w:r>
      <w:r w:rsidR="005016FA" w:rsidRPr="005016FA">
        <w:rPr>
          <w:rFonts w:ascii="Times New Roman" w:eastAsia="Times New Roman" w:hAnsi="Times New Roman" w:cs="Times New Roman"/>
          <w:sz w:val="24"/>
          <w:szCs w:val="24"/>
        </w:rPr>
        <w:t xml:space="preserve"> within 24 weeks of initial vaccination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="005016FA">
        <w:rPr>
          <w:rFonts w:ascii="Times New Roman" w:eastAsia="Times New Roman" w:hAnsi="Times New Roman" w:cs="Times New Roman"/>
          <w:sz w:val="24"/>
          <w:szCs w:val="24"/>
        </w:rPr>
        <w:t xml:space="preserve">A. ROC curve of age </w:t>
      </w:r>
      <w:r w:rsidR="005016FA" w:rsidRPr="005016FA">
        <w:rPr>
          <w:rFonts w:ascii="Times New Roman" w:eastAsia="Times New Roman" w:hAnsi="Times New Roman" w:cs="Times New Roman"/>
          <w:sz w:val="24"/>
          <w:szCs w:val="24"/>
        </w:rPr>
        <w:t xml:space="preserve">in </w:t>
      </w:r>
      <w:r w:rsidR="005016FA">
        <w:rPr>
          <w:rFonts w:ascii="Times New Roman" w:eastAsia="Times New Roman" w:hAnsi="Times New Roman" w:cs="Times New Roman"/>
          <w:sz w:val="24"/>
          <w:szCs w:val="24"/>
        </w:rPr>
        <w:t>fe</w:t>
      </w:r>
      <w:r w:rsidR="005016FA" w:rsidRPr="005016FA">
        <w:rPr>
          <w:rFonts w:ascii="Times New Roman" w:eastAsia="Times New Roman" w:hAnsi="Times New Roman" w:cs="Times New Roman"/>
          <w:sz w:val="24"/>
          <w:szCs w:val="24"/>
        </w:rPr>
        <w:t>male participants stratified by new infections occur</w:t>
      </w:r>
      <w:r w:rsidR="005016FA">
        <w:rPr>
          <w:rFonts w:ascii="Times New Roman" w:eastAsia="Times New Roman" w:hAnsi="Times New Roman" w:cs="Times New Roman"/>
          <w:sz w:val="24"/>
          <w:szCs w:val="24"/>
        </w:rPr>
        <w:t>red</w:t>
      </w:r>
      <w:r w:rsidR="005016FA" w:rsidRPr="005016FA">
        <w:rPr>
          <w:rFonts w:ascii="Times New Roman" w:eastAsia="Times New Roman" w:hAnsi="Times New Roman" w:cs="Times New Roman"/>
          <w:sz w:val="24"/>
          <w:szCs w:val="24"/>
        </w:rPr>
        <w:t xml:space="preserve"> within 24 weeks of initial vaccination</w:t>
      </w:r>
      <w:r w:rsidR="005016FA">
        <w:rPr>
          <w:rFonts w:ascii="Times New Roman" w:eastAsia="Times New Roman" w:hAnsi="Times New Roman" w:cs="Times New Roman"/>
          <w:sz w:val="24"/>
          <w:szCs w:val="24"/>
        </w:rPr>
        <w:t xml:space="preserve">; C. ROC curve of age </w:t>
      </w:r>
      <w:r w:rsidR="005016FA" w:rsidRPr="005016FA">
        <w:rPr>
          <w:rFonts w:ascii="Times New Roman" w:eastAsia="Times New Roman" w:hAnsi="Times New Roman" w:cs="Times New Roman"/>
          <w:sz w:val="24"/>
          <w:szCs w:val="24"/>
        </w:rPr>
        <w:t>in male participants stratified by new infections occur</w:t>
      </w:r>
      <w:r w:rsidR="005016FA">
        <w:rPr>
          <w:rFonts w:ascii="Times New Roman" w:eastAsia="Times New Roman" w:hAnsi="Times New Roman" w:cs="Times New Roman"/>
          <w:sz w:val="24"/>
          <w:szCs w:val="24"/>
        </w:rPr>
        <w:t>red</w:t>
      </w:r>
      <w:r w:rsidR="005016FA" w:rsidRPr="005016FA">
        <w:rPr>
          <w:rFonts w:ascii="Times New Roman" w:eastAsia="Times New Roman" w:hAnsi="Times New Roman" w:cs="Times New Roman"/>
          <w:sz w:val="24"/>
          <w:szCs w:val="24"/>
        </w:rPr>
        <w:t xml:space="preserve"> within </w:t>
      </w:r>
      <w:r w:rsidR="005016FA">
        <w:rPr>
          <w:rFonts w:ascii="Times New Roman" w:eastAsia="Times New Roman" w:hAnsi="Times New Roman" w:cs="Times New Roman"/>
          <w:sz w:val="24"/>
          <w:szCs w:val="24"/>
        </w:rPr>
        <w:t>80</w:t>
      </w:r>
      <w:r w:rsidR="005016FA" w:rsidRPr="005016FA">
        <w:rPr>
          <w:rFonts w:ascii="Times New Roman" w:eastAsia="Times New Roman" w:hAnsi="Times New Roman" w:cs="Times New Roman"/>
          <w:sz w:val="24"/>
          <w:szCs w:val="24"/>
        </w:rPr>
        <w:t xml:space="preserve"> weeks of initial vaccination</w:t>
      </w:r>
      <w:r w:rsidR="005016FA">
        <w:rPr>
          <w:rFonts w:ascii="Times New Roman" w:eastAsia="Times New Roman" w:hAnsi="Times New Roman" w:cs="Times New Roman"/>
          <w:sz w:val="24"/>
          <w:szCs w:val="24"/>
        </w:rPr>
        <w:t xml:space="preserve">; and D. ROC curve of age </w:t>
      </w:r>
      <w:r w:rsidR="005016FA" w:rsidRPr="005016FA">
        <w:rPr>
          <w:rFonts w:ascii="Times New Roman" w:eastAsia="Times New Roman" w:hAnsi="Times New Roman" w:cs="Times New Roman"/>
          <w:sz w:val="24"/>
          <w:szCs w:val="24"/>
        </w:rPr>
        <w:t xml:space="preserve">in </w:t>
      </w:r>
      <w:r w:rsidR="005016FA">
        <w:rPr>
          <w:rFonts w:ascii="Times New Roman" w:eastAsia="Times New Roman" w:hAnsi="Times New Roman" w:cs="Times New Roman"/>
          <w:sz w:val="24"/>
          <w:szCs w:val="24"/>
        </w:rPr>
        <w:t>fe</w:t>
      </w:r>
      <w:r w:rsidR="005016FA" w:rsidRPr="005016FA">
        <w:rPr>
          <w:rFonts w:ascii="Times New Roman" w:eastAsia="Times New Roman" w:hAnsi="Times New Roman" w:cs="Times New Roman"/>
          <w:sz w:val="24"/>
          <w:szCs w:val="24"/>
        </w:rPr>
        <w:t>male participants stratified by new infections occur</w:t>
      </w:r>
      <w:r w:rsidR="005016FA">
        <w:rPr>
          <w:rFonts w:ascii="Times New Roman" w:eastAsia="Times New Roman" w:hAnsi="Times New Roman" w:cs="Times New Roman"/>
          <w:sz w:val="24"/>
          <w:szCs w:val="24"/>
        </w:rPr>
        <w:t>red</w:t>
      </w:r>
      <w:r w:rsidR="005016FA" w:rsidRPr="005016FA">
        <w:rPr>
          <w:rFonts w:ascii="Times New Roman" w:eastAsia="Times New Roman" w:hAnsi="Times New Roman" w:cs="Times New Roman"/>
          <w:sz w:val="24"/>
          <w:szCs w:val="24"/>
        </w:rPr>
        <w:t xml:space="preserve"> within </w:t>
      </w:r>
      <w:r w:rsidR="005016FA">
        <w:rPr>
          <w:rFonts w:ascii="Times New Roman" w:eastAsia="Times New Roman" w:hAnsi="Times New Roman" w:cs="Times New Roman"/>
          <w:sz w:val="24"/>
          <w:szCs w:val="24"/>
        </w:rPr>
        <w:t>80</w:t>
      </w:r>
      <w:r w:rsidR="005016FA" w:rsidRPr="005016FA">
        <w:rPr>
          <w:rFonts w:ascii="Times New Roman" w:eastAsia="Times New Roman" w:hAnsi="Times New Roman" w:cs="Times New Roman"/>
          <w:sz w:val="24"/>
          <w:szCs w:val="24"/>
        </w:rPr>
        <w:t xml:space="preserve"> weeks of initial vaccination</w:t>
      </w:r>
      <w:r w:rsidR="005016FA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</w:rPr>
        <w:t>AUC, Area under the curve; OCP, optimal cut-point; p, asymptotic significance</w:t>
      </w:r>
    </w:p>
    <w:p w14:paraId="5D4A5630" w14:textId="77777777" w:rsidR="00F76203" w:rsidRDefault="00F76203" w:rsidP="00F76203">
      <w:pPr>
        <w:spacing w:after="0" w:line="480" w:lineRule="auto"/>
        <w:jc w:val="both"/>
        <w:rPr>
          <w:rFonts w:ascii="Times New Roman" w:eastAsia="Times New Roman" w:hAnsi="Times New Roman" w:cs="Times New Roman"/>
          <w:bCs/>
          <w:color w:val="0E101A"/>
          <w:sz w:val="24"/>
          <w:szCs w:val="24"/>
        </w:rPr>
      </w:pPr>
    </w:p>
    <w:p w14:paraId="1FAD6718" w14:textId="77777777" w:rsidR="00D512AF" w:rsidRDefault="00D512AF" w:rsidP="00F76203">
      <w:pPr>
        <w:spacing w:after="0" w:line="480" w:lineRule="auto"/>
        <w:jc w:val="both"/>
        <w:rPr>
          <w:rFonts w:ascii="Times New Roman" w:eastAsia="Times New Roman" w:hAnsi="Times New Roman" w:cs="Times New Roman"/>
          <w:bCs/>
          <w:color w:val="0E101A"/>
          <w:sz w:val="24"/>
          <w:szCs w:val="24"/>
        </w:rPr>
        <w:sectPr w:rsidR="00D512AF" w:rsidSect="005016FA"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</w:p>
    <w:p w14:paraId="2955978A" w14:textId="77777777" w:rsidR="00D512AF" w:rsidRDefault="00D512AF" w:rsidP="00F76203">
      <w:pPr>
        <w:spacing w:after="0" w:line="480" w:lineRule="auto"/>
        <w:jc w:val="both"/>
        <w:rPr>
          <w:rFonts w:ascii="Times New Roman" w:eastAsia="Times New Roman" w:hAnsi="Times New Roman" w:cs="Times New Roman"/>
          <w:bCs/>
          <w:color w:val="0E101A"/>
          <w:sz w:val="24"/>
          <w:szCs w:val="24"/>
        </w:rPr>
      </w:pPr>
    </w:p>
    <w:p w14:paraId="392174D5" w14:textId="69B452A7" w:rsidR="00D512AF" w:rsidRDefault="00703BD3" w:rsidP="00D512AF">
      <w:pPr>
        <w:spacing w:after="0" w:line="480" w:lineRule="auto"/>
        <w:jc w:val="center"/>
        <w:rPr>
          <w:rFonts w:ascii="Times New Roman" w:eastAsia="Times New Roman" w:hAnsi="Times New Roman" w:cs="Times New Roman"/>
          <w:bCs/>
          <w:color w:val="0E101A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color w:val="0E101A"/>
          <w:sz w:val="24"/>
          <w:szCs w:val="24"/>
        </w:rPr>
        <w:drawing>
          <wp:inline distT="0" distB="0" distL="0" distR="0" wp14:anchorId="45D3AEDA" wp14:editId="5EA4F7F4">
            <wp:extent cx="5731510" cy="5267325"/>
            <wp:effectExtent l="0" t="0" r="2540" b="9525"/>
            <wp:docPr id="101790362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903622" name="Picture 1017903622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78"/>
                    <a:stretch/>
                  </pic:blipFill>
                  <pic:spPr bwMode="auto">
                    <a:xfrm>
                      <a:off x="0" y="0"/>
                      <a:ext cx="5731510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40BEE6" w14:textId="1D2850AD" w:rsidR="00AB26E4" w:rsidRDefault="00D512AF" w:rsidP="00F76203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1" w:name="_Hlk184292156"/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Supplementary </w:t>
      </w:r>
      <w:r w:rsidRPr="00F563B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Figure </w:t>
      </w:r>
      <w:r w:rsidR="006F27EC">
        <w:rPr>
          <w:rFonts w:ascii="Times New Roman" w:eastAsia="Times New Roman" w:hAnsi="Times New Roman" w:cs="Times New Roman"/>
          <w:b/>
          <w:bCs/>
          <w:sz w:val="24"/>
          <w:szCs w:val="24"/>
        </w:rPr>
        <w:t>3</w:t>
      </w:r>
      <w:r w:rsidRPr="00F563B4">
        <w:rPr>
          <w:rFonts w:ascii="Times New Roman" w:eastAsia="Times New Roman" w:hAnsi="Times New Roman" w:cs="Times New Roman"/>
          <w:b/>
          <w:bCs/>
          <w:sz w:val="24"/>
          <w:szCs w:val="24"/>
        </w:rPr>
        <w:t>. Hazard function</w:t>
      </w:r>
      <w:r w:rsidR="00ED5556">
        <w:rPr>
          <w:rFonts w:ascii="Times New Roman" w:eastAsia="Times New Roman" w:hAnsi="Times New Roman" w:cs="Times New Roman"/>
          <w:b/>
          <w:bCs/>
          <w:sz w:val="24"/>
          <w:szCs w:val="24"/>
        </w:rPr>
        <w:t>s</w:t>
      </w:r>
      <w:r w:rsidRPr="00F563B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of </w:t>
      </w:r>
      <w:r w:rsidR="00ED5556">
        <w:rPr>
          <w:rFonts w:ascii="Times New Roman" w:eastAsia="Times New Roman" w:hAnsi="Times New Roman" w:cs="Times New Roman"/>
          <w:b/>
          <w:bCs/>
          <w:sz w:val="24"/>
          <w:szCs w:val="24"/>
        </w:rPr>
        <w:t>COVID-19 exposures</w:t>
      </w:r>
      <w:r w:rsidRPr="00F563B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="00ED5556">
        <w:rPr>
          <w:rFonts w:ascii="Times New Roman" w:eastAsia="Times New Roman" w:hAnsi="Times New Roman" w:cs="Times New Roman"/>
          <w:b/>
          <w:bCs/>
          <w:sz w:val="24"/>
          <w:szCs w:val="24"/>
        </w:rPr>
        <w:t>in different follow up periods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F563B4">
        <w:rPr>
          <w:rFonts w:ascii="Times New Roman" w:eastAsia="Times New Roman" w:hAnsi="Times New Roman" w:cs="Times New Roman"/>
          <w:b/>
          <w:bCs/>
          <w:sz w:val="24"/>
          <w:szCs w:val="24"/>
        </w:rPr>
        <w:t>after the initial vaccination.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A. Hazard function for new infection; B. Hazard function for </w:t>
      </w:r>
      <w:r w:rsidR="00ED5556">
        <w:rPr>
          <w:rFonts w:ascii="Times New Roman" w:eastAsia="Times New Roman" w:hAnsi="Times New Roman" w:cs="Times New Roman"/>
          <w:sz w:val="24"/>
          <w:szCs w:val="24"/>
        </w:rPr>
        <w:t>hospitalization</w:t>
      </w:r>
      <w:r>
        <w:rPr>
          <w:rFonts w:ascii="Times New Roman" w:eastAsia="Times New Roman" w:hAnsi="Times New Roman" w:cs="Times New Roman"/>
          <w:sz w:val="24"/>
          <w:szCs w:val="24"/>
        </w:rPr>
        <w:t>; t, mean infection-free time, and its standard error</w:t>
      </w:r>
      <w:bookmarkEnd w:id="1"/>
    </w:p>
    <w:p w14:paraId="2EABADA1" w14:textId="77777777" w:rsidR="00AB26E4" w:rsidRDefault="00AB26E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7AB56D20" w14:textId="77777777" w:rsidR="00D512AF" w:rsidRDefault="00D512AF" w:rsidP="00F76203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90CFE54" w14:textId="761567B2" w:rsidR="00AB26E4" w:rsidRDefault="00D22A0E" w:rsidP="00AB26E4">
      <w:pPr>
        <w:spacing w:after="0" w:line="48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2E380D74" wp14:editId="0F252CA7">
            <wp:extent cx="5731510" cy="1616075"/>
            <wp:effectExtent l="0" t="0" r="2540" b="3175"/>
            <wp:docPr id="34978889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788893" name="Picture 34978889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1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0FEC6" w14:textId="76D16073" w:rsidR="00AB26E4" w:rsidRDefault="00AB26E4" w:rsidP="00AB26E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Supplementary </w:t>
      </w:r>
      <w:r w:rsidRPr="00F563B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4</w:t>
      </w:r>
      <w:r w:rsidRPr="00F563B4">
        <w:rPr>
          <w:rFonts w:ascii="Times New Roman" w:eastAsia="Times New Roman" w:hAnsi="Times New Roman" w:cs="Times New Roman"/>
          <w:b/>
          <w:bCs/>
          <w:sz w:val="24"/>
          <w:szCs w:val="24"/>
        </w:rPr>
        <w:t>. Hazard function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s</w:t>
      </w:r>
      <w:r w:rsidRPr="00F563B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of </w:t>
      </w:r>
      <w:r w:rsidR="00D22A0E">
        <w:rPr>
          <w:rFonts w:ascii="Times New Roman" w:eastAsia="Times New Roman" w:hAnsi="Times New Roman" w:cs="Times New Roman"/>
          <w:b/>
          <w:bCs/>
          <w:sz w:val="24"/>
          <w:szCs w:val="24"/>
        </w:rPr>
        <w:t>new infection</w:t>
      </w:r>
      <w:r w:rsidRPr="00F563B4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in different </w:t>
      </w:r>
      <w:r w:rsidR="00D22A0E">
        <w:rPr>
          <w:rFonts w:ascii="Times New Roman" w:eastAsia="Times New Roman" w:hAnsi="Times New Roman" w:cs="Times New Roman"/>
          <w:b/>
          <w:bCs/>
          <w:sz w:val="24"/>
          <w:szCs w:val="24"/>
        </w:rPr>
        <w:t>sex-adjusted age groups.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A. Hazard function for new infection</w:t>
      </w:r>
      <w:r w:rsidR="00D22A0E">
        <w:rPr>
          <w:rFonts w:ascii="Times New Roman" w:eastAsia="Times New Roman" w:hAnsi="Times New Roman" w:cs="Times New Roman"/>
          <w:sz w:val="24"/>
          <w:szCs w:val="24"/>
        </w:rPr>
        <w:t xml:space="preserve"> at 24-week milestone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; B. </w:t>
      </w:r>
      <w:r w:rsidR="00D22A0E">
        <w:rPr>
          <w:rFonts w:ascii="Times New Roman" w:eastAsia="Times New Roman" w:hAnsi="Times New Roman" w:cs="Times New Roman"/>
          <w:sz w:val="24"/>
          <w:szCs w:val="24"/>
        </w:rPr>
        <w:t>Hazard function for new infection at 24-week milestone</w:t>
      </w:r>
      <w:r>
        <w:rPr>
          <w:rFonts w:ascii="Times New Roman" w:eastAsia="Times New Roman" w:hAnsi="Times New Roman" w:cs="Times New Roman"/>
          <w:sz w:val="24"/>
          <w:szCs w:val="24"/>
        </w:rPr>
        <w:t>; t, mean infection-free time, and its standard error</w:t>
      </w:r>
      <w:r w:rsidR="00B24255">
        <w:rPr>
          <w:rFonts w:ascii="Times New Roman" w:eastAsia="Times New Roman" w:hAnsi="Times New Roman" w:cs="Times New Roman"/>
          <w:sz w:val="24"/>
          <w:szCs w:val="24"/>
        </w:rPr>
        <w:t xml:space="preserve">; </w:t>
      </w:r>
      <w:r w:rsidR="00B24255">
        <w:rPr>
          <w:rFonts w:ascii="Times New Roman" w:eastAsia="Times New Roman" w:hAnsi="Times New Roman" w:cs="Times New Roman"/>
          <w:sz w:val="24"/>
          <w:szCs w:val="24"/>
        </w:rPr>
        <w:sym w:font="Symbol" w:char="F063"/>
      </w:r>
      <w:r w:rsidR="00B24255" w:rsidRPr="00B24255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2</w:t>
      </w:r>
      <w:r w:rsidR="00B24255">
        <w:rPr>
          <w:rFonts w:ascii="Times New Roman" w:eastAsia="Times New Roman" w:hAnsi="Times New Roman" w:cs="Times New Roman"/>
          <w:sz w:val="24"/>
          <w:szCs w:val="24"/>
        </w:rPr>
        <w:t xml:space="preserve">, chi square; LR, log rank; HR, hazard ratio; exp(B), </w:t>
      </w:r>
      <w:r w:rsidR="00B24255" w:rsidRPr="00B24255">
        <w:rPr>
          <w:rFonts w:ascii="Times New Roman" w:eastAsia="Times New Roman" w:hAnsi="Times New Roman" w:cs="Times New Roman"/>
          <w:sz w:val="24"/>
          <w:szCs w:val="24"/>
        </w:rPr>
        <w:t>exponentiation of the B coefficient</w:t>
      </w:r>
    </w:p>
    <w:p w14:paraId="07D518F9" w14:textId="77777777" w:rsidR="00CB442E" w:rsidRDefault="00CB442E" w:rsidP="00AB26E4">
      <w:pPr>
        <w:spacing w:after="0" w:line="48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sectPr w:rsidR="00CB442E" w:rsidSect="00CB442E"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</w:p>
    <w:p w14:paraId="67C2A095" w14:textId="4C1D173E" w:rsidR="00CB442E" w:rsidRDefault="00CB442E" w:rsidP="00CB442E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118655" wp14:editId="7669F1F0">
            <wp:extent cx="8365490" cy="5731510"/>
            <wp:effectExtent l="0" t="0" r="0" b="2540"/>
            <wp:docPr id="12065299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529936" name="Picture 120652993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6549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80CB1" w14:textId="459AFC5E" w:rsidR="007C1870" w:rsidRDefault="00CB442E" w:rsidP="00BE3F71">
      <w:pPr>
        <w:spacing w:after="0" w:line="480" w:lineRule="auto"/>
        <w:jc w:val="both"/>
      </w:pPr>
      <w:r>
        <w:rPr>
          <w:rFonts w:ascii="Times New Roman" w:eastAsia="Times New Roman" w:hAnsi="Times New Roman" w:cs="Times New Roman"/>
          <w:b/>
          <w:color w:val="0E101A"/>
          <w:sz w:val="24"/>
          <w:szCs w:val="24"/>
        </w:rPr>
        <w:lastRenderedPageBreak/>
        <w:t>Supplementary Figure 5. Risk estimates for hospitalization among various population groups within 80 weeks follow-up after initial vaccination. </w:t>
      </w:r>
      <w:r>
        <w:rPr>
          <w:rFonts w:ascii="Times New Roman" w:eastAsia="Times New Roman" w:hAnsi="Times New Roman" w:cs="Times New Roman"/>
          <w:bCs/>
          <w:color w:val="0E101A"/>
          <w:sz w:val="24"/>
          <w:szCs w:val="24"/>
        </w:rPr>
        <w:t xml:space="preserve"> n, number of cases; %, percent of cases; OR, odds ratio; RR, relative risk; p, statistical significance level (Fisher’s exact test) when compared population groups; IRP, increased risk population; GAP, general adult population; FWs, frontline workers; Pf, Pfizer BioNTech; SpV, Sputnik V; AZ, AstraZeneca ChadOX1; SP, Sinopharm BBIB</w:t>
      </w:r>
      <w:r w:rsidR="00BE3F71">
        <w:rPr>
          <w:rFonts w:ascii="Times New Roman" w:eastAsia="Times New Roman" w:hAnsi="Times New Roman" w:cs="Times New Roman"/>
          <w:bCs/>
          <w:color w:val="0E101A"/>
          <w:sz w:val="24"/>
          <w:szCs w:val="24"/>
        </w:rPr>
        <w:t>P</w:t>
      </w:r>
    </w:p>
    <w:sectPr w:rsidR="007C1870" w:rsidSect="00CB442E">
      <w:pgSz w:w="16838" w:h="11906" w:orient="landscape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B30"/>
    <w:rsid w:val="00040B93"/>
    <w:rsid w:val="00084D92"/>
    <w:rsid w:val="00085393"/>
    <w:rsid w:val="000C487F"/>
    <w:rsid w:val="00110BCE"/>
    <w:rsid w:val="00195C10"/>
    <w:rsid w:val="001D3AE2"/>
    <w:rsid w:val="001E7F4C"/>
    <w:rsid w:val="00227D80"/>
    <w:rsid w:val="002A000E"/>
    <w:rsid w:val="002E6135"/>
    <w:rsid w:val="00304DDD"/>
    <w:rsid w:val="003668E2"/>
    <w:rsid w:val="003B45D0"/>
    <w:rsid w:val="003C1B67"/>
    <w:rsid w:val="00430D1D"/>
    <w:rsid w:val="00482AC9"/>
    <w:rsid w:val="004F7707"/>
    <w:rsid w:val="005016FA"/>
    <w:rsid w:val="0060167F"/>
    <w:rsid w:val="006147B7"/>
    <w:rsid w:val="006460C6"/>
    <w:rsid w:val="006757EE"/>
    <w:rsid w:val="006C47A9"/>
    <w:rsid w:val="006F27EC"/>
    <w:rsid w:val="00703BD3"/>
    <w:rsid w:val="007B5F3F"/>
    <w:rsid w:val="007B6D79"/>
    <w:rsid w:val="007C1870"/>
    <w:rsid w:val="007E68D7"/>
    <w:rsid w:val="00807B30"/>
    <w:rsid w:val="00892052"/>
    <w:rsid w:val="0097185A"/>
    <w:rsid w:val="00A05D72"/>
    <w:rsid w:val="00A4214C"/>
    <w:rsid w:val="00A744F7"/>
    <w:rsid w:val="00A95DFD"/>
    <w:rsid w:val="00AB26E4"/>
    <w:rsid w:val="00AE34D7"/>
    <w:rsid w:val="00B24255"/>
    <w:rsid w:val="00B565D8"/>
    <w:rsid w:val="00BB3663"/>
    <w:rsid w:val="00BE3F71"/>
    <w:rsid w:val="00BE5F5D"/>
    <w:rsid w:val="00C064E0"/>
    <w:rsid w:val="00C1005C"/>
    <w:rsid w:val="00C631D2"/>
    <w:rsid w:val="00C6325F"/>
    <w:rsid w:val="00CB442E"/>
    <w:rsid w:val="00D22A0E"/>
    <w:rsid w:val="00D43D00"/>
    <w:rsid w:val="00D50D32"/>
    <w:rsid w:val="00D512AF"/>
    <w:rsid w:val="00D75C63"/>
    <w:rsid w:val="00E53007"/>
    <w:rsid w:val="00EA674C"/>
    <w:rsid w:val="00ED5556"/>
    <w:rsid w:val="00ED6A49"/>
    <w:rsid w:val="00EF6B1F"/>
    <w:rsid w:val="00F76203"/>
    <w:rsid w:val="00FB6128"/>
    <w:rsid w:val="00FF02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9F993C"/>
  <w15:chartTrackingRefBased/>
  <w15:docId w15:val="{1974ABE9-6A43-48E6-A77B-CA4F714769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7B30"/>
    <w:rPr>
      <w:rFonts w:ascii="Calibri" w:eastAsia="Calibri" w:hAnsi="Calibri" w:cs="Calibri"/>
      <w:kern w:val="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5" Type="http://schemas.openxmlformats.org/officeDocument/2006/relationships/image" Target="media/image2.tif"/><Relationship Id="rId10" Type="http://schemas.openxmlformats.org/officeDocument/2006/relationships/theme" Target="theme/theme1.xml"/><Relationship Id="rId4" Type="http://schemas.openxmlformats.org/officeDocument/2006/relationships/image" Target="media/image1.ti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7406</TotalTime>
  <Pages>6</Pages>
  <Words>337</Words>
  <Characters>1923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Tsogtsaikhan Sandag</dc:creator>
  <cp:keywords/>
  <dc:description/>
  <cp:lastModifiedBy>Tsogtsaikhan Sandag</cp:lastModifiedBy>
  <cp:revision>3</cp:revision>
  <dcterms:created xsi:type="dcterms:W3CDTF">2024-03-27T03:11:00Z</dcterms:created>
  <dcterms:modified xsi:type="dcterms:W3CDTF">2025-05-19T04:03:00Z</dcterms:modified>
</cp:coreProperties>
</file>