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662ED" w14:textId="2F68853E" w:rsidR="000354D4" w:rsidRPr="004219A6" w:rsidRDefault="004931AE" w:rsidP="00D31EF0">
      <w:pPr>
        <w:spacing w:line="480" w:lineRule="auto"/>
        <w:jc w:val="center"/>
        <w:rPr>
          <w:rFonts w:ascii="Helvetica" w:hAnsi="Helvetica"/>
          <w:b/>
          <w:bCs/>
          <w:lang w:val="en-US"/>
        </w:rPr>
      </w:pPr>
      <w:r w:rsidRPr="004219A6">
        <w:rPr>
          <w:rFonts w:ascii="Helvetica" w:hAnsi="Helvetica"/>
          <w:b/>
          <w:bCs/>
          <w:lang w:val="en-US"/>
        </w:rPr>
        <w:t>Supplementary Information for</w:t>
      </w:r>
    </w:p>
    <w:p w14:paraId="784AEFDF" w14:textId="77777777" w:rsidR="004931AE" w:rsidRPr="004219A6" w:rsidRDefault="004931AE" w:rsidP="00D31EF0">
      <w:pPr>
        <w:pStyle w:val="Head"/>
        <w:spacing w:before="0" w:after="0" w:line="480" w:lineRule="auto"/>
        <w:rPr>
          <w:rFonts w:ascii="Helvetica" w:hAnsi="Helvetica" w:cs="Arial"/>
          <w:sz w:val="24"/>
          <w:szCs w:val="24"/>
        </w:rPr>
      </w:pPr>
      <w:r w:rsidRPr="004219A6">
        <w:rPr>
          <w:rFonts w:ascii="Helvetica" w:hAnsi="Helvetica" w:cs="Arial"/>
          <w:sz w:val="24"/>
          <w:szCs w:val="24"/>
        </w:rPr>
        <w:t>Three-dimensional wide-bandwidth quantum energy truncation terahertz coherence tomography</w:t>
      </w:r>
    </w:p>
    <w:p w14:paraId="33A68D61" w14:textId="77777777" w:rsidR="004931AE" w:rsidRPr="004219A6" w:rsidRDefault="004931AE" w:rsidP="00D31EF0">
      <w:pPr>
        <w:pStyle w:val="Head"/>
        <w:spacing w:before="0" w:after="0" w:line="480" w:lineRule="auto"/>
        <w:rPr>
          <w:rFonts w:ascii="Helvetica" w:hAnsi="Helvetica" w:cs="Arial"/>
          <w:b w:val="0"/>
          <w:bCs w:val="0"/>
          <w:sz w:val="24"/>
          <w:szCs w:val="24"/>
        </w:rPr>
      </w:pPr>
    </w:p>
    <w:p w14:paraId="6A88F351" w14:textId="30EF3604" w:rsidR="004219A6" w:rsidRPr="004219A6" w:rsidRDefault="004219A6" w:rsidP="00D31EF0">
      <w:pPr>
        <w:pStyle w:val="Teaser"/>
        <w:spacing w:before="0" w:line="480" w:lineRule="auto"/>
        <w:jc w:val="center"/>
        <w:rPr>
          <w:rFonts w:ascii="Helvetica" w:hAnsi="Helvetica" w:cs="Arial"/>
          <w:bCs/>
          <w:color w:val="000000" w:themeColor="text1"/>
          <w:sz w:val="20"/>
          <w:szCs w:val="20"/>
          <w:lang w:val="it-IT"/>
        </w:rPr>
      </w:pPr>
      <w:r w:rsidRPr="004219A6">
        <w:rPr>
          <w:rFonts w:ascii="Helvetica" w:hAnsi="Helvetica" w:cs="Arial"/>
          <w:bCs/>
          <w:sz w:val="20"/>
          <w:szCs w:val="20"/>
          <w:lang w:val="it-IT"/>
        </w:rPr>
        <w:t>Pengfe</w:t>
      </w:r>
      <w:r w:rsidRPr="004219A6">
        <w:rPr>
          <w:rFonts w:ascii="Helvetica" w:hAnsi="Helvetica" w:cs="Arial"/>
          <w:bCs/>
          <w:color w:val="000000" w:themeColor="text1"/>
          <w:sz w:val="20"/>
          <w:szCs w:val="20"/>
          <w:lang w:val="it-IT"/>
        </w:rPr>
        <w:t>i Zhu</w:t>
      </w:r>
      <w:r w:rsidRPr="004219A6">
        <w:rPr>
          <w:rFonts w:ascii="Helvetica" w:hAnsi="Helvetica" w:cs="Arial"/>
          <w:bCs/>
          <w:color w:val="000000" w:themeColor="text1"/>
          <w:sz w:val="20"/>
          <w:szCs w:val="20"/>
          <w:vertAlign w:val="superscript"/>
          <w:lang w:val="it-IT"/>
        </w:rPr>
        <w:t>1</w:t>
      </w:r>
      <w:r w:rsidRPr="004219A6">
        <w:rPr>
          <w:rFonts w:ascii="Helvetica" w:hAnsi="Helvetica" w:cs="Arial"/>
          <w:bCs/>
          <w:color w:val="000000" w:themeColor="text1"/>
          <w:sz w:val="20"/>
          <w:szCs w:val="20"/>
          <w:lang w:val="it-IT"/>
        </w:rPr>
        <w:t>, Hai Zhang</w:t>
      </w:r>
      <w:r w:rsidRPr="004219A6">
        <w:rPr>
          <w:rFonts w:ascii="Helvetica" w:hAnsi="Helvetica" w:cs="Arial"/>
          <w:bCs/>
          <w:color w:val="000000" w:themeColor="text1"/>
          <w:sz w:val="20"/>
          <w:szCs w:val="20"/>
          <w:vertAlign w:val="superscript"/>
          <w:lang w:val="it-IT"/>
        </w:rPr>
        <w:t>1*</w:t>
      </w:r>
      <w:r w:rsidRPr="004219A6">
        <w:rPr>
          <w:rFonts w:ascii="Helvetica" w:hAnsi="Helvetica" w:cs="Arial"/>
          <w:bCs/>
          <w:color w:val="000000" w:themeColor="text1"/>
          <w:sz w:val="20"/>
          <w:szCs w:val="20"/>
          <w:lang w:val="it-IT"/>
        </w:rPr>
        <w:t>, Stefano Sfarra</w:t>
      </w:r>
      <w:r w:rsidRPr="004219A6">
        <w:rPr>
          <w:rFonts w:ascii="Helvetica" w:hAnsi="Helvetica" w:cs="Arial"/>
          <w:bCs/>
          <w:color w:val="000000" w:themeColor="text1"/>
          <w:sz w:val="20"/>
          <w:szCs w:val="20"/>
          <w:vertAlign w:val="superscript"/>
          <w:lang w:val="it-IT"/>
        </w:rPr>
        <w:t>2</w:t>
      </w:r>
      <w:r w:rsidRPr="004219A6">
        <w:rPr>
          <w:rFonts w:ascii="Helvetica" w:hAnsi="Helvetica" w:cs="Arial"/>
          <w:bCs/>
          <w:color w:val="000000" w:themeColor="text1"/>
          <w:sz w:val="20"/>
          <w:szCs w:val="20"/>
          <w:lang w:val="it-IT"/>
        </w:rPr>
        <w:t>, Fabrizio Sarasini</w:t>
      </w:r>
      <w:r w:rsidRPr="004219A6">
        <w:rPr>
          <w:rFonts w:ascii="Helvetica" w:hAnsi="Helvetica" w:cs="Arial"/>
          <w:bCs/>
          <w:color w:val="000000" w:themeColor="text1"/>
          <w:sz w:val="20"/>
          <w:szCs w:val="20"/>
          <w:vertAlign w:val="superscript"/>
          <w:lang w:val="it-IT"/>
        </w:rPr>
        <w:t>3</w:t>
      </w:r>
      <w:r w:rsidRPr="004219A6">
        <w:rPr>
          <w:rFonts w:ascii="Helvetica" w:hAnsi="Helvetica" w:cs="Arial"/>
          <w:bCs/>
          <w:color w:val="000000" w:themeColor="text1"/>
          <w:sz w:val="20"/>
          <w:szCs w:val="20"/>
          <w:lang w:val="it-IT"/>
        </w:rPr>
        <w:t>, Xavier Maldague</w:t>
      </w:r>
      <w:r w:rsidRPr="004219A6">
        <w:rPr>
          <w:rFonts w:ascii="Helvetica" w:hAnsi="Helvetica" w:cs="Arial"/>
          <w:bCs/>
          <w:color w:val="000000" w:themeColor="text1"/>
          <w:sz w:val="20"/>
          <w:szCs w:val="20"/>
          <w:vertAlign w:val="superscript"/>
          <w:lang w:val="it-IT"/>
        </w:rPr>
        <w:t>1</w:t>
      </w:r>
      <w:r w:rsidRPr="004219A6">
        <w:rPr>
          <w:rFonts w:ascii="Helvetica" w:hAnsi="Helvetica" w:cs="Arial"/>
          <w:bCs/>
          <w:color w:val="000000" w:themeColor="text1"/>
          <w:sz w:val="20"/>
          <w:szCs w:val="20"/>
          <w:lang w:val="it-IT"/>
        </w:rPr>
        <w:t>, Andreas Mandelis</w:t>
      </w:r>
      <w:r w:rsidRPr="004219A6">
        <w:rPr>
          <w:rFonts w:ascii="Helvetica" w:hAnsi="Helvetica" w:cs="Arial"/>
          <w:bCs/>
          <w:color w:val="000000" w:themeColor="text1"/>
          <w:sz w:val="20"/>
          <w:szCs w:val="20"/>
          <w:vertAlign w:val="superscript"/>
          <w:lang w:val="it-IT"/>
        </w:rPr>
        <w:t>4,5*</w:t>
      </w:r>
    </w:p>
    <w:p w14:paraId="22EB52BA" w14:textId="77777777" w:rsidR="004219A6" w:rsidRPr="004219A6" w:rsidRDefault="004219A6" w:rsidP="00D31EF0">
      <w:pPr>
        <w:pStyle w:val="Paragraph"/>
        <w:spacing w:before="0" w:line="480" w:lineRule="auto"/>
        <w:ind w:firstLine="0"/>
        <w:jc w:val="center"/>
        <w:rPr>
          <w:rFonts w:ascii="Helvetica" w:hAnsi="Helvetica" w:cs="Arial"/>
          <w:i/>
          <w:iCs/>
          <w:sz w:val="20"/>
          <w:szCs w:val="20"/>
        </w:rPr>
      </w:pPr>
      <w:r w:rsidRPr="004219A6">
        <w:rPr>
          <w:rFonts w:ascii="Helvetica" w:hAnsi="Helvetica" w:cs="Arial"/>
          <w:i/>
          <w:iCs/>
          <w:sz w:val="20"/>
          <w:szCs w:val="20"/>
          <w:vertAlign w:val="superscript"/>
        </w:rPr>
        <w:t>1</w:t>
      </w:r>
      <w:r w:rsidRPr="004219A6">
        <w:rPr>
          <w:rFonts w:ascii="Helvetica" w:hAnsi="Helvetica" w:cs="Arial"/>
          <w:i/>
          <w:iCs/>
          <w:sz w:val="20"/>
          <w:szCs w:val="20"/>
        </w:rPr>
        <w:t>Department of Electrical and Computer Engineering, Computer Vision and Systems Laboratory (CVSL), Laval University, Quebec G1V 0A6, Canada.</w:t>
      </w:r>
    </w:p>
    <w:p w14:paraId="38D17D6A" w14:textId="77777777" w:rsidR="004219A6" w:rsidRPr="004219A6" w:rsidRDefault="004219A6" w:rsidP="00D31EF0">
      <w:pPr>
        <w:pStyle w:val="Paragraph"/>
        <w:spacing w:before="0" w:line="480" w:lineRule="auto"/>
        <w:ind w:firstLine="0"/>
        <w:jc w:val="center"/>
        <w:rPr>
          <w:rFonts w:ascii="Helvetica" w:hAnsi="Helvetica" w:cs="Arial"/>
          <w:i/>
          <w:iCs/>
          <w:sz w:val="20"/>
          <w:szCs w:val="20"/>
        </w:rPr>
      </w:pPr>
      <w:r w:rsidRPr="004219A6">
        <w:rPr>
          <w:rFonts w:ascii="Helvetica" w:hAnsi="Helvetica" w:cs="Arial"/>
          <w:i/>
          <w:iCs/>
          <w:sz w:val="20"/>
          <w:szCs w:val="20"/>
          <w:vertAlign w:val="superscript"/>
        </w:rPr>
        <w:t>2</w:t>
      </w:r>
      <w:r w:rsidRPr="004219A6">
        <w:rPr>
          <w:rFonts w:ascii="Helvetica" w:hAnsi="Helvetica" w:cs="Arial"/>
          <w:i/>
          <w:iCs/>
          <w:sz w:val="20"/>
          <w:szCs w:val="20"/>
        </w:rPr>
        <w:t>Department of Industrial and Information Engineering and Economics (DIIIE), University of L’Aquila, L’Aquila, I-67100, Italy</w:t>
      </w:r>
    </w:p>
    <w:p w14:paraId="57C52F29" w14:textId="77777777" w:rsidR="004219A6" w:rsidRPr="004219A6" w:rsidRDefault="004219A6" w:rsidP="00D31EF0">
      <w:pPr>
        <w:pStyle w:val="Paragraph"/>
        <w:spacing w:before="0" w:line="480" w:lineRule="auto"/>
        <w:ind w:firstLine="0"/>
        <w:jc w:val="center"/>
        <w:rPr>
          <w:rFonts w:ascii="Helvetica" w:hAnsi="Helvetica" w:cs="Arial"/>
          <w:i/>
          <w:iCs/>
          <w:sz w:val="20"/>
          <w:szCs w:val="20"/>
        </w:rPr>
      </w:pPr>
      <w:r w:rsidRPr="004219A6">
        <w:rPr>
          <w:rFonts w:ascii="Helvetica" w:hAnsi="Helvetica" w:cs="Arial"/>
          <w:i/>
          <w:iCs/>
          <w:sz w:val="20"/>
          <w:szCs w:val="20"/>
          <w:vertAlign w:val="superscript"/>
        </w:rPr>
        <w:t>3</w:t>
      </w:r>
      <w:r w:rsidRPr="004219A6">
        <w:rPr>
          <w:rFonts w:ascii="Helvetica" w:hAnsi="Helvetica" w:cs="Arial"/>
          <w:i/>
          <w:iCs/>
          <w:sz w:val="20"/>
          <w:szCs w:val="20"/>
        </w:rPr>
        <w:t>Department of Chemical Engineering Materials Environment &amp; UDR INSTM, Sapienza University of Rome, Rome, I-00184, Italy</w:t>
      </w:r>
    </w:p>
    <w:p w14:paraId="42AF2810" w14:textId="77777777" w:rsidR="004219A6" w:rsidRPr="004219A6" w:rsidRDefault="004219A6" w:rsidP="00D31EF0">
      <w:pPr>
        <w:pStyle w:val="Paragraph"/>
        <w:spacing w:before="0" w:line="480" w:lineRule="auto"/>
        <w:ind w:firstLine="0"/>
        <w:jc w:val="center"/>
        <w:rPr>
          <w:rFonts w:ascii="Helvetica" w:hAnsi="Helvetica" w:cs="Arial"/>
          <w:i/>
          <w:iCs/>
          <w:sz w:val="20"/>
          <w:szCs w:val="20"/>
        </w:rPr>
      </w:pPr>
      <w:r w:rsidRPr="004219A6">
        <w:rPr>
          <w:rFonts w:ascii="Helvetica" w:hAnsi="Helvetica" w:cs="Arial"/>
          <w:i/>
          <w:iCs/>
          <w:sz w:val="20"/>
          <w:szCs w:val="20"/>
          <w:vertAlign w:val="superscript"/>
        </w:rPr>
        <w:t>4</w:t>
      </w:r>
      <w:r w:rsidRPr="004219A6">
        <w:rPr>
          <w:rFonts w:ascii="Helvetica" w:hAnsi="Helvetica" w:cs="Arial"/>
          <w:i/>
          <w:iCs/>
          <w:sz w:val="20"/>
          <w:szCs w:val="20"/>
        </w:rPr>
        <w:t>Center for Advanced Diffusion-Wave and Photoacoustic Technologies (CADIPT), Department of Mechanical and Industrial Engineering, University of Toronto, Toronto, M5S 3G8, Canada</w:t>
      </w:r>
    </w:p>
    <w:p w14:paraId="54A0C46E" w14:textId="77777777" w:rsidR="004219A6" w:rsidRPr="004219A6" w:rsidRDefault="004219A6" w:rsidP="00D31EF0">
      <w:pPr>
        <w:pStyle w:val="Paragraph"/>
        <w:spacing w:before="0" w:line="480" w:lineRule="auto"/>
        <w:ind w:firstLine="0"/>
        <w:jc w:val="center"/>
        <w:rPr>
          <w:rFonts w:ascii="Helvetica" w:hAnsi="Helvetica" w:cs="Arial"/>
          <w:i/>
          <w:iCs/>
          <w:sz w:val="20"/>
          <w:szCs w:val="20"/>
        </w:rPr>
      </w:pPr>
      <w:r w:rsidRPr="004219A6">
        <w:rPr>
          <w:rFonts w:ascii="Helvetica" w:hAnsi="Helvetica" w:cs="Arial"/>
          <w:i/>
          <w:iCs/>
          <w:sz w:val="20"/>
          <w:szCs w:val="20"/>
          <w:vertAlign w:val="superscript"/>
        </w:rPr>
        <w:t>5</w:t>
      </w:r>
      <w:r w:rsidRPr="004219A6">
        <w:rPr>
          <w:rFonts w:ascii="Helvetica" w:hAnsi="Helvetica" w:cs="Arial"/>
          <w:i/>
          <w:iCs/>
          <w:sz w:val="20"/>
          <w:szCs w:val="20"/>
        </w:rPr>
        <w:t>Institute for Advanced Non-Destructive and Non-Invasive Diagnostic Technologies (IANDIT), Faculty of Applied Science and Engineering, University of Toronto, Toronto, M5S 1A4, Canada.</w:t>
      </w:r>
    </w:p>
    <w:p w14:paraId="369C88E7" w14:textId="77777777" w:rsidR="004219A6" w:rsidRPr="004219A6" w:rsidRDefault="004219A6" w:rsidP="00D31EF0">
      <w:pPr>
        <w:pStyle w:val="Paragraph"/>
        <w:spacing w:before="0" w:line="480" w:lineRule="auto"/>
        <w:ind w:firstLine="0"/>
        <w:jc w:val="center"/>
        <w:rPr>
          <w:rFonts w:ascii="Helvetica" w:hAnsi="Helvetica" w:cs="Arial"/>
          <w:i/>
          <w:iCs/>
          <w:sz w:val="20"/>
          <w:szCs w:val="20"/>
        </w:rPr>
      </w:pPr>
      <w:r w:rsidRPr="004219A6">
        <w:rPr>
          <w:rFonts w:ascii="Helvetica" w:hAnsi="Helvetica" w:cs="Arial"/>
          <w:i/>
          <w:iCs/>
          <w:sz w:val="20"/>
          <w:szCs w:val="20"/>
          <w:vertAlign w:val="superscript"/>
        </w:rPr>
        <w:t>*</w:t>
      </w:r>
      <w:r w:rsidRPr="004219A6">
        <w:rPr>
          <w:rFonts w:ascii="Helvetica" w:hAnsi="Helvetica" w:cs="Arial"/>
          <w:i/>
          <w:iCs/>
          <w:sz w:val="20"/>
          <w:szCs w:val="20"/>
        </w:rPr>
        <w:t>Corresponding authors: hai.zhang.1@ulaval.ca (H.Z.), mandelis@mie.utoronto.ca (A.M.)</w:t>
      </w:r>
    </w:p>
    <w:p w14:paraId="5665390F" w14:textId="77777777" w:rsidR="004931AE" w:rsidRPr="004219A6" w:rsidRDefault="004931AE" w:rsidP="00D31EF0">
      <w:pPr>
        <w:spacing w:line="480" w:lineRule="auto"/>
        <w:jc w:val="center"/>
        <w:rPr>
          <w:rFonts w:ascii="Helvetica" w:hAnsi="Helvetica"/>
          <w:lang w:val="en-US"/>
        </w:rPr>
      </w:pPr>
    </w:p>
    <w:p w14:paraId="46BEACFE" w14:textId="77777777" w:rsidR="008F39E9" w:rsidRPr="004219A6" w:rsidRDefault="008F39E9" w:rsidP="00D31EF0">
      <w:pPr>
        <w:spacing w:line="480" w:lineRule="auto"/>
        <w:jc w:val="center"/>
        <w:rPr>
          <w:rFonts w:ascii="Helvetica" w:hAnsi="Helvetica"/>
        </w:rPr>
      </w:pPr>
    </w:p>
    <w:p w14:paraId="2DA4733D" w14:textId="77777777" w:rsidR="008F39E9" w:rsidRDefault="008F39E9" w:rsidP="00D31EF0">
      <w:pPr>
        <w:spacing w:line="480" w:lineRule="auto"/>
        <w:jc w:val="center"/>
        <w:rPr>
          <w:rFonts w:ascii="Helvetica" w:hAnsi="Helvetica"/>
        </w:rPr>
      </w:pPr>
    </w:p>
    <w:p w14:paraId="05B5FBA6" w14:textId="77777777" w:rsidR="00D31EF0" w:rsidRPr="004219A6" w:rsidRDefault="00D31EF0" w:rsidP="00D31EF0">
      <w:pPr>
        <w:spacing w:line="480" w:lineRule="auto"/>
        <w:jc w:val="center"/>
        <w:rPr>
          <w:rFonts w:ascii="Helvetica" w:hAnsi="Helvetica"/>
        </w:rPr>
      </w:pPr>
    </w:p>
    <w:p w14:paraId="3E8A67CA" w14:textId="77777777" w:rsidR="008F39E9" w:rsidRDefault="008F39E9" w:rsidP="00D31EF0">
      <w:pPr>
        <w:spacing w:line="480" w:lineRule="auto"/>
        <w:jc w:val="center"/>
        <w:rPr>
          <w:rFonts w:ascii="Helvetica" w:hAnsi="Helvetica"/>
        </w:rPr>
      </w:pPr>
    </w:p>
    <w:p w14:paraId="6BA1A42D" w14:textId="77777777" w:rsidR="00BF7421" w:rsidRPr="004219A6" w:rsidRDefault="00BF7421" w:rsidP="00D31EF0">
      <w:pPr>
        <w:spacing w:line="480" w:lineRule="auto"/>
        <w:jc w:val="center"/>
        <w:rPr>
          <w:rFonts w:ascii="Helvetica" w:hAnsi="Helvetica"/>
        </w:rPr>
      </w:pPr>
      <w:bookmarkStart w:id="0" w:name="_GoBack"/>
      <w:bookmarkEnd w:id="0"/>
    </w:p>
    <w:p w14:paraId="01042A69" w14:textId="77777777" w:rsidR="008F39E9" w:rsidRDefault="008F39E9" w:rsidP="00D31EF0">
      <w:pPr>
        <w:spacing w:line="480" w:lineRule="auto"/>
        <w:jc w:val="center"/>
        <w:rPr>
          <w:rFonts w:ascii="Helvetica" w:hAnsi="Helvetica"/>
        </w:rPr>
      </w:pPr>
    </w:p>
    <w:p w14:paraId="26BDF499" w14:textId="77777777" w:rsidR="00D31EF0" w:rsidRDefault="00D31EF0" w:rsidP="00D31EF0">
      <w:pPr>
        <w:spacing w:line="480" w:lineRule="auto"/>
        <w:jc w:val="center"/>
        <w:rPr>
          <w:rFonts w:ascii="Helvetica" w:hAnsi="Helvetica"/>
        </w:rPr>
      </w:pPr>
    </w:p>
    <w:p w14:paraId="621A53DB" w14:textId="77777777" w:rsidR="008F39E9" w:rsidRPr="004219A6" w:rsidRDefault="008F39E9" w:rsidP="00D31EF0">
      <w:pPr>
        <w:spacing w:line="480" w:lineRule="auto"/>
        <w:rPr>
          <w:rFonts w:ascii="Helvetica" w:hAnsi="Helvetica"/>
        </w:rPr>
      </w:pPr>
    </w:p>
    <w:p w14:paraId="143AEC1F" w14:textId="53E5A299" w:rsidR="008F39E9" w:rsidRPr="00D31EF0" w:rsidRDefault="00D31EF0" w:rsidP="00D31EF0">
      <w:pPr>
        <w:spacing w:line="480" w:lineRule="auto"/>
        <w:jc w:val="both"/>
        <w:rPr>
          <w:rFonts w:ascii="Helvetica" w:hAnsi="Helvetica"/>
        </w:rPr>
      </w:pPr>
      <w:r w:rsidRPr="00D31EF0">
        <w:rPr>
          <w:rFonts w:ascii="Helvetica" w:hAnsi="Helvetica" w:cs="Arial"/>
          <w:b/>
          <w:bCs/>
        </w:rPr>
        <w:lastRenderedPageBreak/>
        <w:t>Quantitative evaluation of three-dimensional reconstruction based on QET-THCT</w:t>
      </w:r>
    </w:p>
    <w:p w14:paraId="7AF11DB9" w14:textId="3D10B590" w:rsidR="008F39E9" w:rsidRPr="004219A6" w:rsidRDefault="00676C6D" w:rsidP="00D31EF0">
      <w:pPr>
        <w:spacing w:line="480" w:lineRule="auto"/>
        <w:jc w:val="center"/>
        <w:rPr>
          <w:rFonts w:ascii="Helvetica" w:hAnsi="Helvetica"/>
        </w:rPr>
      </w:pPr>
      <w:r>
        <w:rPr>
          <w:rFonts w:ascii="Helvetica" w:hAnsi="Helvetica"/>
          <w:noProof/>
          <w:lang w:val="en-CA" w:eastAsia="en-CA"/>
        </w:rPr>
        <w:drawing>
          <wp:inline distT="0" distB="0" distL="0" distR="0" wp14:anchorId="5E7760AA" wp14:editId="2E52C81F">
            <wp:extent cx="5424170" cy="4696288"/>
            <wp:effectExtent l="0" t="0" r="0" b="3175"/>
            <wp:docPr id="1577775983" name="Picture 1" descr="A collage of different images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75983" name="Picture 1" descr="A collage of different images of different colors&#10;&#10;AI-generated content may be incorrect."/>
                    <pic:cNvPicPr/>
                  </pic:nvPicPr>
                  <pic:blipFill rotWithShape="1">
                    <a:blip r:embed="rId5" cstate="print">
                      <a:extLst>
                        <a:ext uri="{28A0092B-C50C-407E-A947-70E740481C1C}">
                          <a14:useLocalDpi xmlns:a14="http://schemas.microsoft.com/office/drawing/2010/main" val="0"/>
                        </a:ext>
                      </a:extLst>
                    </a:blip>
                    <a:srcRect l="3286" t="1398" r="5439" b="6117"/>
                    <a:stretch>
                      <a:fillRect/>
                    </a:stretch>
                  </pic:blipFill>
                  <pic:spPr bwMode="auto">
                    <a:xfrm>
                      <a:off x="0" y="0"/>
                      <a:ext cx="5425048" cy="4697048"/>
                    </a:xfrm>
                    <a:prstGeom prst="rect">
                      <a:avLst/>
                    </a:prstGeom>
                    <a:ln>
                      <a:noFill/>
                    </a:ln>
                    <a:extLst>
                      <a:ext uri="{53640926-AAD7-44D8-BBD7-CCE9431645EC}">
                        <a14:shadowObscured xmlns:a14="http://schemas.microsoft.com/office/drawing/2010/main"/>
                      </a:ext>
                    </a:extLst>
                  </pic:spPr>
                </pic:pic>
              </a:graphicData>
            </a:graphic>
          </wp:inline>
        </w:drawing>
      </w:r>
    </w:p>
    <w:p w14:paraId="7F950AB2" w14:textId="78ACFC66" w:rsidR="008F39E9" w:rsidRPr="00D31EF0" w:rsidRDefault="008F39E9" w:rsidP="00D31EF0">
      <w:pPr>
        <w:jc w:val="both"/>
        <w:rPr>
          <w:rFonts w:ascii="Helvetica" w:hAnsi="Helvetica" w:cs="Arial"/>
          <w:b/>
          <w:bCs/>
          <w:color w:val="000000" w:themeColor="text1"/>
          <w:sz w:val="16"/>
          <w:szCs w:val="16"/>
        </w:rPr>
      </w:pPr>
      <w:r w:rsidRPr="00D31EF0">
        <w:rPr>
          <w:rFonts w:ascii="Helvetica" w:hAnsi="Helvetica" w:cs="Arial"/>
          <w:b/>
          <w:bCs/>
          <w:color w:val="000000" w:themeColor="text1"/>
          <w:sz w:val="16"/>
          <w:szCs w:val="16"/>
        </w:rPr>
        <w:t>F</w:t>
      </w:r>
      <w:r w:rsidR="0030319C" w:rsidRPr="00D31EF0">
        <w:rPr>
          <w:rFonts w:ascii="Helvetica" w:hAnsi="Helvetica" w:cs="Arial"/>
          <w:b/>
          <w:bCs/>
          <w:color w:val="000000" w:themeColor="text1"/>
          <w:sz w:val="16"/>
          <w:szCs w:val="16"/>
        </w:rPr>
        <w:t>ig</w:t>
      </w:r>
      <w:r w:rsidRPr="00D31EF0">
        <w:rPr>
          <w:rFonts w:ascii="Helvetica" w:hAnsi="Helvetica" w:cs="Arial"/>
          <w:b/>
          <w:bCs/>
          <w:color w:val="000000" w:themeColor="text1"/>
          <w:sz w:val="16"/>
          <w:szCs w:val="16"/>
        </w:rPr>
        <w:t>. S1. Experimental validation based on a GFRP plate with six regular-shape defects. a</w:t>
      </w:r>
      <w:r w:rsidRPr="00D31EF0">
        <w:rPr>
          <w:rFonts w:ascii="Helvetica" w:hAnsi="Helvetica" w:cs="Arial"/>
          <w:color w:val="000000" w:themeColor="text1"/>
          <w:sz w:val="16"/>
          <w:szCs w:val="16"/>
        </w:rPr>
        <w:t xml:space="preserve"> Photograph of GFRP plate. </w:t>
      </w:r>
      <w:r w:rsidRPr="00D31EF0">
        <w:rPr>
          <w:rFonts w:ascii="Helvetica" w:hAnsi="Helvetica" w:cs="Arial"/>
          <w:b/>
          <w:bCs/>
          <w:color w:val="000000" w:themeColor="text1"/>
          <w:sz w:val="16"/>
          <w:szCs w:val="16"/>
        </w:rPr>
        <w:t>b</w:t>
      </w:r>
      <w:r w:rsidRPr="00D31EF0">
        <w:rPr>
          <w:rFonts w:ascii="Helvetica" w:hAnsi="Helvetica" w:cs="Arial"/>
          <w:color w:val="000000" w:themeColor="text1"/>
          <w:sz w:val="16"/>
          <w:szCs w:val="16"/>
        </w:rPr>
        <w:t xml:space="preserve"> Time-of-flight images. </w:t>
      </w:r>
      <w:r w:rsidRPr="00D31EF0">
        <w:rPr>
          <w:rFonts w:ascii="Helvetica" w:hAnsi="Helvetica" w:cs="Arial"/>
          <w:b/>
          <w:bCs/>
          <w:color w:val="000000" w:themeColor="text1"/>
          <w:sz w:val="16"/>
          <w:szCs w:val="16"/>
        </w:rPr>
        <w:t>c</w:t>
      </w:r>
      <w:r w:rsidRPr="00D31EF0">
        <w:rPr>
          <w:rFonts w:ascii="Helvetica" w:hAnsi="Helvetica" w:cs="Arial"/>
          <w:color w:val="000000" w:themeColor="text1"/>
          <w:sz w:val="16"/>
          <w:szCs w:val="16"/>
        </w:rPr>
        <w:t xml:space="preserve"> 3D reconstruction using QET-THCT. </w:t>
      </w:r>
      <w:r w:rsidRPr="00D31EF0">
        <w:rPr>
          <w:rFonts w:ascii="Helvetica" w:hAnsi="Helvetica" w:cs="Arial"/>
          <w:b/>
          <w:bCs/>
          <w:color w:val="000000" w:themeColor="text1"/>
          <w:sz w:val="16"/>
          <w:szCs w:val="16"/>
        </w:rPr>
        <w:t>d</w:t>
      </w:r>
      <w:r w:rsidRPr="00D31EF0">
        <w:rPr>
          <w:rFonts w:ascii="Helvetica" w:hAnsi="Helvetica" w:cs="Arial"/>
          <w:color w:val="000000" w:themeColor="text1"/>
          <w:sz w:val="16"/>
          <w:szCs w:val="16"/>
        </w:rPr>
        <w:t xml:space="preserve"> Quantitative evaluation for the defect depth where D1, D2, D3 denote 4 mm, 4.5 mm, 5.0 mm depths of defects, respectively. </w:t>
      </w:r>
      <w:r w:rsidRPr="00D31EF0">
        <w:rPr>
          <w:rFonts w:ascii="Helvetica" w:hAnsi="Helvetica" w:cs="Arial"/>
          <w:b/>
          <w:bCs/>
          <w:color w:val="000000" w:themeColor="text1"/>
          <w:sz w:val="16"/>
          <w:szCs w:val="16"/>
        </w:rPr>
        <w:t>e</w:t>
      </w:r>
      <w:r w:rsidRPr="00D31EF0">
        <w:rPr>
          <w:rFonts w:ascii="Helvetica" w:hAnsi="Helvetica" w:cs="Arial"/>
          <w:color w:val="000000" w:themeColor="text1"/>
          <w:sz w:val="16"/>
          <w:szCs w:val="16"/>
        </w:rPr>
        <w:t xml:space="preserve"> Quantitative evaluation for the defect size. The green dotted lines denote real depth and size where S1_1, S1_2, S2_1, S2_2 denote the outside profile size and inner profile size of the square defects.</w:t>
      </w:r>
    </w:p>
    <w:p w14:paraId="4376CFD2" w14:textId="77777777" w:rsidR="008F39E9" w:rsidRPr="004219A6" w:rsidRDefault="008F39E9" w:rsidP="00D31EF0">
      <w:pPr>
        <w:spacing w:line="480" w:lineRule="auto"/>
        <w:jc w:val="center"/>
        <w:rPr>
          <w:rFonts w:ascii="Helvetica" w:hAnsi="Helvetica"/>
        </w:rPr>
      </w:pPr>
    </w:p>
    <w:p w14:paraId="22DEDF88" w14:textId="66ACB360" w:rsidR="0030319C" w:rsidRPr="00D31EF0" w:rsidRDefault="0030319C" w:rsidP="00D31EF0">
      <w:pPr>
        <w:spacing w:line="480" w:lineRule="auto"/>
        <w:jc w:val="both"/>
        <w:rPr>
          <w:rFonts w:ascii="Helvetica" w:hAnsi="Helvetica" w:cs="Arial"/>
          <w:color w:val="000000" w:themeColor="text1"/>
          <w:sz w:val="20"/>
          <w:szCs w:val="20"/>
        </w:rPr>
      </w:pPr>
      <w:r w:rsidRPr="00D31EF0">
        <w:rPr>
          <w:rFonts w:ascii="Helvetica" w:hAnsi="Helvetica" w:cs="Arial"/>
          <w:color w:val="000000" w:themeColor="text1"/>
          <w:sz w:val="20"/>
          <w:szCs w:val="20"/>
        </w:rPr>
        <w:t xml:space="preserve">  In the previous content, experimental results are mainly focused on the sample with complex-shape defects. However, it is difficult to quantitative evaluate the detection accuracy based on the proposed QET-THCT technique. Here, a GFRP plate with six defects was employed to evaluate the detection accuracy of the QET-THCT comparing with time-of-flight method (Fig. </w:t>
      </w:r>
      <w:r w:rsidRPr="00D31EF0">
        <w:rPr>
          <w:rFonts w:ascii="Helvetica" w:hAnsi="Helvetica" w:cs="Arial"/>
          <w:color w:val="0070C0"/>
          <w:sz w:val="20"/>
          <w:szCs w:val="20"/>
        </w:rPr>
        <w:t>S1</w:t>
      </w:r>
      <w:r w:rsidRPr="00D31EF0">
        <w:rPr>
          <w:rFonts w:ascii="Helvetica" w:hAnsi="Helvetica" w:cs="Arial"/>
          <w:color w:val="000000" w:themeColor="text1"/>
          <w:sz w:val="20"/>
          <w:szCs w:val="20"/>
        </w:rPr>
        <w:t xml:space="preserve">a). The top three square-shape defects have a length of 10 mm, and the bottom three square-shape defects have a length of 12 mm. The defect depths from left to right are 4.0, 4.5, 5.0 mm, respectively. Due to imperfect focus there are strong fringes in original time-of-flight images, which interferes us to observe the defect information (Fig. </w:t>
      </w:r>
      <w:r w:rsidRPr="00D31EF0">
        <w:rPr>
          <w:rFonts w:ascii="Helvetica" w:hAnsi="Helvetica" w:cs="Arial"/>
          <w:color w:val="0070C0"/>
          <w:sz w:val="20"/>
          <w:szCs w:val="20"/>
        </w:rPr>
        <w:t>S1</w:t>
      </w:r>
      <w:r w:rsidRPr="00D31EF0">
        <w:rPr>
          <w:rFonts w:ascii="Helvetica" w:hAnsi="Helvetica" w:cs="Arial"/>
          <w:color w:val="000000" w:themeColor="text1"/>
          <w:sz w:val="20"/>
          <w:szCs w:val="20"/>
        </w:rPr>
        <w:t xml:space="preserve">b). </w:t>
      </w:r>
      <w:r w:rsidRPr="00D31EF0">
        <w:rPr>
          <w:rFonts w:ascii="Helvetica" w:hAnsi="Helvetica" w:cs="Arial"/>
          <w:color w:val="000000" w:themeColor="text1"/>
          <w:sz w:val="20"/>
          <w:szCs w:val="20"/>
        </w:rPr>
        <w:lastRenderedPageBreak/>
        <w:t xml:space="preserve">From the results of QET-THCT, it is obvious that the fringes are eliminated. The defects emerge at 4.102, 4.528, and 5.079 mm, respectively, which is near to the prefabricated depth (Fig. </w:t>
      </w:r>
      <w:r w:rsidRPr="00D31EF0">
        <w:rPr>
          <w:rFonts w:ascii="Helvetica" w:hAnsi="Helvetica" w:cs="Arial"/>
          <w:color w:val="0070C0"/>
          <w:sz w:val="20"/>
          <w:szCs w:val="20"/>
        </w:rPr>
        <w:t>S1</w:t>
      </w:r>
      <w:r w:rsidRPr="00D31EF0">
        <w:rPr>
          <w:rFonts w:ascii="Helvetica" w:hAnsi="Helvetica" w:cs="Arial"/>
          <w:color w:val="000000" w:themeColor="text1"/>
          <w:sz w:val="20"/>
          <w:szCs w:val="20"/>
        </w:rPr>
        <w:t xml:space="preserve">c). To quantitatively characterize the defect depth, ten pixels from each defect area are selected and calculated using QET-THCT and TOF methods. The results are shown in Fig. </w:t>
      </w:r>
      <w:r w:rsidRPr="00D31EF0">
        <w:rPr>
          <w:rFonts w:ascii="Helvetica" w:hAnsi="Helvetica" w:cs="Arial"/>
          <w:color w:val="0070C0"/>
          <w:sz w:val="20"/>
          <w:szCs w:val="20"/>
        </w:rPr>
        <w:t>S1</w:t>
      </w:r>
      <w:r w:rsidRPr="00D31EF0">
        <w:rPr>
          <w:rFonts w:ascii="Helvetica" w:hAnsi="Helvetica" w:cs="Arial"/>
          <w:color w:val="000000" w:themeColor="text1"/>
          <w:sz w:val="20"/>
          <w:szCs w:val="20"/>
        </w:rPr>
        <w:t xml:space="preserve">d and Fig. </w:t>
      </w:r>
      <w:r w:rsidRPr="00D31EF0">
        <w:rPr>
          <w:rFonts w:ascii="Helvetica" w:hAnsi="Helvetica" w:cs="Arial"/>
          <w:color w:val="0070C0"/>
          <w:sz w:val="20"/>
          <w:szCs w:val="20"/>
        </w:rPr>
        <w:t>S1</w:t>
      </w:r>
      <w:r w:rsidRPr="00D31EF0">
        <w:rPr>
          <w:rFonts w:ascii="Helvetica" w:hAnsi="Helvetica" w:cs="Arial"/>
          <w:color w:val="000000" w:themeColor="text1"/>
          <w:sz w:val="20"/>
          <w:szCs w:val="20"/>
        </w:rPr>
        <w:t>e. It is possible to find that the QET-THCT has higher accuracy in characterizing defect depths and sizes.</w:t>
      </w:r>
    </w:p>
    <w:p w14:paraId="321EFBFF" w14:textId="77777777" w:rsidR="008F39E9" w:rsidRPr="004219A6" w:rsidRDefault="008F39E9" w:rsidP="00D31EF0">
      <w:pPr>
        <w:spacing w:line="480" w:lineRule="auto"/>
        <w:jc w:val="center"/>
        <w:rPr>
          <w:rFonts w:ascii="Helvetica" w:hAnsi="Helvetica"/>
        </w:rPr>
      </w:pPr>
    </w:p>
    <w:p w14:paraId="571EB158" w14:textId="77777777" w:rsidR="00D31EF0" w:rsidRPr="00D31EF0" w:rsidRDefault="00D31EF0" w:rsidP="00D31EF0">
      <w:pPr>
        <w:spacing w:line="480" w:lineRule="auto"/>
        <w:jc w:val="both"/>
        <w:rPr>
          <w:rFonts w:ascii="Helvetica" w:hAnsi="Helvetica" w:cs="Arial"/>
          <w:b/>
          <w:bCs/>
          <w:color w:val="000000" w:themeColor="text1"/>
        </w:rPr>
      </w:pPr>
      <w:r w:rsidRPr="00D31EF0">
        <w:rPr>
          <w:rFonts w:ascii="Helvetica" w:hAnsi="Helvetica" w:cs="Arial"/>
          <w:b/>
          <w:bCs/>
          <w:color w:val="000000" w:themeColor="text1"/>
        </w:rPr>
        <w:t>FDTD simulation for validating the feasibility of QET-THCT</w:t>
      </w:r>
    </w:p>
    <w:p w14:paraId="4F866618" w14:textId="0FD03DCC" w:rsidR="00D31EF0" w:rsidRPr="00D31EF0" w:rsidRDefault="00D31EF0" w:rsidP="00706F34">
      <w:pPr>
        <w:spacing w:line="480" w:lineRule="auto"/>
        <w:jc w:val="both"/>
        <w:rPr>
          <w:rFonts w:ascii="Helvetica" w:hAnsi="Helvetica" w:cs="Arial"/>
          <w:color w:val="000000" w:themeColor="text1"/>
          <w:sz w:val="20"/>
          <w:szCs w:val="20"/>
        </w:rPr>
      </w:pPr>
      <w:r w:rsidRPr="00D31EF0">
        <w:rPr>
          <w:rFonts w:ascii="Helvetica" w:hAnsi="Helvetica" w:cs="Arial"/>
          <w:color w:val="000000" w:themeColor="text1"/>
          <w:sz w:val="20"/>
          <w:szCs w:val="20"/>
        </w:rPr>
        <w:t xml:space="preserve">Finite-difference time-domain (FDTD) was employed to validate the feasibility and accuracy of proposed QET-THCT technique (Fig. </w:t>
      </w:r>
      <w:r w:rsidR="00706F34">
        <w:rPr>
          <w:rFonts w:ascii="Helvetica" w:hAnsi="Helvetica" w:cs="Arial"/>
          <w:color w:val="0070C0"/>
          <w:sz w:val="20"/>
          <w:szCs w:val="20"/>
        </w:rPr>
        <w:t>S2</w:t>
      </w:r>
      <w:r w:rsidRPr="00D31EF0">
        <w:rPr>
          <w:rFonts w:ascii="Helvetica" w:hAnsi="Helvetica" w:cs="Arial"/>
          <w:color w:val="000000" w:themeColor="text1"/>
          <w:sz w:val="20"/>
          <w:szCs w:val="20"/>
        </w:rPr>
        <w:t xml:space="preserve">a). The shape of incident source in time-domain is shown in Fig. </w:t>
      </w:r>
      <w:r w:rsidR="00706F34">
        <w:rPr>
          <w:rFonts w:ascii="Helvetica" w:hAnsi="Helvetica" w:cs="Arial"/>
          <w:color w:val="0070C0"/>
          <w:sz w:val="20"/>
          <w:szCs w:val="20"/>
        </w:rPr>
        <w:t>S2</w:t>
      </w:r>
      <w:r w:rsidRPr="00D31EF0">
        <w:rPr>
          <w:rFonts w:ascii="Helvetica" w:hAnsi="Helvetica" w:cs="Arial"/>
          <w:color w:val="000000" w:themeColor="text1"/>
          <w:sz w:val="20"/>
          <w:szCs w:val="20"/>
        </w:rPr>
        <w:t xml:space="preserve">b. To simulate the sample in the previous section, the Drude-Lorentz model was used to fit the material properties including refractive index and extinction coefficient (Fig. </w:t>
      </w:r>
      <w:r w:rsidR="00706F34">
        <w:rPr>
          <w:rFonts w:ascii="Helvetica" w:hAnsi="Helvetica" w:cs="Arial"/>
          <w:color w:val="0070C0"/>
          <w:sz w:val="20"/>
          <w:szCs w:val="20"/>
        </w:rPr>
        <w:t>S2</w:t>
      </w:r>
      <w:r w:rsidRPr="00D31EF0">
        <w:rPr>
          <w:rFonts w:ascii="Helvetica" w:hAnsi="Helvetica" w:cs="Arial"/>
          <w:color w:val="000000" w:themeColor="text1"/>
          <w:sz w:val="20"/>
          <w:szCs w:val="20"/>
        </w:rPr>
        <w:t xml:space="preserve">c). Then the cross-correlation amplitude (Fig. </w:t>
      </w:r>
      <w:r w:rsidR="00706F34">
        <w:rPr>
          <w:rFonts w:ascii="Helvetica" w:hAnsi="Helvetica" w:cs="Arial"/>
          <w:color w:val="0070C0"/>
          <w:sz w:val="20"/>
          <w:szCs w:val="20"/>
        </w:rPr>
        <w:t>S2</w:t>
      </w:r>
      <w:r w:rsidRPr="00D31EF0">
        <w:rPr>
          <w:rFonts w:ascii="Helvetica" w:hAnsi="Helvetica" w:cs="Arial"/>
          <w:color w:val="000000" w:themeColor="text1"/>
          <w:sz w:val="20"/>
          <w:szCs w:val="20"/>
        </w:rPr>
        <w:t xml:space="preserve">d) was calculated according to the program in Fig. </w:t>
      </w:r>
      <w:r w:rsidRPr="00D31EF0">
        <w:rPr>
          <w:rFonts w:ascii="Helvetica" w:hAnsi="Helvetica" w:cs="Arial"/>
          <w:color w:val="0070C0"/>
          <w:sz w:val="20"/>
          <w:szCs w:val="20"/>
        </w:rPr>
        <w:t>2</w:t>
      </w:r>
      <w:r w:rsidRPr="00D31EF0">
        <w:rPr>
          <w:rFonts w:ascii="Helvetica" w:hAnsi="Helvetica" w:cs="Arial"/>
          <w:color w:val="000000" w:themeColor="text1"/>
          <w:sz w:val="20"/>
          <w:szCs w:val="20"/>
        </w:rPr>
        <w:t xml:space="preserve">b. By repeating this program for each pixel, the entire 3D tomogram can be obtained. Quantitative analysis was performed between the profile of the reconstructed semicircular hole and the profile of the real hole (Fig. </w:t>
      </w:r>
      <w:r w:rsidR="00706F34">
        <w:rPr>
          <w:rFonts w:ascii="Helvetica" w:hAnsi="Helvetica" w:cs="Arial"/>
          <w:color w:val="0070C0"/>
          <w:sz w:val="20"/>
          <w:szCs w:val="20"/>
        </w:rPr>
        <w:t>S2</w:t>
      </w:r>
      <w:r w:rsidRPr="00D31EF0">
        <w:rPr>
          <w:rFonts w:ascii="Helvetica" w:hAnsi="Helvetica" w:cs="Arial"/>
          <w:color w:val="000000" w:themeColor="text1"/>
          <w:sz w:val="20"/>
          <w:szCs w:val="20"/>
        </w:rPr>
        <w:t xml:space="preserve">e). It is possible to find that the accuracy of reconstructed profile is high at the top of the semicircular hole. However, the reconstructed profile begins to deviate from the real true below 4 mm. The reasons can be concluded as follows. Firstly, the THz signal will be significantly affected by the absorption and scattering when THz wave propagates into the media. With the increase of the propagation distance the THz beam naturally spreads out due to the diffraction effects. This results in a larger area of signal coverage and lower energy density at depth. In addition, QET-THCT algorithm only considers the absorption varying with frequency. In this simulation, the refractive index of a material varies significantly with frequency (Fig. </w:t>
      </w:r>
      <w:r w:rsidR="00706F34">
        <w:rPr>
          <w:rFonts w:ascii="Helvetica" w:hAnsi="Helvetica" w:cs="Arial"/>
          <w:color w:val="0070C0"/>
          <w:sz w:val="20"/>
          <w:szCs w:val="20"/>
        </w:rPr>
        <w:t>S2</w:t>
      </w:r>
      <w:r w:rsidRPr="00D31EF0">
        <w:rPr>
          <w:rFonts w:ascii="Helvetica" w:hAnsi="Helvetica" w:cs="Arial"/>
          <w:color w:val="000000" w:themeColor="text1"/>
          <w:sz w:val="20"/>
          <w:szCs w:val="20"/>
        </w:rPr>
        <w:t xml:space="preserve">c). The cross-sectional tomogram is shown in Fig. </w:t>
      </w:r>
      <w:r w:rsidR="00706F34">
        <w:rPr>
          <w:rFonts w:ascii="Helvetica" w:hAnsi="Helvetica" w:cs="Arial"/>
          <w:color w:val="0070C0"/>
          <w:sz w:val="20"/>
          <w:szCs w:val="20"/>
        </w:rPr>
        <w:t>S2</w:t>
      </w:r>
      <w:r w:rsidRPr="00D31EF0">
        <w:rPr>
          <w:rFonts w:ascii="Helvetica" w:hAnsi="Helvetica" w:cs="Arial"/>
          <w:color w:val="000000" w:themeColor="text1"/>
          <w:sz w:val="20"/>
          <w:szCs w:val="20"/>
        </w:rPr>
        <w:t xml:space="preserve">f. To better present the profile of semicircular holes, we performed image segmentation for the entire 3D tomogram (Fig. </w:t>
      </w:r>
      <w:r w:rsidR="00706F34">
        <w:rPr>
          <w:rFonts w:ascii="Helvetica" w:hAnsi="Helvetica" w:cs="Arial"/>
          <w:color w:val="0070C0"/>
          <w:sz w:val="20"/>
          <w:szCs w:val="20"/>
        </w:rPr>
        <w:t>S2</w:t>
      </w:r>
      <w:r w:rsidRPr="00D31EF0">
        <w:rPr>
          <w:rFonts w:ascii="Helvetica" w:hAnsi="Helvetica" w:cs="Arial"/>
          <w:color w:val="000000" w:themeColor="text1"/>
          <w:sz w:val="20"/>
          <w:szCs w:val="20"/>
        </w:rPr>
        <w:t xml:space="preserve">g). The location and area variation of defects is presented in Fig. </w:t>
      </w:r>
      <w:r w:rsidR="00706F34">
        <w:rPr>
          <w:rFonts w:ascii="Helvetica" w:hAnsi="Helvetica" w:cs="Arial"/>
          <w:color w:val="0070C0"/>
          <w:sz w:val="20"/>
          <w:szCs w:val="20"/>
        </w:rPr>
        <w:t>S2</w:t>
      </w:r>
      <w:r w:rsidRPr="00D31EF0">
        <w:rPr>
          <w:rFonts w:ascii="Helvetica" w:hAnsi="Helvetica" w:cs="Arial"/>
          <w:color w:val="000000" w:themeColor="text1"/>
          <w:sz w:val="20"/>
          <w:szCs w:val="20"/>
        </w:rPr>
        <w:t>h.</w:t>
      </w:r>
    </w:p>
    <w:p w14:paraId="72077A7C" w14:textId="50B8897A" w:rsidR="00D31EF0" w:rsidRPr="00D31EF0" w:rsidRDefault="00C962A7" w:rsidP="00D31EF0">
      <w:pPr>
        <w:spacing w:line="480" w:lineRule="auto"/>
        <w:jc w:val="center"/>
        <w:rPr>
          <w:rFonts w:ascii="Helvetica" w:hAnsi="Helvetica" w:cs="Arial"/>
          <w:color w:val="FF0000"/>
          <w:sz w:val="20"/>
          <w:szCs w:val="20"/>
        </w:rPr>
      </w:pPr>
      <w:r>
        <w:rPr>
          <w:rFonts w:ascii="Helvetica" w:hAnsi="Helvetica" w:cs="Arial"/>
          <w:noProof/>
          <w:color w:val="FF0000"/>
          <w:sz w:val="20"/>
          <w:szCs w:val="20"/>
          <w:lang w:val="en-CA" w:eastAsia="en-CA"/>
        </w:rPr>
        <w:lastRenderedPageBreak/>
        <w:drawing>
          <wp:inline distT="0" distB="0" distL="0" distR="0" wp14:anchorId="2D03195C" wp14:editId="2DCDB1A4">
            <wp:extent cx="5716974" cy="3426460"/>
            <wp:effectExtent l="0" t="0" r="0" b="2540"/>
            <wp:docPr id="1671028882" name="Picture 2" descr="A diagram of a graph and 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28882" name="Picture 2" descr="A diagram of a graph and a diagram of a graph&#10;&#10;AI-generated content may be incorrect."/>
                    <pic:cNvPicPr/>
                  </pic:nvPicPr>
                  <pic:blipFill rotWithShape="1">
                    <a:blip r:embed="rId6" cstate="print">
                      <a:extLst>
                        <a:ext uri="{28A0092B-C50C-407E-A947-70E740481C1C}">
                          <a14:useLocalDpi xmlns:a14="http://schemas.microsoft.com/office/drawing/2010/main" val="0"/>
                        </a:ext>
                      </a:extLst>
                    </a:blip>
                    <a:srcRect l="1793" t="2919" r="2011" b="3180"/>
                    <a:stretch>
                      <a:fillRect/>
                    </a:stretch>
                  </pic:blipFill>
                  <pic:spPr bwMode="auto">
                    <a:xfrm>
                      <a:off x="0" y="0"/>
                      <a:ext cx="5717495" cy="3426772"/>
                    </a:xfrm>
                    <a:prstGeom prst="rect">
                      <a:avLst/>
                    </a:prstGeom>
                    <a:ln>
                      <a:noFill/>
                    </a:ln>
                    <a:extLst>
                      <a:ext uri="{53640926-AAD7-44D8-BBD7-CCE9431645EC}">
                        <a14:shadowObscured xmlns:a14="http://schemas.microsoft.com/office/drawing/2010/main"/>
                      </a:ext>
                    </a:extLst>
                  </pic:spPr>
                </pic:pic>
              </a:graphicData>
            </a:graphic>
          </wp:inline>
        </w:drawing>
      </w:r>
    </w:p>
    <w:p w14:paraId="23F2EA19" w14:textId="77777777" w:rsidR="00D31EF0" w:rsidRPr="00D31EF0" w:rsidRDefault="00D31EF0" w:rsidP="00706F34">
      <w:pPr>
        <w:jc w:val="both"/>
        <w:rPr>
          <w:rFonts w:ascii="Helvetica" w:hAnsi="Helvetica" w:cs="Arial"/>
          <w:b/>
          <w:bCs/>
          <w:color w:val="000000" w:themeColor="text1"/>
          <w:sz w:val="16"/>
          <w:szCs w:val="16"/>
        </w:rPr>
      </w:pPr>
      <w:r w:rsidRPr="00D31EF0">
        <w:rPr>
          <w:rFonts w:ascii="Helvetica" w:hAnsi="Helvetica" w:cs="Arial"/>
          <w:b/>
          <w:bCs/>
          <w:color w:val="000000" w:themeColor="text1"/>
          <w:sz w:val="16"/>
          <w:szCs w:val="16"/>
        </w:rPr>
        <w:t xml:space="preserve">Fig. 5. FDTD </w:t>
      </w:r>
      <w:proofErr w:type="spellStart"/>
      <w:r w:rsidRPr="00D31EF0">
        <w:rPr>
          <w:rFonts w:ascii="Helvetica" w:hAnsi="Helvetica" w:cs="Arial"/>
          <w:b/>
          <w:bCs/>
          <w:color w:val="000000" w:themeColor="text1"/>
          <w:sz w:val="16"/>
          <w:szCs w:val="16"/>
        </w:rPr>
        <w:t>modeling</w:t>
      </w:r>
      <w:proofErr w:type="spellEnd"/>
      <w:r w:rsidRPr="00D31EF0">
        <w:rPr>
          <w:rFonts w:ascii="Helvetica" w:hAnsi="Helvetica" w:cs="Arial"/>
          <w:b/>
          <w:bCs/>
          <w:color w:val="000000" w:themeColor="text1"/>
          <w:sz w:val="16"/>
          <w:szCs w:val="16"/>
        </w:rPr>
        <w:t xml:space="preserve"> for validating the 3D tomographic effect of QET-THCT techniques. a</w:t>
      </w:r>
      <w:r w:rsidRPr="00D31EF0">
        <w:rPr>
          <w:rFonts w:ascii="Helvetica" w:hAnsi="Helvetica" w:cs="Arial"/>
          <w:color w:val="000000" w:themeColor="text1"/>
          <w:sz w:val="16"/>
          <w:szCs w:val="16"/>
        </w:rPr>
        <w:t xml:space="preserve"> Simulation setup for a GFRP plate with semicircular hole (16 mm diameter). </w:t>
      </w:r>
      <w:r w:rsidRPr="00D31EF0">
        <w:rPr>
          <w:rFonts w:ascii="Helvetica" w:hAnsi="Helvetica" w:cs="Arial"/>
          <w:b/>
          <w:bCs/>
          <w:color w:val="000000" w:themeColor="text1"/>
          <w:sz w:val="16"/>
          <w:szCs w:val="16"/>
        </w:rPr>
        <w:t>b</w:t>
      </w:r>
      <w:r w:rsidRPr="00D31EF0">
        <w:rPr>
          <w:rFonts w:ascii="Helvetica" w:hAnsi="Helvetica" w:cs="Arial"/>
          <w:color w:val="000000" w:themeColor="text1"/>
          <w:sz w:val="16"/>
          <w:szCs w:val="16"/>
        </w:rPr>
        <w:t xml:space="preserve"> incident THz source. </w:t>
      </w:r>
      <w:r w:rsidRPr="00D31EF0">
        <w:rPr>
          <w:rFonts w:ascii="Helvetica" w:hAnsi="Helvetica" w:cs="Arial"/>
          <w:b/>
          <w:bCs/>
          <w:color w:val="000000" w:themeColor="text1"/>
          <w:sz w:val="16"/>
          <w:szCs w:val="16"/>
        </w:rPr>
        <w:t>c</w:t>
      </w:r>
      <w:r w:rsidRPr="00D31EF0">
        <w:rPr>
          <w:rFonts w:ascii="Helvetica" w:hAnsi="Helvetica" w:cs="Arial"/>
          <w:color w:val="000000" w:themeColor="text1"/>
          <w:sz w:val="16"/>
          <w:szCs w:val="16"/>
        </w:rPr>
        <w:t xml:space="preserve"> Refractive index and extinction coefficient. </w:t>
      </w:r>
      <w:proofErr w:type="gramStart"/>
      <w:r w:rsidRPr="00D31EF0">
        <w:rPr>
          <w:rFonts w:ascii="Helvetica" w:hAnsi="Helvetica" w:cs="Arial"/>
          <w:b/>
          <w:bCs/>
          <w:color w:val="000000" w:themeColor="text1"/>
          <w:sz w:val="16"/>
          <w:szCs w:val="16"/>
        </w:rPr>
        <w:t>d</w:t>
      </w:r>
      <w:proofErr w:type="gramEnd"/>
      <w:r w:rsidRPr="00D31EF0">
        <w:rPr>
          <w:rFonts w:ascii="Helvetica" w:hAnsi="Helvetica" w:cs="Arial"/>
          <w:color w:val="000000" w:themeColor="text1"/>
          <w:sz w:val="16"/>
          <w:szCs w:val="16"/>
        </w:rPr>
        <w:t xml:space="preserve"> The cross-correlation amplitude. </w:t>
      </w:r>
      <w:r w:rsidRPr="00D31EF0">
        <w:rPr>
          <w:rFonts w:ascii="Helvetica" w:hAnsi="Helvetica" w:cs="Arial"/>
          <w:b/>
          <w:bCs/>
          <w:color w:val="000000" w:themeColor="text1"/>
          <w:sz w:val="16"/>
          <w:szCs w:val="16"/>
        </w:rPr>
        <w:t>e</w:t>
      </w:r>
      <w:r w:rsidRPr="00D31EF0">
        <w:rPr>
          <w:rFonts w:ascii="Helvetica" w:hAnsi="Helvetica" w:cs="Arial"/>
          <w:color w:val="000000" w:themeColor="text1"/>
          <w:sz w:val="16"/>
          <w:szCs w:val="16"/>
        </w:rPr>
        <w:t xml:space="preserve"> Profile of the reconstructed semicircular hole. </w:t>
      </w:r>
      <w:r w:rsidRPr="00D31EF0">
        <w:rPr>
          <w:rFonts w:ascii="Helvetica" w:hAnsi="Helvetica" w:cs="Arial"/>
          <w:b/>
          <w:bCs/>
          <w:color w:val="000000" w:themeColor="text1"/>
          <w:sz w:val="16"/>
          <w:szCs w:val="16"/>
        </w:rPr>
        <w:t>f</w:t>
      </w:r>
      <w:r w:rsidRPr="00D31EF0">
        <w:rPr>
          <w:rFonts w:ascii="Helvetica" w:hAnsi="Helvetica" w:cs="Arial"/>
          <w:color w:val="000000" w:themeColor="text1"/>
          <w:sz w:val="16"/>
          <w:szCs w:val="16"/>
        </w:rPr>
        <w:t xml:space="preserve"> Cross-sectional tomogram of the GFRP plate. </w:t>
      </w:r>
      <w:r w:rsidRPr="00D31EF0">
        <w:rPr>
          <w:rFonts w:ascii="Helvetica" w:hAnsi="Helvetica" w:cs="Arial"/>
          <w:b/>
          <w:bCs/>
          <w:color w:val="000000" w:themeColor="text1"/>
          <w:sz w:val="16"/>
          <w:szCs w:val="16"/>
        </w:rPr>
        <w:t>g</w:t>
      </w:r>
      <w:r w:rsidRPr="00D31EF0">
        <w:rPr>
          <w:rFonts w:ascii="Helvetica" w:hAnsi="Helvetica" w:cs="Arial"/>
          <w:color w:val="000000" w:themeColor="text1"/>
          <w:sz w:val="16"/>
          <w:szCs w:val="16"/>
        </w:rPr>
        <w:t xml:space="preserve"> Tomogram with transparency and threshold optimized for semicircular hole profile inspection. </w:t>
      </w:r>
      <w:r w:rsidRPr="00D31EF0">
        <w:rPr>
          <w:rFonts w:ascii="Helvetica" w:hAnsi="Helvetica" w:cs="Arial"/>
          <w:b/>
          <w:bCs/>
          <w:color w:val="000000" w:themeColor="text1"/>
          <w:sz w:val="16"/>
          <w:szCs w:val="16"/>
        </w:rPr>
        <w:t>h</w:t>
      </w:r>
      <w:r w:rsidRPr="00D31EF0">
        <w:rPr>
          <w:rFonts w:ascii="Helvetica" w:hAnsi="Helvetica" w:cs="Arial"/>
          <w:color w:val="000000" w:themeColor="text1"/>
          <w:sz w:val="16"/>
          <w:szCs w:val="16"/>
        </w:rPr>
        <w:t xml:space="preserve"> Sectional views of QET-THCT results.</w:t>
      </w:r>
    </w:p>
    <w:p w14:paraId="0B94CC33" w14:textId="77777777" w:rsidR="008F39E9" w:rsidRPr="004219A6" w:rsidRDefault="008F39E9" w:rsidP="00D31EF0">
      <w:pPr>
        <w:spacing w:line="480" w:lineRule="auto"/>
        <w:jc w:val="center"/>
        <w:rPr>
          <w:rFonts w:ascii="Helvetica" w:hAnsi="Helvetica"/>
        </w:rPr>
      </w:pPr>
    </w:p>
    <w:sectPr w:rsidR="008F39E9" w:rsidRPr="004219A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Aptos Display">
    <w:altName w:val="Arial"/>
    <w:charset w:val="00"/>
    <w:family w:val="swiss"/>
    <w:pitch w:val="variable"/>
    <w:sig w:usb0="00000001"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1AE"/>
    <w:rsid w:val="0001405E"/>
    <w:rsid w:val="00023506"/>
    <w:rsid w:val="00030E9F"/>
    <w:rsid w:val="000354D4"/>
    <w:rsid w:val="000711CA"/>
    <w:rsid w:val="000A425E"/>
    <w:rsid w:val="000E2903"/>
    <w:rsid w:val="00105DC5"/>
    <w:rsid w:val="00106274"/>
    <w:rsid w:val="00150190"/>
    <w:rsid w:val="001B31FB"/>
    <w:rsid w:val="002966A0"/>
    <w:rsid w:val="002B0A68"/>
    <w:rsid w:val="002B48C6"/>
    <w:rsid w:val="002D1715"/>
    <w:rsid w:val="0030319C"/>
    <w:rsid w:val="00305C1D"/>
    <w:rsid w:val="003156F4"/>
    <w:rsid w:val="0037167D"/>
    <w:rsid w:val="00391828"/>
    <w:rsid w:val="00403B4A"/>
    <w:rsid w:val="004219A6"/>
    <w:rsid w:val="00433B12"/>
    <w:rsid w:val="004618D8"/>
    <w:rsid w:val="00470DA3"/>
    <w:rsid w:val="0048252C"/>
    <w:rsid w:val="004931AE"/>
    <w:rsid w:val="004963AE"/>
    <w:rsid w:val="004B5329"/>
    <w:rsid w:val="005450E7"/>
    <w:rsid w:val="00552855"/>
    <w:rsid w:val="00573808"/>
    <w:rsid w:val="00576508"/>
    <w:rsid w:val="00580774"/>
    <w:rsid w:val="00581774"/>
    <w:rsid w:val="00593A8C"/>
    <w:rsid w:val="005A5537"/>
    <w:rsid w:val="005C034D"/>
    <w:rsid w:val="00601CEB"/>
    <w:rsid w:val="00615FFC"/>
    <w:rsid w:val="00623D3A"/>
    <w:rsid w:val="00634AD7"/>
    <w:rsid w:val="0064718F"/>
    <w:rsid w:val="00667B03"/>
    <w:rsid w:val="00676C6D"/>
    <w:rsid w:val="00697456"/>
    <w:rsid w:val="00706F34"/>
    <w:rsid w:val="0073259F"/>
    <w:rsid w:val="0074225E"/>
    <w:rsid w:val="00743F7E"/>
    <w:rsid w:val="0075146A"/>
    <w:rsid w:val="007854C3"/>
    <w:rsid w:val="007B6749"/>
    <w:rsid w:val="007F266B"/>
    <w:rsid w:val="00800AB9"/>
    <w:rsid w:val="00802FAE"/>
    <w:rsid w:val="00814731"/>
    <w:rsid w:val="00833676"/>
    <w:rsid w:val="008373B1"/>
    <w:rsid w:val="00840B98"/>
    <w:rsid w:val="008503FE"/>
    <w:rsid w:val="00863BCE"/>
    <w:rsid w:val="0087358B"/>
    <w:rsid w:val="00893F9E"/>
    <w:rsid w:val="008F1A49"/>
    <w:rsid w:val="008F39E9"/>
    <w:rsid w:val="00910DE1"/>
    <w:rsid w:val="0094615D"/>
    <w:rsid w:val="00951AF6"/>
    <w:rsid w:val="0097295B"/>
    <w:rsid w:val="009754D4"/>
    <w:rsid w:val="00982C4B"/>
    <w:rsid w:val="009A04DF"/>
    <w:rsid w:val="009A4C4C"/>
    <w:rsid w:val="009B570D"/>
    <w:rsid w:val="009E5E4A"/>
    <w:rsid w:val="009F0F18"/>
    <w:rsid w:val="00A33A26"/>
    <w:rsid w:val="00A3657A"/>
    <w:rsid w:val="00A427A9"/>
    <w:rsid w:val="00A66F2D"/>
    <w:rsid w:val="00AD0DB7"/>
    <w:rsid w:val="00AF5EBA"/>
    <w:rsid w:val="00B759E2"/>
    <w:rsid w:val="00BB077B"/>
    <w:rsid w:val="00BC3068"/>
    <w:rsid w:val="00BF7421"/>
    <w:rsid w:val="00C15801"/>
    <w:rsid w:val="00C2249D"/>
    <w:rsid w:val="00C32AED"/>
    <w:rsid w:val="00C55054"/>
    <w:rsid w:val="00C962A7"/>
    <w:rsid w:val="00CA69F8"/>
    <w:rsid w:val="00CB512D"/>
    <w:rsid w:val="00CC6483"/>
    <w:rsid w:val="00CD3D4C"/>
    <w:rsid w:val="00D024CD"/>
    <w:rsid w:val="00D30AFA"/>
    <w:rsid w:val="00D31EF0"/>
    <w:rsid w:val="00D57186"/>
    <w:rsid w:val="00DF0311"/>
    <w:rsid w:val="00DF2491"/>
    <w:rsid w:val="00E14CAD"/>
    <w:rsid w:val="00E236AF"/>
    <w:rsid w:val="00E301AF"/>
    <w:rsid w:val="00E81943"/>
    <w:rsid w:val="00E840B2"/>
    <w:rsid w:val="00EB1523"/>
    <w:rsid w:val="00EB616B"/>
    <w:rsid w:val="00EE4377"/>
    <w:rsid w:val="00EE4F63"/>
    <w:rsid w:val="00F05990"/>
    <w:rsid w:val="00F13E81"/>
    <w:rsid w:val="00F34002"/>
    <w:rsid w:val="00F539F6"/>
    <w:rsid w:val="00F81566"/>
    <w:rsid w:val="00F84FFC"/>
    <w:rsid w:val="00F9303E"/>
    <w:rsid w:val="00F97FB3"/>
    <w:rsid w:val="00FD642A"/>
    <w:rsid w:val="00FE0C21"/>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B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CA" w:eastAsia="zh-C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931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31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31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31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31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31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31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31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31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1AE"/>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4931AE"/>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4931AE"/>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4931AE"/>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4931AE"/>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4931AE"/>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4931AE"/>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4931AE"/>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4931AE"/>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4931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31AE"/>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4931A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31AE"/>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4931A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931AE"/>
    <w:rPr>
      <w:i/>
      <w:iCs/>
      <w:color w:val="404040" w:themeColor="text1" w:themeTint="BF"/>
      <w:lang w:val="en-GB"/>
    </w:rPr>
  </w:style>
  <w:style w:type="paragraph" w:styleId="ListParagraph">
    <w:name w:val="List Paragraph"/>
    <w:basedOn w:val="Normal"/>
    <w:uiPriority w:val="34"/>
    <w:qFormat/>
    <w:rsid w:val="004931AE"/>
    <w:pPr>
      <w:ind w:left="720"/>
      <w:contextualSpacing/>
    </w:pPr>
  </w:style>
  <w:style w:type="character" w:styleId="IntenseEmphasis">
    <w:name w:val="Intense Emphasis"/>
    <w:basedOn w:val="DefaultParagraphFont"/>
    <w:uiPriority w:val="21"/>
    <w:qFormat/>
    <w:rsid w:val="004931AE"/>
    <w:rPr>
      <w:i/>
      <w:iCs/>
      <w:color w:val="0F4761" w:themeColor="accent1" w:themeShade="BF"/>
    </w:rPr>
  </w:style>
  <w:style w:type="paragraph" w:styleId="IntenseQuote">
    <w:name w:val="Intense Quote"/>
    <w:basedOn w:val="Normal"/>
    <w:next w:val="Normal"/>
    <w:link w:val="IntenseQuoteChar"/>
    <w:uiPriority w:val="30"/>
    <w:qFormat/>
    <w:rsid w:val="004931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31AE"/>
    <w:rPr>
      <w:i/>
      <w:iCs/>
      <w:color w:val="0F4761" w:themeColor="accent1" w:themeShade="BF"/>
      <w:lang w:val="en-GB"/>
    </w:rPr>
  </w:style>
  <w:style w:type="character" w:styleId="IntenseReference">
    <w:name w:val="Intense Reference"/>
    <w:basedOn w:val="DefaultParagraphFont"/>
    <w:uiPriority w:val="32"/>
    <w:qFormat/>
    <w:rsid w:val="004931AE"/>
    <w:rPr>
      <w:b/>
      <w:bCs/>
      <w:smallCaps/>
      <w:color w:val="0F4761" w:themeColor="accent1" w:themeShade="BF"/>
      <w:spacing w:val="5"/>
    </w:rPr>
  </w:style>
  <w:style w:type="paragraph" w:customStyle="1" w:styleId="Head">
    <w:name w:val="Head"/>
    <w:basedOn w:val="Normal"/>
    <w:rsid w:val="004931AE"/>
    <w:pPr>
      <w:keepNext/>
      <w:spacing w:before="120" w:after="120"/>
      <w:jc w:val="center"/>
      <w:outlineLvl w:val="0"/>
    </w:pPr>
    <w:rPr>
      <w:rFonts w:ascii="Times New Roman" w:eastAsia="Times New Roman" w:hAnsi="Times New Roman" w:cs="Times New Roman"/>
      <w:b/>
      <w:bCs/>
      <w:kern w:val="28"/>
      <w:sz w:val="28"/>
      <w:szCs w:val="28"/>
      <w:lang w:val="en-US" w:eastAsia="en-US"/>
      <w14:ligatures w14:val="none"/>
    </w:rPr>
  </w:style>
  <w:style w:type="paragraph" w:customStyle="1" w:styleId="Authors">
    <w:name w:val="Authors"/>
    <w:basedOn w:val="Normal"/>
    <w:next w:val="Normal"/>
    <w:rsid w:val="004931AE"/>
    <w:pPr>
      <w:framePr w:w="9072" w:hSpace="187" w:vSpace="187" w:wrap="notBeside" w:vAnchor="text" w:hAnchor="page" w:xAlign="center" w:y="1"/>
      <w:spacing w:after="320"/>
      <w:jc w:val="center"/>
    </w:pPr>
    <w:rPr>
      <w:rFonts w:ascii="Times New Roman" w:eastAsia="SimSun" w:hAnsi="Times New Roman" w:cs="Times New Roman"/>
      <w:kern w:val="0"/>
      <w:sz w:val="22"/>
      <w:szCs w:val="22"/>
      <w:lang w:val="en-US" w:eastAsia="en-US"/>
      <w14:ligatures w14:val="none"/>
    </w:rPr>
  </w:style>
  <w:style w:type="paragraph" w:customStyle="1" w:styleId="Paragraph">
    <w:name w:val="Paragraph"/>
    <w:basedOn w:val="Normal"/>
    <w:rsid w:val="004219A6"/>
    <w:pPr>
      <w:spacing w:before="120"/>
      <w:ind w:firstLine="720"/>
    </w:pPr>
    <w:rPr>
      <w:rFonts w:ascii="Times New Roman" w:eastAsia="Times New Roman" w:hAnsi="Times New Roman" w:cs="Times New Roman"/>
      <w:kern w:val="0"/>
      <w:lang w:val="en-US" w:eastAsia="en-US"/>
      <w14:ligatures w14:val="none"/>
    </w:rPr>
  </w:style>
  <w:style w:type="paragraph" w:customStyle="1" w:styleId="Teaser">
    <w:name w:val="Teaser"/>
    <w:basedOn w:val="Normal"/>
    <w:rsid w:val="004219A6"/>
    <w:pPr>
      <w:spacing w:before="120"/>
    </w:pPr>
    <w:rPr>
      <w:rFonts w:ascii="Times New Roman" w:eastAsia="Times New Roman" w:hAnsi="Times New Roman" w:cs="Times New Roman"/>
      <w:kern w:val="0"/>
      <w:lang w:val="en-US" w:eastAsia="en-US"/>
      <w14:ligatures w14:val="none"/>
    </w:rPr>
  </w:style>
  <w:style w:type="paragraph" w:styleId="BalloonText">
    <w:name w:val="Balloon Text"/>
    <w:basedOn w:val="Normal"/>
    <w:link w:val="BalloonTextChar"/>
    <w:uiPriority w:val="99"/>
    <w:semiHidden/>
    <w:unhideWhenUsed/>
    <w:rsid w:val="00BF7421"/>
    <w:rPr>
      <w:rFonts w:ascii="Tahoma" w:hAnsi="Tahoma" w:cs="Tahoma"/>
      <w:sz w:val="16"/>
      <w:szCs w:val="16"/>
    </w:rPr>
  </w:style>
  <w:style w:type="character" w:customStyle="1" w:styleId="BalloonTextChar">
    <w:name w:val="Balloon Text Char"/>
    <w:basedOn w:val="DefaultParagraphFont"/>
    <w:link w:val="BalloonText"/>
    <w:uiPriority w:val="99"/>
    <w:semiHidden/>
    <w:rsid w:val="00BF7421"/>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CA" w:eastAsia="zh-C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931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31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31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31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31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31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31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31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31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1AE"/>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4931AE"/>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4931AE"/>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4931AE"/>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4931AE"/>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4931AE"/>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4931AE"/>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4931AE"/>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4931AE"/>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4931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31AE"/>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4931A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31AE"/>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4931A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931AE"/>
    <w:rPr>
      <w:i/>
      <w:iCs/>
      <w:color w:val="404040" w:themeColor="text1" w:themeTint="BF"/>
      <w:lang w:val="en-GB"/>
    </w:rPr>
  </w:style>
  <w:style w:type="paragraph" w:styleId="ListParagraph">
    <w:name w:val="List Paragraph"/>
    <w:basedOn w:val="Normal"/>
    <w:uiPriority w:val="34"/>
    <w:qFormat/>
    <w:rsid w:val="004931AE"/>
    <w:pPr>
      <w:ind w:left="720"/>
      <w:contextualSpacing/>
    </w:pPr>
  </w:style>
  <w:style w:type="character" w:styleId="IntenseEmphasis">
    <w:name w:val="Intense Emphasis"/>
    <w:basedOn w:val="DefaultParagraphFont"/>
    <w:uiPriority w:val="21"/>
    <w:qFormat/>
    <w:rsid w:val="004931AE"/>
    <w:rPr>
      <w:i/>
      <w:iCs/>
      <w:color w:val="0F4761" w:themeColor="accent1" w:themeShade="BF"/>
    </w:rPr>
  </w:style>
  <w:style w:type="paragraph" w:styleId="IntenseQuote">
    <w:name w:val="Intense Quote"/>
    <w:basedOn w:val="Normal"/>
    <w:next w:val="Normal"/>
    <w:link w:val="IntenseQuoteChar"/>
    <w:uiPriority w:val="30"/>
    <w:qFormat/>
    <w:rsid w:val="004931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31AE"/>
    <w:rPr>
      <w:i/>
      <w:iCs/>
      <w:color w:val="0F4761" w:themeColor="accent1" w:themeShade="BF"/>
      <w:lang w:val="en-GB"/>
    </w:rPr>
  </w:style>
  <w:style w:type="character" w:styleId="IntenseReference">
    <w:name w:val="Intense Reference"/>
    <w:basedOn w:val="DefaultParagraphFont"/>
    <w:uiPriority w:val="32"/>
    <w:qFormat/>
    <w:rsid w:val="004931AE"/>
    <w:rPr>
      <w:b/>
      <w:bCs/>
      <w:smallCaps/>
      <w:color w:val="0F4761" w:themeColor="accent1" w:themeShade="BF"/>
      <w:spacing w:val="5"/>
    </w:rPr>
  </w:style>
  <w:style w:type="paragraph" w:customStyle="1" w:styleId="Head">
    <w:name w:val="Head"/>
    <w:basedOn w:val="Normal"/>
    <w:rsid w:val="004931AE"/>
    <w:pPr>
      <w:keepNext/>
      <w:spacing w:before="120" w:after="120"/>
      <w:jc w:val="center"/>
      <w:outlineLvl w:val="0"/>
    </w:pPr>
    <w:rPr>
      <w:rFonts w:ascii="Times New Roman" w:eastAsia="Times New Roman" w:hAnsi="Times New Roman" w:cs="Times New Roman"/>
      <w:b/>
      <w:bCs/>
      <w:kern w:val="28"/>
      <w:sz w:val="28"/>
      <w:szCs w:val="28"/>
      <w:lang w:val="en-US" w:eastAsia="en-US"/>
      <w14:ligatures w14:val="none"/>
    </w:rPr>
  </w:style>
  <w:style w:type="paragraph" w:customStyle="1" w:styleId="Authors">
    <w:name w:val="Authors"/>
    <w:basedOn w:val="Normal"/>
    <w:next w:val="Normal"/>
    <w:rsid w:val="004931AE"/>
    <w:pPr>
      <w:framePr w:w="9072" w:hSpace="187" w:vSpace="187" w:wrap="notBeside" w:vAnchor="text" w:hAnchor="page" w:xAlign="center" w:y="1"/>
      <w:spacing w:after="320"/>
      <w:jc w:val="center"/>
    </w:pPr>
    <w:rPr>
      <w:rFonts w:ascii="Times New Roman" w:eastAsia="SimSun" w:hAnsi="Times New Roman" w:cs="Times New Roman"/>
      <w:kern w:val="0"/>
      <w:sz w:val="22"/>
      <w:szCs w:val="22"/>
      <w:lang w:val="en-US" w:eastAsia="en-US"/>
      <w14:ligatures w14:val="none"/>
    </w:rPr>
  </w:style>
  <w:style w:type="paragraph" w:customStyle="1" w:styleId="Paragraph">
    <w:name w:val="Paragraph"/>
    <w:basedOn w:val="Normal"/>
    <w:rsid w:val="004219A6"/>
    <w:pPr>
      <w:spacing w:before="120"/>
      <w:ind w:firstLine="720"/>
    </w:pPr>
    <w:rPr>
      <w:rFonts w:ascii="Times New Roman" w:eastAsia="Times New Roman" w:hAnsi="Times New Roman" w:cs="Times New Roman"/>
      <w:kern w:val="0"/>
      <w:lang w:val="en-US" w:eastAsia="en-US"/>
      <w14:ligatures w14:val="none"/>
    </w:rPr>
  </w:style>
  <w:style w:type="paragraph" w:customStyle="1" w:styleId="Teaser">
    <w:name w:val="Teaser"/>
    <w:basedOn w:val="Normal"/>
    <w:rsid w:val="004219A6"/>
    <w:pPr>
      <w:spacing w:before="120"/>
    </w:pPr>
    <w:rPr>
      <w:rFonts w:ascii="Times New Roman" w:eastAsia="Times New Roman" w:hAnsi="Times New Roman" w:cs="Times New Roman"/>
      <w:kern w:val="0"/>
      <w:lang w:val="en-US" w:eastAsia="en-US"/>
      <w14:ligatures w14:val="none"/>
    </w:rPr>
  </w:style>
  <w:style w:type="paragraph" w:styleId="BalloonText">
    <w:name w:val="Balloon Text"/>
    <w:basedOn w:val="Normal"/>
    <w:link w:val="BalloonTextChar"/>
    <w:uiPriority w:val="99"/>
    <w:semiHidden/>
    <w:unhideWhenUsed/>
    <w:rsid w:val="00BF7421"/>
    <w:rPr>
      <w:rFonts w:ascii="Tahoma" w:hAnsi="Tahoma" w:cs="Tahoma"/>
      <w:sz w:val="16"/>
      <w:szCs w:val="16"/>
    </w:rPr>
  </w:style>
  <w:style w:type="character" w:customStyle="1" w:styleId="BalloonTextChar">
    <w:name w:val="Balloon Text Char"/>
    <w:basedOn w:val="DefaultParagraphFont"/>
    <w:link w:val="BalloonText"/>
    <w:uiPriority w:val="99"/>
    <w:semiHidden/>
    <w:rsid w:val="00BF7421"/>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764</Words>
  <Characters>4356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Pengfei</dc:creator>
  <cp:keywords/>
  <dc:description/>
  <cp:lastModifiedBy>Mandelis</cp:lastModifiedBy>
  <cp:revision>4</cp:revision>
  <dcterms:created xsi:type="dcterms:W3CDTF">2025-05-08T18:32:00Z</dcterms:created>
  <dcterms:modified xsi:type="dcterms:W3CDTF">2025-05-24T15:49:00Z</dcterms:modified>
</cp:coreProperties>
</file>