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40382" w14:textId="77777777" w:rsidR="00CF3AC9" w:rsidRPr="00924D88" w:rsidRDefault="00CF3AC9" w:rsidP="00CF3AC9">
      <w:pPr>
        <w:spacing w:after="120"/>
      </w:pPr>
      <w:bookmarkStart w:id="0" w:name="_Hlk93930670"/>
      <w:r w:rsidRPr="00924D88">
        <w:rPr>
          <w:sz w:val="20"/>
          <w:szCs w:val="20"/>
        </w:rPr>
        <w:t xml:space="preserve">Table 1: Complications after spinal surgery – contraindications </w:t>
      </w:r>
      <w:r>
        <w:rPr>
          <w:sz w:val="20"/>
          <w:szCs w:val="20"/>
        </w:rPr>
        <w:t>d</w:t>
      </w:r>
      <w:r w:rsidRPr="00924D88">
        <w:rPr>
          <w:sz w:val="20"/>
          <w:szCs w:val="20"/>
        </w:rPr>
        <w:t>euxi</w:t>
      </w:r>
      <w:r>
        <w:rPr>
          <w:sz w:val="20"/>
          <w:szCs w:val="20"/>
        </w:rPr>
        <w:t>e</w:t>
      </w:r>
      <w:r w:rsidRPr="00924D88">
        <w:rPr>
          <w:sz w:val="20"/>
          <w:szCs w:val="20"/>
        </w:rPr>
        <w:t>me</w:t>
      </w:r>
      <w:r>
        <w:rPr>
          <w:sz w:val="20"/>
          <w:szCs w:val="20"/>
        </w:rPr>
        <w:t>a</w:t>
      </w:r>
      <w:r w:rsidRPr="00924D88">
        <w:rPr>
          <w:sz w:val="20"/>
          <w:szCs w:val="20"/>
        </w:rPr>
        <w:t>vis.fr</w:t>
      </w:r>
    </w:p>
    <w:bookmarkEnd w:id="0"/>
    <w:p w14:paraId="2D778ADD" w14:textId="77777777" w:rsidR="00CF3AC9" w:rsidRPr="00924D88" w:rsidRDefault="00CF3AC9" w:rsidP="00CF3AC9">
      <w:pPr>
        <w:spacing w:after="0"/>
      </w:pPr>
      <w:r w:rsidRPr="00924D88">
        <w:rPr>
          <w:noProof/>
        </w:rPr>
        <w:drawing>
          <wp:inline distT="0" distB="0" distL="0" distR="0" wp14:anchorId="3421B407" wp14:editId="0C04370E">
            <wp:extent cx="5446644" cy="2329285"/>
            <wp:effectExtent l="0" t="0" r="1905" b="0"/>
            <wp:docPr id="138805719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655" cy="2342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5E888" w14:textId="5E1704D8" w:rsidR="008C374B" w:rsidRDefault="00CF3AC9" w:rsidP="00CF3AC9">
      <w:pPr>
        <w:rPr>
          <w:i/>
          <w:iCs/>
          <w:sz w:val="18"/>
          <w:szCs w:val="18"/>
        </w:rPr>
      </w:pPr>
      <w:r w:rsidRPr="00924D88">
        <w:rPr>
          <w:i/>
          <w:iCs/>
          <w:sz w:val="18"/>
          <w:szCs w:val="18"/>
        </w:rPr>
        <w:t>Sources: Impact of a second opinion on the costs of treating lumbar pathologies</w:t>
      </w:r>
    </w:p>
    <w:p w14:paraId="3BCEEACE" w14:textId="77777777" w:rsidR="00CF3AC9" w:rsidRPr="00924D88" w:rsidRDefault="00CF3AC9" w:rsidP="00CF3AC9">
      <w:pPr>
        <w:spacing w:after="120"/>
        <w:rPr>
          <w:sz w:val="20"/>
          <w:szCs w:val="20"/>
        </w:rPr>
      </w:pPr>
      <w:r w:rsidRPr="00924D88">
        <w:rPr>
          <w:sz w:val="20"/>
          <w:szCs w:val="20"/>
        </w:rPr>
        <w:t>Table 2: Costs avoided by requesting a second opinion.</w:t>
      </w:r>
    </w:p>
    <w:p w14:paraId="0C12A64C" w14:textId="77777777" w:rsidR="00CF3AC9" w:rsidRPr="00924D88" w:rsidRDefault="00CF3AC9" w:rsidP="00CF3AC9">
      <w:pPr>
        <w:spacing w:after="0"/>
        <w:jc w:val="both"/>
      </w:pPr>
      <w:r w:rsidRPr="00924D88">
        <w:rPr>
          <w:noProof/>
        </w:rPr>
        <w:drawing>
          <wp:inline distT="0" distB="0" distL="0" distR="0" wp14:anchorId="219D5573" wp14:editId="2BE3D1D4">
            <wp:extent cx="5760720" cy="2128520"/>
            <wp:effectExtent l="0" t="0" r="0" b="5080"/>
            <wp:docPr id="16997793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20F39" w14:textId="428273B2" w:rsidR="00CF3AC9" w:rsidRDefault="00CF3AC9" w:rsidP="00CF3AC9">
      <w:pPr>
        <w:rPr>
          <w:i/>
          <w:iCs/>
          <w:sz w:val="18"/>
          <w:szCs w:val="18"/>
        </w:rPr>
      </w:pPr>
      <w:r w:rsidRPr="00924D88">
        <w:rPr>
          <w:i/>
          <w:iCs/>
          <w:sz w:val="18"/>
          <w:szCs w:val="18"/>
        </w:rPr>
        <w:t>Sources: Impact of a second opinion on the costs of treating lumbar pathologies</w:t>
      </w:r>
    </w:p>
    <w:p w14:paraId="53BB184F" w14:textId="77777777" w:rsidR="00CF3AC9" w:rsidRPr="00924D88" w:rsidRDefault="00CF3AC9" w:rsidP="00CF3AC9">
      <w:pPr>
        <w:spacing w:after="120"/>
        <w:rPr>
          <w:sz w:val="20"/>
          <w:szCs w:val="20"/>
        </w:rPr>
      </w:pPr>
      <w:r w:rsidRPr="00924D88">
        <w:rPr>
          <w:sz w:val="20"/>
          <w:szCs w:val="20"/>
        </w:rPr>
        <w:t>Table 3: Calculations of sick leave costs</w:t>
      </w:r>
    </w:p>
    <w:p w14:paraId="4BA065C4" w14:textId="77777777" w:rsidR="00CF3AC9" w:rsidRPr="00924D88" w:rsidRDefault="00CF3AC9" w:rsidP="00CF3AC9">
      <w:pPr>
        <w:spacing w:after="0"/>
        <w:jc w:val="center"/>
      </w:pPr>
      <w:r w:rsidRPr="00924D88">
        <w:rPr>
          <w:noProof/>
        </w:rPr>
        <w:drawing>
          <wp:inline distT="0" distB="0" distL="0" distR="0" wp14:anchorId="4EA66939" wp14:editId="611F9801">
            <wp:extent cx="6080041" cy="2410704"/>
            <wp:effectExtent l="0" t="0" r="0" b="8890"/>
            <wp:docPr id="115137516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038" cy="2413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CEC96" w14:textId="77777777" w:rsidR="00CF3AC9" w:rsidRPr="00924D88" w:rsidRDefault="00CF3AC9" w:rsidP="00CF3AC9">
      <w:pPr>
        <w:spacing w:after="120"/>
        <w:jc w:val="both"/>
        <w:rPr>
          <w:i/>
          <w:iCs/>
          <w:sz w:val="18"/>
          <w:szCs w:val="18"/>
        </w:rPr>
      </w:pPr>
      <w:bookmarkStart w:id="1" w:name="_Hlk193719573"/>
      <w:r w:rsidRPr="00924D88">
        <w:rPr>
          <w:i/>
          <w:iCs/>
          <w:sz w:val="18"/>
          <w:szCs w:val="18"/>
        </w:rPr>
        <w:lastRenderedPageBreak/>
        <w:t>Sources: Impact of a second opinion on the costs of treating lumbar pathologies</w:t>
      </w:r>
    </w:p>
    <w:bookmarkEnd w:id="1"/>
    <w:p w14:paraId="64BD3545" w14:textId="77777777" w:rsidR="00CF3AC9" w:rsidRPr="00924D88" w:rsidRDefault="00CF3AC9" w:rsidP="00CF3AC9">
      <w:pPr>
        <w:spacing w:after="80"/>
        <w:rPr>
          <w:sz w:val="20"/>
          <w:szCs w:val="20"/>
        </w:rPr>
      </w:pPr>
      <w:r w:rsidRPr="00924D88">
        <w:rPr>
          <w:sz w:val="20"/>
          <w:szCs w:val="20"/>
        </w:rPr>
        <w:t>Table 4: Calculations of sick leave costs</w:t>
      </w:r>
    </w:p>
    <w:p w14:paraId="49B17ECB" w14:textId="77777777" w:rsidR="00CF3AC9" w:rsidRPr="00924D88" w:rsidRDefault="00CF3AC9" w:rsidP="00CF3AC9">
      <w:pPr>
        <w:spacing w:after="0"/>
        <w:jc w:val="center"/>
      </w:pPr>
      <w:r w:rsidRPr="00924D88">
        <w:rPr>
          <w:noProof/>
        </w:rPr>
        <w:drawing>
          <wp:inline distT="0" distB="0" distL="0" distR="0" wp14:anchorId="14175893" wp14:editId="5EADBCB1">
            <wp:extent cx="5760720" cy="2700655"/>
            <wp:effectExtent l="0" t="0" r="0" b="4445"/>
            <wp:docPr id="83242639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A0CB6" w14:textId="77777777" w:rsidR="00CF3AC9" w:rsidRPr="00924D88" w:rsidRDefault="00CF3AC9" w:rsidP="00CF3AC9">
      <w:pPr>
        <w:spacing w:after="0"/>
        <w:jc w:val="both"/>
        <w:rPr>
          <w:i/>
          <w:iCs/>
          <w:sz w:val="18"/>
          <w:szCs w:val="18"/>
        </w:rPr>
      </w:pPr>
      <w:r w:rsidRPr="00924D88">
        <w:rPr>
          <w:i/>
          <w:iCs/>
          <w:sz w:val="18"/>
          <w:szCs w:val="18"/>
        </w:rPr>
        <w:t>Sources: Impact of a second opinion on the costs of treating lumbar pathologies</w:t>
      </w:r>
    </w:p>
    <w:p w14:paraId="5DF3240E" w14:textId="77777777" w:rsidR="00CF3AC9" w:rsidRDefault="00CF3AC9" w:rsidP="00CF3AC9"/>
    <w:p w14:paraId="544087AE" w14:textId="77777777" w:rsidR="00CF3AC9" w:rsidRPr="00924D88" w:rsidRDefault="00CF3AC9" w:rsidP="00CF3AC9">
      <w:pPr>
        <w:spacing w:after="80"/>
        <w:rPr>
          <w:sz w:val="20"/>
          <w:szCs w:val="20"/>
        </w:rPr>
      </w:pPr>
      <w:r w:rsidRPr="00924D88">
        <w:rPr>
          <w:sz w:val="20"/>
          <w:szCs w:val="20"/>
        </w:rPr>
        <w:t>Table 5: Summary of average costs avoided per patient regardless of the converging or diverging opinion of the second opinion (direct medical costs and costs linked to insurance)</w:t>
      </w:r>
    </w:p>
    <w:p w14:paraId="4AA209BC" w14:textId="77777777" w:rsidR="00CF3AC9" w:rsidRPr="00924D88" w:rsidRDefault="00CF3AC9" w:rsidP="00CF3AC9">
      <w:pPr>
        <w:spacing w:after="0"/>
        <w:rPr>
          <w:sz w:val="20"/>
          <w:szCs w:val="20"/>
        </w:rPr>
      </w:pPr>
      <w:r w:rsidRPr="000A529F">
        <w:rPr>
          <w:noProof/>
        </w:rPr>
        <w:drawing>
          <wp:inline distT="0" distB="0" distL="0" distR="0" wp14:anchorId="30FF5D37" wp14:editId="4FA7E517">
            <wp:extent cx="5390515" cy="1310410"/>
            <wp:effectExtent l="0" t="0" r="635" b="4445"/>
            <wp:docPr id="20879938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617" cy="13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C3DE0" w14:textId="77777777" w:rsidR="00CF3AC9" w:rsidRPr="00924D88" w:rsidRDefault="00CF3AC9" w:rsidP="00CF3AC9">
      <w:pPr>
        <w:spacing w:after="0"/>
        <w:rPr>
          <w:i/>
          <w:iCs/>
          <w:sz w:val="18"/>
          <w:szCs w:val="18"/>
        </w:rPr>
      </w:pPr>
      <w:r w:rsidRPr="00924D88">
        <w:rPr>
          <w:i/>
          <w:iCs/>
          <w:sz w:val="18"/>
          <w:szCs w:val="18"/>
        </w:rPr>
        <w:t>Sources: Impact of a second opinion on the costs of treating lumbar pathologies</w:t>
      </w:r>
    </w:p>
    <w:p w14:paraId="7EBE8646" w14:textId="77777777" w:rsidR="00CF3AC9" w:rsidRPr="00924D88" w:rsidRDefault="00CF3AC9" w:rsidP="00CF3AC9">
      <w:pPr>
        <w:jc w:val="both"/>
      </w:pPr>
    </w:p>
    <w:p w14:paraId="6E322BB4" w14:textId="77777777" w:rsidR="00CF3AC9" w:rsidRPr="00924D88" w:rsidRDefault="00CF3AC9" w:rsidP="00CF3AC9">
      <w:pPr>
        <w:spacing w:after="80"/>
        <w:rPr>
          <w:sz w:val="20"/>
          <w:szCs w:val="20"/>
        </w:rPr>
      </w:pPr>
      <w:r w:rsidRPr="00924D88">
        <w:rPr>
          <w:sz w:val="20"/>
          <w:szCs w:val="20"/>
        </w:rPr>
        <w:t>Table 6: Summary of average costs avoided per patient in the event of a divergent opinion (direct medical costs and costs linked to insurance)</w:t>
      </w:r>
    </w:p>
    <w:p w14:paraId="15C39766" w14:textId="77777777" w:rsidR="00CF3AC9" w:rsidRDefault="00CF3AC9" w:rsidP="00CF3AC9">
      <w:pPr>
        <w:spacing w:after="0"/>
        <w:rPr>
          <w:i/>
          <w:iCs/>
          <w:sz w:val="18"/>
          <w:szCs w:val="18"/>
        </w:rPr>
      </w:pPr>
      <w:r w:rsidRPr="0014199B">
        <w:rPr>
          <w:noProof/>
        </w:rPr>
        <w:drawing>
          <wp:inline distT="0" distB="0" distL="0" distR="0" wp14:anchorId="770C8296" wp14:editId="35FAAF87">
            <wp:extent cx="5390515" cy="1108160"/>
            <wp:effectExtent l="0" t="0" r="635" b="0"/>
            <wp:docPr id="176408623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510" cy="1116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3D30A" w14:textId="77777777" w:rsidR="00CF3AC9" w:rsidRPr="00924D88" w:rsidRDefault="00CF3AC9" w:rsidP="00CF3AC9">
      <w:pPr>
        <w:spacing w:after="0"/>
        <w:rPr>
          <w:i/>
          <w:iCs/>
          <w:sz w:val="18"/>
          <w:szCs w:val="18"/>
        </w:rPr>
      </w:pPr>
      <w:r w:rsidRPr="00924D88">
        <w:rPr>
          <w:i/>
          <w:iCs/>
          <w:sz w:val="18"/>
          <w:szCs w:val="18"/>
        </w:rPr>
        <w:t>Sources: Impact of a second opinion on the costs of treating lumbar pathologies</w:t>
      </w:r>
    </w:p>
    <w:p w14:paraId="4113D5D7" w14:textId="77777777" w:rsidR="00CF3AC9" w:rsidRPr="00924D88" w:rsidRDefault="00CF3AC9" w:rsidP="00CF3AC9">
      <w:pPr>
        <w:jc w:val="both"/>
      </w:pPr>
    </w:p>
    <w:p w14:paraId="3E04ABD3" w14:textId="77777777" w:rsidR="00CF3AC9" w:rsidRDefault="00CF3AC9" w:rsidP="00CF3AC9"/>
    <w:sectPr w:rsidR="00CF3A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AC9"/>
    <w:rsid w:val="002A5090"/>
    <w:rsid w:val="003F36CB"/>
    <w:rsid w:val="005C6F5D"/>
    <w:rsid w:val="00654023"/>
    <w:rsid w:val="007620B2"/>
    <w:rsid w:val="00787B7D"/>
    <w:rsid w:val="008C374B"/>
    <w:rsid w:val="00954821"/>
    <w:rsid w:val="00A800EA"/>
    <w:rsid w:val="00AF416B"/>
    <w:rsid w:val="00CF3AC9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1F722"/>
  <w15:chartTrackingRefBased/>
  <w15:docId w15:val="{8A65AE7F-91EE-4ED9-8EF1-8A991AFFE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AC9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3A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A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AC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AC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AC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AC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AC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AC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AC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A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A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A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A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A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A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A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A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A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A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F3A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AC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F3A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AC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F3A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AC9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F3A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A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A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A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883</Characters>
  <Application>Microsoft Office Word</Application>
  <DocSecurity>0</DocSecurity>
  <Lines>7</Lines>
  <Paragraphs>2</Paragraphs>
  <ScaleCrop>false</ScaleCrop>
  <Company>Springer Nature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2025-06-17T10:26:00Z</dcterms:created>
  <dcterms:modified xsi:type="dcterms:W3CDTF">2025-06-17T10:27:00Z</dcterms:modified>
</cp:coreProperties>
</file>