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0BFD559" w14:textId="03DE0DCC" w:rsidR="008A4B9B" w:rsidRPr="00531AD0" w:rsidRDefault="00CE5C37" w:rsidP="00CE5C37">
      <w:pPr>
        <w:pStyle w:val="PaperTitle"/>
        <w:spacing w:before="720" w:after="360" w:line="480" w:lineRule="auto"/>
        <w:rPr>
          <w:bCs w:val="0"/>
          <w:color w:val="000000" w:themeColor="text1"/>
          <w:sz w:val="28"/>
          <w:szCs w:val="24"/>
        </w:rPr>
      </w:pPr>
      <w:r>
        <w:rPr>
          <w:bCs w:val="0"/>
          <w:color w:val="000000" w:themeColor="text1"/>
          <w:sz w:val="28"/>
          <w:szCs w:val="24"/>
        </w:rPr>
        <w:t>Supporting information for:</w:t>
      </w:r>
      <w:r>
        <w:rPr>
          <w:bCs w:val="0"/>
          <w:color w:val="000000" w:themeColor="text1"/>
          <w:sz w:val="28"/>
          <w:szCs w:val="24"/>
        </w:rPr>
        <w:br/>
      </w:r>
      <w:r w:rsidR="00202360" w:rsidRPr="00324181">
        <w:rPr>
          <w:bCs w:val="0"/>
          <w:color w:val="000000" w:themeColor="text1"/>
          <w:sz w:val="28"/>
          <w:szCs w:val="24"/>
        </w:rPr>
        <w:t>Revealing More with Less: Dose Efficiency in Electron Imaging</w:t>
      </w:r>
    </w:p>
    <w:p w14:paraId="03C4EE24" w14:textId="72F4C964" w:rsidR="008A4B9B" w:rsidRPr="00F74830" w:rsidRDefault="00DF2919" w:rsidP="00190B64">
      <w:pPr>
        <w:pStyle w:val="PaperAuthor"/>
        <w:spacing w:line="480" w:lineRule="auto"/>
        <w:rPr>
          <w:i/>
          <w:color w:val="000000" w:themeColor="text1"/>
          <w:sz w:val="24"/>
          <w:szCs w:val="24"/>
        </w:rPr>
      </w:pPr>
      <w:r w:rsidRPr="00F74830">
        <w:rPr>
          <w:i/>
          <w:color w:val="000000" w:themeColor="text1"/>
          <w:sz w:val="24"/>
          <w:szCs w:val="24"/>
        </w:rPr>
        <w:t>Anastasios Pateras,</w:t>
      </w:r>
      <w:r w:rsidR="00974740" w:rsidRPr="00F74830">
        <w:rPr>
          <w:i/>
          <w:color w:val="000000" w:themeColor="text1"/>
          <w:sz w:val="24"/>
          <w:szCs w:val="24"/>
          <w:vertAlign w:val="superscript"/>
        </w:rPr>
        <w:t>1,</w:t>
      </w:r>
      <w:r w:rsidR="00D328E4" w:rsidRPr="00F74830">
        <w:rPr>
          <w:rFonts w:cs="Times New Roman"/>
          <w:i/>
          <w:color w:val="000000" w:themeColor="text1"/>
          <w:sz w:val="24"/>
          <w:szCs w:val="24"/>
          <w:vertAlign w:val="superscript"/>
        </w:rPr>
        <w:t xml:space="preserve"> </w:t>
      </w:r>
      <w:r w:rsidR="00D328E4" w:rsidRPr="00F74830">
        <w:rPr>
          <w:iCs/>
          <w:color w:val="000000" w:themeColor="text1"/>
          <w:sz w:val="24"/>
          <w:szCs w:val="24"/>
          <w:vertAlign w:val="superscript"/>
        </w:rPr>
        <w:t>*</w:t>
      </w:r>
      <w:r w:rsidRPr="00F74830">
        <w:rPr>
          <w:i/>
          <w:color w:val="000000" w:themeColor="text1"/>
          <w:sz w:val="24"/>
          <w:szCs w:val="24"/>
        </w:rPr>
        <w:t xml:space="preserve"> </w:t>
      </w:r>
      <w:r w:rsidR="0093435A">
        <w:rPr>
          <w:i/>
          <w:color w:val="000000" w:themeColor="text1"/>
          <w:sz w:val="24"/>
          <w:szCs w:val="24"/>
        </w:rPr>
        <w:t>Luc J. Bourhis,</w:t>
      </w:r>
      <w:r w:rsidR="0093435A" w:rsidRPr="0093435A">
        <w:rPr>
          <w:i/>
          <w:color w:val="000000" w:themeColor="text1"/>
          <w:sz w:val="24"/>
          <w:szCs w:val="24"/>
          <w:vertAlign w:val="superscript"/>
        </w:rPr>
        <w:t>2</w:t>
      </w:r>
      <w:r w:rsidR="00090BB7" w:rsidRPr="00090BB7">
        <w:rPr>
          <w:i/>
          <w:color w:val="000000" w:themeColor="text1"/>
          <w:sz w:val="24"/>
          <w:szCs w:val="24"/>
        </w:rPr>
        <w:t xml:space="preserve"> </w:t>
      </w:r>
      <w:r w:rsidR="000140C9">
        <w:rPr>
          <w:i/>
          <w:color w:val="000000" w:themeColor="text1"/>
          <w:sz w:val="24"/>
          <w:szCs w:val="24"/>
        </w:rPr>
        <w:t>Roger Durst,</w:t>
      </w:r>
      <w:r w:rsidR="000140C9" w:rsidRPr="00FD67B3">
        <w:rPr>
          <w:i/>
          <w:color w:val="000000" w:themeColor="text1"/>
          <w:sz w:val="24"/>
          <w:szCs w:val="24"/>
          <w:vertAlign w:val="superscript"/>
        </w:rPr>
        <w:t xml:space="preserve"> </w:t>
      </w:r>
      <w:r w:rsidR="000140C9" w:rsidRPr="0093435A">
        <w:rPr>
          <w:i/>
          <w:color w:val="000000" w:themeColor="text1"/>
          <w:sz w:val="24"/>
          <w:szCs w:val="24"/>
          <w:vertAlign w:val="superscript"/>
        </w:rPr>
        <w:t>3</w:t>
      </w:r>
      <w:r w:rsidR="000140C9">
        <w:rPr>
          <w:i/>
          <w:color w:val="000000" w:themeColor="text1"/>
          <w:sz w:val="24"/>
          <w:szCs w:val="24"/>
        </w:rPr>
        <w:t xml:space="preserve"> </w:t>
      </w:r>
      <w:r w:rsidR="00CD4EE2">
        <w:rPr>
          <w:i/>
          <w:color w:val="000000" w:themeColor="text1"/>
          <w:sz w:val="24"/>
          <w:szCs w:val="24"/>
        </w:rPr>
        <w:t>Niels de Jong</w:t>
      </w:r>
      <w:r w:rsidR="0093435A">
        <w:rPr>
          <w:i/>
          <w:color w:val="000000" w:themeColor="text1"/>
          <w:sz w:val="24"/>
          <w:szCs w:val="24"/>
        </w:rPr>
        <w:t>e</w:t>
      </w:r>
      <w:r w:rsidR="00CD4EE2">
        <w:rPr>
          <w:i/>
          <w:color w:val="000000" w:themeColor="text1"/>
          <w:sz w:val="24"/>
          <w:szCs w:val="24"/>
        </w:rPr>
        <w:t>,</w:t>
      </w:r>
      <w:r w:rsidR="0093435A" w:rsidRPr="0093435A">
        <w:rPr>
          <w:i/>
          <w:color w:val="000000" w:themeColor="text1"/>
          <w:sz w:val="24"/>
          <w:szCs w:val="24"/>
          <w:vertAlign w:val="superscript"/>
        </w:rPr>
        <w:t>3</w:t>
      </w:r>
      <w:r w:rsidR="00CD4EE2">
        <w:rPr>
          <w:i/>
          <w:color w:val="000000" w:themeColor="text1"/>
          <w:sz w:val="24"/>
          <w:szCs w:val="24"/>
        </w:rPr>
        <w:t xml:space="preserve"> </w:t>
      </w:r>
      <w:r w:rsidR="00A34524" w:rsidRPr="00F74830">
        <w:rPr>
          <w:i/>
          <w:color w:val="000000" w:themeColor="text1"/>
          <w:sz w:val="24"/>
          <w:szCs w:val="24"/>
        </w:rPr>
        <w:t xml:space="preserve">and </w:t>
      </w:r>
      <w:r w:rsidR="00974740" w:rsidRPr="00F74830">
        <w:rPr>
          <w:i/>
          <w:color w:val="000000" w:themeColor="text1"/>
          <w:sz w:val="24"/>
          <w:szCs w:val="24"/>
        </w:rPr>
        <w:t>Henry N. Chapman,</w:t>
      </w:r>
      <w:r w:rsidR="00974740" w:rsidRPr="00F74830">
        <w:rPr>
          <w:i/>
          <w:color w:val="000000" w:themeColor="text1"/>
          <w:sz w:val="24"/>
          <w:szCs w:val="24"/>
          <w:vertAlign w:val="superscript"/>
        </w:rPr>
        <w:t>1</w:t>
      </w:r>
      <w:r w:rsidR="0093435A">
        <w:rPr>
          <w:i/>
          <w:color w:val="000000" w:themeColor="text1"/>
          <w:sz w:val="24"/>
          <w:szCs w:val="24"/>
          <w:vertAlign w:val="superscript"/>
        </w:rPr>
        <w:t>, 4 ,5</w:t>
      </w:r>
    </w:p>
    <w:p w14:paraId="6DC6529C" w14:textId="5B43A87D" w:rsidR="00717BB6" w:rsidRPr="00F74830" w:rsidRDefault="00190B64" w:rsidP="00190B64">
      <w:pPr>
        <w:pStyle w:val="AuthorAffiliation"/>
        <w:spacing w:after="240" w:line="480" w:lineRule="auto"/>
        <w:jc w:val="left"/>
        <w:rPr>
          <w:i w:val="0"/>
          <w:iCs w:val="0"/>
          <w:color w:val="000000" w:themeColor="text1"/>
          <w:sz w:val="24"/>
          <w:szCs w:val="24"/>
        </w:rPr>
      </w:pPr>
      <w:r w:rsidRPr="00F74830">
        <w:rPr>
          <w:i w:val="0"/>
          <w:iCs w:val="0"/>
          <w:color w:val="000000" w:themeColor="text1"/>
          <w:sz w:val="24"/>
          <w:szCs w:val="24"/>
          <w:vertAlign w:val="superscript"/>
        </w:rPr>
        <w:t>1</w:t>
      </w:r>
      <w:r w:rsidRPr="00F74830">
        <w:rPr>
          <w:i w:val="0"/>
          <w:iCs w:val="0"/>
          <w:color w:val="000000" w:themeColor="text1"/>
          <w:sz w:val="24"/>
          <w:szCs w:val="24"/>
        </w:rPr>
        <w:t xml:space="preserve">Center for Free-Electron Laser Science CFEL, </w:t>
      </w:r>
      <w:proofErr w:type="spellStart"/>
      <w:r w:rsidRPr="00F74830">
        <w:rPr>
          <w:i w:val="0"/>
          <w:iCs w:val="0"/>
          <w:color w:val="000000" w:themeColor="text1"/>
          <w:sz w:val="24"/>
          <w:szCs w:val="24"/>
        </w:rPr>
        <w:t>Deutsches</w:t>
      </w:r>
      <w:proofErr w:type="spellEnd"/>
      <w:r w:rsidRPr="00F74830">
        <w:rPr>
          <w:i w:val="0"/>
          <w:iCs w:val="0"/>
          <w:color w:val="000000" w:themeColor="text1"/>
          <w:sz w:val="24"/>
          <w:szCs w:val="24"/>
        </w:rPr>
        <w:t xml:space="preserve"> </w:t>
      </w:r>
      <w:proofErr w:type="spellStart"/>
      <w:r w:rsidRPr="00F74830">
        <w:rPr>
          <w:i w:val="0"/>
          <w:iCs w:val="0"/>
          <w:color w:val="000000" w:themeColor="text1"/>
          <w:sz w:val="24"/>
          <w:szCs w:val="24"/>
        </w:rPr>
        <w:t>Elektronen</w:t>
      </w:r>
      <w:proofErr w:type="spellEnd"/>
      <w:r w:rsidRPr="00F74830">
        <w:rPr>
          <w:i w:val="0"/>
          <w:iCs w:val="0"/>
          <w:color w:val="000000" w:themeColor="text1"/>
          <w:sz w:val="24"/>
          <w:szCs w:val="24"/>
        </w:rPr>
        <w:t xml:space="preserve">-Synchrotron DESY, </w:t>
      </w:r>
      <w:proofErr w:type="spellStart"/>
      <w:r w:rsidRPr="00F74830">
        <w:rPr>
          <w:i w:val="0"/>
          <w:iCs w:val="0"/>
          <w:color w:val="000000" w:themeColor="text1"/>
          <w:sz w:val="24"/>
          <w:szCs w:val="24"/>
        </w:rPr>
        <w:t>Notkestrasse</w:t>
      </w:r>
      <w:proofErr w:type="spellEnd"/>
      <w:r w:rsidRPr="00F74830">
        <w:rPr>
          <w:i w:val="0"/>
          <w:iCs w:val="0"/>
          <w:color w:val="000000" w:themeColor="text1"/>
          <w:sz w:val="24"/>
          <w:szCs w:val="24"/>
        </w:rPr>
        <w:t xml:space="preserve"> 85, 22607 Hamburg, Germany</w:t>
      </w:r>
    </w:p>
    <w:p w14:paraId="0C6DC4A1" w14:textId="5EF98888" w:rsidR="0093435A" w:rsidRPr="0093435A" w:rsidRDefault="00717BB6" w:rsidP="00190B64">
      <w:pPr>
        <w:pStyle w:val="AuthorAffiliation"/>
        <w:spacing w:after="240" w:line="480" w:lineRule="auto"/>
        <w:jc w:val="left"/>
        <w:rPr>
          <w:i w:val="0"/>
          <w:iCs w:val="0"/>
          <w:color w:val="000000" w:themeColor="text1"/>
          <w:sz w:val="24"/>
          <w:szCs w:val="24"/>
          <w:vertAlign w:val="superscript"/>
        </w:rPr>
      </w:pPr>
      <w:r w:rsidRPr="00F74830">
        <w:rPr>
          <w:i w:val="0"/>
          <w:iCs w:val="0"/>
          <w:color w:val="000000" w:themeColor="text1"/>
          <w:sz w:val="24"/>
          <w:szCs w:val="24"/>
          <w:vertAlign w:val="superscript"/>
        </w:rPr>
        <w:t>2</w:t>
      </w:r>
      <w:r w:rsidR="0093435A" w:rsidRPr="0093435A">
        <w:rPr>
          <w:i w:val="0"/>
          <w:iCs w:val="0"/>
          <w:color w:val="000000" w:themeColor="text1"/>
          <w:sz w:val="24"/>
          <w:szCs w:val="24"/>
        </w:rPr>
        <w:t>Bruker AXS–SAS, 4 All</w:t>
      </w:r>
      <w:r w:rsidR="0093435A">
        <w:rPr>
          <w:i w:val="0"/>
          <w:iCs w:val="0"/>
          <w:color w:val="000000" w:themeColor="text1"/>
          <w:sz w:val="24"/>
          <w:szCs w:val="24"/>
        </w:rPr>
        <w:t>é</w:t>
      </w:r>
      <w:r w:rsidR="0093435A" w:rsidRPr="0093435A">
        <w:rPr>
          <w:i w:val="0"/>
          <w:iCs w:val="0"/>
          <w:color w:val="000000" w:themeColor="text1"/>
          <w:sz w:val="24"/>
          <w:szCs w:val="24"/>
        </w:rPr>
        <w:t>e Lorentz, 77447 Marne-la-Vall</w:t>
      </w:r>
      <w:r w:rsidR="0093435A">
        <w:rPr>
          <w:i w:val="0"/>
          <w:iCs w:val="0"/>
          <w:color w:val="000000" w:themeColor="text1"/>
          <w:sz w:val="24"/>
          <w:szCs w:val="24"/>
        </w:rPr>
        <w:t>é</w:t>
      </w:r>
      <w:r w:rsidR="0093435A" w:rsidRPr="0093435A">
        <w:rPr>
          <w:i w:val="0"/>
          <w:iCs w:val="0"/>
          <w:color w:val="000000" w:themeColor="text1"/>
          <w:sz w:val="24"/>
          <w:szCs w:val="24"/>
        </w:rPr>
        <w:t xml:space="preserve">e </w:t>
      </w:r>
      <w:proofErr w:type="spellStart"/>
      <w:r w:rsidR="0093435A" w:rsidRPr="0093435A">
        <w:rPr>
          <w:i w:val="0"/>
          <w:iCs w:val="0"/>
          <w:color w:val="000000" w:themeColor="text1"/>
          <w:sz w:val="24"/>
          <w:szCs w:val="24"/>
        </w:rPr>
        <w:t>cedex</w:t>
      </w:r>
      <w:proofErr w:type="spellEnd"/>
      <w:r w:rsidR="0093435A" w:rsidRPr="0093435A">
        <w:rPr>
          <w:i w:val="0"/>
          <w:iCs w:val="0"/>
          <w:color w:val="000000" w:themeColor="text1"/>
          <w:sz w:val="24"/>
          <w:szCs w:val="24"/>
        </w:rPr>
        <w:t xml:space="preserve"> 2, France </w:t>
      </w:r>
    </w:p>
    <w:p w14:paraId="500079D2" w14:textId="3E072AF7" w:rsidR="0093435A" w:rsidRPr="00D04941" w:rsidRDefault="0093435A" w:rsidP="00190B64">
      <w:pPr>
        <w:pStyle w:val="AuthorAffiliation"/>
        <w:spacing w:after="240" w:line="480" w:lineRule="auto"/>
        <w:jc w:val="left"/>
        <w:rPr>
          <w:i w:val="0"/>
          <w:iCs w:val="0"/>
          <w:color w:val="000000" w:themeColor="text1"/>
          <w:sz w:val="24"/>
          <w:szCs w:val="24"/>
          <w:lang w:val="de-DE"/>
        </w:rPr>
      </w:pPr>
      <w:r w:rsidRPr="00D04941">
        <w:rPr>
          <w:i w:val="0"/>
          <w:iCs w:val="0"/>
          <w:color w:val="000000" w:themeColor="text1"/>
          <w:sz w:val="24"/>
          <w:szCs w:val="24"/>
          <w:vertAlign w:val="superscript"/>
          <w:lang w:val="de-DE"/>
        </w:rPr>
        <w:t>3</w:t>
      </w:r>
      <w:r w:rsidR="00D04941" w:rsidRPr="00D04941">
        <w:rPr>
          <w:i w:val="0"/>
          <w:iCs w:val="0"/>
          <w:color w:val="000000" w:themeColor="text1"/>
          <w:sz w:val="24"/>
          <w:szCs w:val="24"/>
          <w:lang w:val="de-DE"/>
        </w:rPr>
        <w:t xml:space="preserve">Bruker AXS GmbH, </w:t>
      </w:r>
      <w:r w:rsidR="0075717B">
        <w:rPr>
          <w:i w:val="0"/>
          <w:iCs w:val="0"/>
          <w:color w:val="000000" w:themeColor="text1"/>
          <w:sz w:val="24"/>
          <w:szCs w:val="24"/>
          <w:lang w:val="de-DE"/>
        </w:rPr>
        <w:t>Ö</w:t>
      </w:r>
      <w:r w:rsidR="00D04941" w:rsidRPr="00D04941">
        <w:rPr>
          <w:i w:val="0"/>
          <w:iCs w:val="0"/>
          <w:color w:val="000000" w:themeColor="text1"/>
          <w:sz w:val="24"/>
          <w:szCs w:val="24"/>
          <w:lang w:val="de-DE"/>
        </w:rPr>
        <w:t xml:space="preserve">stliche </w:t>
      </w:r>
      <w:proofErr w:type="spellStart"/>
      <w:r w:rsidR="00D04941" w:rsidRPr="00D04941">
        <w:rPr>
          <w:i w:val="0"/>
          <w:iCs w:val="0"/>
          <w:color w:val="000000" w:themeColor="text1"/>
          <w:sz w:val="24"/>
          <w:szCs w:val="24"/>
          <w:lang w:val="de-DE"/>
        </w:rPr>
        <w:t>Rheinbr</w:t>
      </w:r>
      <w:r w:rsidR="0075717B">
        <w:rPr>
          <w:i w:val="0"/>
          <w:iCs w:val="0"/>
          <w:color w:val="000000" w:themeColor="text1"/>
          <w:sz w:val="24"/>
          <w:szCs w:val="24"/>
          <w:lang w:val="de-DE"/>
        </w:rPr>
        <w:t>ü</w:t>
      </w:r>
      <w:r w:rsidR="00D04941" w:rsidRPr="00D04941">
        <w:rPr>
          <w:i w:val="0"/>
          <w:iCs w:val="0"/>
          <w:color w:val="000000" w:themeColor="text1"/>
          <w:sz w:val="24"/>
          <w:szCs w:val="24"/>
          <w:lang w:val="de-DE"/>
        </w:rPr>
        <w:t>ckenstrasse</w:t>
      </w:r>
      <w:proofErr w:type="spellEnd"/>
      <w:r w:rsidR="00D04941" w:rsidRPr="00D04941">
        <w:rPr>
          <w:i w:val="0"/>
          <w:iCs w:val="0"/>
          <w:color w:val="000000" w:themeColor="text1"/>
          <w:sz w:val="24"/>
          <w:szCs w:val="24"/>
          <w:lang w:val="de-DE"/>
        </w:rPr>
        <w:t xml:space="preserve"> 49, 76187 Karlsruhe</w:t>
      </w:r>
      <w:r w:rsidR="00D04941">
        <w:rPr>
          <w:i w:val="0"/>
          <w:iCs w:val="0"/>
          <w:color w:val="000000" w:themeColor="text1"/>
          <w:sz w:val="24"/>
          <w:szCs w:val="24"/>
          <w:lang w:val="de-DE"/>
        </w:rPr>
        <w:t>,</w:t>
      </w:r>
      <w:r w:rsidR="00D04941" w:rsidRPr="00D04941">
        <w:rPr>
          <w:i w:val="0"/>
          <w:iCs w:val="0"/>
          <w:color w:val="000000" w:themeColor="text1"/>
          <w:sz w:val="24"/>
          <w:szCs w:val="24"/>
          <w:lang w:val="de-DE"/>
        </w:rPr>
        <w:t xml:space="preserve"> Germany</w:t>
      </w:r>
    </w:p>
    <w:p w14:paraId="6E13783F" w14:textId="71663192" w:rsidR="00717BB6" w:rsidRPr="00F74830" w:rsidRDefault="0093435A" w:rsidP="00190B64">
      <w:pPr>
        <w:pStyle w:val="AuthorAffiliation"/>
        <w:spacing w:after="240" w:line="480" w:lineRule="auto"/>
        <w:jc w:val="left"/>
        <w:rPr>
          <w:i w:val="0"/>
          <w:iCs w:val="0"/>
          <w:color w:val="000000" w:themeColor="text1"/>
          <w:sz w:val="24"/>
          <w:szCs w:val="24"/>
        </w:rPr>
      </w:pPr>
      <w:r>
        <w:rPr>
          <w:i w:val="0"/>
          <w:iCs w:val="0"/>
          <w:color w:val="000000" w:themeColor="text1"/>
          <w:sz w:val="24"/>
          <w:szCs w:val="24"/>
          <w:vertAlign w:val="superscript"/>
        </w:rPr>
        <w:t>4</w:t>
      </w:r>
      <w:r w:rsidR="00190B64" w:rsidRPr="00F74830">
        <w:rPr>
          <w:i w:val="0"/>
          <w:iCs w:val="0"/>
          <w:color w:val="000000" w:themeColor="text1"/>
          <w:sz w:val="24"/>
          <w:szCs w:val="24"/>
        </w:rPr>
        <w:t xml:space="preserve">Department of Physics, Universität Hamburg, </w:t>
      </w:r>
      <w:proofErr w:type="spellStart"/>
      <w:r w:rsidR="00190B64" w:rsidRPr="00F74830">
        <w:rPr>
          <w:i w:val="0"/>
          <w:iCs w:val="0"/>
          <w:color w:val="000000" w:themeColor="text1"/>
          <w:sz w:val="24"/>
          <w:szCs w:val="24"/>
        </w:rPr>
        <w:t>Luruper</w:t>
      </w:r>
      <w:proofErr w:type="spellEnd"/>
      <w:r w:rsidR="00190B64" w:rsidRPr="00F74830">
        <w:rPr>
          <w:i w:val="0"/>
          <w:iCs w:val="0"/>
          <w:color w:val="000000" w:themeColor="text1"/>
          <w:sz w:val="24"/>
          <w:szCs w:val="24"/>
        </w:rPr>
        <w:t xml:space="preserve"> Chaussee 149, 22761 Hamburg, Germany</w:t>
      </w:r>
    </w:p>
    <w:p w14:paraId="7CBFB37F" w14:textId="2C8BE98D" w:rsidR="00425BE7" w:rsidRPr="00F74830" w:rsidRDefault="0093435A" w:rsidP="00190B64">
      <w:pPr>
        <w:pStyle w:val="AuthorAffiliation"/>
        <w:spacing w:after="240" w:line="480" w:lineRule="auto"/>
        <w:jc w:val="left"/>
        <w:rPr>
          <w:i w:val="0"/>
          <w:iCs w:val="0"/>
          <w:color w:val="000000" w:themeColor="text1"/>
          <w:sz w:val="24"/>
          <w:szCs w:val="24"/>
        </w:rPr>
      </w:pPr>
      <w:r>
        <w:rPr>
          <w:i w:val="0"/>
          <w:iCs w:val="0"/>
          <w:color w:val="000000" w:themeColor="text1"/>
          <w:sz w:val="24"/>
          <w:szCs w:val="24"/>
          <w:vertAlign w:val="superscript"/>
        </w:rPr>
        <w:t>5</w:t>
      </w:r>
      <w:r w:rsidR="00190B64" w:rsidRPr="00F74830">
        <w:rPr>
          <w:i w:val="0"/>
          <w:iCs w:val="0"/>
          <w:color w:val="000000" w:themeColor="text1"/>
          <w:sz w:val="24"/>
          <w:szCs w:val="24"/>
        </w:rPr>
        <w:t xml:space="preserve">The Hamburg Centre for Ultrafast Imaging, </w:t>
      </w:r>
      <w:proofErr w:type="spellStart"/>
      <w:r w:rsidR="00190B64" w:rsidRPr="00F74830">
        <w:rPr>
          <w:i w:val="0"/>
          <w:iCs w:val="0"/>
          <w:color w:val="000000" w:themeColor="text1"/>
          <w:sz w:val="24"/>
          <w:szCs w:val="24"/>
        </w:rPr>
        <w:t>Luruper</w:t>
      </w:r>
      <w:proofErr w:type="spellEnd"/>
      <w:r w:rsidR="00190B64" w:rsidRPr="00F74830">
        <w:rPr>
          <w:i w:val="0"/>
          <w:iCs w:val="0"/>
          <w:color w:val="000000" w:themeColor="text1"/>
          <w:sz w:val="24"/>
          <w:szCs w:val="24"/>
        </w:rPr>
        <w:t xml:space="preserve"> Chaussee 149, 22761 Hamburg, Germany</w:t>
      </w:r>
    </w:p>
    <w:p w14:paraId="4CEA19D4" w14:textId="2E83367E" w:rsidR="008A4B9B" w:rsidRPr="00F74830" w:rsidRDefault="00F26098">
      <w:pPr>
        <w:pStyle w:val="BDAbstract"/>
        <w:jc w:val="left"/>
        <w:rPr>
          <w:color w:val="000000" w:themeColor="text1"/>
        </w:rPr>
      </w:pPr>
      <w:r w:rsidRPr="00F74830">
        <w:rPr>
          <w:color w:val="000000" w:themeColor="text1"/>
        </w:rPr>
        <w:t xml:space="preserve">KEYWORDS: </w:t>
      </w:r>
      <w:r w:rsidR="00717BB6" w:rsidRPr="00F74830">
        <w:rPr>
          <w:color w:val="000000" w:themeColor="text1"/>
        </w:rPr>
        <w:t>electron dose, coherent electron diffracti</w:t>
      </w:r>
      <w:r w:rsidR="00BF33D1">
        <w:rPr>
          <w:color w:val="000000" w:themeColor="text1"/>
        </w:rPr>
        <w:t>ve</w:t>
      </w:r>
      <w:r w:rsidR="00717BB6" w:rsidRPr="00F74830">
        <w:rPr>
          <w:color w:val="000000" w:themeColor="text1"/>
        </w:rPr>
        <w:t xml:space="preserve"> imaging, electron ptychography</w:t>
      </w:r>
      <w:r w:rsidR="00BF33D1">
        <w:rPr>
          <w:color w:val="000000" w:themeColor="text1"/>
        </w:rPr>
        <w:t>, phase-retrieval, high-resolution transmission electron microscopy</w:t>
      </w:r>
      <w:r w:rsidRPr="00F74830">
        <w:rPr>
          <w:color w:val="000000" w:themeColor="text1"/>
        </w:rPr>
        <w:t>.</w:t>
      </w:r>
    </w:p>
    <w:p w14:paraId="3A04607D" w14:textId="1121AC65" w:rsidR="00C72F57" w:rsidRPr="00F74830" w:rsidRDefault="00C6523C" w:rsidP="00C6523C">
      <w:pPr>
        <w:rPr>
          <w:rFonts w:cs="Arial Unicode MS"/>
          <w:color w:val="000000" w:themeColor="text1"/>
          <w:sz w:val="18"/>
          <w:szCs w:val="18"/>
          <w:u w:color="000000"/>
        </w:rPr>
      </w:pPr>
      <w:r w:rsidRPr="00F74830">
        <w:rPr>
          <w:color w:val="000000" w:themeColor="text1"/>
        </w:rPr>
        <w:br w:type="page"/>
      </w:r>
    </w:p>
    <w:p w14:paraId="6C4A7613" w14:textId="1ABAE5D6" w:rsidR="00CE5C37" w:rsidRPr="00CE5C37" w:rsidRDefault="00CE5C37" w:rsidP="00CE5C37">
      <w:pPr>
        <w:pStyle w:val="Paragraph"/>
        <w:numPr>
          <w:ilvl w:val="0"/>
          <w:numId w:val="4"/>
        </w:numPr>
        <w:spacing w:line="480" w:lineRule="auto"/>
        <w:jc w:val="left"/>
        <w:rPr>
          <w:b/>
          <w:bCs/>
          <w:color w:val="000000" w:themeColor="text1"/>
          <w:sz w:val="24"/>
          <w:szCs w:val="24"/>
        </w:rPr>
      </w:pPr>
      <w:r>
        <w:rPr>
          <w:b/>
          <w:bCs/>
          <w:color w:val="000000" w:themeColor="text1"/>
          <w:sz w:val="24"/>
          <w:szCs w:val="24"/>
        </w:rPr>
        <w:lastRenderedPageBreak/>
        <w:t xml:space="preserve">Dose </w:t>
      </w:r>
      <w:r w:rsidR="00EA5E82">
        <w:rPr>
          <w:b/>
          <w:bCs/>
          <w:color w:val="000000" w:themeColor="text1"/>
          <w:sz w:val="24"/>
          <w:szCs w:val="24"/>
        </w:rPr>
        <w:t>considerations</w:t>
      </w:r>
      <w:r>
        <w:rPr>
          <w:b/>
          <w:bCs/>
          <w:color w:val="000000" w:themeColor="text1"/>
          <w:sz w:val="24"/>
          <w:szCs w:val="24"/>
        </w:rPr>
        <w:t xml:space="preserve"> due to overlapping</w:t>
      </w:r>
    </w:p>
    <w:p w14:paraId="3688AB92" w14:textId="77777777" w:rsidR="002A2D2E" w:rsidRDefault="00620BFD" w:rsidP="001F166E">
      <w:pPr>
        <w:spacing w:line="480" w:lineRule="auto"/>
        <w:ind w:firstLine="284"/>
        <w:jc w:val="both"/>
      </w:pPr>
      <w:r>
        <w:rPr>
          <w:color w:val="000000" w:themeColor="text1"/>
        </w:rPr>
        <w:t>In this section we will estimate how scanning the sample over overlapping areas with a focused nanobeam affects the total number of electrons scattered by the samp</w:t>
      </w:r>
      <w:r w:rsidR="005B2AC3">
        <w:rPr>
          <w:color w:val="000000" w:themeColor="text1"/>
        </w:rPr>
        <w:t>le</w:t>
      </w:r>
      <w:r>
        <w:rPr>
          <w:color w:val="000000" w:themeColor="text1"/>
        </w:rPr>
        <w:t xml:space="preserve"> and contributing to its gradual degradation due to the radiation damage phenomena discussed in the </w:t>
      </w:r>
      <w:r w:rsidR="00083873">
        <w:rPr>
          <w:color w:val="000000" w:themeColor="text1"/>
        </w:rPr>
        <w:t>main text</w:t>
      </w:r>
      <w:r>
        <w:rPr>
          <w:color w:val="000000" w:themeColor="text1"/>
        </w:rPr>
        <w:t xml:space="preserve"> of this manuscript. </w:t>
      </w:r>
      <w:r w:rsidR="005B2AC3">
        <w:rPr>
          <w:color w:val="000000" w:themeColor="text1"/>
        </w:rPr>
        <w:t xml:space="preserve">The work of </w:t>
      </w:r>
      <w:r w:rsidR="005B2AC3" w:rsidRPr="00FF266E">
        <w:t>Vijayakumar</w:t>
      </w:r>
      <w:r w:rsidR="005B2AC3">
        <w:t xml:space="preserve"> et al. has already provided a quantitative answer assuming the beam shape is a disk with the intensity distribution fully homogenous over its entire area</w:t>
      </w:r>
      <w:r w:rsidR="005B2AC3">
        <w:fldChar w:fldCharType="begin"/>
      </w:r>
      <w:r w:rsidR="005B2AC3">
        <w:instrText xml:space="preserve"> ADDIN ZOTERO_ITEM CSL_CITATION {"citationID":"MwxPQmM8","properties":{"formattedCitation":"\\uc0\\u160{}[1]","plainCitation":" [1]","noteIndex":0},"citationItems":[{"id":1788,"uris":["http://zotero.org/users/6187821/items/ARAMFBJ6"],"itemData":{"id":1788,"type":"article-journal","abstract":"Spectro-ptychography offers improved spatial resolution and additional phase spectral information relative to that provided by scanning transmission X-ray microscopes. However, carrying out ptychography at the lower range of soft X-ray energies (\n              e.g.\n              below 200 eV to 600 eV) on samples with weakly scattering signals can be challenging. Here, results of soft X-ray spectro-ptychography at energies as low as 180 eV are presented, and its capabilities are illustrated with results from permalloy nanorods (Fe 2\n              p\n              ), carbon nanotubes (C 1\n              s\n              ) and boron nitride bamboo nanostructures (B 1\n              s\n              , N 1\n              s\n              ). The optimization of low-energy X-ray spectro-ptychography is described and important challenges associated with measurement approaches, reconstruction algorithms and their effects on the reconstructed images are discussed. A method for evaluating the increase in radiation dose when using overlapping sampling is presented.","container-title":"Journal of Synchrotron Radiation","DOI":"10.1107/S1600577523003399","ISSN":"1600-5775","issue":"4","journalAbbreviation":"J Synchrotron Rad","language":"en","source":"DOI.org (Crossref)","title":"Soft X-ray spectro-ptychography of boron nitride nanobamboos, carbon nanotubes and permalloy nanorods","URL":"https://scripts.iucr.org/cgi-bin/paper?S1600577523003399","volume":"30","author":[{"family":"Vijayakumar","given":"Jaianth"},{"family":"Yuan","given":"Hao"},{"family":"Mille","given":"Nicolas"},{"family":"Stanescu","given":"Stefan"},{"family":"Swaraj","given":"Sufal"},{"family":"Favre-Nicolin","given":"Vincent"},{"family":"Najafi","given":"Ebrahim"},{"family":"Hitchcock","given":"Adam P."},{"family":"Belkhou","given":"Rachid"}],"accessed":{"date-parts":[["2023",6,12]]},"issued":{"date-parts":[["2023",7,1]]}}}],"schema":"https://github.com/citation-style-language/schema/raw/master/csl-citation.json"} </w:instrText>
      </w:r>
      <w:r w:rsidR="005B2AC3">
        <w:fldChar w:fldCharType="separate"/>
      </w:r>
      <w:r w:rsidR="005B2AC3" w:rsidRPr="005B2AC3">
        <w:t> [1]</w:t>
      </w:r>
      <w:r w:rsidR="005B2AC3">
        <w:fldChar w:fldCharType="end"/>
      </w:r>
      <w:r w:rsidR="005B2AC3">
        <w:t xml:space="preserve">. Using simple geometric considerations, they showed that the total deposited dose </w:t>
      </w:r>
      <w:r w:rsidR="0003381B">
        <w:t xml:space="preserve">with respect to a single illumination </w:t>
      </w:r>
      <w:r w:rsidR="005B2AC3">
        <w:t xml:space="preserve">as a function of the beam overlap can be calculated with the use of a </w:t>
      </w:r>
      <w:r w:rsidR="00AB7276">
        <w:t xml:space="preserve">finite </w:t>
      </w:r>
      <w:r w:rsidR="005B2AC3">
        <w:t>series</w:t>
      </w:r>
      <w:r w:rsidR="00AB7276">
        <w:t xml:space="preserve"> over all the </w:t>
      </w:r>
      <w:r w:rsidR="0003381B">
        <w:t xml:space="preserve">ptychography </w:t>
      </w:r>
      <w:r w:rsidR="00AB7276">
        <w:t xml:space="preserve">scan positions. </w:t>
      </w:r>
    </w:p>
    <w:p w14:paraId="27DB3041" w14:textId="6CCAAE2B" w:rsidR="001F166E" w:rsidRPr="001F166E" w:rsidRDefault="00083873" w:rsidP="001F166E">
      <w:pPr>
        <w:spacing w:line="480" w:lineRule="auto"/>
        <w:ind w:firstLine="284"/>
        <w:jc w:val="both"/>
      </w:pPr>
      <w:r>
        <w:t xml:space="preserve">We show below that by considering a square beam surface and the ratio of the area of the disk over the area of </w:t>
      </w:r>
      <w:r w:rsidR="002A2D2E">
        <w:t>its</w:t>
      </w:r>
      <w:r>
        <w:t xml:space="preserve"> corresponding enclosing square </w:t>
      </w:r>
      <w:r w:rsidR="002A2D2E">
        <w:t xml:space="preserve">we obtain identical results with the use of the simple </w:t>
      </w:r>
      <w:r w:rsidR="002A2D2E" w:rsidRPr="002A2D2E">
        <w:rPr>
          <w:b/>
          <w:bCs/>
        </w:rPr>
        <w:t>Eq. (S6)</w:t>
      </w:r>
      <w:r w:rsidR="002A2D2E">
        <w:t xml:space="preserve"> instead of calculating a finite series.</w:t>
      </w:r>
    </w:p>
    <w:p w14:paraId="318041A0" w14:textId="5E256800" w:rsidR="0003381B" w:rsidRDefault="006618EC" w:rsidP="00CE5C37">
      <w:pPr>
        <w:pStyle w:val="FigureCaption"/>
        <w:rPr>
          <w:b/>
          <w:bCs/>
          <w:color w:val="000000" w:themeColor="text1"/>
          <w:sz w:val="22"/>
          <w:szCs w:val="22"/>
        </w:rPr>
      </w:pPr>
      <w:r>
        <w:rPr>
          <w:b/>
          <w:bCs/>
          <w:noProof/>
          <w:color w:val="000000" w:themeColor="text1"/>
          <w:sz w:val="22"/>
          <w:szCs w:val="22"/>
        </w:rPr>
        <w:drawing>
          <wp:inline distT="0" distB="0" distL="0" distR="0" wp14:anchorId="5C13A1A6" wp14:editId="7B28060A">
            <wp:extent cx="5943600" cy="1624965"/>
            <wp:effectExtent l="0" t="0" r="0" b="635"/>
            <wp:docPr id="930828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28880" name="Picture 93082888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624965"/>
                    </a:xfrm>
                    <a:prstGeom prst="rect">
                      <a:avLst/>
                    </a:prstGeom>
                  </pic:spPr>
                </pic:pic>
              </a:graphicData>
            </a:graphic>
          </wp:inline>
        </w:drawing>
      </w:r>
    </w:p>
    <w:p w14:paraId="77C8F11D" w14:textId="77777777" w:rsidR="0003381B" w:rsidRPr="0003381B" w:rsidRDefault="0003381B" w:rsidP="006618EC">
      <w:pPr>
        <w:pStyle w:val="Paragraph"/>
        <w:ind w:firstLine="0"/>
      </w:pPr>
    </w:p>
    <w:p w14:paraId="610E0999" w14:textId="1148E5E2" w:rsidR="00CE5C37" w:rsidRPr="00CE5C37" w:rsidRDefault="00CE5C37" w:rsidP="00CE5C37">
      <w:pPr>
        <w:pStyle w:val="FigureCaption"/>
        <w:rPr>
          <w:color w:val="000000" w:themeColor="text1"/>
          <w:sz w:val="22"/>
          <w:szCs w:val="22"/>
        </w:rPr>
      </w:pPr>
      <w:r w:rsidRPr="00CE5C37">
        <w:rPr>
          <w:b/>
          <w:bCs/>
          <w:color w:val="000000" w:themeColor="text1"/>
          <w:sz w:val="22"/>
          <w:szCs w:val="22"/>
        </w:rPr>
        <w:t xml:space="preserve">Figure </w:t>
      </w:r>
      <w:r>
        <w:rPr>
          <w:b/>
          <w:bCs/>
          <w:color w:val="000000" w:themeColor="text1"/>
          <w:sz w:val="22"/>
          <w:szCs w:val="22"/>
        </w:rPr>
        <w:t>S1</w:t>
      </w:r>
      <w:r w:rsidRPr="00CE5C37">
        <w:rPr>
          <w:b/>
          <w:bCs/>
          <w:color w:val="000000" w:themeColor="text1"/>
          <w:sz w:val="22"/>
          <w:szCs w:val="22"/>
        </w:rPr>
        <w:t>.</w:t>
      </w:r>
      <w:r w:rsidRPr="00CE5C37">
        <w:rPr>
          <w:color w:val="000000" w:themeColor="text1"/>
          <w:sz w:val="22"/>
          <w:szCs w:val="22"/>
        </w:rPr>
        <w:t xml:space="preserve"> a) </w:t>
      </w:r>
      <w:r w:rsidR="00D60BFA" w:rsidRPr="00D60BFA">
        <w:rPr>
          <w:color w:val="000000" w:themeColor="text1"/>
          <w:sz w:val="22"/>
          <w:szCs w:val="22"/>
        </w:rPr>
        <w:t>Schematic</w:t>
      </w:r>
      <w:r w:rsidR="00D60BFA">
        <w:rPr>
          <w:color w:val="000000" w:themeColor="text1"/>
          <w:sz w:val="22"/>
          <w:szCs w:val="22"/>
        </w:rPr>
        <w:t xml:space="preserve"> of two overlapping disks of radius R. The area between the two intersecting circles is colored green and corresponds to the areas that are illuminated more than once during a ptychography scan.</w:t>
      </w:r>
      <w:r w:rsidRPr="00CE5C37">
        <w:rPr>
          <w:color w:val="000000" w:themeColor="text1"/>
          <w:sz w:val="22"/>
          <w:szCs w:val="22"/>
        </w:rPr>
        <w:t xml:space="preserve"> b) </w:t>
      </w:r>
      <w:r w:rsidR="00C01630">
        <w:rPr>
          <w:color w:val="000000" w:themeColor="text1"/>
          <w:sz w:val="22"/>
          <w:szCs w:val="22"/>
        </w:rPr>
        <w:t xml:space="preserve">Scanning with a square beam and an overlap of 50% over a </w:t>
      </w:r>
      <w:r w:rsidR="006E3F18">
        <w:rPr>
          <w:color w:val="000000" w:themeColor="text1"/>
          <w:sz w:val="22"/>
          <w:szCs w:val="22"/>
        </w:rPr>
        <w:t>33 grid</w:t>
      </w:r>
      <w:r w:rsidRPr="00CE5C37">
        <w:rPr>
          <w:color w:val="000000" w:themeColor="text1"/>
          <w:sz w:val="22"/>
          <w:szCs w:val="22"/>
        </w:rPr>
        <w:t>. c)</w:t>
      </w:r>
      <w:r w:rsidR="00C01630">
        <w:rPr>
          <w:color w:val="000000" w:themeColor="text1"/>
          <w:sz w:val="22"/>
          <w:szCs w:val="22"/>
        </w:rPr>
        <w:t xml:space="preserve"> Scanning with a square beam and an overlap of 2/3 </w:t>
      </w:r>
      <m:oMath>
        <m:r>
          <w:rPr>
            <w:rFonts w:ascii="Cambria Math" w:hAnsi="Cambria Math"/>
            <w:color w:val="000000" w:themeColor="text1"/>
          </w:rPr>
          <m:t>≈</m:t>
        </m:r>
      </m:oMath>
      <w:r w:rsidR="00C01630">
        <w:rPr>
          <w:color w:val="000000" w:themeColor="text1"/>
        </w:rPr>
        <w:t xml:space="preserve"> </w:t>
      </w:r>
      <w:r w:rsidR="00C01630">
        <w:rPr>
          <w:color w:val="000000" w:themeColor="text1"/>
          <w:sz w:val="22"/>
          <w:szCs w:val="22"/>
        </w:rPr>
        <w:t>67%.</w:t>
      </w:r>
    </w:p>
    <w:p w14:paraId="2399DF08" w14:textId="77777777" w:rsidR="00CE5C37" w:rsidRDefault="00CE5C37" w:rsidP="00CE5C37">
      <w:pPr>
        <w:spacing w:line="480" w:lineRule="auto"/>
        <w:ind w:firstLine="284"/>
        <w:jc w:val="center"/>
        <w:rPr>
          <w:color w:val="000000" w:themeColor="text1"/>
        </w:rPr>
      </w:pPr>
    </w:p>
    <w:p w14:paraId="561BCA5A" w14:textId="4BC67A24" w:rsidR="001F166E" w:rsidRDefault="001F166E" w:rsidP="001F166E">
      <w:pPr>
        <w:spacing w:line="480" w:lineRule="auto"/>
        <w:ind w:firstLine="284"/>
        <w:jc w:val="both"/>
        <w:rPr>
          <w:color w:val="000000" w:themeColor="text1"/>
        </w:rPr>
      </w:pPr>
      <w:r>
        <w:rPr>
          <w:color w:val="000000" w:themeColor="text1"/>
        </w:rPr>
        <w:t xml:space="preserve">Generally, the area of two intersecting disks of the same radius </w:t>
      </w:r>
      <m:oMath>
        <m:r>
          <w:rPr>
            <w:rFonts w:ascii="Cambria Math" w:hAnsi="Cambria Math"/>
            <w:color w:val="000000" w:themeColor="text1"/>
          </w:rPr>
          <m:t>R</m:t>
        </m:r>
      </m:oMath>
      <w:r>
        <w:rPr>
          <w:color w:val="000000" w:themeColor="text1"/>
        </w:rPr>
        <w:t xml:space="preserve"> can be calculated with the use of Euclidean geometry, by subtracting the area of one of the triangles formed by one disk center and the points where the disks are intersecting (e. g. </w:t>
      </w:r>
      <m:oMath>
        <m:r>
          <w:rPr>
            <w:rFonts w:ascii="Cambria Math" w:hAnsi="Cambria Math"/>
            <w:color w:val="000000" w:themeColor="text1"/>
          </w:rPr>
          <m:t>⊿OAB</m:t>
        </m:r>
      </m:oMath>
      <w:r>
        <w:rPr>
          <w:color w:val="000000" w:themeColor="text1"/>
        </w:rPr>
        <w:t xml:space="preserve">), from the area of the corresponding </w:t>
      </w:r>
      <w:r>
        <w:rPr>
          <w:color w:val="000000" w:themeColor="text1"/>
        </w:rPr>
        <w:lastRenderedPageBreak/>
        <w:t xml:space="preserve">circular sector (e. g. </w:t>
      </w:r>
      <m:oMath>
        <m:r>
          <m:rPr>
            <m:sty m:val="p"/>
          </m:rPr>
          <w:rPr>
            <w:rFonts w:ascii="Cambria Math" w:hAnsi="Cambria Math" w:cs="Cambria Math"/>
            <w:color w:val="202122"/>
            <w:sz w:val="21"/>
            <w:szCs w:val="21"/>
          </w:rPr>
          <m:t>⌔OAB</m:t>
        </m:r>
      </m:oMath>
      <w:r>
        <w:rPr>
          <w:color w:val="000000" w:themeColor="text1"/>
        </w:rPr>
        <w:t xml:space="preserve">), as shown in </w:t>
      </w:r>
      <w:r w:rsidRPr="009972BB">
        <w:rPr>
          <w:b/>
          <w:bCs/>
          <w:color w:val="000000" w:themeColor="text1"/>
        </w:rPr>
        <w:t>Fi</w:t>
      </w:r>
      <w:r>
        <w:rPr>
          <w:b/>
          <w:bCs/>
          <w:color w:val="000000" w:themeColor="text1"/>
        </w:rPr>
        <w:t>g</w:t>
      </w:r>
      <w:r w:rsidRPr="009972BB">
        <w:rPr>
          <w:b/>
          <w:bCs/>
          <w:color w:val="000000" w:themeColor="text1"/>
        </w:rPr>
        <w:t>. S1a)</w:t>
      </w:r>
      <w:r>
        <w:rPr>
          <w:color w:val="000000" w:themeColor="text1"/>
        </w:rPr>
        <w:t>. The result should then be multiplied by two to obtain the total area of overlap</w:t>
      </w:r>
      <w:r w:rsidR="008C3244">
        <w:rPr>
          <w:color w:val="000000" w:themeColor="text1"/>
        </w:rPr>
        <w:fldChar w:fldCharType="begin"/>
      </w:r>
      <w:r w:rsidR="008C3244">
        <w:rPr>
          <w:color w:val="000000" w:themeColor="text1"/>
        </w:rPr>
        <w:instrText xml:space="preserve"> ADDIN ZOTERO_ITEM CSL_CITATION {"citationID":"1QIjU8kZ","properties":{"formattedCitation":"\\uc0\\u160{}[2]","plainCitation":" [2]","noteIndex":0},"citationItems":[{"id":1941,"uris":["http://zotero.org/users/6187821/items/6VNXCS4C"],"itemData":{"id":1941,"type":"article-journal","container-title":"Physical Review Letters","DOI":"10.1103/PhysRevLett.124.088002","ISSN":"0031-9007, 1079-7114","issue":"8","journalAbbreviation":"Phys. Rev. Lett.","language":"en","page":"088002","source":"DOI.org (Crossref)","title":"Multiple Particle Correlation Analysis of Many-Particle Systems: Formalism and Application to Active Matter","title-short":"Multiple Particle Correlation Analysis of Many-Particle Systems","volume":"124","author":[{"family":"Kürsten","given":"Rüdiger"},{"family":"Stroteich","given":"Sven"},{"family":"Hernández","given":"Martín Zumaya"},{"family":"Ihle","given":"Thomas"}],"issued":{"date-parts":[["2020",2,26]]}}}],"schema":"https://github.com/citation-style-language/schema/raw/master/csl-citation.json"} </w:instrText>
      </w:r>
      <w:r w:rsidR="008C3244">
        <w:rPr>
          <w:color w:val="000000" w:themeColor="text1"/>
        </w:rPr>
        <w:fldChar w:fldCharType="separate"/>
      </w:r>
      <w:r w:rsidR="008C3244" w:rsidRPr="008C3244">
        <w:rPr>
          <w:color w:val="000000"/>
        </w:rPr>
        <w:t> [2]</w:t>
      </w:r>
      <w:r w:rsidR="008C3244">
        <w:rPr>
          <w:color w:val="000000" w:themeColor="text1"/>
        </w:rPr>
        <w:fldChar w:fldCharType="end"/>
      </w:r>
      <w:r>
        <w:rPr>
          <w:color w:val="000000" w:themeColor="text1"/>
        </w:rPr>
        <w:t>. Thus,</w:t>
      </w:r>
    </w:p>
    <w:p w14:paraId="032ED529" w14:textId="6B4270A0" w:rsidR="001F166E" w:rsidRPr="001F166E" w:rsidRDefault="001F166E" w:rsidP="001F166E">
      <w:pPr>
        <w:spacing w:line="480" w:lineRule="auto"/>
        <w:ind w:firstLine="284"/>
        <w:jc w:val="both"/>
        <w:rPr>
          <w:color w:val="000000" w:themeColor="text1"/>
        </w:rPr>
      </w:pPr>
      <m:oMathPara>
        <m:oMath>
          <m:r>
            <w:rPr>
              <w:rFonts w:ascii="Cambria Math" w:hAnsi="Cambria Math"/>
              <w:color w:val="000000" w:themeColor="text1"/>
            </w:rPr>
            <m:t>S=2</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m:rPr>
                      <m:sty m:val="p"/>
                    </m:rPr>
                    <w:rPr>
                      <w:rFonts w:ascii="Cambria Math" w:hAnsi="Cambria Math" w:cs="Cambria Math"/>
                      <w:color w:val="202122"/>
                      <w:sz w:val="21"/>
                      <w:szCs w:val="21"/>
                    </w:rPr>
                    <m:t>⌔OAB</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⊿OAB</m:t>
                  </m:r>
                </m:sub>
              </m:sSub>
            </m:e>
          </m:d>
          <m: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func>
            <m:funcPr>
              <m:ctrlPr>
                <w:rPr>
                  <w:rFonts w:ascii="Cambria Math" w:hAnsi="Cambria Math"/>
                  <w:i/>
                  <w:color w:val="000000" w:themeColor="text1"/>
                </w:rPr>
              </m:ctrlPr>
            </m:funcPr>
            <m:fName>
              <m:sSup>
                <m:sSupPr>
                  <m:ctrlPr>
                    <w:rPr>
                      <w:rFonts w:ascii="Cambria Math" w:hAnsi="Cambria Math"/>
                      <w:color w:val="000000" w:themeColor="text1"/>
                    </w:rPr>
                  </m:ctrlPr>
                </m:sSupPr>
                <m:e>
                  <m:r>
                    <m:rPr>
                      <m:sty m:val="p"/>
                    </m:rPr>
                    <w:rPr>
                      <w:rFonts w:ascii="Cambria Math" w:hAnsi="Cambria Math"/>
                      <w:color w:val="000000" w:themeColor="text1"/>
                    </w:rPr>
                    <m:t>cos</m:t>
                  </m:r>
                </m:e>
                <m:sup>
                  <m:r>
                    <w:rPr>
                      <w:rFonts w:ascii="Cambria Math" w:hAnsi="Cambria Math"/>
                      <w:color w:val="000000" w:themeColor="text1"/>
                    </w:rPr>
                    <m:t>-1</m:t>
                  </m:r>
                </m:sup>
              </m:sSup>
            </m:fName>
            <m:e>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d>
                        <m:dPr>
                          <m:ctrlPr>
                            <w:rPr>
                              <w:rFonts w:ascii="Cambria Math" w:hAnsi="Cambria Math"/>
                              <w:i/>
                              <w:color w:val="000000" w:themeColor="text1"/>
                            </w:rPr>
                          </m:ctrlPr>
                        </m:dPr>
                        <m:e>
                          <m:r>
                            <w:rPr>
                              <w:rFonts w:ascii="Cambria Math" w:hAnsi="Cambria Math"/>
                              <w:color w:val="000000" w:themeColor="text1"/>
                            </w:rPr>
                            <m:t>OO'</m:t>
                          </m:r>
                        </m:e>
                      </m:d>
                    </m:num>
                    <m:den>
                      <m:r>
                        <w:rPr>
                          <w:rFonts w:ascii="Cambria Math" w:hAnsi="Cambria Math"/>
                          <w:color w:val="000000" w:themeColor="text1"/>
                        </w:rPr>
                        <m:t>2R</m:t>
                      </m:r>
                    </m:den>
                  </m:f>
                </m:e>
              </m:d>
            </m:e>
          </m:func>
          <m:r>
            <w:rPr>
              <w:rFonts w:ascii="Cambria Math" w:hAnsi="Cambria Math"/>
              <w:color w:val="000000" w:themeColor="text1"/>
            </w:rPr>
            <m:t>-</m:t>
          </m:r>
          <m:f>
            <m:fPr>
              <m:ctrlPr>
                <w:rPr>
                  <w:rFonts w:ascii="Cambria Math" w:hAnsi="Cambria Math"/>
                  <w:i/>
                  <w:color w:val="000000" w:themeColor="text1"/>
                </w:rPr>
              </m:ctrlPr>
            </m:fPr>
            <m:num>
              <m:d>
                <m:dPr>
                  <m:ctrlPr>
                    <w:rPr>
                      <w:rFonts w:ascii="Cambria Math" w:hAnsi="Cambria Math"/>
                      <w:i/>
                      <w:color w:val="000000" w:themeColor="text1"/>
                    </w:rPr>
                  </m:ctrlPr>
                </m:dPr>
                <m:e>
                  <m:r>
                    <w:rPr>
                      <w:rFonts w:ascii="Cambria Math" w:hAnsi="Cambria Math"/>
                      <w:color w:val="000000" w:themeColor="text1"/>
                    </w:rPr>
                    <m:t>O</m:t>
                  </m:r>
                  <m:sSup>
                    <m:sSupPr>
                      <m:ctrlPr>
                        <w:rPr>
                          <w:rFonts w:ascii="Cambria Math" w:hAnsi="Cambria Math"/>
                          <w:i/>
                          <w:color w:val="000000" w:themeColor="text1"/>
                        </w:rPr>
                      </m:ctrlPr>
                    </m:sSupPr>
                    <m:e>
                      <m:r>
                        <w:rPr>
                          <w:rFonts w:ascii="Cambria Math" w:hAnsi="Cambria Math"/>
                          <w:color w:val="000000" w:themeColor="text1"/>
                        </w:rPr>
                        <m:t>O</m:t>
                      </m:r>
                    </m:e>
                    <m:sup>
                      <m:r>
                        <w:rPr>
                          <w:rFonts w:ascii="Cambria Math" w:hAnsi="Cambria Math"/>
                          <w:color w:val="000000" w:themeColor="text1"/>
                        </w:rPr>
                        <m:t>'</m:t>
                      </m:r>
                    </m:sup>
                  </m:sSup>
                </m:e>
              </m:d>
            </m:num>
            <m:den>
              <m:r>
                <w:rPr>
                  <w:rFonts w:ascii="Cambria Math" w:hAnsi="Cambria Math"/>
                  <w:color w:val="000000" w:themeColor="text1"/>
                </w:rPr>
                <m:t>2</m:t>
              </m:r>
            </m:den>
          </m:f>
          <m:rad>
            <m:radPr>
              <m:degHide m:val="1"/>
              <m:ctrlPr>
                <w:rPr>
                  <w:rFonts w:ascii="Cambria Math" w:hAnsi="Cambria Math"/>
                  <w:i/>
                  <w:color w:val="000000" w:themeColor="text1"/>
                </w:rPr>
              </m:ctrlPr>
            </m:radPr>
            <m:deg/>
            <m:e>
              <m:r>
                <w:rPr>
                  <w:rFonts w:ascii="Cambria Math" w:hAnsi="Cambria Math"/>
                  <w:color w:val="000000" w:themeColor="text1"/>
                </w:rPr>
                <m:t>4</m:t>
              </m:r>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O</m:t>
                      </m:r>
                      <m:sSup>
                        <m:sSupPr>
                          <m:ctrlPr>
                            <w:rPr>
                              <w:rFonts w:ascii="Cambria Math" w:hAnsi="Cambria Math"/>
                              <w:i/>
                              <w:color w:val="000000" w:themeColor="text1"/>
                            </w:rPr>
                          </m:ctrlPr>
                        </m:sSupPr>
                        <m:e>
                          <m:r>
                            <w:rPr>
                              <w:rFonts w:ascii="Cambria Math" w:hAnsi="Cambria Math"/>
                              <w:color w:val="000000" w:themeColor="text1"/>
                            </w:rPr>
                            <m:t>O</m:t>
                          </m:r>
                        </m:e>
                        <m:sup>
                          <m:r>
                            <w:rPr>
                              <w:rFonts w:ascii="Cambria Math" w:hAnsi="Cambria Math"/>
                              <w:color w:val="000000" w:themeColor="text1"/>
                            </w:rPr>
                            <m:t>'</m:t>
                          </m:r>
                        </m:sup>
                      </m:sSup>
                    </m:e>
                  </m:d>
                </m:e>
                <m:sup>
                  <m:r>
                    <w:rPr>
                      <w:rFonts w:ascii="Cambria Math" w:hAnsi="Cambria Math"/>
                      <w:color w:val="000000" w:themeColor="text1"/>
                    </w:rPr>
                    <m:t>2</m:t>
                  </m:r>
                </m:sup>
              </m:sSup>
            </m:e>
          </m:rad>
          <m:r>
            <w:rPr>
              <w:rFonts w:ascii="Cambria Math" w:hAnsi="Cambria Math"/>
              <w:color w:val="000000" w:themeColor="text1"/>
            </w:rPr>
            <m:t xml:space="preserve">   (S1)</m:t>
          </m:r>
        </m:oMath>
      </m:oMathPara>
    </w:p>
    <w:p w14:paraId="0E1BA859" w14:textId="713452B1" w:rsidR="000632C8" w:rsidRDefault="001F166E" w:rsidP="00987C95">
      <w:pPr>
        <w:spacing w:line="480" w:lineRule="auto"/>
        <w:ind w:firstLine="284"/>
        <w:jc w:val="both"/>
        <w:rPr>
          <w:color w:val="000000" w:themeColor="text1"/>
        </w:rPr>
      </w:pPr>
      <w:r>
        <w:rPr>
          <w:color w:val="000000" w:themeColor="text1"/>
        </w:rPr>
        <w:t xml:space="preserve">To calculate the total deposited dose, one has to know the centers of each disk illumination and sum the area of overlap for each pair of illuminations who are intersecting with each other. This translates to calculating a finite mathematical series. </w:t>
      </w:r>
      <w:r w:rsidRPr="0088523D">
        <w:rPr>
          <w:color w:val="000000" w:themeColor="text1"/>
        </w:rPr>
        <w:t xml:space="preserve">We show below that we can obtain the same result with excellent accuracy </w:t>
      </w:r>
      <w:r w:rsidR="0088523D" w:rsidRPr="0088523D">
        <w:rPr>
          <w:color w:val="000000" w:themeColor="text1"/>
        </w:rPr>
        <w:t xml:space="preserve">deriving a simple formula for </w:t>
      </w:r>
      <w:r w:rsidRPr="0088523D">
        <w:rPr>
          <w:color w:val="000000" w:themeColor="text1"/>
        </w:rPr>
        <w:t>an illumination of square shape</w:t>
      </w:r>
      <w:r w:rsidR="0088523D" w:rsidRPr="0088523D">
        <w:rPr>
          <w:color w:val="000000" w:themeColor="text1"/>
        </w:rPr>
        <w:t xml:space="preserve"> and correcting with respect to a disk area</w:t>
      </w:r>
      <w:r w:rsidRPr="0088523D">
        <w:rPr>
          <w:color w:val="000000" w:themeColor="text1"/>
        </w:rPr>
        <w:t>.</w:t>
      </w:r>
    </w:p>
    <w:p w14:paraId="3C622F01" w14:textId="1E1D24F7" w:rsidR="001F166E" w:rsidRDefault="001F166E" w:rsidP="00987C95">
      <w:pPr>
        <w:spacing w:line="480" w:lineRule="auto"/>
        <w:ind w:firstLine="284"/>
        <w:jc w:val="both"/>
        <w:rPr>
          <w:color w:val="000000" w:themeColor="text1"/>
        </w:rPr>
      </w:pPr>
      <w:r>
        <w:rPr>
          <w:color w:val="000000" w:themeColor="text1"/>
        </w:rPr>
        <w:t xml:space="preserve">For the calculation we assume a square shape beam with side </w:t>
      </w:r>
      <m:oMath>
        <m:r>
          <w:rPr>
            <w:rFonts w:ascii="Cambria Math" w:hAnsi="Cambria Math"/>
            <w:color w:val="000000" w:themeColor="text1"/>
          </w:rPr>
          <m:t>a</m:t>
        </m:r>
      </m:oMath>
      <w:r w:rsidR="00471C1A">
        <w:rPr>
          <w:color w:val="000000" w:themeColor="text1"/>
        </w:rPr>
        <w:t xml:space="preserve">, which we are going to scan </w:t>
      </w:r>
      <w:r w:rsidR="00B52154">
        <w:rPr>
          <w:color w:val="000000" w:themeColor="text1"/>
        </w:rPr>
        <w:t xml:space="preserve">with a step </w:t>
      </w:r>
      <m:oMath>
        <m:r>
          <w:rPr>
            <w:rFonts w:ascii="Cambria Math" w:hAnsi="Cambria Math"/>
            <w:color w:val="000000" w:themeColor="text1"/>
          </w:rPr>
          <m:t>s</m:t>
        </m:r>
      </m:oMath>
      <w:r w:rsidR="00B52154">
        <w:rPr>
          <w:color w:val="000000" w:themeColor="text1"/>
        </w:rPr>
        <w:t xml:space="preserve">, where </w:t>
      </w:r>
      <m:oMath>
        <m:r>
          <w:rPr>
            <w:rFonts w:ascii="Cambria Math" w:hAnsi="Cambria Math"/>
            <w:color w:val="000000" w:themeColor="text1"/>
          </w:rPr>
          <m:t>a=2s</m:t>
        </m:r>
      </m:oMath>
      <w:r w:rsidR="00B52154">
        <w:rPr>
          <w:color w:val="000000" w:themeColor="text1"/>
        </w:rPr>
        <w:t>, for</w:t>
      </w:r>
      <w:r w:rsidR="00471C1A">
        <w:rPr>
          <w:color w:val="000000" w:themeColor="text1"/>
        </w:rPr>
        <w:t xml:space="preserve"> an overlap of 50%, thus, we will have three steps in each direction until our beam stops illuminating the central square, as illustrated in </w:t>
      </w:r>
      <w:r w:rsidR="00471C1A" w:rsidRPr="00471C1A">
        <w:rPr>
          <w:b/>
          <w:bCs/>
          <w:color w:val="000000" w:themeColor="text1"/>
        </w:rPr>
        <w:t xml:space="preserve">Fig. </w:t>
      </w:r>
      <w:r w:rsidR="00B52154">
        <w:rPr>
          <w:b/>
          <w:bCs/>
          <w:color w:val="000000" w:themeColor="text1"/>
        </w:rPr>
        <w:t>S</w:t>
      </w:r>
      <w:r w:rsidR="00471C1A" w:rsidRPr="00471C1A">
        <w:rPr>
          <w:b/>
          <w:bCs/>
          <w:color w:val="000000" w:themeColor="text1"/>
        </w:rPr>
        <w:t>1b)</w:t>
      </w:r>
      <w:r w:rsidR="00471C1A">
        <w:rPr>
          <w:color w:val="000000" w:themeColor="text1"/>
        </w:rPr>
        <w:t xml:space="preserve">. </w:t>
      </w:r>
      <w:r w:rsidR="00B52154">
        <w:rPr>
          <w:color w:val="000000" w:themeColor="text1"/>
        </w:rPr>
        <w:t xml:space="preserve">If we calculate the total area of overlap for the central square in </w:t>
      </w:r>
      <w:r w:rsidR="00EF6214">
        <w:rPr>
          <w:color w:val="000000" w:themeColor="text1"/>
        </w:rPr>
        <w:t>this</w:t>
      </w:r>
      <w:r w:rsidR="00B52154">
        <w:rPr>
          <w:color w:val="000000" w:themeColor="text1"/>
        </w:rPr>
        <w:t xml:space="preserve"> configuration we have </w:t>
      </w:r>
    </w:p>
    <w:p w14:paraId="17C7873D" w14:textId="7399ED90" w:rsidR="00EF6214" w:rsidRPr="00EF6214" w:rsidRDefault="00000000" w:rsidP="00EF6214">
      <w:pPr>
        <w:spacing w:line="480" w:lineRule="auto"/>
        <w:ind w:firstLine="284"/>
        <w:jc w:val="both"/>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2s</m:t>
              </m:r>
            </m:sub>
          </m:sSub>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+4</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=16</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2</m:t>
              </m:r>
            </m:e>
            <m:sup>
              <m:r>
                <w:rPr>
                  <w:rFonts w:ascii="Cambria Math" w:hAnsi="Cambria Math"/>
                  <w:color w:val="000000" w:themeColor="text1"/>
                </w:rPr>
                <m:t>2</m:t>
              </m:r>
            </m:sup>
          </m:sSup>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2s</m:t>
                  </m:r>
                </m:e>
              </m:d>
            </m:e>
            <m:sup>
              <m:r>
                <w:rPr>
                  <w:rFonts w:ascii="Cambria Math" w:hAnsi="Cambria Math"/>
                  <w:color w:val="000000" w:themeColor="text1"/>
                </w:rPr>
                <m:t>2</m:t>
              </m:r>
            </m:sup>
          </m:sSup>
          <m:r>
            <w:rPr>
              <w:rFonts w:ascii="Cambria Math" w:hAnsi="Cambria Math"/>
              <w:color w:val="000000" w:themeColor="text1"/>
            </w:rPr>
            <m:t xml:space="preserve">   (S2)</m:t>
          </m:r>
        </m:oMath>
      </m:oMathPara>
    </w:p>
    <w:p w14:paraId="0541338D" w14:textId="0E7F8414" w:rsidR="00EF6214" w:rsidRPr="00EF6214" w:rsidRDefault="00EF6214" w:rsidP="00EF6214">
      <w:pPr>
        <w:spacing w:line="480" w:lineRule="auto"/>
        <w:ind w:firstLine="284"/>
        <w:jc w:val="both"/>
        <w:rPr>
          <w:color w:val="000000" w:themeColor="text1"/>
        </w:rPr>
      </w:pPr>
      <w:r>
        <w:rPr>
          <w:color w:val="000000" w:themeColor="text1"/>
        </w:rPr>
        <w:t xml:space="preserve">For </w:t>
      </w:r>
      <m:oMath>
        <m:r>
          <w:rPr>
            <w:rFonts w:ascii="Cambria Math" w:hAnsi="Cambria Math"/>
            <w:color w:val="000000" w:themeColor="text1"/>
          </w:rPr>
          <m:t>a=3s</m:t>
        </m:r>
      </m:oMath>
      <w:r>
        <w:rPr>
          <w:color w:val="000000" w:themeColor="text1"/>
        </w:rPr>
        <w:t xml:space="preserve">, we need to take five steps in each direction until the central square stops getting </w:t>
      </w:r>
      <w:r w:rsidRPr="00EF6214">
        <w:rPr>
          <w:color w:val="000000" w:themeColor="text1"/>
        </w:rPr>
        <w:t xml:space="preserve">any deposited electrons, shown in </w:t>
      </w:r>
      <w:r w:rsidRPr="00EF6214">
        <w:rPr>
          <w:b/>
          <w:bCs/>
          <w:color w:val="000000" w:themeColor="text1"/>
        </w:rPr>
        <w:t>Fig. S1c)</w:t>
      </w:r>
      <w:r w:rsidRPr="00EF6214">
        <w:rPr>
          <w:color w:val="000000" w:themeColor="text1"/>
        </w:rPr>
        <w:t>. Thus,</w:t>
      </w:r>
    </w:p>
    <w:p w14:paraId="474BB3A7" w14:textId="7FCA8CBC" w:rsidR="00EF6214" w:rsidRPr="00EF6214" w:rsidRDefault="00000000" w:rsidP="00EF6214">
      <w:pPr>
        <w:spacing w:line="480" w:lineRule="auto"/>
        <w:ind w:firstLine="284"/>
        <w:jc w:val="both"/>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3s</m:t>
              </m:r>
            </m:sub>
          </m:sSub>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+3</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+4</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+6</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+4</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+3</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+6</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+9</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+6</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+3</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+4</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+6</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+4</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+3</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=81</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3</m:t>
              </m:r>
            </m:e>
            <m:sup>
              <m:r>
                <w:rPr>
                  <w:rFonts w:ascii="Cambria Math" w:hAnsi="Cambria Math"/>
                  <w:color w:val="000000" w:themeColor="text1"/>
                </w:rPr>
                <m:t>2</m:t>
              </m:r>
            </m:sup>
          </m:sSup>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3s</m:t>
                  </m:r>
                </m:e>
              </m:d>
            </m:e>
            <m:sup>
              <m:r>
                <w:rPr>
                  <w:rFonts w:ascii="Cambria Math" w:hAnsi="Cambria Math"/>
                  <w:color w:val="000000" w:themeColor="text1"/>
                </w:rPr>
                <m:t>2</m:t>
              </m:r>
            </m:sup>
          </m:sSup>
          <m:r>
            <w:rPr>
              <w:rFonts w:ascii="Cambria Math" w:hAnsi="Cambria Math"/>
              <w:color w:val="000000" w:themeColor="text1"/>
            </w:rPr>
            <m:t xml:space="preserve">   (S3)</m:t>
          </m:r>
        </m:oMath>
      </m:oMathPara>
    </w:p>
    <w:p w14:paraId="0108E44A" w14:textId="68407906" w:rsidR="00EF6214" w:rsidRPr="00EF6214" w:rsidRDefault="00EF6214" w:rsidP="00EF6214">
      <w:pPr>
        <w:spacing w:line="480" w:lineRule="auto"/>
        <w:ind w:firstLine="284"/>
        <w:jc w:val="both"/>
        <w:rPr>
          <w:color w:val="000000" w:themeColor="text1"/>
        </w:rPr>
      </w:pPr>
      <w:r w:rsidRPr="00EF6214">
        <w:rPr>
          <w:color w:val="000000" w:themeColor="text1"/>
        </w:rPr>
        <w:t xml:space="preserve">Similarly, for </w:t>
      </w:r>
      <m:oMath>
        <m:r>
          <w:rPr>
            <w:rFonts w:ascii="Cambria Math" w:hAnsi="Cambria Math"/>
            <w:color w:val="000000" w:themeColor="text1"/>
          </w:rPr>
          <m:t>a=4s</m:t>
        </m:r>
      </m:oMath>
      <w:r w:rsidRPr="00EF6214">
        <w:rPr>
          <w:color w:val="000000" w:themeColor="text1"/>
        </w:rPr>
        <w:t>, we can show that</w:t>
      </w:r>
    </w:p>
    <w:p w14:paraId="1B86C9EB" w14:textId="1967E0CD" w:rsidR="0013523B" w:rsidRPr="00EF6214" w:rsidRDefault="00000000" w:rsidP="000B6FF7">
      <w:pPr>
        <w:pStyle w:val="Paragraph"/>
        <w:spacing w:line="480" w:lineRule="auto"/>
        <w:ind w:firstLine="0"/>
        <w:rPr>
          <w:color w:val="000000" w:themeColor="text1"/>
          <w:sz w:val="24"/>
          <w:szCs w:val="24"/>
          <w:bdr w:val="none" w:sz="0" w:space="0" w:color="auto"/>
        </w:rPr>
      </w:pPr>
      <m:oMathPara>
        <m:oMath>
          <m:sSub>
            <m:sSubPr>
              <m:ctrlPr>
                <w:rPr>
                  <w:rFonts w:ascii="Cambria Math" w:hAnsi="Cambria Math"/>
                  <w:i/>
                  <w:color w:val="000000" w:themeColor="text1"/>
                  <w:sz w:val="24"/>
                  <w:szCs w:val="24"/>
                  <w:bdr w:val="none" w:sz="0" w:space="0" w:color="auto"/>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4s</m:t>
              </m:r>
            </m:sub>
          </m:sSub>
          <m:r>
            <w:rPr>
              <w:rFonts w:ascii="Cambria Math" w:hAnsi="Cambria Math"/>
              <w:color w:val="000000" w:themeColor="text1"/>
              <w:sz w:val="24"/>
              <w:szCs w:val="24"/>
            </w:rPr>
            <m:t>=256</m:t>
          </m:r>
          <m:sSup>
            <m:sSupPr>
              <m:ctrlPr>
                <w:rPr>
                  <w:rFonts w:ascii="Cambria Math" w:hAnsi="Cambria Math"/>
                  <w:i/>
                  <w:color w:val="000000" w:themeColor="text1"/>
                  <w:sz w:val="24"/>
                  <w:szCs w:val="24"/>
                  <w:bdr w:val="none" w:sz="0" w:space="0" w:color="auto"/>
                </w:rPr>
              </m:ctrlPr>
            </m:sSupPr>
            <m:e>
              <m:r>
                <w:rPr>
                  <w:rFonts w:ascii="Cambria Math" w:hAnsi="Cambria Math"/>
                  <w:color w:val="000000" w:themeColor="text1"/>
                  <w:sz w:val="24"/>
                  <w:szCs w:val="24"/>
                </w:rPr>
                <m:t>s</m:t>
              </m:r>
            </m:e>
            <m:sup>
              <m:r>
                <w:rPr>
                  <w:rFonts w:ascii="Cambria Math" w:hAnsi="Cambria Math"/>
                  <w:color w:val="000000" w:themeColor="text1"/>
                  <w:sz w:val="24"/>
                  <w:szCs w:val="24"/>
                </w:rPr>
                <m:t>2</m:t>
              </m:r>
            </m:sup>
          </m:sSup>
          <m:r>
            <w:rPr>
              <w:rFonts w:ascii="Cambria Math" w:hAnsi="Cambria Math"/>
              <w:color w:val="000000" w:themeColor="text1"/>
              <w:sz w:val="24"/>
              <w:szCs w:val="24"/>
              <w:bdr w:val="none" w:sz="0" w:space="0" w:color="auto"/>
            </w:rPr>
            <m:t>=</m:t>
          </m:r>
          <m:sSup>
            <m:sSupPr>
              <m:ctrlPr>
                <w:rPr>
                  <w:rFonts w:ascii="Cambria Math" w:hAnsi="Cambria Math"/>
                  <w:i/>
                  <w:color w:val="000000" w:themeColor="text1"/>
                  <w:sz w:val="24"/>
                  <w:szCs w:val="24"/>
                  <w:bdr w:val="none" w:sz="0" w:space="0" w:color="auto"/>
                </w:rPr>
              </m:ctrlPr>
            </m:sSupPr>
            <m:e>
              <m:r>
                <w:rPr>
                  <w:rFonts w:ascii="Cambria Math" w:hAnsi="Cambria Math"/>
                  <w:color w:val="000000" w:themeColor="text1"/>
                  <w:sz w:val="24"/>
                  <w:szCs w:val="24"/>
                </w:rPr>
                <m:t>4</m:t>
              </m:r>
            </m:e>
            <m:sup>
              <m:r>
                <w:rPr>
                  <w:rFonts w:ascii="Cambria Math" w:hAnsi="Cambria Math"/>
                  <w:color w:val="000000" w:themeColor="text1"/>
                  <w:sz w:val="24"/>
                  <w:szCs w:val="24"/>
                </w:rPr>
                <m:t>2</m:t>
              </m:r>
            </m:sup>
          </m:sSup>
          <m:sSup>
            <m:sSupPr>
              <m:ctrlPr>
                <w:rPr>
                  <w:rFonts w:ascii="Cambria Math" w:hAnsi="Cambria Math"/>
                  <w:i/>
                  <w:color w:val="000000" w:themeColor="text1"/>
                  <w:sz w:val="24"/>
                  <w:szCs w:val="24"/>
                  <w:bdr w:val="none" w:sz="0" w:space="0" w:color="auto"/>
                </w:rPr>
              </m:ctrlPr>
            </m:sSupPr>
            <m:e>
              <m:d>
                <m:dPr>
                  <m:ctrlPr>
                    <w:rPr>
                      <w:rFonts w:ascii="Cambria Math" w:hAnsi="Cambria Math"/>
                      <w:i/>
                      <w:color w:val="000000" w:themeColor="text1"/>
                      <w:sz w:val="24"/>
                      <w:szCs w:val="24"/>
                      <w:bdr w:val="none" w:sz="0" w:space="0" w:color="auto"/>
                    </w:rPr>
                  </m:ctrlPr>
                </m:dPr>
                <m:e>
                  <m:r>
                    <w:rPr>
                      <w:rFonts w:ascii="Cambria Math" w:hAnsi="Cambria Math"/>
                      <w:color w:val="000000" w:themeColor="text1"/>
                      <w:sz w:val="24"/>
                      <w:szCs w:val="24"/>
                      <w:bdr w:val="none" w:sz="0" w:space="0" w:color="auto"/>
                    </w:rPr>
                    <m:t>4s</m:t>
                  </m:r>
                </m:e>
              </m:d>
            </m:e>
            <m:sup>
              <m:r>
                <w:rPr>
                  <w:rFonts w:ascii="Cambria Math" w:hAnsi="Cambria Math"/>
                  <w:color w:val="000000" w:themeColor="text1"/>
                  <w:sz w:val="24"/>
                  <w:szCs w:val="24"/>
                  <w:bdr w:val="none" w:sz="0" w:space="0" w:color="auto"/>
                </w:rPr>
                <m:t>2</m:t>
              </m:r>
            </m:sup>
          </m:sSup>
          <m:r>
            <w:rPr>
              <w:rFonts w:ascii="Cambria Math" w:hAnsi="Cambria Math"/>
              <w:color w:val="000000" w:themeColor="text1"/>
              <w:sz w:val="24"/>
              <w:szCs w:val="24"/>
              <w:bdr w:val="none" w:sz="0" w:space="0" w:color="auto"/>
            </w:rPr>
            <m:t xml:space="preserve">   (S4)</m:t>
          </m:r>
        </m:oMath>
      </m:oMathPara>
    </w:p>
    <w:p w14:paraId="76AD4401" w14:textId="2E2F17A9" w:rsidR="00EF6214" w:rsidRPr="00EF6214" w:rsidRDefault="00EF6214" w:rsidP="000B6FF7">
      <w:pPr>
        <w:pStyle w:val="Paragraph"/>
        <w:spacing w:line="480" w:lineRule="auto"/>
        <w:ind w:firstLine="0"/>
        <w:rPr>
          <w:color w:val="000000" w:themeColor="text1"/>
          <w:sz w:val="24"/>
          <w:szCs w:val="24"/>
          <w:bdr w:val="none" w:sz="0" w:space="0" w:color="auto"/>
        </w:rPr>
      </w:pPr>
      <w:r>
        <w:rPr>
          <w:color w:val="000000" w:themeColor="text1"/>
          <w:sz w:val="24"/>
          <w:szCs w:val="24"/>
          <w:bdr w:val="none" w:sz="0" w:space="0" w:color="auto"/>
        </w:rPr>
        <w:t xml:space="preserve">and ultimately, for </w:t>
      </w:r>
      <m:oMath>
        <m:r>
          <w:rPr>
            <w:rFonts w:ascii="Cambria Math" w:hAnsi="Cambria Math"/>
            <w:color w:val="000000" w:themeColor="text1"/>
            <w:sz w:val="24"/>
            <w:szCs w:val="24"/>
          </w:rPr>
          <m:t>a=ms,  ∀ m</m:t>
        </m:r>
        <m:r>
          <m:rPr>
            <m:scr m:val="double-struck"/>
          </m:rPr>
          <w:rPr>
            <w:rFonts w:ascii="Cambria Math" w:hAnsi="Cambria Math"/>
            <w:color w:val="000000" w:themeColor="text1"/>
            <w:sz w:val="24"/>
            <w:szCs w:val="24"/>
          </w:rPr>
          <m:t>∈N</m:t>
        </m:r>
      </m:oMath>
      <w:r>
        <w:rPr>
          <w:color w:val="000000" w:themeColor="text1"/>
          <w:sz w:val="24"/>
          <w:szCs w:val="24"/>
        </w:rPr>
        <w:t>, we obtain the formula</w:t>
      </w:r>
    </w:p>
    <w:p w14:paraId="445C0A4B" w14:textId="17F76F14" w:rsidR="008F2103" w:rsidRPr="008F2103" w:rsidRDefault="00000000" w:rsidP="008F2103">
      <w:pPr>
        <w:pStyle w:val="Paragraph"/>
        <w:spacing w:line="480" w:lineRule="auto"/>
        <w:ind w:firstLine="0"/>
        <w:rPr>
          <w:color w:val="000000" w:themeColor="text1"/>
          <w:sz w:val="24"/>
          <w:szCs w:val="24"/>
          <w:bdr w:val="none" w:sz="0" w:space="0" w:color="auto"/>
        </w:rPr>
      </w:pPr>
      <m:oMathPara>
        <m:oMath>
          <m:sSub>
            <m:sSubPr>
              <m:ctrlPr>
                <w:rPr>
                  <w:rFonts w:ascii="Cambria Math" w:hAnsi="Cambria Math"/>
                  <w:i/>
                  <w:color w:val="000000" w:themeColor="text1"/>
                  <w:sz w:val="24"/>
                  <w:szCs w:val="24"/>
                  <w:bdr w:val="none" w:sz="0" w:space="0" w:color="auto"/>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ms</m:t>
              </m:r>
            </m:sub>
          </m:sSub>
          <m:r>
            <w:rPr>
              <w:rFonts w:ascii="Cambria Math" w:hAnsi="Cambria Math"/>
              <w:color w:val="000000" w:themeColor="text1"/>
              <w:sz w:val="24"/>
              <w:szCs w:val="24"/>
            </w:rPr>
            <m:t>=</m:t>
          </m:r>
          <m:sSup>
            <m:sSupPr>
              <m:ctrlPr>
                <w:rPr>
                  <w:rFonts w:ascii="Cambria Math" w:hAnsi="Cambria Math"/>
                  <w:i/>
                  <w:color w:val="000000" w:themeColor="text1"/>
                  <w:sz w:val="24"/>
                  <w:szCs w:val="24"/>
                  <w:bdr w:val="none" w:sz="0" w:space="0" w:color="auto"/>
                </w:rPr>
              </m:ctrlPr>
            </m:sSupPr>
            <m:e>
              <m:r>
                <w:rPr>
                  <w:rFonts w:ascii="Cambria Math" w:hAnsi="Cambria Math"/>
                  <w:color w:val="000000" w:themeColor="text1"/>
                  <w:sz w:val="24"/>
                  <w:szCs w:val="24"/>
                </w:rPr>
                <m:t>m</m:t>
              </m:r>
            </m:e>
            <m:sup>
              <m:r>
                <w:rPr>
                  <w:rFonts w:ascii="Cambria Math" w:hAnsi="Cambria Math"/>
                  <w:color w:val="000000" w:themeColor="text1"/>
                  <w:sz w:val="24"/>
                  <w:szCs w:val="24"/>
                </w:rPr>
                <m:t>2</m:t>
              </m:r>
            </m:sup>
          </m:sSup>
          <m:sSup>
            <m:sSupPr>
              <m:ctrlPr>
                <w:rPr>
                  <w:rFonts w:ascii="Cambria Math" w:hAnsi="Cambria Math"/>
                  <w:i/>
                  <w:color w:val="000000" w:themeColor="text1"/>
                  <w:sz w:val="24"/>
                  <w:szCs w:val="24"/>
                  <w:bdr w:val="none" w:sz="0" w:space="0" w:color="auto"/>
                </w:rPr>
              </m:ctrlPr>
            </m:sSupPr>
            <m:e>
              <m:d>
                <m:dPr>
                  <m:ctrlPr>
                    <w:rPr>
                      <w:rFonts w:ascii="Cambria Math" w:hAnsi="Cambria Math"/>
                      <w:i/>
                      <w:color w:val="000000" w:themeColor="text1"/>
                      <w:sz w:val="24"/>
                      <w:szCs w:val="24"/>
                      <w:bdr w:val="none" w:sz="0" w:space="0" w:color="auto"/>
                    </w:rPr>
                  </m:ctrlPr>
                </m:dPr>
                <m:e>
                  <m:r>
                    <w:rPr>
                      <w:rFonts w:ascii="Cambria Math" w:hAnsi="Cambria Math"/>
                      <w:color w:val="000000" w:themeColor="text1"/>
                      <w:sz w:val="24"/>
                      <w:szCs w:val="24"/>
                      <w:bdr w:val="none" w:sz="0" w:space="0" w:color="auto"/>
                    </w:rPr>
                    <m:t>ms</m:t>
                  </m:r>
                </m:e>
              </m:d>
            </m:e>
            <m:sup>
              <m:r>
                <w:rPr>
                  <w:rFonts w:ascii="Cambria Math" w:hAnsi="Cambria Math"/>
                  <w:color w:val="000000" w:themeColor="text1"/>
                  <w:sz w:val="24"/>
                  <w:szCs w:val="24"/>
                  <w:bdr w:val="none" w:sz="0" w:space="0" w:color="auto"/>
                </w:rPr>
                <m:t>2</m:t>
              </m:r>
            </m:sup>
          </m:sSup>
          <m:r>
            <w:rPr>
              <w:rFonts w:ascii="Cambria Math" w:hAnsi="Cambria Math"/>
              <w:color w:val="000000" w:themeColor="text1"/>
              <w:sz w:val="24"/>
              <w:szCs w:val="24"/>
              <w:bdr w:val="none" w:sz="0" w:space="0" w:color="auto"/>
            </w:rPr>
            <m:t xml:space="preserve">   (S5).</m:t>
          </m:r>
        </m:oMath>
      </m:oMathPara>
    </w:p>
    <w:p w14:paraId="270F29EA" w14:textId="48A96B98" w:rsidR="008F2103" w:rsidRDefault="008F2103" w:rsidP="008F2103">
      <w:pPr>
        <w:pStyle w:val="Paragraph"/>
        <w:spacing w:line="480" w:lineRule="auto"/>
        <w:ind w:firstLine="270"/>
        <w:rPr>
          <w:color w:val="000000" w:themeColor="text1"/>
          <w:sz w:val="24"/>
          <w:szCs w:val="24"/>
          <w:bdr w:val="none" w:sz="0" w:space="0" w:color="auto"/>
        </w:rPr>
      </w:pPr>
      <w:r>
        <w:rPr>
          <w:color w:val="000000" w:themeColor="text1"/>
          <w:sz w:val="24"/>
          <w:szCs w:val="24"/>
          <w:bdr w:val="none" w:sz="0" w:space="0" w:color="auto"/>
        </w:rPr>
        <w:lastRenderedPageBreak/>
        <w:t xml:space="preserve">We can directly write the above result with respect to the value of overlap by substitution in the definition of the overlap, given by </w:t>
      </w:r>
      <w:r w:rsidRPr="002A2D2E">
        <w:rPr>
          <w:b/>
          <w:bCs/>
          <w:color w:val="000000" w:themeColor="text1"/>
          <w:sz w:val="24"/>
          <w:szCs w:val="24"/>
          <w:bdr w:val="none" w:sz="0" w:space="0" w:color="auto"/>
        </w:rPr>
        <w:t>Eq. (2)</w:t>
      </w:r>
      <w:r>
        <w:rPr>
          <w:color w:val="000000" w:themeColor="text1"/>
          <w:sz w:val="24"/>
          <w:szCs w:val="24"/>
          <w:bdr w:val="none" w:sz="0" w:space="0" w:color="auto"/>
        </w:rPr>
        <w:t xml:space="preserve"> from the main text</w:t>
      </w:r>
    </w:p>
    <w:p w14:paraId="336A12CF" w14:textId="5EA48601" w:rsidR="008F2103" w:rsidRPr="000F593B" w:rsidRDefault="000F593B" w:rsidP="008F2103">
      <w:pPr>
        <w:pStyle w:val="Paragraph"/>
        <w:spacing w:line="480" w:lineRule="auto"/>
        <w:ind w:firstLine="270"/>
        <w:rPr>
          <w:i/>
          <w:iCs/>
          <w:color w:val="000000" w:themeColor="text1"/>
          <w:sz w:val="24"/>
          <w:szCs w:val="24"/>
          <w:bdr w:val="none" w:sz="0" w:space="0" w:color="auto"/>
        </w:rPr>
      </w:pPr>
      <m:oMathPara>
        <m:oMath>
          <m:r>
            <w:rPr>
              <w:rFonts w:ascii="Cambria Math" w:hAnsi="Cambria Math"/>
              <w:color w:val="000000" w:themeColor="text1"/>
              <w:sz w:val="24"/>
              <w:szCs w:val="24"/>
            </w:rPr>
            <m:t>O=1-</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s</m:t>
              </m:r>
            </m:num>
            <m:den>
              <m:r>
                <w:rPr>
                  <w:rFonts w:ascii="Cambria Math" w:hAnsi="Cambria Math"/>
                  <w:color w:val="000000" w:themeColor="text1"/>
                  <w:sz w:val="24"/>
                  <w:szCs w:val="24"/>
                </w:rPr>
                <m:t>a</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ms-s</m:t>
              </m:r>
            </m:num>
            <m:den>
              <m:r>
                <w:rPr>
                  <w:rFonts w:ascii="Cambria Math" w:hAnsi="Cambria Math"/>
                  <w:color w:val="000000" w:themeColor="text1"/>
                  <w:sz w:val="24"/>
                  <w:szCs w:val="24"/>
                </w:rPr>
                <m:t>m</m:t>
              </m:r>
              <m:r>
                <m:rPr>
                  <m:nor/>
                </m:rPr>
                <w:rPr>
                  <w:rFonts w:ascii="Cambria Math" w:hAnsi="Cambria Math"/>
                  <w:i/>
                  <w:iCs/>
                  <w:color w:val="000000" w:themeColor="text1"/>
                  <w:sz w:val="24"/>
                  <w:szCs w:val="24"/>
                </w:rPr>
                <m:t>s</m:t>
              </m:r>
            </m:den>
          </m:f>
          <m:r>
            <w:rPr>
              <w:rFonts w:ascii="Cambria Math" w:hAnsi="Cambria Math"/>
              <w:color w:val="000000" w:themeColor="text1"/>
              <w:sz w:val="24"/>
              <w:szCs w:val="24"/>
            </w:rPr>
            <m:t>⇒O=</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m-1</m:t>
              </m:r>
            </m:num>
            <m:den>
              <m:r>
                <w:rPr>
                  <w:rFonts w:ascii="Cambria Math" w:hAnsi="Cambria Math"/>
                  <w:color w:val="000000" w:themeColor="text1"/>
                  <w:sz w:val="24"/>
                  <w:szCs w:val="24"/>
                </w:rPr>
                <m:t>m</m:t>
              </m:r>
            </m:den>
          </m:f>
          <m:r>
            <w:rPr>
              <w:rFonts w:ascii="Cambria Math" w:hAnsi="Cambria Math"/>
              <w:color w:val="000000" w:themeColor="text1"/>
              <w:sz w:val="24"/>
              <w:szCs w:val="24"/>
            </w:rPr>
            <m:t xml:space="preserve">   (S6)</m:t>
          </m:r>
        </m:oMath>
      </m:oMathPara>
    </w:p>
    <w:p w14:paraId="5D999AE9" w14:textId="68D8CDB6" w:rsidR="002A2D2E" w:rsidRPr="002A2D2E" w:rsidRDefault="008F2103" w:rsidP="002A2D2E">
      <w:pPr>
        <w:pStyle w:val="Paragraph"/>
        <w:spacing w:line="480" w:lineRule="auto"/>
        <w:ind w:firstLine="270"/>
        <w:rPr>
          <w:color w:val="000000" w:themeColor="text1"/>
          <w:sz w:val="24"/>
          <w:szCs w:val="24"/>
          <w:bdr w:val="none" w:sz="0" w:space="0" w:color="auto"/>
        </w:rPr>
      </w:pPr>
      <w:r>
        <w:rPr>
          <w:color w:val="000000" w:themeColor="text1"/>
          <w:sz w:val="24"/>
          <w:szCs w:val="24"/>
        </w:rPr>
        <w:t xml:space="preserve">To account for the </w:t>
      </w:r>
      <w:r w:rsidR="00DC1359">
        <w:rPr>
          <w:color w:val="000000" w:themeColor="text1"/>
          <w:sz w:val="24"/>
          <w:szCs w:val="24"/>
        </w:rPr>
        <w:t xml:space="preserve">disk-shaped beam employed in our simulations and most likely used in reality, we multiply our result with the ratio of the area of a disk of radius </w:t>
      </w:r>
      <m:oMath>
        <m:r>
          <w:rPr>
            <w:rFonts w:ascii="Cambria Math" w:hAnsi="Cambria Math"/>
            <w:color w:val="000000" w:themeColor="text1"/>
            <w:sz w:val="24"/>
            <w:szCs w:val="24"/>
          </w:rPr>
          <m:t>R</m:t>
        </m:r>
      </m:oMath>
      <w:r w:rsidR="00DC1359">
        <w:rPr>
          <w:color w:val="000000" w:themeColor="text1"/>
          <w:sz w:val="24"/>
          <w:szCs w:val="24"/>
        </w:rPr>
        <w:t xml:space="preserve"> to the area of a square of side </w:t>
      </w:r>
      <m:oMath>
        <m:r>
          <w:rPr>
            <w:rFonts w:ascii="Cambria Math" w:hAnsi="Cambria Math"/>
            <w:color w:val="000000" w:themeColor="text1"/>
            <w:sz w:val="24"/>
            <w:szCs w:val="24"/>
          </w:rPr>
          <m:t>a=2R</m:t>
        </m:r>
      </m:oMath>
      <w:r w:rsidR="006D63D8">
        <w:rPr>
          <w:color w:val="000000" w:themeColor="text1"/>
          <w:sz w:val="24"/>
          <w:szCs w:val="24"/>
        </w:rPr>
        <w:t>, which is</w:t>
      </w:r>
      <w:r w:rsidR="002936AF">
        <w:rPr>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ratio</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R</m:t>
                </m:r>
              </m:e>
              <m:sup>
                <m:r>
                  <w:rPr>
                    <w:rFonts w:ascii="Cambria Math" w:hAnsi="Cambria Math"/>
                    <w:color w:val="000000" w:themeColor="text1"/>
                    <w:sz w:val="24"/>
                    <w:szCs w:val="24"/>
                  </w:rPr>
                  <m:t>2</m:t>
                </m:r>
              </m:sup>
            </m:sSup>
          </m:num>
          <m:den>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2R</m:t>
                    </m:r>
                  </m:e>
                </m:d>
              </m:e>
              <m:sup>
                <m:r>
                  <w:rPr>
                    <w:rFonts w:ascii="Cambria Math" w:hAnsi="Cambria Math"/>
                    <w:color w:val="000000" w:themeColor="text1"/>
                    <w:sz w:val="24"/>
                    <w:szCs w:val="24"/>
                  </w:rPr>
                  <m:t>2</m:t>
                </m:r>
              </m:sup>
            </m:sSup>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4</m:t>
            </m:r>
          </m:den>
        </m:f>
        <m:r>
          <w:rPr>
            <w:rFonts w:ascii="Cambria Math" w:hAnsi="Cambria Math"/>
            <w:color w:val="000000" w:themeColor="text1"/>
            <w:sz w:val="24"/>
            <w:szCs w:val="24"/>
          </w:rPr>
          <m:t>=</m:t>
        </m:r>
      </m:oMath>
      <w:r w:rsidR="006D63D8">
        <w:rPr>
          <w:color w:val="000000" w:themeColor="text1"/>
          <w:sz w:val="24"/>
          <w:szCs w:val="24"/>
        </w:rPr>
        <w:t xml:space="preserve"> 0.786</w:t>
      </w:r>
      <w:r w:rsidR="00DC1359">
        <w:rPr>
          <w:color w:val="000000" w:themeColor="text1"/>
          <w:sz w:val="24"/>
          <w:szCs w:val="24"/>
        </w:rPr>
        <w:t xml:space="preserve">. We compare the result obtained from our simple approach to the calculation of the series in </w:t>
      </w:r>
      <w:r w:rsidR="00DC1359" w:rsidRPr="00DC1359">
        <w:rPr>
          <w:b/>
          <w:bCs/>
          <w:color w:val="000000" w:themeColor="text1"/>
          <w:sz w:val="24"/>
          <w:szCs w:val="24"/>
        </w:rPr>
        <w:t>Fig. S2</w:t>
      </w:r>
      <w:r w:rsidR="00DC1359">
        <w:rPr>
          <w:color w:val="000000" w:themeColor="text1"/>
          <w:sz w:val="24"/>
          <w:szCs w:val="24"/>
        </w:rPr>
        <w:t>.</w:t>
      </w:r>
      <w:r w:rsidR="00EA5E82">
        <w:rPr>
          <w:color w:val="000000" w:themeColor="text1"/>
          <w:sz w:val="24"/>
          <w:szCs w:val="24"/>
        </w:rPr>
        <w:t xml:space="preserve"> </w:t>
      </w:r>
      <w:r w:rsidR="008F52FC">
        <w:rPr>
          <w:color w:val="000000" w:themeColor="text1"/>
          <w:sz w:val="24"/>
          <w:szCs w:val="24"/>
        </w:rPr>
        <w:t xml:space="preserve">Each </w:t>
      </w:r>
      <w:r w:rsidR="006D63D8">
        <w:rPr>
          <w:color w:val="000000" w:themeColor="text1"/>
          <w:sz w:val="24"/>
          <w:szCs w:val="24"/>
        </w:rPr>
        <w:t xml:space="preserve">transparent blue </w:t>
      </w:r>
      <w:r w:rsidR="008F52FC">
        <w:rPr>
          <w:color w:val="000000" w:themeColor="text1"/>
          <w:sz w:val="24"/>
          <w:szCs w:val="24"/>
        </w:rPr>
        <w:t xml:space="preserve">disk-shaped marker plotted in </w:t>
      </w:r>
      <w:r w:rsidR="00EA5E82" w:rsidRPr="008F52FC">
        <w:rPr>
          <w:b/>
          <w:bCs/>
          <w:color w:val="000000" w:themeColor="text1"/>
          <w:sz w:val="24"/>
          <w:szCs w:val="24"/>
        </w:rPr>
        <w:t>Fig. S2a)</w:t>
      </w:r>
      <w:r w:rsidR="008F52FC">
        <w:rPr>
          <w:color w:val="000000" w:themeColor="text1"/>
          <w:sz w:val="24"/>
          <w:szCs w:val="24"/>
        </w:rPr>
        <w:t xml:space="preserve"> was calculated using </w:t>
      </w:r>
      <w:r w:rsidR="008F52FC" w:rsidRPr="002A2D2E">
        <w:rPr>
          <w:b/>
          <w:bCs/>
          <w:color w:val="000000" w:themeColor="text1"/>
          <w:sz w:val="24"/>
          <w:szCs w:val="24"/>
        </w:rPr>
        <w:t>Eq. (S6)</w:t>
      </w:r>
      <w:r w:rsidR="008F52FC">
        <w:rPr>
          <w:color w:val="000000" w:themeColor="text1"/>
          <w:sz w:val="24"/>
          <w:szCs w:val="24"/>
        </w:rPr>
        <w:t xml:space="preserve"> for each integer value of </w:t>
      </w:r>
      <m:oMath>
        <m:r>
          <w:rPr>
            <w:rFonts w:ascii="Cambria Math" w:hAnsi="Cambria Math"/>
            <w:color w:val="000000" w:themeColor="text1"/>
            <w:sz w:val="24"/>
            <w:szCs w:val="24"/>
            <w:bdr w:val="none" w:sz="0" w:space="0" w:color="auto"/>
          </w:rPr>
          <m:t>m≤10</m:t>
        </m:r>
      </m:oMath>
      <w:r w:rsidR="002A2D2E">
        <w:rPr>
          <w:color w:val="000000" w:themeColor="text1"/>
          <w:sz w:val="24"/>
          <w:szCs w:val="24"/>
          <w:bdr w:val="none" w:sz="0" w:space="0" w:color="auto"/>
        </w:rPr>
        <w:t xml:space="preserve"> and the result was multiplied with the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ratio</m:t>
            </m:r>
          </m:sub>
        </m:sSub>
      </m:oMath>
      <w:r w:rsidR="008F52FC">
        <w:rPr>
          <w:color w:val="000000" w:themeColor="text1"/>
          <w:sz w:val="24"/>
          <w:szCs w:val="24"/>
          <w:bdr w:val="none" w:sz="0" w:space="0" w:color="auto"/>
        </w:rPr>
        <w:t xml:space="preserve">. Similarly, the blue disk markers were calculated with the use of </w:t>
      </w:r>
      <w:r w:rsidR="008F52FC" w:rsidRPr="002A2D2E">
        <w:rPr>
          <w:b/>
          <w:bCs/>
          <w:color w:val="000000" w:themeColor="text1"/>
          <w:sz w:val="24"/>
          <w:szCs w:val="24"/>
          <w:bdr w:val="none" w:sz="0" w:space="0" w:color="auto"/>
        </w:rPr>
        <w:t>Eq. (S1)</w:t>
      </w:r>
      <w:r w:rsidR="008F52FC">
        <w:rPr>
          <w:color w:val="000000" w:themeColor="text1"/>
          <w:sz w:val="24"/>
          <w:szCs w:val="24"/>
          <w:bdr w:val="none" w:sz="0" w:space="0" w:color="auto"/>
        </w:rPr>
        <w:t xml:space="preserve">, </w:t>
      </w:r>
      <w:r w:rsidR="00286D79">
        <w:rPr>
          <w:color w:val="000000" w:themeColor="text1"/>
          <w:sz w:val="24"/>
          <w:szCs w:val="24"/>
          <w:bdr w:val="none" w:sz="0" w:space="0" w:color="auto"/>
        </w:rPr>
        <w:t>after iteratively summing each area of overlapping beam-disks. This means that for each pair of disks, the distance of their centers is calculated and compared with the disk diameter</w:t>
      </w:r>
      <w:r w:rsidR="00117829">
        <w:rPr>
          <w:color w:val="000000" w:themeColor="text1"/>
          <w:sz w:val="24"/>
          <w:szCs w:val="24"/>
          <w:bdr w:val="none" w:sz="0" w:space="0" w:color="auto"/>
        </w:rPr>
        <w:t>, s</w:t>
      </w:r>
      <w:r w:rsidR="006D63D8">
        <w:rPr>
          <w:color w:val="000000" w:themeColor="text1"/>
          <w:sz w:val="24"/>
          <w:szCs w:val="24"/>
          <w:bdr w:val="none" w:sz="0" w:space="0" w:color="auto"/>
        </w:rPr>
        <w:t>o that</w:t>
      </w:r>
      <w:r w:rsidR="00117829">
        <w:rPr>
          <w:color w:val="000000" w:themeColor="text1"/>
          <w:sz w:val="24"/>
          <w:szCs w:val="24"/>
          <w:bdr w:val="none" w:sz="0" w:space="0" w:color="auto"/>
        </w:rPr>
        <w:t xml:space="preserve"> for every pair </w:t>
      </w:r>
      <w:r w:rsidR="006D63D8">
        <w:rPr>
          <w:color w:val="000000" w:themeColor="text1"/>
          <w:sz w:val="24"/>
          <w:szCs w:val="24"/>
          <w:bdr w:val="none" w:sz="0" w:space="0" w:color="auto"/>
        </w:rPr>
        <w:t>the</w:t>
      </w:r>
      <w:r w:rsidR="00117829">
        <w:rPr>
          <w:color w:val="000000" w:themeColor="text1"/>
          <w:sz w:val="24"/>
          <w:szCs w:val="24"/>
          <w:bdr w:val="none" w:sz="0" w:space="0" w:color="auto"/>
        </w:rPr>
        <w:t xml:space="preserve"> distance is smaller than the beam diameter, </w:t>
      </w:r>
      <m:oMath>
        <m:d>
          <m:dPr>
            <m:ctrlPr>
              <w:rPr>
                <w:rFonts w:ascii="Cambria Math" w:hAnsi="Cambria Math"/>
                <w:i/>
                <w:color w:val="000000" w:themeColor="text1"/>
                <w:sz w:val="24"/>
                <w:szCs w:val="24"/>
                <w:bdr w:val="none" w:sz="0" w:space="0" w:color="auto"/>
              </w:rPr>
            </m:ctrlPr>
          </m:dPr>
          <m:e>
            <m:r>
              <w:rPr>
                <w:rFonts w:ascii="Cambria Math" w:hAnsi="Cambria Math"/>
                <w:color w:val="000000" w:themeColor="text1"/>
              </w:rPr>
              <m:t>O</m:t>
            </m:r>
            <m:sSup>
              <m:sSupPr>
                <m:ctrlPr>
                  <w:rPr>
                    <w:rFonts w:ascii="Cambria Math" w:hAnsi="Cambria Math"/>
                    <w:i/>
                    <w:color w:val="000000" w:themeColor="text1"/>
                  </w:rPr>
                </m:ctrlPr>
              </m:sSupPr>
              <m:e>
                <m:r>
                  <w:rPr>
                    <w:rFonts w:ascii="Cambria Math" w:hAnsi="Cambria Math"/>
                    <w:color w:val="000000" w:themeColor="text1"/>
                  </w:rPr>
                  <m:t>O</m:t>
                </m:r>
              </m:e>
              <m:sup>
                <m:r>
                  <w:rPr>
                    <w:rFonts w:ascii="Cambria Math" w:hAnsi="Cambria Math"/>
                    <w:color w:val="000000" w:themeColor="text1"/>
                  </w:rPr>
                  <m:t>'</m:t>
                </m:r>
              </m:sup>
            </m:sSup>
          </m:e>
        </m:d>
        <m:r>
          <w:rPr>
            <w:rFonts w:ascii="Cambria Math" w:hAnsi="Cambria Math"/>
            <w:color w:val="000000" w:themeColor="text1"/>
            <w:sz w:val="24"/>
            <w:szCs w:val="24"/>
            <w:bdr w:val="none" w:sz="0" w:space="0" w:color="auto"/>
          </w:rPr>
          <m:t>&lt;2R</m:t>
        </m:r>
      </m:oMath>
      <w:r w:rsidR="00117829">
        <w:rPr>
          <w:color w:val="000000" w:themeColor="text1"/>
          <w:sz w:val="24"/>
          <w:szCs w:val="24"/>
          <w:bdr w:val="none" w:sz="0" w:space="0" w:color="auto"/>
        </w:rPr>
        <w:t xml:space="preserve">, the overlapping area is added to the </w:t>
      </w:r>
      <w:r w:rsidR="006D63D8">
        <w:rPr>
          <w:color w:val="000000" w:themeColor="text1"/>
          <w:sz w:val="24"/>
          <w:szCs w:val="24"/>
          <w:bdr w:val="none" w:sz="0" w:space="0" w:color="auto"/>
        </w:rPr>
        <w:t>total area.</w:t>
      </w:r>
    </w:p>
    <w:p w14:paraId="1E08CBE3" w14:textId="2FABD0A8" w:rsidR="008F2103" w:rsidRDefault="002936AF" w:rsidP="00154059">
      <w:pPr>
        <w:pStyle w:val="Paragraph"/>
        <w:spacing w:line="480" w:lineRule="auto"/>
        <w:ind w:firstLine="270"/>
        <w:rPr>
          <w:color w:val="000000" w:themeColor="text1"/>
          <w:sz w:val="24"/>
          <w:szCs w:val="24"/>
        </w:rPr>
      </w:pPr>
      <w:r>
        <w:rPr>
          <w:noProof/>
          <w:color w:val="000000" w:themeColor="text1"/>
          <w:sz w:val="24"/>
          <w:szCs w:val="24"/>
        </w:rPr>
        <w:drawing>
          <wp:inline distT="0" distB="0" distL="0" distR="0" wp14:anchorId="1CE710FC" wp14:editId="6096FC0D">
            <wp:extent cx="5757334" cy="2284481"/>
            <wp:effectExtent l="0" t="0" r="0" b="0"/>
            <wp:docPr id="1301605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0504" name="Picture 1301605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0978" cy="2289895"/>
                    </a:xfrm>
                    <a:prstGeom prst="rect">
                      <a:avLst/>
                    </a:prstGeom>
                  </pic:spPr>
                </pic:pic>
              </a:graphicData>
            </a:graphic>
          </wp:inline>
        </w:drawing>
      </w:r>
    </w:p>
    <w:p w14:paraId="03C996F6" w14:textId="6A097223" w:rsidR="00E0016E" w:rsidRPr="00CE5C37" w:rsidRDefault="00E0016E" w:rsidP="00E0016E">
      <w:pPr>
        <w:pStyle w:val="FigureCaption"/>
        <w:rPr>
          <w:color w:val="000000" w:themeColor="text1"/>
          <w:sz w:val="22"/>
          <w:szCs w:val="22"/>
        </w:rPr>
      </w:pPr>
      <w:r w:rsidRPr="00663318">
        <w:rPr>
          <w:b/>
          <w:bCs/>
          <w:color w:val="000000" w:themeColor="text1"/>
          <w:sz w:val="22"/>
          <w:szCs w:val="22"/>
        </w:rPr>
        <w:t>Figure S2.</w:t>
      </w:r>
      <w:r w:rsidRPr="00663318">
        <w:rPr>
          <w:color w:val="000000" w:themeColor="text1"/>
          <w:sz w:val="22"/>
          <w:szCs w:val="22"/>
        </w:rPr>
        <w:t xml:space="preserve"> a) Value of overlap as a function of the ratio of the beam </w:t>
      </w:r>
      <w:r w:rsidR="00663318" w:rsidRPr="00663318">
        <w:rPr>
          <w:color w:val="000000" w:themeColor="text1"/>
          <w:sz w:val="22"/>
          <w:szCs w:val="22"/>
        </w:rPr>
        <w:t>size</w:t>
      </w:r>
      <w:r w:rsidRPr="00663318">
        <w:rPr>
          <w:color w:val="000000" w:themeColor="text1"/>
          <w:sz w:val="22"/>
          <w:szCs w:val="22"/>
        </w:rPr>
        <w:t xml:space="preserve"> over the step size. </w:t>
      </w:r>
      <w:r w:rsidR="00663318" w:rsidRPr="00663318">
        <w:rPr>
          <w:color w:val="000000" w:themeColor="text1"/>
          <w:sz w:val="22"/>
          <w:szCs w:val="22"/>
        </w:rPr>
        <w:t xml:space="preserve">Smaller step sizes mean that a larger number of steps </w:t>
      </w:r>
      <m:oMath>
        <m:r>
          <w:rPr>
            <w:rFonts w:ascii="Cambria Math" w:hAnsi="Cambria Math"/>
            <w:color w:val="000000" w:themeColor="text1"/>
            <w:sz w:val="24"/>
            <w:szCs w:val="24"/>
            <w:bdr w:val="none" w:sz="0" w:space="0" w:color="auto"/>
          </w:rPr>
          <m:t>m</m:t>
        </m:r>
      </m:oMath>
      <w:r w:rsidR="00663318" w:rsidRPr="00663318">
        <w:rPr>
          <w:color w:val="000000" w:themeColor="text1"/>
          <w:sz w:val="24"/>
          <w:szCs w:val="24"/>
          <w:bdr w:val="none" w:sz="0" w:space="0" w:color="auto"/>
        </w:rPr>
        <w:t xml:space="preserve"> </w:t>
      </w:r>
      <w:r w:rsidR="00663318" w:rsidRPr="00663318">
        <w:rPr>
          <w:color w:val="000000" w:themeColor="text1"/>
          <w:sz w:val="22"/>
          <w:szCs w:val="22"/>
        </w:rPr>
        <w:t xml:space="preserve">is needed for the illumination to exit the central area shown in </w:t>
      </w:r>
      <w:r w:rsidR="00663318" w:rsidRPr="00663318">
        <w:rPr>
          <w:b/>
          <w:bCs/>
          <w:color w:val="000000" w:themeColor="text1"/>
          <w:sz w:val="22"/>
          <w:szCs w:val="22"/>
        </w:rPr>
        <w:t>Fig. S1b)</w:t>
      </w:r>
      <w:r w:rsidR="00663318" w:rsidRPr="00663318">
        <w:rPr>
          <w:color w:val="000000" w:themeColor="text1"/>
          <w:sz w:val="22"/>
          <w:szCs w:val="22"/>
        </w:rPr>
        <w:t>-</w:t>
      </w:r>
      <w:r w:rsidR="00663318" w:rsidRPr="00663318">
        <w:rPr>
          <w:b/>
          <w:bCs/>
          <w:color w:val="000000" w:themeColor="text1"/>
          <w:sz w:val="22"/>
          <w:szCs w:val="22"/>
        </w:rPr>
        <w:t>c)</w:t>
      </w:r>
      <w:r w:rsidR="00663318" w:rsidRPr="00663318">
        <w:rPr>
          <w:color w:val="000000" w:themeColor="text1"/>
          <w:sz w:val="22"/>
          <w:szCs w:val="22"/>
        </w:rPr>
        <w:t xml:space="preserve">. </w:t>
      </w:r>
      <w:r w:rsidRPr="00663318">
        <w:rPr>
          <w:color w:val="000000" w:themeColor="text1"/>
          <w:sz w:val="22"/>
          <w:szCs w:val="22"/>
        </w:rPr>
        <w:t xml:space="preserve">b) </w:t>
      </w:r>
      <w:r w:rsidR="00663318" w:rsidRPr="00663318">
        <w:rPr>
          <w:color w:val="000000" w:themeColor="text1"/>
          <w:sz w:val="22"/>
          <w:szCs w:val="22"/>
        </w:rPr>
        <w:t>Dose excess as a function of beam overlap.</w:t>
      </w:r>
      <w:r w:rsidRPr="00663318">
        <w:rPr>
          <w:color w:val="000000" w:themeColor="text1"/>
          <w:sz w:val="22"/>
          <w:szCs w:val="22"/>
        </w:rPr>
        <w:t xml:space="preserve"> </w:t>
      </w:r>
      <w:r w:rsidR="00663318" w:rsidRPr="00663318">
        <w:rPr>
          <w:color w:val="000000" w:themeColor="text1"/>
          <w:sz w:val="22"/>
          <w:szCs w:val="22"/>
        </w:rPr>
        <w:t xml:space="preserve">In both figures, the </w:t>
      </w:r>
      <w:r w:rsidR="002936AF">
        <w:rPr>
          <w:color w:val="000000" w:themeColor="text1"/>
          <w:sz w:val="22"/>
          <w:szCs w:val="22"/>
        </w:rPr>
        <w:t xml:space="preserve">markers correspond to </w:t>
      </w:r>
      <w:r w:rsidR="00663318" w:rsidRPr="00663318">
        <w:rPr>
          <w:color w:val="000000" w:themeColor="text1"/>
          <w:sz w:val="22"/>
          <w:szCs w:val="22"/>
        </w:rPr>
        <w:t xml:space="preserve">values calculated </w:t>
      </w:r>
      <w:r w:rsidR="002936AF">
        <w:rPr>
          <w:color w:val="000000" w:themeColor="text1"/>
          <w:sz w:val="22"/>
          <w:szCs w:val="22"/>
        </w:rPr>
        <w:t xml:space="preserve">for integer values of </w:t>
      </w:r>
      <m:oMath>
        <m:r>
          <w:rPr>
            <w:rFonts w:ascii="Cambria Math" w:hAnsi="Cambria Math"/>
            <w:color w:val="000000" w:themeColor="text1"/>
            <w:sz w:val="24"/>
            <w:szCs w:val="24"/>
          </w:rPr>
          <m:t>m</m:t>
        </m:r>
      </m:oMath>
      <w:r w:rsidR="00663318" w:rsidRPr="00663318">
        <w:rPr>
          <w:color w:val="000000" w:themeColor="text1"/>
          <w:sz w:val="22"/>
          <w:szCs w:val="22"/>
        </w:rPr>
        <w:t xml:space="preserve"> </w:t>
      </w:r>
      <w:r w:rsidR="002936AF">
        <w:rPr>
          <w:color w:val="000000" w:themeColor="text1"/>
          <w:sz w:val="22"/>
          <w:szCs w:val="22"/>
        </w:rPr>
        <w:t>(</w:t>
      </w:r>
      <m:oMath>
        <m:r>
          <w:rPr>
            <w:rFonts w:ascii="Cambria Math" w:hAnsi="Cambria Math"/>
            <w:color w:val="000000" w:themeColor="text1"/>
            <w:sz w:val="24"/>
            <w:szCs w:val="24"/>
          </w:rPr>
          <m:t>m</m:t>
        </m:r>
        <m:r>
          <m:rPr>
            <m:scr m:val="double-struck"/>
          </m:rPr>
          <w:rPr>
            <w:rFonts w:ascii="Cambria Math" w:hAnsi="Cambria Math"/>
            <w:color w:val="000000" w:themeColor="text1"/>
            <w:sz w:val="24"/>
            <w:szCs w:val="24"/>
          </w:rPr>
          <m:t>∈N</m:t>
        </m:r>
      </m:oMath>
      <w:r w:rsidR="002936AF">
        <w:rPr>
          <w:color w:val="000000" w:themeColor="text1"/>
          <w:sz w:val="24"/>
          <w:szCs w:val="24"/>
        </w:rPr>
        <w:t>)</w:t>
      </w:r>
      <w:r w:rsidR="00663318" w:rsidRPr="00663318">
        <w:rPr>
          <w:color w:val="000000" w:themeColor="text1"/>
          <w:sz w:val="24"/>
          <w:szCs w:val="24"/>
        </w:rPr>
        <w:t>.</w:t>
      </w:r>
    </w:p>
    <w:p w14:paraId="3AD1201C" w14:textId="77777777" w:rsidR="00E0016E" w:rsidRPr="00EF6214" w:rsidRDefault="00E0016E" w:rsidP="008F2103">
      <w:pPr>
        <w:pStyle w:val="Paragraph"/>
        <w:spacing w:line="480" w:lineRule="auto"/>
        <w:ind w:firstLine="270"/>
        <w:rPr>
          <w:color w:val="000000" w:themeColor="text1"/>
          <w:sz w:val="24"/>
          <w:szCs w:val="24"/>
          <w:bdr w:val="none" w:sz="0" w:space="0" w:color="auto"/>
        </w:rPr>
      </w:pPr>
    </w:p>
    <w:p w14:paraId="5F2BD3F4" w14:textId="7CC9E022" w:rsidR="00EF6214" w:rsidRPr="00EF6214" w:rsidRDefault="002936AF" w:rsidP="00DF7CFC">
      <w:pPr>
        <w:pStyle w:val="Paragraph"/>
        <w:spacing w:line="480" w:lineRule="auto"/>
        <w:ind w:firstLine="270"/>
        <w:rPr>
          <w:color w:val="000000" w:themeColor="text1"/>
          <w:sz w:val="24"/>
          <w:szCs w:val="24"/>
          <w:bdr w:val="none" w:sz="0" w:space="0" w:color="auto"/>
        </w:rPr>
      </w:pPr>
      <w:r>
        <w:rPr>
          <w:color w:val="000000" w:themeColor="text1"/>
          <w:sz w:val="24"/>
          <w:szCs w:val="24"/>
        </w:rPr>
        <w:lastRenderedPageBreak/>
        <w:t xml:space="preserve">The red curve including the </w:t>
      </w:r>
      <w:r w:rsidR="006D63D8">
        <w:rPr>
          <w:color w:val="000000" w:themeColor="text1"/>
          <w:sz w:val="24"/>
          <w:szCs w:val="24"/>
        </w:rPr>
        <w:t>star marker</w:t>
      </w:r>
      <w:r>
        <w:rPr>
          <w:color w:val="000000" w:themeColor="text1"/>
          <w:sz w:val="24"/>
          <w:szCs w:val="24"/>
        </w:rPr>
        <w:t>s</w:t>
      </w:r>
      <w:r w:rsidR="006D63D8">
        <w:rPr>
          <w:color w:val="000000" w:themeColor="text1"/>
          <w:sz w:val="24"/>
          <w:szCs w:val="24"/>
        </w:rPr>
        <w:t xml:space="preserve"> w</w:t>
      </w:r>
      <w:r>
        <w:rPr>
          <w:color w:val="000000" w:themeColor="text1"/>
          <w:sz w:val="24"/>
          <w:szCs w:val="24"/>
        </w:rPr>
        <w:t>ere</w:t>
      </w:r>
      <w:r w:rsidR="006D63D8">
        <w:rPr>
          <w:color w:val="000000" w:themeColor="text1"/>
          <w:sz w:val="24"/>
          <w:szCs w:val="24"/>
        </w:rPr>
        <w:t xml:space="preserve"> obtained using </w:t>
      </w:r>
      <w:r w:rsidR="006D63D8" w:rsidRPr="002A2D2E">
        <w:rPr>
          <w:b/>
          <w:bCs/>
          <w:color w:val="000000" w:themeColor="text1"/>
          <w:sz w:val="24"/>
          <w:szCs w:val="24"/>
        </w:rPr>
        <w:t>Eq. (S5)</w:t>
      </w:r>
      <w:r w:rsidR="006D63D8">
        <w:rPr>
          <w:color w:val="000000" w:themeColor="text1"/>
          <w:sz w:val="24"/>
          <w:szCs w:val="24"/>
        </w:rPr>
        <w:t xml:space="preserve"> for the case of a square-shaped illumination and multiplied with </w:t>
      </w:r>
      <w:r>
        <w:rPr>
          <w:color w:val="000000" w:themeColor="text1"/>
          <w:sz w:val="24"/>
          <w:szCs w:val="24"/>
        </w:rPr>
        <w:t>0.786 as explained previously.</w:t>
      </w:r>
      <w:r w:rsidR="006D63D8">
        <w:rPr>
          <w:color w:val="000000" w:themeColor="text1"/>
          <w:sz w:val="24"/>
          <w:szCs w:val="24"/>
        </w:rPr>
        <w:t xml:space="preserve"> </w:t>
      </w:r>
      <w:r w:rsidR="00663318">
        <w:rPr>
          <w:color w:val="000000" w:themeColor="text1"/>
          <w:sz w:val="24"/>
          <w:szCs w:val="24"/>
        </w:rPr>
        <w:t xml:space="preserve">The result </w:t>
      </w:r>
      <w:r w:rsidR="00597560">
        <w:rPr>
          <w:color w:val="000000" w:themeColor="text1"/>
          <w:sz w:val="24"/>
          <w:szCs w:val="24"/>
        </w:rPr>
        <w:t xml:space="preserve">is a direct comparison between the typical scanning mode of SEM where there is no overlap for adjacent illuminated regions of the specimen and ptychography scans with different values of overlap between adjacent beams. </w:t>
      </w:r>
      <w:r w:rsidR="00A06971">
        <w:rPr>
          <w:color w:val="000000" w:themeColor="text1"/>
          <w:sz w:val="24"/>
          <w:szCs w:val="24"/>
        </w:rPr>
        <w:t>Thus,</w:t>
      </w:r>
      <w:r w:rsidR="00597560">
        <w:rPr>
          <w:color w:val="000000" w:themeColor="text1"/>
          <w:sz w:val="24"/>
          <w:szCs w:val="24"/>
        </w:rPr>
        <w:t xml:space="preserve"> a ptychography scan will deposit total doses multiple times larger than those in SEM for the same </w:t>
      </w:r>
      <w:r w:rsidR="00154059">
        <w:rPr>
          <w:color w:val="000000" w:themeColor="text1"/>
          <w:sz w:val="24"/>
          <w:szCs w:val="24"/>
        </w:rPr>
        <w:t xml:space="preserve">levels of </w:t>
      </w:r>
      <w:r w:rsidR="00597560">
        <w:rPr>
          <w:color w:val="000000" w:themeColor="text1"/>
          <w:sz w:val="24"/>
          <w:szCs w:val="24"/>
        </w:rPr>
        <w:t>exposure</w:t>
      </w:r>
      <w:r w:rsidR="00154059">
        <w:rPr>
          <w:color w:val="000000" w:themeColor="text1"/>
          <w:sz w:val="24"/>
          <w:szCs w:val="24"/>
        </w:rPr>
        <w:t xml:space="preserve"> per illumination</w:t>
      </w:r>
      <w:r w:rsidR="00597560">
        <w:rPr>
          <w:color w:val="000000" w:themeColor="text1"/>
          <w:sz w:val="24"/>
          <w:szCs w:val="24"/>
        </w:rPr>
        <w:t xml:space="preserve">, </w:t>
      </w:r>
      <w:r w:rsidR="00A06971">
        <w:rPr>
          <w:color w:val="000000" w:themeColor="text1"/>
          <w:sz w:val="24"/>
          <w:szCs w:val="24"/>
        </w:rPr>
        <w:t>so</w:t>
      </w:r>
      <w:r w:rsidR="00597560">
        <w:rPr>
          <w:color w:val="000000" w:themeColor="text1"/>
          <w:sz w:val="24"/>
          <w:szCs w:val="24"/>
        </w:rPr>
        <w:t xml:space="preserve"> in order to keep the value of the total deposited dose equal, the </w:t>
      </w:r>
      <w:r w:rsidR="00154059">
        <w:rPr>
          <w:color w:val="000000" w:themeColor="text1"/>
          <w:sz w:val="24"/>
          <w:szCs w:val="24"/>
        </w:rPr>
        <w:t xml:space="preserve">exposure </w:t>
      </w:r>
      <w:r w:rsidR="008D76DF">
        <w:rPr>
          <w:color w:val="000000" w:themeColor="text1"/>
          <w:sz w:val="24"/>
          <w:szCs w:val="24"/>
        </w:rPr>
        <w:t>for</w:t>
      </w:r>
      <w:r w:rsidR="00154059">
        <w:rPr>
          <w:color w:val="000000" w:themeColor="text1"/>
          <w:sz w:val="24"/>
          <w:szCs w:val="24"/>
        </w:rPr>
        <w:t xml:space="preserve"> each </w:t>
      </w:r>
      <w:r w:rsidR="008D76DF">
        <w:rPr>
          <w:color w:val="000000" w:themeColor="text1"/>
          <w:sz w:val="24"/>
          <w:szCs w:val="24"/>
        </w:rPr>
        <w:t xml:space="preserve">ptychography </w:t>
      </w:r>
      <w:r w:rsidR="00597560">
        <w:rPr>
          <w:color w:val="000000" w:themeColor="text1"/>
          <w:sz w:val="24"/>
          <w:szCs w:val="24"/>
        </w:rPr>
        <w:t xml:space="preserve">diffraction pattern should be reduced. </w:t>
      </w:r>
    </w:p>
    <w:p w14:paraId="1F6E7220" w14:textId="2A33FF79" w:rsidR="00EF6214" w:rsidRDefault="00EF6214" w:rsidP="000B6FF7">
      <w:pPr>
        <w:pStyle w:val="Paragraph"/>
        <w:spacing w:line="480" w:lineRule="auto"/>
        <w:ind w:firstLine="0"/>
        <w:rPr>
          <w:b/>
          <w:bCs/>
          <w:color w:val="000000" w:themeColor="text1"/>
          <w:sz w:val="24"/>
          <w:szCs w:val="24"/>
        </w:rPr>
      </w:pPr>
    </w:p>
    <w:p w14:paraId="53CC6729" w14:textId="737F2E52" w:rsidR="00892622" w:rsidRDefault="00892622" w:rsidP="00DF7CFC">
      <w:pPr>
        <w:pStyle w:val="Paragraph"/>
        <w:numPr>
          <w:ilvl w:val="0"/>
          <w:numId w:val="4"/>
        </w:numPr>
        <w:spacing w:line="480" w:lineRule="auto"/>
        <w:jc w:val="left"/>
        <w:rPr>
          <w:b/>
          <w:bCs/>
          <w:color w:val="000000" w:themeColor="text1"/>
          <w:sz w:val="24"/>
          <w:szCs w:val="24"/>
        </w:rPr>
      </w:pPr>
      <w:r>
        <w:rPr>
          <w:b/>
          <w:bCs/>
          <w:color w:val="000000" w:themeColor="text1"/>
          <w:sz w:val="24"/>
          <w:szCs w:val="24"/>
        </w:rPr>
        <w:t>Aberrated and aberration-corrected HRTEM</w:t>
      </w:r>
    </w:p>
    <w:p w14:paraId="040F06C6" w14:textId="77777777" w:rsidR="00892622" w:rsidRDefault="00892622" w:rsidP="00892622">
      <w:pPr>
        <w:pStyle w:val="FigureCaption"/>
        <w:rPr>
          <w:b/>
          <w:bCs/>
          <w:color w:val="000000" w:themeColor="text1"/>
          <w:sz w:val="24"/>
          <w:szCs w:val="24"/>
        </w:rPr>
      </w:pPr>
      <w:r>
        <w:rPr>
          <w:b/>
          <w:bCs/>
          <w:noProof/>
          <w:color w:val="000000" w:themeColor="text1"/>
          <w:sz w:val="24"/>
          <w:szCs w:val="24"/>
        </w:rPr>
        <w:drawing>
          <wp:inline distT="0" distB="0" distL="0" distR="0" wp14:anchorId="46C24B3F" wp14:editId="26CD97BD">
            <wp:extent cx="5943600" cy="1993265"/>
            <wp:effectExtent l="0" t="0" r="0" b="635"/>
            <wp:docPr id="1844756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56027" name="Picture 1844756027"/>
                    <pic:cNvPicPr/>
                  </pic:nvPicPr>
                  <pic:blipFill>
                    <a:blip r:embed="rId9"/>
                    <a:stretch>
                      <a:fillRect/>
                    </a:stretch>
                  </pic:blipFill>
                  <pic:spPr>
                    <a:xfrm>
                      <a:off x="0" y="0"/>
                      <a:ext cx="5943600" cy="1993265"/>
                    </a:xfrm>
                    <a:prstGeom prst="rect">
                      <a:avLst/>
                    </a:prstGeom>
                  </pic:spPr>
                </pic:pic>
              </a:graphicData>
            </a:graphic>
          </wp:inline>
        </w:drawing>
      </w:r>
    </w:p>
    <w:p w14:paraId="4F838ADB" w14:textId="77777777" w:rsidR="00892622" w:rsidRPr="00E4347D" w:rsidRDefault="00892622" w:rsidP="00892622">
      <w:pPr>
        <w:pStyle w:val="Paragraph"/>
        <w:ind w:left="360" w:firstLine="0"/>
      </w:pPr>
    </w:p>
    <w:p w14:paraId="0472E4DB" w14:textId="7BE34B53" w:rsidR="00892622" w:rsidRPr="00892622" w:rsidRDefault="00892622" w:rsidP="00892622">
      <w:pPr>
        <w:pStyle w:val="FigureCaption"/>
        <w:rPr>
          <w:b/>
          <w:bCs/>
          <w:color w:val="000000" w:themeColor="text1"/>
          <w:sz w:val="22"/>
          <w:szCs w:val="22"/>
        </w:rPr>
      </w:pPr>
      <w:r w:rsidRPr="00892622">
        <w:rPr>
          <w:b/>
          <w:bCs/>
          <w:color w:val="000000" w:themeColor="text1"/>
          <w:sz w:val="22"/>
          <w:szCs w:val="22"/>
        </w:rPr>
        <w:t xml:space="preserve">Figure </w:t>
      </w:r>
      <w:r>
        <w:rPr>
          <w:b/>
          <w:bCs/>
          <w:color w:val="000000" w:themeColor="text1"/>
          <w:sz w:val="22"/>
          <w:szCs w:val="22"/>
        </w:rPr>
        <w:t>S</w:t>
      </w:r>
      <w:r w:rsidR="00D05F7F">
        <w:rPr>
          <w:b/>
          <w:bCs/>
          <w:color w:val="000000" w:themeColor="text1"/>
          <w:sz w:val="22"/>
          <w:szCs w:val="22"/>
        </w:rPr>
        <w:t>3</w:t>
      </w:r>
      <w:r w:rsidRPr="00892622">
        <w:rPr>
          <w:b/>
          <w:bCs/>
          <w:color w:val="000000" w:themeColor="text1"/>
          <w:sz w:val="22"/>
          <w:szCs w:val="22"/>
        </w:rPr>
        <w:t>.</w:t>
      </w:r>
      <w:r w:rsidRPr="00892622">
        <w:rPr>
          <w:color w:val="000000" w:themeColor="text1"/>
          <w:sz w:val="22"/>
          <w:szCs w:val="22"/>
        </w:rPr>
        <w:t xml:space="preserve"> a) Contrast transfer function for a lens with (C</w:t>
      </w:r>
      <w:r w:rsidRPr="00892622">
        <w:rPr>
          <w:color w:val="000000" w:themeColor="text1"/>
          <w:sz w:val="22"/>
          <w:szCs w:val="22"/>
          <w:vertAlign w:val="subscript"/>
        </w:rPr>
        <w:t>s</w:t>
      </w:r>
      <w:r w:rsidRPr="00892622">
        <w:rPr>
          <w:color w:val="000000" w:themeColor="text1"/>
          <w:sz w:val="22"/>
          <w:szCs w:val="22"/>
        </w:rPr>
        <w:t>=7</w:t>
      </w:r>
      <w:r w:rsidRPr="00892622">
        <w:rPr>
          <w:color w:val="000000" w:themeColor="text1"/>
          <w:sz w:val="22"/>
          <w:szCs w:val="22"/>
        </w:rPr>
        <w:sym w:font="Symbol" w:char="F0B4"/>
      </w:r>
      <w:r w:rsidRPr="00892622">
        <w:rPr>
          <w:color w:val="000000" w:themeColor="text1"/>
          <w:sz w:val="22"/>
          <w:szCs w:val="22"/>
        </w:rPr>
        <w:t>10</w:t>
      </w:r>
      <w:r w:rsidRPr="00892622">
        <w:rPr>
          <w:color w:val="000000" w:themeColor="text1"/>
          <w:sz w:val="22"/>
          <w:szCs w:val="22"/>
          <w:vertAlign w:val="superscript"/>
        </w:rPr>
        <w:t>-3</w:t>
      </w:r>
      <w:r w:rsidRPr="00892622">
        <w:rPr>
          <w:color w:val="000000" w:themeColor="text1"/>
          <w:sz w:val="22"/>
          <w:szCs w:val="22"/>
        </w:rPr>
        <w:t xml:space="preserve"> mm) and without (C</w:t>
      </w:r>
      <w:r w:rsidRPr="00892622">
        <w:rPr>
          <w:color w:val="000000" w:themeColor="text1"/>
          <w:sz w:val="22"/>
          <w:szCs w:val="22"/>
          <w:vertAlign w:val="subscript"/>
        </w:rPr>
        <w:t>s</w:t>
      </w:r>
      <w:r w:rsidRPr="00892622">
        <w:rPr>
          <w:color w:val="000000" w:themeColor="text1"/>
          <w:sz w:val="22"/>
          <w:szCs w:val="22"/>
        </w:rPr>
        <w:t>=1 mm) aberration correction at the Scherzer defocus. The calculations correspond to a value of 50 Å of focal spread. b) Simulated transmission electron microscopy images for electron doses of 20 e</w:t>
      </w:r>
      <w:r w:rsidRPr="00892622">
        <w:rPr>
          <w:color w:val="000000" w:themeColor="text1"/>
          <w:sz w:val="22"/>
          <w:szCs w:val="22"/>
          <w:vertAlign w:val="superscript"/>
        </w:rPr>
        <w:t>-</w:t>
      </w:r>
      <w:r w:rsidRPr="00892622">
        <w:rPr>
          <w:color w:val="000000" w:themeColor="text1"/>
          <w:sz w:val="22"/>
          <w:szCs w:val="22"/>
        </w:rPr>
        <w:t>/Å</w:t>
      </w:r>
      <w:r w:rsidRPr="00892622">
        <w:rPr>
          <w:color w:val="000000" w:themeColor="text1"/>
          <w:sz w:val="22"/>
          <w:szCs w:val="22"/>
          <w:vertAlign w:val="superscript"/>
        </w:rPr>
        <w:t>2</w:t>
      </w:r>
      <w:r w:rsidRPr="00892622">
        <w:rPr>
          <w:color w:val="000000" w:themeColor="text1"/>
          <w:sz w:val="22"/>
          <w:szCs w:val="22"/>
        </w:rPr>
        <w:t xml:space="preserve"> and 100 e</w:t>
      </w:r>
      <w:r w:rsidRPr="00892622">
        <w:rPr>
          <w:color w:val="000000" w:themeColor="text1"/>
          <w:sz w:val="22"/>
          <w:szCs w:val="22"/>
          <w:vertAlign w:val="superscript"/>
        </w:rPr>
        <w:t>-</w:t>
      </w:r>
      <w:r w:rsidRPr="00892622">
        <w:rPr>
          <w:color w:val="000000" w:themeColor="text1"/>
          <w:sz w:val="22"/>
          <w:szCs w:val="22"/>
        </w:rPr>
        <w:t>/Å</w:t>
      </w:r>
      <w:r w:rsidRPr="00892622">
        <w:rPr>
          <w:color w:val="000000" w:themeColor="text1"/>
          <w:sz w:val="22"/>
          <w:szCs w:val="22"/>
          <w:vertAlign w:val="superscript"/>
        </w:rPr>
        <w:t>2</w:t>
      </w:r>
      <w:r w:rsidRPr="00892622">
        <w:rPr>
          <w:color w:val="000000" w:themeColor="text1"/>
          <w:sz w:val="22"/>
          <w:szCs w:val="22"/>
        </w:rPr>
        <w:t>, with (AC) and without aberration correction (NAC).</w:t>
      </w:r>
    </w:p>
    <w:p w14:paraId="54560BC9" w14:textId="77777777" w:rsidR="00892622" w:rsidRDefault="00892622" w:rsidP="00892622">
      <w:pPr>
        <w:pStyle w:val="Paragraph"/>
        <w:spacing w:line="480" w:lineRule="auto"/>
        <w:ind w:left="360" w:firstLine="0"/>
        <w:jc w:val="left"/>
        <w:rPr>
          <w:b/>
          <w:bCs/>
          <w:color w:val="000000" w:themeColor="text1"/>
          <w:sz w:val="24"/>
          <w:szCs w:val="24"/>
        </w:rPr>
      </w:pPr>
    </w:p>
    <w:p w14:paraId="225F82AF" w14:textId="2D529620" w:rsidR="00892622" w:rsidRPr="00892622" w:rsidRDefault="00DF7CFC" w:rsidP="00892622">
      <w:pPr>
        <w:pStyle w:val="Paragraph"/>
        <w:numPr>
          <w:ilvl w:val="0"/>
          <w:numId w:val="4"/>
        </w:numPr>
        <w:spacing w:line="480" w:lineRule="auto"/>
        <w:jc w:val="left"/>
        <w:rPr>
          <w:b/>
          <w:bCs/>
          <w:color w:val="000000" w:themeColor="text1"/>
          <w:sz w:val="24"/>
          <w:szCs w:val="24"/>
        </w:rPr>
      </w:pPr>
      <w:r>
        <w:rPr>
          <w:b/>
          <w:bCs/>
          <w:color w:val="000000" w:themeColor="text1"/>
          <w:sz w:val="24"/>
          <w:szCs w:val="24"/>
        </w:rPr>
        <w:t xml:space="preserve">Estimation of the resolution </w:t>
      </w:r>
    </w:p>
    <w:p w14:paraId="66AA7EEE" w14:textId="4AE0DDDA" w:rsidR="00466934" w:rsidRDefault="00D62EA6" w:rsidP="00E40274">
      <w:pPr>
        <w:pStyle w:val="Paragraph"/>
        <w:spacing w:line="480" w:lineRule="auto"/>
        <w:ind w:firstLine="270"/>
        <w:rPr>
          <w:color w:val="000000" w:themeColor="text1"/>
          <w:sz w:val="24"/>
          <w:szCs w:val="24"/>
        </w:rPr>
      </w:pPr>
      <w:r>
        <w:rPr>
          <w:color w:val="000000" w:themeColor="text1"/>
          <w:sz w:val="24"/>
          <w:szCs w:val="24"/>
        </w:rPr>
        <w:t xml:space="preserve">To estimate the resolution of our images for each of the three employed imaging methods, we </w:t>
      </w:r>
      <w:r w:rsidR="002A2D2E">
        <w:rPr>
          <w:color w:val="000000" w:themeColor="text1"/>
          <w:sz w:val="24"/>
          <w:szCs w:val="24"/>
        </w:rPr>
        <w:t>calculated the cross-section of the ½-bit and 1-bit criterion with</w:t>
      </w:r>
      <w:r>
        <w:rPr>
          <w:color w:val="000000" w:themeColor="text1"/>
          <w:sz w:val="24"/>
          <w:szCs w:val="24"/>
        </w:rPr>
        <w:t xml:space="preserve"> the Fourier shell correlation (FSC)</w:t>
      </w:r>
      <w:r w:rsidR="002A2D2E">
        <w:rPr>
          <w:color w:val="000000" w:themeColor="text1"/>
          <w:sz w:val="24"/>
          <w:szCs w:val="24"/>
        </w:rPr>
        <w:t xml:space="preserve">. </w:t>
      </w:r>
      <w:r>
        <w:rPr>
          <w:color w:val="000000" w:themeColor="text1"/>
          <w:sz w:val="24"/>
          <w:szCs w:val="24"/>
        </w:rPr>
        <w:fldChar w:fldCharType="begin"/>
      </w:r>
      <w:r>
        <w:rPr>
          <w:color w:val="000000" w:themeColor="text1"/>
          <w:sz w:val="24"/>
          <w:szCs w:val="24"/>
        </w:rPr>
        <w:instrText xml:space="preserve"> ADDIN ZOTERO_ITEM CSL_CITATION {"citationID":"FLJoo8dr","properties":{"formattedCitation":"\\uc0\\u160{}[3]","plainCitation":" [3]","noteIndex":0},"citationItems":[{"id":1310,"uris":["http://zotero.org/users/6187821/items/2WXJTBYQ"],"itemData":{"id":1310,"type":"article-journal","abstract":"The resolution value claimed for an electron microscopical three-dimensional reconstruction indicates the overall quality of the experiment. The Fourier shell correlation (FSC) criterion has now become the standard quality measure. However, what has continued to be controversial is the issue of the FSC threshold level at which one deﬁnes the reproducible resolution. Here, we discuss the theoretical behaviour of the FSC in conjunction with the various factors which inﬂuence it: the number of ‘‘voxels’’ in a given Fourier shell, the symmetry of the structure, and the size of the structure within the reconstruction volume. Both the theoretical considerations and our model experiments show that ﬁxed-valued FSC threshold (like ‘‘0.5’’) may never be used in a reproducible criterion. Fixed threshold values are—as we show here—simply the result of incorrect assumptions in the basic statistics. Two families of FSC threshold curves are discussed: the r-factor curves and the new family of bit-based information threshold curves. Whereas r-factor curves indicate the resolution level at which one has collected information signiﬁcantly above the noise level, the information curves indicate the resolution level at which enough information has been collected for interpretation.","container-title":"Journal of Structural Biology","DOI":"10.1016/j.jsb.2005.05.009","ISSN":"10478477","issue":"3","journalAbbreviation":"Journal of Structural Biology","language":"en","page":"250-262","source":"DOI.org (Crossref)","title":"Fourier shell correlation threshold criteria","volume":"151","author":[{"family":"Heel","given":"Marin","non-dropping-particle":"van"},{"family":"Schatz","given":"Michael"}],"issued":{"date-parts":[["2005",9]]}}}],"schema":"https://github.com/citation-style-language/schema/raw/master/csl-citation.json"} </w:instrText>
      </w:r>
      <w:r>
        <w:rPr>
          <w:color w:val="000000" w:themeColor="text1"/>
          <w:sz w:val="24"/>
          <w:szCs w:val="24"/>
        </w:rPr>
        <w:fldChar w:fldCharType="separate"/>
      </w:r>
      <w:r w:rsidRPr="00D62EA6">
        <w:rPr>
          <w:sz w:val="24"/>
        </w:rPr>
        <w:t>[3]</w:t>
      </w:r>
      <w:r>
        <w:rPr>
          <w:color w:val="000000" w:themeColor="text1"/>
          <w:sz w:val="24"/>
          <w:szCs w:val="24"/>
        </w:rPr>
        <w:fldChar w:fldCharType="end"/>
      </w:r>
    </w:p>
    <w:p w14:paraId="4BB0D3D4" w14:textId="77777777" w:rsidR="00CA7FBF" w:rsidRDefault="00CA7FBF">
      <w:pPr>
        <w:pBdr>
          <w:top w:val="nil"/>
          <w:left w:val="nil"/>
          <w:bottom w:val="nil"/>
          <w:right w:val="nil"/>
          <w:between w:val="nil"/>
          <w:bar w:val="nil"/>
        </w:pBdr>
        <w:rPr>
          <w:b/>
          <w:bCs/>
          <w:color w:val="000000" w:themeColor="text1"/>
          <w:sz w:val="22"/>
          <w:szCs w:val="22"/>
          <w:u w:color="000000"/>
          <w:bdr w:val="nil"/>
        </w:rPr>
      </w:pPr>
      <w:r>
        <w:rPr>
          <w:b/>
          <w:bCs/>
          <w:color w:val="000000" w:themeColor="text1"/>
          <w:sz w:val="22"/>
          <w:szCs w:val="22"/>
        </w:rPr>
        <w:br w:type="page"/>
      </w:r>
    </w:p>
    <w:p w14:paraId="7B76FCDC" w14:textId="44A493F1" w:rsidR="00CA7FBF" w:rsidRDefault="000844A8" w:rsidP="00F601D4">
      <w:pPr>
        <w:pStyle w:val="Paragraph"/>
        <w:spacing w:line="480" w:lineRule="auto"/>
        <w:ind w:firstLine="0"/>
        <w:rPr>
          <w:b/>
          <w:bCs/>
          <w:color w:val="000000" w:themeColor="text1"/>
          <w:sz w:val="22"/>
          <w:szCs w:val="22"/>
        </w:rPr>
      </w:pPr>
      <w:r>
        <w:rPr>
          <w:b/>
          <w:bCs/>
          <w:noProof/>
          <w:color w:val="000000" w:themeColor="text1"/>
          <w:sz w:val="22"/>
          <w:szCs w:val="22"/>
        </w:rPr>
        <w:lastRenderedPageBreak/>
        <w:drawing>
          <wp:inline distT="0" distB="0" distL="0" distR="0" wp14:anchorId="78CC5805" wp14:editId="128681DE">
            <wp:extent cx="5943600" cy="3601085"/>
            <wp:effectExtent l="0" t="0" r="0" b="5715"/>
            <wp:docPr id="4963095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09575" name="Picture 496309575"/>
                    <pic:cNvPicPr/>
                  </pic:nvPicPr>
                  <pic:blipFill>
                    <a:blip r:embed="rId10"/>
                    <a:stretch>
                      <a:fillRect/>
                    </a:stretch>
                  </pic:blipFill>
                  <pic:spPr>
                    <a:xfrm>
                      <a:off x="0" y="0"/>
                      <a:ext cx="5943600" cy="3601085"/>
                    </a:xfrm>
                    <a:prstGeom prst="rect">
                      <a:avLst/>
                    </a:prstGeom>
                  </pic:spPr>
                </pic:pic>
              </a:graphicData>
            </a:graphic>
          </wp:inline>
        </w:drawing>
      </w:r>
    </w:p>
    <w:p w14:paraId="4071A3DA" w14:textId="42F825CA" w:rsidR="00CA7FBF" w:rsidRPr="00CA7FBF" w:rsidRDefault="00D62EA6" w:rsidP="000844A8">
      <w:pPr>
        <w:pStyle w:val="Paragraph"/>
        <w:ind w:firstLine="0"/>
        <w:rPr>
          <w:color w:val="000000" w:themeColor="text1"/>
          <w:sz w:val="22"/>
          <w:szCs w:val="22"/>
        </w:rPr>
      </w:pPr>
      <w:r w:rsidRPr="00CA7FBF">
        <w:rPr>
          <w:b/>
          <w:bCs/>
          <w:color w:val="000000" w:themeColor="text1"/>
          <w:sz w:val="22"/>
          <w:szCs w:val="22"/>
        </w:rPr>
        <w:t>Figure S</w:t>
      </w:r>
      <w:r w:rsidR="00D05F7F">
        <w:rPr>
          <w:b/>
          <w:bCs/>
          <w:color w:val="000000" w:themeColor="text1"/>
          <w:sz w:val="22"/>
          <w:szCs w:val="22"/>
        </w:rPr>
        <w:t>4</w:t>
      </w:r>
      <w:r w:rsidRPr="00CA7FBF">
        <w:rPr>
          <w:b/>
          <w:bCs/>
          <w:color w:val="000000" w:themeColor="text1"/>
          <w:sz w:val="22"/>
          <w:szCs w:val="22"/>
        </w:rPr>
        <w:t>.</w:t>
      </w:r>
      <w:r w:rsidRPr="00CA7FBF">
        <w:rPr>
          <w:color w:val="000000" w:themeColor="text1"/>
          <w:sz w:val="22"/>
          <w:szCs w:val="22"/>
        </w:rPr>
        <w:t xml:space="preserve"> </w:t>
      </w:r>
      <w:r w:rsidR="00A06971" w:rsidRPr="00CA7FBF">
        <w:rPr>
          <w:color w:val="000000" w:themeColor="text1"/>
          <w:sz w:val="22"/>
          <w:szCs w:val="22"/>
        </w:rPr>
        <w:t>CDI reconstruct</w:t>
      </w:r>
      <w:r w:rsidR="000844A8">
        <w:rPr>
          <w:color w:val="000000" w:themeColor="text1"/>
          <w:sz w:val="22"/>
          <w:szCs w:val="22"/>
        </w:rPr>
        <w:t>ed images</w:t>
      </w:r>
      <w:r w:rsidR="00A06971" w:rsidRPr="00CA7FBF">
        <w:rPr>
          <w:color w:val="000000" w:themeColor="text1"/>
          <w:sz w:val="22"/>
          <w:szCs w:val="22"/>
        </w:rPr>
        <w:t xml:space="preserve"> as a function of dose from two </w:t>
      </w:r>
      <w:r w:rsidR="007D5570" w:rsidRPr="00CA7FBF">
        <w:rPr>
          <w:color w:val="000000" w:themeColor="text1"/>
          <w:sz w:val="22"/>
          <w:szCs w:val="22"/>
        </w:rPr>
        <w:t xml:space="preserve">independent </w:t>
      </w:r>
      <w:r w:rsidR="00A06971" w:rsidRPr="00CA7FBF">
        <w:rPr>
          <w:color w:val="000000" w:themeColor="text1"/>
          <w:sz w:val="22"/>
          <w:szCs w:val="22"/>
        </w:rPr>
        <w:t>noisy datasets</w:t>
      </w:r>
      <w:r w:rsidR="000844A8">
        <w:rPr>
          <w:color w:val="000000" w:themeColor="text1"/>
          <w:sz w:val="22"/>
          <w:szCs w:val="22"/>
        </w:rPr>
        <w:t xml:space="preserve"> and their calculated power spectra</w:t>
      </w:r>
      <w:r w:rsidRPr="00CA7FBF">
        <w:rPr>
          <w:color w:val="000000" w:themeColor="text1"/>
          <w:sz w:val="22"/>
          <w:szCs w:val="22"/>
        </w:rPr>
        <w:t>.</w:t>
      </w:r>
    </w:p>
    <w:p w14:paraId="278BE97C" w14:textId="1CDDF3E7" w:rsidR="00F601D4" w:rsidRPr="00E65BA4" w:rsidRDefault="00F601D4">
      <w:pPr>
        <w:pBdr>
          <w:top w:val="nil"/>
          <w:left w:val="nil"/>
          <w:bottom w:val="nil"/>
          <w:right w:val="nil"/>
          <w:between w:val="nil"/>
          <w:bar w:val="nil"/>
        </w:pBdr>
        <w:rPr>
          <w:color w:val="000000" w:themeColor="text1"/>
          <w:u w:color="000000"/>
          <w:bdr w:val="nil"/>
        </w:rPr>
      </w:pPr>
    </w:p>
    <w:p w14:paraId="66E5A558" w14:textId="4D30E0BD" w:rsidR="005E5137" w:rsidRDefault="00CA7FBF" w:rsidP="00F601D4">
      <w:pPr>
        <w:pBdr>
          <w:top w:val="nil"/>
          <w:left w:val="nil"/>
          <w:bottom w:val="nil"/>
          <w:right w:val="nil"/>
          <w:between w:val="nil"/>
          <w:bar w:val="nil"/>
        </w:pBdr>
        <w:rPr>
          <w:b/>
          <w:bCs/>
          <w:color w:val="000000" w:themeColor="text1"/>
        </w:rPr>
      </w:pPr>
      <w:r>
        <w:rPr>
          <w:b/>
          <w:bCs/>
          <w:color w:val="000000" w:themeColor="text1"/>
        </w:rPr>
        <w:br w:type="page"/>
      </w:r>
    </w:p>
    <w:p w14:paraId="41EE652B" w14:textId="1B9EC1EF" w:rsidR="00CA7FBF" w:rsidRPr="00F601D4" w:rsidRDefault="000844A8" w:rsidP="00F601D4">
      <w:pPr>
        <w:pBdr>
          <w:top w:val="nil"/>
          <w:left w:val="nil"/>
          <w:bottom w:val="nil"/>
          <w:right w:val="nil"/>
          <w:between w:val="nil"/>
          <w:bar w:val="nil"/>
        </w:pBdr>
        <w:rPr>
          <w:b/>
          <w:bCs/>
          <w:color w:val="000000" w:themeColor="text1"/>
        </w:rPr>
      </w:pPr>
      <w:r>
        <w:rPr>
          <w:b/>
          <w:bCs/>
          <w:noProof/>
          <w:color w:val="000000" w:themeColor="text1"/>
        </w:rPr>
        <w:lastRenderedPageBreak/>
        <w:drawing>
          <wp:inline distT="0" distB="0" distL="0" distR="0" wp14:anchorId="3482B143" wp14:editId="37B4454B">
            <wp:extent cx="5943600" cy="3609340"/>
            <wp:effectExtent l="0" t="0" r="0" b="0"/>
            <wp:docPr id="2961137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13763" name="Picture 296113763"/>
                    <pic:cNvPicPr/>
                  </pic:nvPicPr>
                  <pic:blipFill>
                    <a:blip r:embed="rId11"/>
                    <a:stretch>
                      <a:fillRect/>
                    </a:stretch>
                  </pic:blipFill>
                  <pic:spPr>
                    <a:xfrm>
                      <a:off x="0" y="0"/>
                      <a:ext cx="5943600" cy="3609340"/>
                    </a:xfrm>
                    <a:prstGeom prst="rect">
                      <a:avLst/>
                    </a:prstGeom>
                  </pic:spPr>
                </pic:pic>
              </a:graphicData>
            </a:graphic>
          </wp:inline>
        </w:drawing>
      </w:r>
    </w:p>
    <w:p w14:paraId="1A76424E" w14:textId="77777777" w:rsidR="000844A8" w:rsidRDefault="000844A8" w:rsidP="005E5137">
      <w:pPr>
        <w:pStyle w:val="FigureCaption"/>
        <w:rPr>
          <w:b/>
          <w:bCs/>
          <w:color w:val="000000" w:themeColor="text1"/>
          <w:sz w:val="22"/>
          <w:szCs w:val="22"/>
        </w:rPr>
      </w:pPr>
    </w:p>
    <w:p w14:paraId="58D5950C" w14:textId="42A57781" w:rsidR="005E5137" w:rsidRDefault="005E5137" w:rsidP="005E5137">
      <w:pPr>
        <w:pStyle w:val="FigureCaption"/>
        <w:rPr>
          <w:color w:val="000000" w:themeColor="text1"/>
          <w:sz w:val="24"/>
          <w:szCs w:val="24"/>
        </w:rPr>
      </w:pPr>
      <w:r w:rsidRPr="00663318">
        <w:rPr>
          <w:b/>
          <w:bCs/>
          <w:color w:val="000000" w:themeColor="text1"/>
          <w:sz w:val="22"/>
          <w:szCs w:val="22"/>
        </w:rPr>
        <w:t>Figure S</w:t>
      </w:r>
      <w:r w:rsidR="00E65BA4">
        <w:rPr>
          <w:b/>
          <w:bCs/>
          <w:color w:val="000000" w:themeColor="text1"/>
          <w:sz w:val="22"/>
          <w:szCs w:val="22"/>
        </w:rPr>
        <w:t>5</w:t>
      </w:r>
      <w:r w:rsidRPr="00663318">
        <w:rPr>
          <w:b/>
          <w:bCs/>
          <w:color w:val="000000" w:themeColor="text1"/>
          <w:sz w:val="22"/>
          <w:szCs w:val="22"/>
        </w:rPr>
        <w:t>.</w:t>
      </w:r>
      <w:r w:rsidRPr="00663318">
        <w:rPr>
          <w:color w:val="000000" w:themeColor="text1"/>
          <w:sz w:val="22"/>
          <w:szCs w:val="22"/>
        </w:rPr>
        <w:t xml:space="preserve"> </w:t>
      </w:r>
      <w:r w:rsidR="007D5570">
        <w:rPr>
          <w:color w:val="000000" w:themeColor="text1"/>
          <w:sz w:val="22"/>
          <w:szCs w:val="22"/>
        </w:rPr>
        <w:t>Ptychography reconstruct</w:t>
      </w:r>
      <w:r w:rsidR="000844A8">
        <w:rPr>
          <w:color w:val="000000" w:themeColor="text1"/>
          <w:sz w:val="22"/>
          <w:szCs w:val="22"/>
        </w:rPr>
        <w:t>ed images</w:t>
      </w:r>
      <w:r w:rsidR="007D5570">
        <w:rPr>
          <w:color w:val="000000" w:themeColor="text1"/>
          <w:sz w:val="22"/>
          <w:szCs w:val="22"/>
        </w:rPr>
        <w:t xml:space="preserve"> as a function of dose from two independent noisy datasets</w:t>
      </w:r>
      <w:r w:rsidR="000844A8">
        <w:rPr>
          <w:color w:val="000000" w:themeColor="text1"/>
          <w:sz w:val="22"/>
          <w:szCs w:val="22"/>
        </w:rPr>
        <w:t xml:space="preserve"> and their calculated power spectra</w:t>
      </w:r>
      <w:r w:rsidRPr="00663318">
        <w:rPr>
          <w:color w:val="000000" w:themeColor="text1"/>
          <w:sz w:val="24"/>
          <w:szCs w:val="24"/>
        </w:rPr>
        <w:t>.</w:t>
      </w:r>
    </w:p>
    <w:p w14:paraId="49303816" w14:textId="77777777" w:rsidR="00CA7FBF" w:rsidRPr="00CA7FBF" w:rsidRDefault="00CA7FBF" w:rsidP="00CA7FBF">
      <w:pPr>
        <w:pStyle w:val="Paragraph"/>
        <w:ind w:firstLine="0"/>
      </w:pPr>
    </w:p>
    <w:p w14:paraId="61AAB15D" w14:textId="0E9E1703" w:rsidR="000844A8" w:rsidRDefault="000844A8">
      <w:pPr>
        <w:pBdr>
          <w:top w:val="nil"/>
          <w:left w:val="nil"/>
          <w:bottom w:val="nil"/>
          <w:right w:val="nil"/>
          <w:between w:val="nil"/>
          <w:bar w:val="nil"/>
        </w:pBdr>
        <w:rPr>
          <w:b/>
          <w:bCs/>
          <w:color w:val="000000" w:themeColor="text1"/>
        </w:rPr>
      </w:pPr>
      <w:r>
        <w:rPr>
          <w:b/>
          <w:bCs/>
          <w:color w:val="000000" w:themeColor="text1"/>
        </w:rPr>
        <w:br w:type="page"/>
      </w:r>
    </w:p>
    <w:p w14:paraId="458F1CB0" w14:textId="5398ECAB" w:rsidR="007D5570" w:rsidRPr="000A27F8" w:rsidRDefault="000844A8" w:rsidP="000A27F8">
      <w:pPr>
        <w:pBdr>
          <w:top w:val="nil"/>
          <w:left w:val="nil"/>
          <w:bottom w:val="nil"/>
          <w:right w:val="nil"/>
          <w:between w:val="nil"/>
          <w:bar w:val="nil"/>
        </w:pBdr>
        <w:rPr>
          <w:b/>
          <w:bCs/>
          <w:color w:val="000000" w:themeColor="text1"/>
        </w:rPr>
      </w:pPr>
      <w:r>
        <w:rPr>
          <w:b/>
          <w:bCs/>
          <w:noProof/>
          <w:color w:val="000000" w:themeColor="text1"/>
        </w:rPr>
        <w:lastRenderedPageBreak/>
        <w:drawing>
          <wp:inline distT="0" distB="0" distL="0" distR="0" wp14:anchorId="2CBC3463" wp14:editId="1E40ABDD">
            <wp:extent cx="5943600" cy="3528060"/>
            <wp:effectExtent l="0" t="0" r="0" b="2540"/>
            <wp:docPr id="10470724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72464" name="Picture 1047072464"/>
                    <pic:cNvPicPr/>
                  </pic:nvPicPr>
                  <pic:blipFill>
                    <a:blip r:embed="rId12"/>
                    <a:stretch>
                      <a:fillRect/>
                    </a:stretch>
                  </pic:blipFill>
                  <pic:spPr>
                    <a:xfrm>
                      <a:off x="0" y="0"/>
                      <a:ext cx="5943600" cy="3528060"/>
                    </a:xfrm>
                    <a:prstGeom prst="rect">
                      <a:avLst/>
                    </a:prstGeom>
                  </pic:spPr>
                </pic:pic>
              </a:graphicData>
            </a:graphic>
          </wp:inline>
        </w:drawing>
      </w:r>
    </w:p>
    <w:p w14:paraId="5020C5BA" w14:textId="77777777" w:rsidR="000A27F8" w:rsidRDefault="000A27F8" w:rsidP="007D5570">
      <w:pPr>
        <w:pStyle w:val="FigureCaption"/>
        <w:rPr>
          <w:b/>
          <w:bCs/>
          <w:color w:val="000000" w:themeColor="text1"/>
          <w:sz w:val="22"/>
          <w:szCs w:val="22"/>
        </w:rPr>
      </w:pPr>
    </w:p>
    <w:p w14:paraId="331FB02D" w14:textId="00192B19" w:rsidR="007D5570" w:rsidRPr="00CE5C37" w:rsidRDefault="007D5570" w:rsidP="007D5570">
      <w:pPr>
        <w:pStyle w:val="FigureCaption"/>
        <w:rPr>
          <w:color w:val="000000" w:themeColor="text1"/>
          <w:sz w:val="22"/>
          <w:szCs w:val="22"/>
        </w:rPr>
      </w:pPr>
      <w:r w:rsidRPr="00663318">
        <w:rPr>
          <w:b/>
          <w:bCs/>
          <w:color w:val="000000" w:themeColor="text1"/>
          <w:sz w:val="22"/>
          <w:szCs w:val="22"/>
        </w:rPr>
        <w:t>Figure S</w:t>
      </w:r>
      <w:r w:rsidR="00E65BA4">
        <w:rPr>
          <w:b/>
          <w:bCs/>
          <w:color w:val="000000" w:themeColor="text1"/>
          <w:sz w:val="22"/>
          <w:szCs w:val="22"/>
        </w:rPr>
        <w:t>6</w:t>
      </w:r>
      <w:r w:rsidRPr="00663318">
        <w:rPr>
          <w:b/>
          <w:bCs/>
          <w:color w:val="000000" w:themeColor="text1"/>
          <w:sz w:val="22"/>
          <w:szCs w:val="22"/>
        </w:rPr>
        <w:t>.</w:t>
      </w:r>
      <w:r w:rsidRPr="00663318">
        <w:rPr>
          <w:color w:val="000000" w:themeColor="text1"/>
          <w:sz w:val="22"/>
          <w:szCs w:val="22"/>
        </w:rPr>
        <w:t xml:space="preserve"> </w:t>
      </w:r>
      <w:r w:rsidR="00AA7709">
        <w:rPr>
          <w:color w:val="000000" w:themeColor="text1"/>
          <w:sz w:val="22"/>
          <w:szCs w:val="22"/>
        </w:rPr>
        <w:t xml:space="preserve">HRTEM </w:t>
      </w:r>
      <w:r w:rsidR="00B00618">
        <w:rPr>
          <w:color w:val="000000" w:themeColor="text1"/>
          <w:sz w:val="22"/>
          <w:szCs w:val="22"/>
        </w:rPr>
        <w:t xml:space="preserve">images without aberration correction </w:t>
      </w:r>
      <w:r w:rsidR="00AA7709">
        <w:rPr>
          <w:color w:val="000000" w:themeColor="text1"/>
          <w:sz w:val="22"/>
          <w:szCs w:val="22"/>
        </w:rPr>
        <w:t>as a function of dose</w:t>
      </w:r>
      <w:r w:rsidR="000844A8">
        <w:rPr>
          <w:color w:val="000000" w:themeColor="text1"/>
          <w:sz w:val="22"/>
          <w:szCs w:val="22"/>
        </w:rPr>
        <w:t xml:space="preserve"> and their calculated power spectra</w:t>
      </w:r>
      <w:r w:rsidR="00AA7709">
        <w:rPr>
          <w:color w:val="000000" w:themeColor="text1"/>
          <w:sz w:val="22"/>
          <w:szCs w:val="22"/>
        </w:rPr>
        <w:t>.</w:t>
      </w:r>
    </w:p>
    <w:p w14:paraId="26650AF9" w14:textId="0A2010D9" w:rsidR="00B00618" w:rsidRDefault="00B00618">
      <w:pPr>
        <w:pBdr>
          <w:top w:val="nil"/>
          <w:left w:val="nil"/>
          <w:bottom w:val="nil"/>
          <w:right w:val="nil"/>
          <w:between w:val="nil"/>
          <w:bar w:val="nil"/>
        </w:pBdr>
        <w:rPr>
          <w:b/>
          <w:bCs/>
          <w:color w:val="000000" w:themeColor="text1"/>
        </w:rPr>
      </w:pPr>
    </w:p>
    <w:p w14:paraId="301D0D29" w14:textId="77777777" w:rsidR="000844A8" w:rsidRDefault="000844A8">
      <w:pPr>
        <w:pBdr>
          <w:top w:val="nil"/>
          <w:left w:val="nil"/>
          <w:bottom w:val="nil"/>
          <w:right w:val="nil"/>
          <w:between w:val="nil"/>
          <w:bar w:val="nil"/>
        </w:pBdr>
        <w:rPr>
          <w:b/>
          <w:bCs/>
          <w:color w:val="000000" w:themeColor="text1"/>
          <w:sz w:val="22"/>
          <w:szCs w:val="22"/>
          <w:u w:color="000000"/>
          <w:bdr w:val="nil"/>
        </w:rPr>
      </w:pPr>
      <w:r>
        <w:rPr>
          <w:b/>
          <w:bCs/>
          <w:color w:val="000000" w:themeColor="text1"/>
          <w:sz w:val="22"/>
          <w:szCs w:val="22"/>
        </w:rPr>
        <w:br w:type="page"/>
      </w:r>
    </w:p>
    <w:p w14:paraId="6D372972" w14:textId="49256503" w:rsidR="00387A28" w:rsidRPr="00CE5C37" w:rsidRDefault="00387A28" w:rsidP="00CE5C37">
      <w:pPr>
        <w:pStyle w:val="Paragraph"/>
        <w:spacing w:line="480" w:lineRule="auto"/>
        <w:ind w:firstLine="0"/>
        <w:rPr>
          <w:color w:val="000000" w:themeColor="text1"/>
          <w:sz w:val="24"/>
          <w:szCs w:val="24"/>
        </w:rPr>
      </w:pPr>
      <w:r w:rsidRPr="00F74830">
        <w:rPr>
          <w:b/>
          <w:bCs/>
          <w:color w:val="000000" w:themeColor="text1"/>
          <w:sz w:val="24"/>
          <w:szCs w:val="24"/>
        </w:rPr>
        <w:lastRenderedPageBreak/>
        <w:t>References</w:t>
      </w:r>
    </w:p>
    <w:p w14:paraId="1BC02656" w14:textId="77777777" w:rsidR="00CC4BEF" w:rsidRPr="00CC4BEF" w:rsidRDefault="00F02E9B" w:rsidP="00CC4BEF">
      <w:pPr>
        <w:pStyle w:val="Bibliography"/>
      </w:pPr>
      <w:r>
        <w:fldChar w:fldCharType="begin"/>
      </w:r>
      <w:r w:rsidR="007F156B">
        <w:instrText xml:space="preserve"> ADDIN ZOTERO_BIBL {"uncited":[],"omitted":[],"custom":[]} CSL_BIBLIOGRAPHY </w:instrText>
      </w:r>
      <w:r>
        <w:fldChar w:fldCharType="separate"/>
      </w:r>
      <w:r w:rsidR="00CC4BEF" w:rsidRPr="00CC4BEF">
        <w:t>[1]</w:t>
      </w:r>
      <w:r w:rsidR="00CC4BEF" w:rsidRPr="00CC4BEF">
        <w:tab/>
        <w:t xml:space="preserve">J. Vijayakumar, H. Yuan, N. Mille, S. Stanescu, S. Swaraj, V. Favre-Nicolin, E. Najafi, A. P. Hitchcock, and R. Belkhou, </w:t>
      </w:r>
      <w:r w:rsidR="00CC4BEF" w:rsidRPr="00CC4BEF">
        <w:rPr>
          <w:i/>
          <w:iCs/>
        </w:rPr>
        <w:t>Soft X-Ray Spectro-Ptychography of Boron Nitride Nanobamboos, Carbon Nanotubes and Permalloy Nanorods</w:t>
      </w:r>
      <w:r w:rsidR="00CC4BEF" w:rsidRPr="00CC4BEF">
        <w:t xml:space="preserve">, J Synchrotron Rad </w:t>
      </w:r>
      <w:r w:rsidR="00CC4BEF" w:rsidRPr="00CC4BEF">
        <w:rPr>
          <w:b/>
          <w:bCs/>
        </w:rPr>
        <w:t>30</w:t>
      </w:r>
      <w:r w:rsidR="00CC4BEF" w:rsidRPr="00CC4BEF">
        <w:t>, (2023).</w:t>
      </w:r>
    </w:p>
    <w:p w14:paraId="358B7953" w14:textId="77777777" w:rsidR="00CC4BEF" w:rsidRPr="00CC4BEF" w:rsidRDefault="00CC4BEF" w:rsidP="00CC4BEF">
      <w:pPr>
        <w:pStyle w:val="Bibliography"/>
      </w:pPr>
      <w:r w:rsidRPr="00CC4BEF">
        <w:t>[2]</w:t>
      </w:r>
      <w:r w:rsidRPr="00CC4BEF">
        <w:tab/>
        <w:t xml:space="preserve">R. Kürsten, S. Stroteich, M. Z. Hernández, and T. Ihle, </w:t>
      </w:r>
      <w:r w:rsidRPr="00CC4BEF">
        <w:rPr>
          <w:i/>
          <w:iCs/>
        </w:rPr>
        <w:t>Multiple Particle Correlation Analysis of Many-Particle Systems: Formalism and Application to Active Matter</w:t>
      </w:r>
      <w:r w:rsidRPr="00CC4BEF">
        <w:t xml:space="preserve">, Phys. Rev. Lett. </w:t>
      </w:r>
      <w:r w:rsidRPr="00CC4BEF">
        <w:rPr>
          <w:b/>
          <w:bCs/>
        </w:rPr>
        <w:t>124</w:t>
      </w:r>
      <w:r w:rsidRPr="00CC4BEF">
        <w:t>, 088002 (2020).</w:t>
      </w:r>
    </w:p>
    <w:p w14:paraId="42BA34F3" w14:textId="77777777" w:rsidR="00CC4BEF" w:rsidRPr="00CC4BEF" w:rsidRDefault="00CC4BEF" w:rsidP="00CC4BEF">
      <w:pPr>
        <w:pStyle w:val="Bibliography"/>
      </w:pPr>
      <w:r w:rsidRPr="00CC4BEF">
        <w:t>[3]</w:t>
      </w:r>
      <w:r w:rsidRPr="00CC4BEF">
        <w:tab/>
        <w:t xml:space="preserve">M. van Heel and M. Schatz, </w:t>
      </w:r>
      <w:r w:rsidRPr="00CC4BEF">
        <w:rPr>
          <w:i/>
          <w:iCs/>
        </w:rPr>
        <w:t>Fourier Shell Correlation Threshold Criteria</w:t>
      </w:r>
      <w:r w:rsidRPr="00CC4BEF">
        <w:t xml:space="preserve">, Journal of Structural Biology </w:t>
      </w:r>
      <w:r w:rsidRPr="00CC4BEF">
        <w:rPr>
          <w:b/>
          <w:bCs/>
        </w:rPr>
        <w:t>151</w:t>
      </w:r>
      <w:r w:rsidRPr="00CC4BEF">
        <w:t>, 250 (2005).</w:t>
      </w:r>
    </w:p>
    <w:p w14:paraId="7C8E3946" w14:textId="77777777" w:rsidR="00CC4BEF" w:rsidRPr="00CC4BEF" w:rsidRDefault="00CC4BEF" w:rsidP="00CC4BEF">
      <w:pPr>
        <w:pStyle w:val="Bibliography"/>
      </w:pPr>
      <w:r w:rsidRPr="00CC4BEF">
        <w:t>[4]</w:t>
      </w:r>
      <w:r w:rsidRPr="00CC4BEF">
        <w:tab/>
        <w:t xml:space="preserve">H. Y. Liao and J. Frank, </w:t>
      </w:r>
      <w:r w:rsidRPr="00CC4BEF">
        <w:rPr>
          <w:i/>
          <w:iCs/>
        </w:rPr>
        <w:t>Definition and Estimation of Resolution in Single-Particle Reconstructions</w:t>
      </w:r>
      <w:r w:rsidRPr="00CC4BEF">
        <w:t xml:space="preserve">, Structure </w:t>
      </w:r>
      <w:r w:rsidRPr="00CC4BEF">
        <w:rPr>
          <w:b/>
          <w:bCs/>
        </w:rPr>
        <w:t>18</w:t>
      </w:r>
      <w:r w:rsidRPr="00CC4BEF">
        <w:t>, 768 (2010).</w:t>
      </w:r>
    </w:p>
    <w:p w14:paraId="72FE169F" w14:textId="584DE20E" w:rsidR="00033B15" w:rsidRPr="00CE5C37" w:rsidRDefault="00F02E9B" w:rsidP="00CE5C37">
      <w:pPr>
        <w:spacing w:line="480" w:lineRule="auto"/>
      </w:pPr>
      <w:r>
        <w:fldChar w:fldCharType="end"/>
      </w:r>
    </w:p>
    <w:sectPr w:rsidR="00033B15" w:rsidRPr="00CE5C37" w:rsidSect="00CE4E19">
      <w:headerReference w:type="even" r:id="rId13"/>
      <w:headerReference w:type="default" r:id="rId14"/>
      <w:footerReference w:type="even" r:id="rId15"/>
      <w:footerReference w:type="default" r:id="rId16"/>
      <w:headerReference w:type="first" r:id="rId17"/>
      <w:footerReference w:type="first" r:id="rId18"/>
      <w:pgSz w:w="12240" w:h="15840"/>
      <w:pgMar w:top="1454" w:right="1440" w:bottom="1454"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89B4F" w14:textId="77777777" w:rsidR="00DA13E4" w:rsidRDefault="00DA13E4">
      <w:r>
        <w:separator/>
      </w:r>
    </w:p>
  </w:endnote>
  <w:endnote w:type="continuationSeparator" w:id="0">
    <w:p w14:paraId="2CA094D7" w14:textId="77777777" w:rsidR="00DA13E4" w:rsidRDefault="00DA1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B64A9" w14:textId="77777777" w:rsidR="002F7E77" w:rsidRDefault="002F7E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8AFA1" w14:textId="77777777" w:rsidR="002F7E77" w:rsidRDefault="002F7E77">
    <w:pPr>
      <w:pStyle w:val="Footer"/>
      <w:jc w:val="right"/>
    </w:pPr>
    <w:r>
      <w:fldChar w:fldCharType="begin"/>
    </w:r>
    <w:r>
      <w:instrText xml:space="preserve"> PAGE </w:instrText>
    </w:r>
    <w:r>
      <w:fldChar w:fldCharType="separate"/>
    </w:r>
    <w: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D190" w14:textId="77777777" w:rsidR="002F7E77" w:rsidRDefault="002F7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86BD2" w14:textId="77777777" w:rsidR="00DA13E4" w:rsidRDefault="00DA13E4">
      <w:r>
        <w:separator/>
      </w:r>
    </w:p>
  </w:footnote>
  <w:footnote w:type="continuationSeparator" w:id="0">
    <w:p w14:paraId="46757AEF" w14:textId="77777777" w:rsidR="00DA13E4" w:rsidRDefault="00DA1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4BDD9" w14:textId="77777777" w:rsidR="002F7E77" w:rsidRDefault="002F7E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22A96" w14:textId="77777777" w:rsidR="002F7E77" w:rsidRDefault="002F7E77">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97EFE" w14:textId="77777777" w:rsidR="002F7E77" w:rsidRDefault="002F7E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8956A5"/>
    <w:multiLevelType w:val="hybridMultilevel"/>
    <w:tmpl w:val="224C4414"/>
    <w:lvl w:ilvl="0" w:tplc="26785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9B5C55"/>
    <w:multiLevelType w:val="hybridMultilevel"/>
    <w:tmpl w:val="A2425B0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8F4054F"/>
    <w:multiLevelType w:val="hybridMultilevel"/>
    <w:tmpl w:val="38F2F9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EDD7CCD"/>
    <w:multiLevelType w:val="multilevel"/>
    <w:tmpl w:val="0C7069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01437903">
    <w:abstractNumId w:val="0"/>
  </w:num>
  <w:num w:numId="2" w16cid:durableId="1522666691">
    <w:abstractNumId w:val="1"/>
  </w:num>
  <w:num w:numId="3" w16cid:durableId="547912529">
    <w:abstractNumId w:val="3"/>
  </w:num>
  <w:num w:numId="4" w16cid:durableId="287861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G Asia Materia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ewadttt0xzpvx2e0asd59zaxw22x9p95sra0&quot;&gt;My EndNote Library copy&lt;record-ids&gt;&lt;item&gt;108&lt;/item&gt;&lt;item&gt;390&lt;/item&gt;&lt;item&gt;410&lt;/item&gt;&lt;item&gt;714&lt;/item&gt;&lt;item&gt;947&lt;/item&gt;&lt;item&gt;1156&lt;/item&gt;&lt;item&gt;1489&lt;/item&gt;&lt;item&gt;2797&lt;/item&gt;&lt;item&gt;2952&lt;/item&gt;&lt;item&gt;2953&lt;/item&gt;&lt;item&gt;2954&lt;/item&gt;&lt;item&gt;2955&lt;/item&gt;&lt;item&gt;2956&lt;/item&gt;&lt;item&gt;2959&lt;/item&gt;&lt;item&gt;2960&lt;/item&gt;&lt;item&gt;2962&lt;/item&gt;&lt;item&gt;2965&lt;/item&gt;&lt;item&gt;2966&lt;/item&gt;&lt;item&gt;2967&lt;/item&gt;&lt;item&gt;2968&lt;/item&gt;&lt;item&gt;2969&lt;/item&gt;&lt;item&gt;2970&lt;/item&gt;&lt;item&gt;2971&lt;/item&gt;&lt;item&gt;2974&lt;/item&gt;&lt;item&gt;2976&lt;/item&gt;&lt;item&gt;2978&lt;/item&gt;&lt;item&gt;2980&lt;/item&gt;&lt;item&gt;2983&lt;/item&gt;&lt;item&gt;2985&lt;/item&gt;&lt;item&gt;2986&lt;/item&gt;&lt;item&gt;2989&lt;/item&gt;&lt;item&gt;2990&lt;/item&gt;&lt;item&gt;2992&lt;/item&gt;&lt;item&gt;2996&lt;/item&gt;&lt;item&gt;2997&lt;/item&gt;&lt;item&gt;2998&lt;/item&gt;&lt;item&gt;3000&lt;/item&gt;&lt;item&gt;3002&lt;/item&gt;&lt;item&gt;3003&lt;/item&gt;&lt;item&gt;3004&lt;/item&gt;&lt;item&gt;3005&lt;/item&gt;&lt;/record-ids&gt;&lt;/item&gt;&lt;/Libraries&gt;"/>
  </w:docVars>
  <w:rsids>
    <w:rsidRoot w:val="008A4B9B"/>
    <w:rsid w:val="00005F76"/>
    <w:rsid w:val="000105B7"/>
    <w:rsid w:val="00010E49"/>
    <w:rsid w:val="00013DE4"/>
    <w:rsid w:val="000140C9"/>
    <w:rsid w:val="000179D4"/>
    <w:rsid w:val="00020E12"/>
    <w:rsid w:val="0003173F"/>
    <w:rsid w:val="0003381B"/>
    <w:rsid w:val="00033B15"/>
    <w:rsid w:val="000360E5"/>
    <w:rsid w:val="00036D48"/>
    <w:rsid w:val="0003789B"/>
    <w:rsid w:val="00040D38"/>
    <w:rsid w:val="00041CB6"/>
    <w:rsid w:val="0005095B"/>
    <w:rsid w:val="000513E1"/>
    <w:rsid w:val="0005333E"/>
    <w:rsid w:val="00053760"/>
    <w:rsid w:val="0005597C"/>
    <w:rsid w:val="000571AC"/>
    <w:rsid w:val="000578C8"/>
    <w:rsid w:val="00057F1E"/>
    <w:rsid w:val="000632C8"/>
    <w:rsid w:val="00065C13"/>
    <w:rsid w:val="00070D7C"/>
    <w:rsid w:val="00071092"/>
    <w:rsid w:val="00071F9E"/>
    <w:rsid w:val="00072C09"/>
    <w:rsid w:val="00073B12"/>
    <w:rsid w:val="00075B41"/>
    <w:rsid w:val="00083873"/>
    <w:rsid w:val="000844A8"/>
    <w:rsid w:val="00084ED0"/>
    <w:rsid w:val="00085340"/>
    <w:rsid w:val="00087F19"/>
    <w:rsid w:val="0009034E"/>
    <w:rsid w:val="00090BB7"/>
    <w:rsid w:val="000A27F8"/>
    <w:rsid w:val="000A48CD"/>
    <w:rsid w:val="000A4B5B"/>
    <w:rsid w:val="000B2A34"/>
    <w:rsid w:val="000B6FF7"/>
    <w:rsid w:val="000C694B"/>
    <w:rsid w:val="000C79DF"/>
    <w:rsid w:val="000D037A"/>
    <w:rsid w:val="000D059A"/>
    <w:rsid w:val="000D3173"/>
    <w:rsid w:val="000E5310"/>
    <w:rsid w:val="000E6E06"/>
    <w:rsid w:val="000E77AF"/>
    <w:rsid w:val="000F593B"/>
    <w:rsid w:val="000F5C48"/>
    <w:rsid w:val="00103AE1"/>
    <w:rsid w:val="001052DB"/>
    <w:rsid w:val="001073C2"/>
    <w:rsid w:val="001108D8"/>
    <w:rsid w:val="0011638B"/>
    <w:rsid w:val="00116DA5"/>
    <w:rsid w:val="00117829"/>
    <w:rsid w:val="00120891"/>
    <w:rsid w:val="00123204"/>
    <w:rsid w:val="0013523B"/>
    <w:rsid w:val="00136638"/>
    <w:rsid w:val="0013760B"/>
    <w:rsid w:val="001402DD"/>
    <w:rsid w:val="0014186A"/>
    <w:rsid w:val="00145805"/>
    <w:rsid w:val="001509DA"/>
    <w:rsid w:val="00151B20"/>
    <w:rsid w:val="00154059"/>
    <w:rsid w:val="00157BC8"/>
    <w:rsid w:val="00157F39"/>
    <w:rsid w:val="001646C9"/>
    <w:rsid w:val="00171DFF"/>
    <w:rsid w:val="001755B8"/>
    <w:rsid w:val="00177542"/>
    <w:rsid w:val="00177A27"/>
    <w:rsid w:val="00180C9E"/>
    <w:rsid w:val="00190B64"/>
    <w:rsid w:val="00194765"/>
    <w:rsid w:val="0019567F"/>
    <w:rsid w:val="00195826"/>
    <w:rsid w:val="001965BF"/>
    <w:rsid w:val="00197165"/>
    <w:rsid w:val="001A21BC"/>
    <w:rsid w:val="001A2294"/>
    <w:rsid w:val="001A39C8"/>
    <w:rsid w:val="001A3EA0"/>
    <w:rsid w:val="001B18C7"/>
    <w:rsid w:val="001B368E"/>
    <w:rsid w:val="001C2784"/>
    <w:rsid w:val="001C41FC"/>
    <w:rsid w:val="001C4ED3"/>
    <w:rsid w:val="001C7A68"/>
    <w:rsid w:val="001D18D8"/>
    <w:rsid w:val="001D26B7"/>
    <w:rsid w:val="001D3131"/>
    <w:rsid w:val="001D47B7"/>
    <w:rsid w:val="001D49AA"/>
    <w:rsid w:val="001E1DB6"/>
    <w:rsid w:val="001E1F28"/>
    <w:rsid w:val="001E3C07"/>
    <w:rsid w:val="001E4128"/>
    <w:rsid w:val="001E544D"/>
    <w:rsid w:val="001E5E95"/>
    <w:rsid w:val="001E6BD8"/>
    <w:rsid w:val="001F1418"/>
    <w:rsid w:val="001F166E"/>
    <w:rsid w:val="001F4419"/>
    <w:rsid w:val="00202360"/>
    <w:rsid w:val="00202950"/>
    <w:rsid w:val="00203FBA"/>
    <w:rsid w:val="00204F5A"/>
    <w:rsid w:val="00207F57"/>
    <w:rsid w:val="00215D6E"/>
    <w:rsid w:val="00223B79"/>
    <w:rsid w:val="0022498E"/>
    <w:rsid w:val="002373CB"/>
    <w:rsid w:val="00237983"/>
    <w:rsid w:val="00256E72"/>
    <w:rsid w:val="0025710F"/>
    <w:rsid w:val="00257D08"/>
    <w:rsid w:val="00262C49"/>
    <w:rsid w:val="0026449A"/>
    <w:rsid w:val="002667C2"/>
    <w:rsid w:val="00270BD0"/>
    <w:rsid w:val="00286D79"/>
    <w:rsid w:val="002936AF"/>
    <w:rsid w:val="00293EDE"/>
    <w:rsid w:val="002A1A5E"/>
    <w:rsid w:val="002A2D2E"/>
    <w:rsid w:val="002B01CE"/>
    <w:rsid w:val="002B3883"/>
    <w:rsid w:val="002B7D8E"/>
    <w:rsid w:val="002C0CD2"/>
    <w:rsid w:val="002C2A6B"/>
    <w:rsid w:val="002C60E5"/>
    <w:rsid w:val="002D3F12"/>
    <w:rsid w:val="002D62C3"/>
    <w:rsid w:val="002E6422"/>
    <w:rsid w:val="002F7262"/>
    <w:rsid w:val="002F7E77"/>
    <w:rsid w:val="0030211C"/>
    <w:rsid w:val="00303E48"/>
    <w:rsid w:val="00304D9A"/>
    <w:rsid w:val="003144A3"/>
    <w:rsid w:val="00315687"/>
    <w:rsid w:val="003225A6"/>
    <w:rsid w:val="00322AE5"/>
    <w:rsid w:val="00322D6E"/>
    <w:rsid w:val="00324F6D"/>
    <w:rsid w:val="0032502B"/>
    <w:rsid w:val="003266FA"/>
    <w:rsid w:val="00326927"/>
    <w:rsid w:val="00327C0E"/>
    <w:rsid w:val="00330D42"/>
    <w:rsid w:val="00334BD4"/>
    <w:rsid w:val="0033568B"/>
    <w:rsid w:val="00337C98"/>
    <w:rsid w:val="0034393D"/>
    <w:rsid w:val="003464F7"/>
    <w:rsid w:val="00351D00"/>
    <w:rsid w:val="003540F2"/>
    <w:rsid w:val="00354315"/>
    <w:rsid w:val="003550BD"/>
    <w:rsid w:val="00355D74"/>
    <w:rsid w:val="003604E6"/>
    <w:rsid w:val="00362438"/>
    <w:rsid w:val="003654A2"/>
    <w:rsid w:val="0037351A"/>
    <w:rsid w:val="0037352C"/>
    <w:rsid w:val="00387A28"/>
    <w:rsid w:val="003A167D"/>
    <w:rsid w:val="003A1DB0"/>
    <w:rsid w:val="003A4DC8"/>
    <w:rsid w:val="003A6AA6"/>
    <w:rsid w:val="003B4206"/>
    <w:rsid w:val="003C2717"/>
    <w:rsid w:val="003C3802"/>
    <w:rsid w:val="003C4164"/>
    <w:rsid w:val="003D6A08"/>
    <w:rsid w:val="003D78CA"/>
    <w:rsid w:val="003E21E3"/>
    <w:rsid w:val="003E333E"/>
    <w:rsid w:val="003E4AE0"/>
    <w:rsid w:val="003F0903"/>
    <w:rsid w:val="003F5571"/>
    <w:rsid w:val="003F7926"/>
    <w:rsid w:val="0040424F"/>
    <w:rsid w:val="00407534"/>
    <w:rsid w:val="00412032"/>
    <w:rsid w:val="00415628"/>
    <w:rsid w:val="004167D2"/>
    <w:rsid w:val="004170A8"/>
    <w:rsid w:val="00423A0A"/>
    <w:rsid w:val="00425BE7"/>
    <w:rsid w:val="0042707D"/>
    <w:rsid w:val="004302D2"/>
    <w:rsid w:val="00441932"/>
    <w:rsid w:val="004479AA"/>
    <w:rsid w:val="00453AB9"/>
    <w:rsid w:val="004546CD"/>
    <w:rsid w:val="004637F5"/>
    <w:rsid w:val="00465EF1"/>
    <w:rsid w:val="00466934"/>
    <w:rsid w:val="00471A54"/>
    <w:rsid w:val="00471C1A"/>
    <w:rsid w:val="004722CF"/>
    <w:rsid w:val="004768C2"/>
    <w:rsid w:val="00480A44"/>
    <w:rsid w:val="00487802"/>
    <w:rsid w:val="00490533"/>
    <w:rsid w:val="00491501"/>
    <w:rsid w:val="004963BE"/>
    <w:rsid w:val="004A031F"/>
    <w:rsid w:val="004A111B"/>
    <w:rsid w:val="004B72CA"/>
    <w:rsid w:val="004C28E4"/>
    <w:rsid w:val="004C46AA"/>
    <w:rsid w:val="004C5025"/>
    <w:rsid w:val="004C71F1"/>
    <w:rsid w:val="004C78F9"/>
    <w:rsid w:val="004D1382"/>
    <w:rsid w:val="004D533D"/>
    <w:rsid w:val="004E0079"/>
    <w:rsid w:val="004E4FAA"/>
    <w:rsid w:val="004E6B03"/>
    <w:rsid w:val="004F3AD7"/>
    <w:rsid w:val="004F6B1C"/>
    <w:rsid w:val="004F7FD4"/>
    <w:rsid w:val="0051033F"/>
    <w:rsid w:val="00511ECD"/>
    <w:rsid w:val="00512544"/>
    <w:rsid w:val="005144DC"/>
    <w:rsid w:val="005147EB"/>
    <w:rsid w:val="00521AFD"/>
    <w:rsid w:val="00525797"/>
    <w:rsid w:val="00525BBC"/>
    <w:rsid w:val="00531AD0"/>
    <w:rsid w:val="00532F53"/>
    <w:rsid w:val="00533EB5"/>
    <w:rsid w:val="00536E51"/>
    <w:rsid w:val="005403EB"/>
    <w:rsid w:val="005429FF"/>
    <w:rsid w:val="005433BE"/>
    <w:rsid w:val="00543E8D"/>
    <w:rsid w:val="005445C3"/>
    <w:rsid w:val="005445FE"/>
    <w:rsid w:val="005447FB"/>
    <w:rsid w:val="00545633"/>
    <w:rsid w:val="0054787F"/>
    <w:rsid w:val="00547988"/>
    <w:rsid w:val="00547BCC"/>
    <w:rsid w:val="00551FEC"/>
    <w:rsid w:val="00552624"/>
    <w:rsid w:val="00552E66"/>
    <w:rsid w:val="0055310C"/>
    <w:rsid w:val="0056138F"/>
    <w:rsid w:val="00582FAD"/>
    <w:rsid w:val="005910FF"/>
    <w:rsid w:val="00597560"/>
    <w:rsid w:val="005A01A1"/>
    <w:rsid w:val="005A08C0"/>
    <w:rsid w:val="005A53DF"/>
    <w:rsid w:val="005B2AC3"/>
    <w:rsid w:val="005C166E"/>
    <w:rsid w:val="005C2E53"/>
    <w:rsid w:val="005C7F3D"/>
    <w:rsid w:val="005D2894"/>
    <w:rsid w:val="005D6745"/>
    <w:rsid w:val="005E0274"/>
    <w:rsid w:val="005E0F33"/>
    <w:rsid w:val="005E42A9"/>
    <w:rsid w:val="005E5137"/>
    <w:rsid w:val="005F6A82"/>
    <w:rsid w:val="005F6B39"/>
    <w:rsid w:val="0060099B"/>
    <w:rsid w:val="00605EAC"/>
    <w:rsid w:val="00611FB5"/>
    <w:rsid w:val="0061373A"/>
    <w:rsid w:val="006178B3"/>
    <w:rsid w:val="00620BFD"/>
    <w:rsid w:val="006262DC"/>
    <w:rsid w:val="00630A3B"/>
    <w:rsid w:val="00633DFC"/>
    <w:rsid w:val="00634234"/>
    <w:rsid w:val="00637B5B"/>
    <w:rsid w:val="006404FE"/>
    <w:rsid w:val="00645AE5"/>
    <w:rsid w:val="00647EB2"/>
    <w:rsid w:val="0065003A"/>
    <w:rsid w:val="00650DF2"/>
    <w:rsid w:val="00651558"/>
    <w:rsid w:val="00653698"/>
    <w:rsid w:val="00655485"/>
    <w:rsid w:val="006618EC"/>
    <w:rsid w:val="00662B3B"/>
    <w:rsid w:val="00663318"/>
    <w:rsid w:val="00671E2D"/>
    <w:rsid w:val="00672491"/>
    <w:rsid w:val="006772BB"/>
    <w:rsid w:val="00680A96"/>
    <w:rsid w:val="0068291C"/>
    <w:rsid w:val="00695BAE"/>
    <w:rsid w:val="00697ABD"/>
    <w:rsid w:val="006A4219"/>
    <w:rsid w:val="006A4C5A"/>
    <w:rsid w:val="006A4D4B"/>
    <w:rsid w:val="006A5FF6"/>
    <w:rsid w:val="006B04F0"/>
    <w:rsid w:val="006B2076"/>
    <w:rsid w:val="006C105B"/>
    <w:rsid w:val="006D63D8"/>
    <w:rsid w:val="006E0BC9"/>
    <w:rsid w:val="006E3F18"/>
    <w:rsid w:val="006E4CEF"/>
    <w:rsid w:val="006E5B47"/>
    <w:rsid w:val="006E76C2"/>
    <w:rsid w:val="00704FE2"/>
    <w:rsid w:val="0071024A"/>
    <w:rsid w:val="00710A7D"/>
    <w:rsid w:val="00711568"/>
    <w:rsid w:val="00717BB6"/>
    <w:rsid w:val="0072050E"/>
    <w:rsid w:val="007225E5"/>
    <w:rsid w:val="007316B0"/>
    <w:rsid w:val="007350B9"/>
    <w:rsid w:val="0073679C"/>
    <w:rsid w:val="00736D45"/>
    <w:rsid w:val="00740B19"/>
    <w:rsid w:val="00744223"/>
    <w:rsid w:val="007445FA"/>
    <w:rsid w:val="0074651D"/>
    <w:rsid w:val="007509D6"/>
    <w:rsid w:val="00750DF4"/>
    <w:rsid w:val="00752A91"/>
    <w:rsid w:val="0075717B"/>
    <w:rsid w:val="0075718F"/>
    <w:rsid w:val="007618E5"/>
    <w:rsid w:val="00767CE0"/>
    <w:rsid w:val="00771BD9"/>
    <w:rsid w:val="00772554"/>
    <w:rsid w:val="00775CCD"/>
    <w:rsid w:val="00776A9B"/>
    <w:rsid w:val="007829A6"/>
    <w:rsid w:val="00782C25"/>
    <w:rsid w:val="00783106"/>
    <w:rsid w:val="00785B34"/>
    <w:rsid w:val="007868AC"/>
    <w:rsid w:val="00786DFC"/>
    <w:rsid w:val="00797A69"/>
    <w:rsid w:val="007A7ED3"/>
    <w:rsid w:val="007B13EC"/>
    <w:rsid w:val="007C3242"/>
    <w:rsid w:val="007C3E96"/>
    <w:rsid w:val="007C6A55"/>
    <w:rsid w:val="007D5570"/>
    <w:rsid w:val="007F156B"/>
    <w:rsid w:val="007F7B09"/>
    <w:rsid w:val="00802D61"/>
    <w:rsid w:val="008033AD"/>
    <w:rsid w:val="00803FCA"/>
    <w:rsid w:val="0080404A"/>
    <w:rsid w:val="00812379"/>
    <w:rsid w:val="00814DEC"/>
    <w:rsid w:val="00814E34"/>
    <w:rsid w:val="00823499"/>
    <w:rsid w:val="0082607F"/>
    <w:rsid w:val="00826145"/>
    <w:rsid w:val="0083539D"/>
    <w:rsid w:val="00836333"/>
    <w:rsid w:val="008370C1"/>
    <w:rsid w:val="00842CFE"/>
    <w:rsid w:val="008526D2"/>
    <w:rsid w:val="008535D5"/>
    <w:rsid w:val="00854B83"/>
    <w:rsid w:val="00857C02"/>
    <w:rsid w:val="0087060E"/>
    <w:rsid w:val="008735BB"/>
    <w:rsid w:val="0087366B"/>
    <w:rsid w:val="008755CE"/>
    <w:rsid w:val="00875DB1"/>
    <w:rsid w:val="00876F92"/>
    <w:rsid w:val="00881F96"/>
    <w:rsid w:val="0088523D"/>
    <w:rsid w:val="00892622"/>
    <w:rsid w:val="008A04A1"/>
    <w:rsid w:val="008A4B9B"/>
    <w:rsid w:val="008A6BA3"/>
    <w:rsid w:val="008B2F3B"/>
    <w:rsid w:val="008B6BF3"/>
    <w:rsid w:val="008B7361"/>
    <w:rsid w:val="008C10BD"/>
    <w:rsid w:val="008C1ACB"/>
    <w:rsid w:val="008C3244"/>
    <w:rsid w:val="008C332F"/>
    <w:rsid w:val="008C6A9A"/>
    <w:rsid w:val="008D03C2"/>
    <w:rsid w:val="008D471D"/>
    <w:rsid w:val="008D73E6"/>
    <w:rsid w:val="008D76DF"/>
    <w:rsid w:val="008E3462"/>
    <w:rsid w:val="008F030D"/>
    <w:rsid w:val="008F177C"/>
    <w:rsid w:val="008F2010"/>
    <w:rsid w:val="008F2103"/>
    <w:rsid w:val="008F52FC"/>
    <w:rsid w:val="008F642D"/>
    <w:rsid w:val="008F7AD0"/>
    <w:rsid w:val="009016A0"/>
    <w:rsid w:val="009031E2"/>
    <w:rsid w:val="00905D4A"/>
    <w:rsid w:val="00907D9B"/>
    <w:rsid w:val="009101BA"/>
    <w:rsid w:val="00914E95"/>
    <w:rsid w:val="009163FC"/>
    <w:rsid w:val="009216A5"/>
    <w:rsid w:val="00921AB3"/>
    <w:rsid w:val="00921DDC"/>
    <w:rsid w:val="00923F9C"/>
    <w:rsid w:val="0092748F"/>
    <w:rsid w:val="0093435A"/>
    <w:rsid w:val="00937310"/>
    <w:rsid w:val="009461A3"/>
    <w:rsid w:val="00953EC4"/>
    <w:rsid w:val="009556E1"/>
    <w:rsid w:val="009661EE"/>
    <w:rsid w:val="0097180B"/>
    <w:rsid w:val="00972F88"/>
    <w:rsid w:val="0097348A"/>
    <w:rsid w:val="00974740"/>
    <w:rsid w:val="009767E1"/>
    <w:rsid w:val="00987C95"/>
    <w:rsid w:val="00993A3D"/>
    <w:rsid w:val="009972BB"/>
    <w:rsid w:val="009A2508"/>
    <w:rsid w:val="009A29C3"/>
    <w:rsid w:val="009A2F4A"/>
    <w:rsid w:val="009A5979"/>
    <w:rsid w:val="009B25E8"/>
    <w:rsid w:val="009B2A71"/>
    <w:rsid w:val="009B3252"/>
    <w:rsid w:val="009B391A"/>
    <w:rsid w:val="009B4024"/>
    <w:rsid w:val="009B4F3C"/>
    <w:rsid w:val="009B5B2F"/>
    <w:rsid w:val="009C20F3"/>
    <w:rsid w:val="009C3E05"/>
    <w:rsid w:val="009C58C8"/>
    <w:rsid w:val="009C75FF"/>
    <w:rsid w:val="009D1460"/>
    <w:rsid w:val="009D3AC2"/>
    <w:rsid w:val="009D5B76"/>
    <w:rsid w:val="009F5751"/>
    <w:rsid w:val="009F595E"/>
    <w:rsid w:val="009F6909"/>
    <w:rsid w:val="00A06971"/>
    <w:rsid w:val="00A1169C"/>
    <w:rsid w:val="00A126EB"/>
    <w:rsid w:val="00A13A02"/>
    <w:rsid w:val="00A13EFB"/>
    <w:rsid w:val="00A1737F"/>
    <w:rsid w:val="00A21D4D"/>
    <w:rsid w:val="00A256C9"/>
    <w:rsid w:val="00A25DDC"/>
    <w:rsid w:val="00A31C16"/>
    <w:rsid w:val="00A330D8"/>
    <w:rsid w:val="00A34524"/>
    <w:rsid w:val="00A404DB"/>
    <w:rsid w:val="00A40D15"/>
    <w:rsid w:val="00A4414E"/>
    <w:rsid w:val="00A5104C"/>
    <w:rsid w:val="00A54941"/>
    <w:rsid w:val="00A57F20"/>
    <w:rsid w:val="00A72F84"/>
    <w:rsid w:val="00A73D51"/>
    <w:rsid w:val="00A7460C"/>
    <w:rsid w:val="00A7722D"/>
    <w:rsid w:val="00A80B11"/>
    <w:rsid w:val="00A86356"/>
    <w:rsid w:val="00A865EA"/>
    <w:rsid w:val="00A94980"/>
    <w:rsid w:val="00A954B7"/>
    <w:rsid w:val="00AA1251"/>
    <w:rsid w:val="00AA254F"/>
    <w:rsid w:val="00AA3C1B"/>
    <w:rsid w:val="00AA4833"/>
    <w:rsid w:val="00AA7709"/>
    <w:rsid w:val="00AB0FBB"/>
    <w:rsid w:val="00AB2240"/>
    <w:rsid w:val="00AB2DB8"/>
    <w:rsid w:val="00AB54E1"/>
    <w:rsid w:val="00AB64BF"/>
    <w:rsid w:val="00AB7276"/>
    <w:rsid w:val="00AC2ED1"/>
    <w:rsid w:val="00AC4270"/>
    <w:rsid w:val="00AC635C"/>
    <w:rsid w:val="00AC6B1E"/>
    <w:rsid w:val="00AD037B"/>
    <w:rsid w:val="00AD1084"/>
    <w:rsid w:val="00AD704F"/>
    <w:rsid w:val="00AD74F6"/>
    <w:rsid w:val="00AE25BE"/>
    <w:rsid w:val="00AF0957"/>
    <w:rsid w:val="00B00618"/>
    <w:rsid w:val="00B03555"/>
    <w:rsid w:val="00B04FA1"/>
    <w:rsid w:val="00B061F3"/>
    <w:rsid w:val="00B10074"/>
    <w:rsid w:val="00B11019"/>
    <w:rsid w:val="00B1793C"/>
    <w:rsid w:val="00B21731"/>
    <w:rsid w:val="00B250F8"/>
    <w:rsid w:val="00B27B7E"/>
    <w:rsid w:val="00B3134E"/>
    <w:rsid w:val="00B32D30"/>
    <w:rsid w:val="00B347BF"/>
    <w:rsid w:val="00B3636B"/>
    <w:rsid w:val="00B41F3B"/>
    <w:rsid w:val="00B42D98"/>
    <w:rsid w:val="00B46004"/>
    <w:rsid w:val="00B52154"/>
    <w:rsid w:val="00B54DB4"/>
    <w:rsid w:val="00B62129"/>
    <w:rsid w:val="00B657F6"/>
    <w:rsid w:val="00B66DE4"/>
    <w:rsid w:val="00B675BB"/>
    <w:rsid w:val="00B67D8B"/>
    <w:rsid w:val="00B71BF5"/>
    <w:rsid w:val="00B73074"/>
    <w:rsid w:val="00B73878"/>
    <w:rsid w:val="00B75D96"/>
    <w:rsid w:val="00B81D22"/>
    <w:rsid w:val="00B867B9"/>
    <w:rsid w:val="00B91824"/>
    <w:rsid w:val="00B9393B"/>
    <w:rsid w:val="00B969B2"/>
    <w:rsid w:val="00B97ACB"/>
    <w:rsid w:val="00BA21A3"/>
    <w:rsid w:val="00BA297B"/>
    <w:rsid w:val="00BA6102"/>
    <w:rsid w:val="00BB03F1"/>
    <w:rsid w:val="00BB1C20"/>
    <w:rsid w:val="00BB2FF9"/>
    <w:rsid w:val="00BB55A5"/>
    <w:rsid w:val="00BC5D67"/>
    <w:rsid w:val="00BD1697"/>
    <w:rsid w:val="00BE0804"/>
    <w:rsid w:val="00BE1E1B"/>
    <w:rsid w:val="00BE377C"/>
    <w:rsid w:val="00BE4D07"/>
    <w:rsid w:val="00BE5E2D"/>
    <w:rsid w:val="00BF33D1"/>
    <w:rsid w:val="00BF4BE6"/>
    <w:rsid w:val="00BF4F56"/>
    <w:rsid w:val="00BF5ED8"/>
    <w:rsid w:val="00C01630"/>
    <w:rsid w:val="00C052AA"/>
    <w:rsid w:val="00C05C4F"/>
    <w:rsid w:val="00C075AD"/>
    <w:rsid w:val="00C113DE"/>
    <w:rsid w:val="00C12950"/>
    <w:rsid w:val="00C15DE8"/>
    <w:rsid w:val="00C1713B"/>
    <w:rsid w:val="00C20F24"/>
    <w:rsid w:val="00C22417"/>
    <w:rsid w:val="00C22B04"/>
    <w:rsid w:val="00C24897"/>
    <w:rsid w:val="00C30750"/>
    <w:rsid w:val="00C31058"/>
    <w:rsid w:val="00C348B4"/>
    <w:rsid w:val="00C37CFE"/>
    <w:rsid w:val="00C422DB"/>
    <w:rsid w:val="00C43A19"/>
    <w:rsid w:val="00C50525"/>
    <w:rsid w:val="00C510BF"/>
    <w:rsid w:val="00C54939"/>
    <w:rsid w:val="00C57AAE"/>
    <w:rsid w:val="00C6298A"/>
    <w:rsid w:val="00C64F5E"/>
    <w:rsid w:val="00C6523C"/>
    <w:rsid w:val="00C6631E"/>
    <w:rsid w:val="00C72D2B"/>
    <w:rsid w:val="00C72F57"/>
    <w:rsid w:val="00C75502"/>
    <w:rsid w:val="00C766C0"/>
    <w:rsid w:val="00C77560"/>
    <w:rsid w:val="00C80CC2"/>
    <w:rsid w:val="00C81125"/>
    <w:rsid w:val="00C9206E"/>
    <w:rsid w:val="00C9329B"/>
    <w:rsid w:val="00C938D8"/>
    <w:rsid w:val="00C93FE5"/>
    <w:rsid w:val="00C94F70"/>
    <w:rsid w:val="00C96D6E"/>
    <w:rsid w:val="00C97239"/>
    <w:rsid w:val="00CA6A2D"/>
    <w:rsid w:val="00CA79DC"/>
    <w:rsid w:val="00CA7FBF"/>
    <w:rsid w:val="00CB0C20"/>
    <w:rsid w:val="00CB4002"/>
    <w:rsid w:val="00CC0FDA"/>
    <w:rsid w:val="00CC4410"/>
    <w:rsid w:val="00CC4BEF"/>
    <w:rsid w:val="00CC54DB"/>
    <w:rsid w:val="00CC55A7"/>
    <w:rsid w:val="00CD216A"/>
    <w:rsid w:val="00CD2E2C"/>
    <w:rsid w:val="00CD4EE2"/>
    <w:rsid w:val="00CE1F32"/>
    <w:rsid w:val="00CE342F"/>
    <w:rsid w:val="00CE4E19"/>
    <w:rsid w:val="00CE5C37"/>
    <w:rsid w:val="00CE6991"/>
    <w:rsid w:val="00CF161E"/>
    <w:rsid w:val="00CF2497"/>
    <w:rsid w:val="00CF2EC2"/>
    <w:rsid w:val="00CF5424"/>
    <w:rsid w:val="00CF55A0"/>
    <w:rsid w:val="00CF5D0B"/>
    <w:rsid w:val="00D024FA"/>
    <w:rsid w:val="00D04941"/>
    <w:rsid w:val="00D05F7F"/>
    <w:rsid w:val="00D10F98"/>
    <w:rsid w:val="00D11966"/>
    <w:rsid w:val="00D13DC7"/>
    <w:rsid w:val="00D162FB"/>
    <w:rsid w:val="00D17A02"/>
    <w:rsid w:val="00D25CD5"/>
    <w:rsid w:val="00D31FA0"/>
    <w:rsid w:val="00D328E4"/>
    <w:rsid w:val="00D33018"/>
    <w:rsid w:val="00D33478"/>
    <w:rsid w:val="00D35D5F"/>
    <w:rsid w:val="00D35F7E"/>
    <w:rsid w:val="00D42E33"/>
    <w:rsid w:val="00D43890"/>
    <w:rsid w:val="00D462D6"/>
    <w:rsid w:val="00D4646A"/>
    <w:rsid w:val="00D51AFD"/>
    <w:rsid w:val="00D559E6"/>
    <w:rsid w:val="00D57A1C"/>
    <w:rsid w:val="00D60BFA"/>
    <w:rsid w:val="00D60D0C"/>
    <w:rsid w:val="00D62EA6"/>
    <w:rsid w:val="00D76CE2"/>
    <w:rsid w:val="00D7755A"/>
    <w:rsid w:val="00D776C9"/>
    <w:rsid w:val="00D808B7"/>
    <w:rsid w:val="00D830FD"/>
    <w:rsid w:val="00D84872"/>
    <w:rsid w:val="00D8584F"/>
    <w:rsid w:val="00D86ADE"/>
    <w:rsid w:val="00D86E27"/>
    <w:rsid w:val="00DA13E4"/>
    <w:rsid w:val="00DA15D1"/>
    <w:rsid w:val="00DA21D7"/>
    <w:rsid w:val="00DA4710"/>
    <w:rsid w:val="00DA6631"/>
    <w:rsid w:val="00DA6E94"/>
    <w:rsid w:val="00DA7275"/>
    <w:rsid w:val="00DB0C4D"/>
    <w:rsid w:val="00DB3DC1"/>
    <w:rsid w:val="00DB700E"/>
    <w:rsid w:val="00DC02C9"/>
    <w:rsid w:val="00DC1359"/>
    <w:rsid w:val="00DC2882"/>
    <w:rsid w:val="00DC28A7"/>
    <w:rsid w:val="00DC3CDB"/>
    <w:rsid w:val="00DC7691"/>
    <w:rsid w:val="00DE32B1"/>
    <w:rsid w:val="00DF2919"/>
    <w:rsid w:val="00DF7856"/>
    <w:rsid w:val="00DF78F4"/>
    <w:rsid w:val="00DF7CFC"/>
    <w:rsid w:val="00E0016E"/>
    <w:rsid w:val="00E01E05"/>
    <w:rsid w:val="00E0532E"/>
    <w:rsid w:val="00E05630"/>
    <w:rsid w:val="00E07FAF"/>
    <w:rsid w:val="00E13537"/>
    <w:rsid w:val="00E15596"/>
    <w:rsid w:val="00E16681"/>
    <w:rsid w:val="00E16856"/>
    <w:rsid w:val="00E25870"/>
    <w:rsid w:val="00E26545"/>
    <w:rsid w:val="00E303FA"/>
    <w:rsid w:val="00E3232E"/>
    <w:rsid w:val="00E32F27"/>
    <w:rsid w:val="00E35A94"/>
    <w:rsid w:val="00E3600A"/>
    <w:rsid w:val="00E36411"/>
    <w:rsid w:val="00E36C5B"/>
    <w:rsid w:val="00E37A21"/>
    <w:rsid w:val="00E40274"/>
    <w:rsid w:val="00E403B3"/>
    <w:rsid w:val="00E406B0"/>
    <w:rsid w:val="00E43468"/>
    <w:rsid w:val="00E4347D"/>
    <w:rsid w:val="00E43CCB"/>
    <w:rsid w:val="00E4516B"/>
    <w:rsid w:val="00E452EF"/>
    <w:rsid w:val="00E47396"/>
    <w:rsid w:val="00E54D5A"/>
    <w:rsid w:val="00E62864"/>
    <w:rsid w:val="00E646D2"/>
    <w:rsid w:val="00E65BA4"/>
    <w:rsid w:val="00E706E3"/>
    <w:rsid w:val="00E74509"/>
    <w:rsid w:val="00E823D4"/>
    <w:rsid w:val="00E90583"/>
    <w:rsid w:val="00E929CD"/>
    <w:rsid w:val="00E97244"/>
    <w:rsid w:val="00E97405"/>
    <w:rsid w:val="00EA1856"/>
    <w:rsid w:val="00EA3C33"/>
    <w:rsid w:val="00EA44CC"/>
    <w:rsid w:val="00EA4EA0"/>
    <w:rsid w:val="00EA5E82"/>
    <w:rsid w:val="00EB04A0"/>
    <w:rsid w:val="00EC65D8"/>
    <w:rsid w:val="00ED525D"/>
    <w:rsid w:val="00ED6E88"/>
    <w:rsid w:val="00EE263E"/>
    <w:rsid w:val="00EE5091"/>
    <w:rsid w:val="00EE57FA"/>
    <w:rsid w:val="00EF1953"/>
    <w:rsid w:val="00EF38F0"/>
    <w:rsid w:val="00EF3EB4"/>
    <w:rsid w:val="00EF6214"/>
    <w:rsid w:val="00F02E9B"/>
    <w:rsid w:val="00F0574E"/>
    <w:rsid w:val="00F14F38"/>
    <w:rsid w:val="00F16592"/>
    <w:rsid w:val="00F26098"/>
    <w:rsid w:val="00F27590"/>
    <w:rsid w:val="00F34B21"/>
    <w:rsid w:val="00F34E17"/>
    <w:rsid w:val="00F4213F"/>
    <w:rsid w:val="00F44392"/>
    <w:rsid w:val="00F4564C"/>
    <w:rsid w:val="00F54039"/>
    <w:rsid w:val="00F601D4"/>
    <w:rsid w:val="00F70D6D"/>
    <w:rsid w:val="00F72330"/>
    <w:rsid w:val="00F74830"/>
    <w:rsid w:val="00F77D60"/>
    <w:rsid w:val="00F92857"/>
    <w:rsid w:val="00F95A20"/>
    <w:rsid w:val="00F97622"/>
    <w:rsid w:val="00FA144E"/>
    <w:rsid w:val="00FA3904"/>
    <w:rsid w:val="00FB1C5F"/>
    <w:rsid w:val="00FB6D9E"/>
    <w:rsid w:val="00FC2E40"/>
    <w:rsid w:val="00FD13FE"/>
    <w:rsid w:val="00FD173C"/>
    <w:rsid w:val="00FD1AF8"/>
    <w:rsid w:val="00FD22B0"/>
    <w:rsid w:val="00FD30A9"/>
    <w:rsid w:val="00FD45F2"/>
    <w:rsid w:val="00FD5DD6"/>
    <w:rsid w:val="00FE0A8A"/>
    <w:rsid w:val="00FE1932"/>
    <w:rsid w:val="00FE35E7"/>
    <w:rsid w:val="00FE6706"/>
    <w:rsid w:val="00FE764B"/>
    <w:rsid w:val="00FF0F5F"/>
    <w:rsid w:val="00FF36B8"/>
    <w:rsid w:val="00FF38CE"/>
    <w:rsid w:val="00FF4744"/>
    <w:rsid w:val="00FF4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FCD31"/>
  <w15:docId w15:val="{9B75D952-49AB-D348-A2EA-1FF0B7574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83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2">
    <w:name w:val="heading 2"/>
    <w:basedOn w:val="Normal"/>
    <w:link w:val="Heading2Char"/>
    <w:uiPriority w:val="9"/>
    <w:qFormat/>
    <w:rsid w:val="00F7483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F74830"/>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F7483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320"/>
        <w:tab w:val="right" w:pos="8640"/>
      </w:tabs>
    </w:pPr>
    <w:rPr>
      <w:rFonts w:cs="Arial Unicode MS"/>
      <w:color w:val="000000"/>
      <w:sz w:val="24"/>
      <w:szCs w:val="24"/>
      <w:u w:color="000000"/>
    </w:rPr>
  </w:style>
  <w:style w:type="paragraph" w:customStyle="1" w:styleId="PaperTitle">
    <w:name w:val="Paper Title"/>
    <w:pPr>
      <w:spacing w:before="1200"/>
      <w:jc w:val="center"/>
    </w:pPr>
    <w:rPr>
      <w:rFonts w:cs="Arial Unicode MS"/>
      <w:b/>
      <w:bCs/>
      <w:color w:val="000000"/>
      <w:sz w:val="36"/>
      <w:szCs w:val="36"/>
      <w:u w:color="000000"/>
    </w:rPr>
  </w:style>
  <w:style w:type="paragraph" w:customStyle="1" w:styleId="PaperAuthor">
    <w:name w:val="Paper Author"/>
    <w:uiPriority w:val="99"/>
    <w:pPr>
      <w:spacing w:before="360" w:after="360"/>
      <w:jc w:val="center"/>
    </w:pPr>
    <w:rPr>
      <w:rFonts w:cs="Arial Unicode MS"/>
      <w:color w:val="000000"/>
      <w:sz w:val="28"/>
      <w:szCs w:val="28"/>
      <w:u w:color="000000"/>
    </w:rPr>
  </w:style>
  <w:style w:type="paragraph" w:customStyle="1" w:styleId="AuthorAffiliation">
    <w:name w:val="Author Affiliation"/>
    <w:pPr>
      <w:jc w:val="center"/>
    </w:pPr>
    <w:rPr>
      <w:rFonts w:cs="Arial Unicode MS"/>
      <w:i/>
      <w:iCs/>
      <w:color w:val="000000"/>
      <w:u w:color="000000"/>
    </w:rPr>
  </w:style>
  <w:style w:type="paragraph" w:customStyle="1" w:styleId="BDAbstract">
    <w:name w:val="BD_Abstract"/>
    <w:next w:val="Body"/>
    <w:pPr>
      <w:spacing w:before="360" w:after="360" w:line="480" w:lineRule="auto"/>
      <w:jc w:val="both"/>
    </w:pPr>
    <w:rPr>
      <w:rFonts w:cs="Arial Unicode MS"/>
      <w:color w:val="000000"/>
      <w:sz w:val="24"/>
      <w:szCs w:val="24"/>
      <w:u w:color="000000"/>
    </w:rPr>
  </w:style>
  <w:style w:type="paragraph" w:customStyle="1" w:styleId="Body">
    <w:name w:val="Body"/>
    <w:rPr>
      <w:rFonts w:cs="Arial Unicode MS"/>
      <w:color w:val="000000"/>
      <w:sz w:val="24"/>
      <w:szCs w:val="24"/>
      <w:u w:color="000000"/>
    </w:rPr>
  </w:style>
  <w:style w:type="paragraph" w:customStyle="1" w:styleId="Abstract">
    <w:name w:val="Abstract"/>
    <w:pPr>
      <w:spacing w:before="360"/>
      <w:ind w:left="288" w:right="288"/>
      <w:jc w:val="both"/>
    </w:pPr>
    <w:rPr>
      <w:rFonts w:cs="Arial Unicode MS"/>
      <w:color w:val="000000"/>
      <w:sz w:val="18"/>
      <w:szCs w:val="18"/>
      <w:u w:color="000000"/>
    </w:rPr>
  </w:style>
  <w:style w:type="paragraph" w:customStyle="1" w:styleId="Paragraph">
    <w:name w:val="Paragraph"/>
    <w:link w:val="ParagraphChar"/>
    <w:uiPriority w:val="99"/>
    <w:pPr>
      <w:ind w:firstLine="274"/>
      <w:jc w:val="both"/>
    </w:pPr>
    <w:rPr>
      <w:rFonts w:eastAsia="Times New Roman"/>
      <w:color w:val="000000"/>
      <w:u w:color="000000"/>
    </w:rPr>
  </w:style>
  <w:style w:type="paragraph" w:customStyle="1" w:styleId="Heading">
    <w:name w:val="Heading"/>
    <w:next w:val="Body"/>
    <w:pPr>
      <w:keepNext/>
      <w:spacing w:before="240" w:after="240"/>
      <w:jc w:val="center"/>
      <w:outlineLvl w:val="0"/>
    </w:pPr>
    <w:rPr>
      <w:rFonts w:cs="Arial Unicode MS"/>
      <w:b/>
      <w:bCs/>
      <w:caps/>
      <w:color w:val="000000"/>
      <w:sz w:val="24"/>
      <w:szCs w:val="24"/>
      <w:u w:color="000000"/>
      <w:lang w:val="fr-FR"/>
    </w:rPr>
  </w:style>
  <w:style w:type="paragraph" w:customStyle="1" w:styleId="FigureCaption">
    <w:name w:val="FigureCaption"/>
    <w:next w:val="Paragraph"/>
    <w:pPr>
      <w:jc w:val="both"/>
    </w:pPr>
    <w:rPr>
      <w:rFonts w:eastAsia="Times New Roman"/>
      <w:color w:val="000000"/>
      <w:sz w:val="18"/>
      <w:szCs w:val="18"/>
      <w:u w:color="000000"/>
    </w:rPr>
  </w:style>
  <w:style w:type="paragraph" w:customStyle="1" w:styleId="EndNoteBibliography">
    <w:name w:val="EndNote Bibliography"/>
    <w:link w:val="EndNoteBibliographyChar"/>
    <w:pPr>
      <w:spacing w:line="480" w:lineRule="auto"/>
    </w:pPr>
    <w:rPr>
      <w:rFonts w:eastAsia="Times New Roman"/>
      <w:color w:val="000000"/>
      <w:sz w:val="24"/>
      <w:szCs w:val="24"/>
      <w:u w:color="000000"/>
    </w:rPr>
  </w:style>
  <w:style w:type="paragraph" w:styleId="Header">
    <w:name w:val="header"/>
    <w:basedOn w:val="Normal"/>
    <w:link w:val="HeaderChar"/>
    <w:uiPriority w:val="99"/>
    <w:unhideWhenUsed/>
    <w:rsid w:val="00257D08"/>
    <w:pPr>
      <w:tabs>
        <w:tab w:val="center" w:pos="4680"/>
        <w:tab w:val="right" w:pos="9360"/>
      </w:tabs>
    </w:pPr>
  </w:style>
  <w:style w:type="character" w:customStyle="1" w:styleId="HeaderChar">
    <w:name w:val="Header Char"/>
    <w:basedOn w:val="DefaultParagraphFont"/>
    <w:link w:val="Header"/>
    <w:uiPriority w:val="99"/>
    <w:rsid w:val="00257D08"/>
    <w:rPr>
      <w:sz w:val="24"/>
      <w:szCs w:val="24"/>
    </w:rPr>
  </w:style>
  <w:style w:type="paragraph" w:styleId="BalloonText">
    <w:name w:val="Balloon Text"/>
    <w:basedOn w:val="Normal"/>
    <w:link w:val="BalloonTextChar"/>
    <w:uiPriority w:val="99"/>
    <w:semiHidden/>
    <w:unhideWhenUsed/>
    <w:rsid w:val="00EE57FA"/>
    <w:rPr>
      <w:sz w:val="18"/>
      <w:szCs w:val="18"/>
    </w:rPr>
  </w:style>
  <w:style w:type="character" w:customStyle="1" w:styleId="BalloonTextChar">
    <w:name w:val="Balloon Text Char"/>
    <w:basedOn w:val="DefaultParagraphFont"/>
    <w:link w:val="BalloonText"/>
    <w:uiPriority w:val="99"/>
    <w:semiHidden/>
    <w:rsid w:val="00EE57FA"/>
    <w:rPr>
      <w:sz w:val="18"/>
      <w:szCs w:val="18"/>
    </w:rPr>
  </w:style>
  <w:style w:type="paragraph" w:customStyle="1" w:styleId="EndNoteBibliographyTitle">
    <w:name w:val="EndNote Bibliography Title"/>
    <w:basedOn w:val="Normal"/>
    <w:link w:val="EndNoteBibliographyTitleChar"/>
    <w:rsid w:val="00953EC4"/>
    <w:pPr>
      <w:jc w:val="center"/>
    </w:pPr>
  </w:style>
  <w:style w:type="character" w:customStyle="1" w:styleId="EndNoteBibliographyChar">
    <w:name w:val="EndNote Bibliography Char"/>
    <w:basedOn w:val="DefaultParagraphFont"/>
    <w:link w:val="EndNoteBibliography"/>
    <w:rsid w:val="00953EC4"/>
    <w:rPr>
      <w:rFonts w:eastAsia="Times New Roman"/>
      <w:color w:val="000000"/>
      <w:sz w:val="24"/>
      <w:szCs w:val="24"/>
      <w:u w:color="000000"/>
    </w:rPr>
  </w:style>
  <w:style w:type="character" w:customStyle="1" w:styleId="EndNoteBibliographyTitleChar">
    <w:name w:val="EndNote Bibliography Title Char"/>
    <w:basedOn w:val="EndNoteBibliographyChar"/>
    <w:link w:val="EndNoteBibliographyTitle"/>
    <w:rsid w:val="00953EC4"/>
    <w:rPr>
      <w:rFonts w:eastAsia="Times New Roman"/>
      <w:color w:val="000000"/>
      <w:sz w:val="24"/>
      <w:szCs w:val="24"/>
      <w:u w:color="000000"/>
    </w:rPr>
  </w:style>
  <w:style w:type="character" w:styleId="LineNumber">
    <w:name w:val="line number"/>
    <w:basedOn w:val="DefaultParagraphFont"/>
    <w:uiPriority w:val="99"/>
    <w:semiHidden/>
    <w:unhideWhenUsed/>
    <w:rsid w:val="00A4414E"/>
  </w:style>
  <w:style w:type="character" w:styleId="CommentReference">
    <w:name w:val="annotation reference"/>
    <w:basedOn w:val="DefaultParagraphFont"/>
    <w:uiPriority w:val="99"/>
    <w:semiHidden/>
    <w:unhideWhenUsed/>
    <w:rsid w:val="00CF5424"/>
    <w:rPr>
      <w:sz w:val="16"/>
      <w:szCs w:val="16"/>
    </w:rPr>
  </w:style>
  <w:style w:type="paragraph" w:styleId="CommentText">
    <w:name w:val="annotation text"/>
    <w:basedOn w:val="Normal"/>
    <w:link w:val="CommentTextChar"/>
    <w:uiPriority w:val="99"/>
    <w:semiHidden/>
    <w:unhideWhenUsed/>
    <w:rsid w:val="00CF5424"/>
    <w:rPr>
      <w:sz w:val="20"/>
      <w:szCs w:val="20"/>
    </w:rPr>
  </w:style>
  <w:style w:type="character" w:customStyle="1" w:styleId="CommentTextChar">
    <w:name w:val="Comment Text Char"/>
    <w:basedOn w:val="DefaultParagraphFont"/>
    <w:link w:val="CommentText"/>
    <w:uiPriority w:val="99"/>
    <w:semiHidden/>
    <w:rsid w:val="00CF5424"/>
  </w:style>
  <w:style w:type="paragraph" w:styleId="CommentSubject">
    <w:name w:val="annotation subject"/>
    <w:basedOn w:val="CommentText"/>
    <w:next w:val="CommentText"/>
    <w:link w:val="CommentSubjectChar"/>
    <w:uiPriority w:val="99"/>
    <w:semiHidden/>
    <w:unhideWhenUsed/>
    <w:rsid w:val="00CF5424"/>
    <w:rPr>
      <w:b/>
      <w:bCs/>
    </w:rPr>
  </w:style>
  <w:style w:type="character" w:customStyle="1" w:styleId="CommentSubjectChar">
    <w:name w:val="Comment Subject Char"/>
    <w:basedOn w:val="CommentTextChar"/>
    <w:link w:val="CommentSubject"/>
    <w:uiPriority w:val="99"/>
    <w:semiHidden/>
    <w:rsid w:val="00CF5424"/>
    <w:rPr>
      <w:b/>
      <w:bCs/>
    </w:rPr>
  </w:style>
  <w:style w:type="character" w:customStyle="1" w:styleId="ParagraphChar">
    <w:name w:val="Paragraph Char"/>
    <w:basedOn w:val="DefaultParagraphFont"/>
    <w:link w:val="Paragraph"/>
    <w:uiPriority w:val="99"/>
    <w:rsid w:val="00270BD0"/>
    <w:rPr>
      <w:rFonts w:eastAsia="Times New Roman"/>
      <w:color w:val="000000"/>
      <w:u w:color="000000"/>
    </w:rPr>
  </w:style>
  <w:style w:type="paragraph" w:styleId="NormalWeb">
    <w:name w:val="Normal (Web)"/>
    <w:basedOn w:val="Normal"/>
    <w:uiPriority w:val="99"/>
    <w:unhideWhenUsed/>
    <w:rsid w:val="006A5FF6"/>
    <w:pPr>
      <w:spacing w:before="100" w:beforeAutospacing="1" w:after="100" w:afterAutospacing="1"/>
    </w:pPr>
  </w:style>
  <w:style w:type="character" w:styleId="UnresolvedMention">
    <w:name w:val="Unresolved Mention"/>
    <w:basedOn w:val="DefaultParagraphFont"/>
    <w:uiPriority w:val="99"/>
    <w:semiHidden/>
    <w:unhideWhenUsed/>
    <w:rsid w:val="0005597C"/>
    <w:rPr>
      <w:color w:val="605E5C"/>
      <w:shd w:val="clear" w:color="auto" w:fill="E1DFDD"/>
    </w:rPr>
  </w:style>
  <w:style w:type="character" w:styleId="PlaceholderText">
    <w:name w:val="Placeholder Text"/>
    <w:basedOn w:val="DefaultParagraphFont"/>
    <w:uiPriority w:val="99"/>
    <w:semiHidden/>
    <w:rsid w:val="000B2A34"/>
    <w:rPr>
      <w:color w:val="808080"/>
    </w:rPr>
  </w:style>
  <w:style w:type="paragraph" w:styleId="NoSpacing">
    <w:name w:val="No Spacing"/>
    <w:uiPriority w:val="1"/>
    <w:qFormat/>
    <w:rsid w:val="00F92857"/>
    <w:rPr>
      <w:sz w:val="24"/>
      <w:szCs w:val="24"/>
    </w:rPr>
  </w:style>
  <w:style w:type="paragraph" w:styleId="ListParagraph">
    <w:name w:val="List Paragraph"/>
    <w:basedOn w:val="Normal"/>
    <w:uiPriority w:val="34"/>
    <w:qFormat/>
    <w:rsid w:val="00AC4270"/>
    <w:pPr>
      <w:ind w:left="720"/>
      <w:contextualSpacing/>
    </w:pPr>
  </w:style>
  <w:style w:type="character" w:customStyle="1" w:styleId="Heading2Char">
    <w:name w:val="Heading 2 Char"/>
    <w:basedOn w:val="DefaultParagraphFont"/>
    <w:link w:val="Heading2"/>
    <w:uiPriority w:val="9"/>
    <w:rsid w:val="00F74830"/>
    <w:rPr>
      <w:rFonts w:eastAsia="Times New Roman"/>
      <w:b/>
      <w:bCs/>
      <w:sz w:val="36"/>
      <w:szCs w:val="36"/>
      <w:bdr w:val="none" w:sz="0" w:space="0" w:color="auto"/>
    </w:rPr>
  </w:style>
  <w:style w:type="character" w:customStyle="1" w:styleId="Heading3Char">
    <w:name w:val="Heading 3 Char"/>
    <w:basedOn w:val="DefaultParagraphFont"/>
    <w:link w:val="Heading3"/>
    <w:uiPriority w:val="9"/>
    <w:rsid w:val="00F74830"/>
    <w:rPr>
      <w:rFonts w:eastAsia="Times New Roman"/>
      <w:b/>
      <w:bCs/>
      <w:sz w:val="27"/>
      <w:szCs w:val="27"/>
      <w:bdr w:val="none" w:sz="0" w:space="0" w:color="auto"/>
    </w:rPr>
  </w:style>
  <w:style w:type="character" w:customStyle="1" w:styleId="Heading4Char">
    <w:name w:val="Heading 4 Char"/>
    <w:basedOn w:val="DefaultParagraphFont"/>
    <w:link w:val="Heading4"/>
    <w:uiPriority w:val="9"/>
    <w:rsid w:val="00F74830"/>
    <w:rPr>
      <w:rFonts w:eastAsia="Times New Roman"/>
      <w:b/>
      <w:bCs/>
      <w:sz w:val="24"/>
      <w:szCs w:val="24"/>
      <w:bdr w:val="none" w:sz="0" w:space="0" w:color="auto"/>
    </w:rPr>
  </w:style>
  <w:style w:type="character" w:customStyle="1" w:styleId="apple-converted-space">
    <w:name w:val="apple-converted-space"/>
    <w:basedOn w:val="DefaultParagraphFont"/>
    <w:rsid w:val="00F74830"/>
  </w:style>
  <w:style w:type="character" w:customStyle="1" w:styleId="highlighted">
    <w:name w:val="highlighted"/>
    <w:basedOn w:val="DefaultParagraphFont"/>
    <w:rsid w:val="00F74830"/>
  </w:style>
  <w:style w:type="character" w:customStyle="1" w:styleId="mn">
    <w:name w:val="mn"/>
    <w:basedOn w:val="DefaultParagraphFont"/>
    <w:rsid w:val="00F74830"/>
  </w:style>
  <w:style w:type="character" w:customStyle="1" w:styleId="mtext">
    <w:name w:val="mtext"/>
    <w:basedOn w:val="DefaultParagraphFont"/>
    <w:rsid w:val="00F74830"/>
  </w:style>
  <w:style w:type="character" w:customStyle="1" w:styleId="mo">
    <w:name w:val="mo"/>
    <w:basedOn w:val="DefaultParagraphFont"/>
    <w:rsid w:val="00F74830"/>
  </w:style>
  <w:style w:type="character" w:customStyle="1" w:styleId="mi">
    <w:name w:val="mi"/>
    <w:basedOn w:val="DefaultParagraphFont"/>
    <w:rsid w:val="00F74830"/>
  </w:style>
  <w:style w:type="character" w:customStyle="1" w:styleId="pre">
    <w:name w:val="pre"/>
    <w:basedOn w:val="DefaultParagraphFont"/>
    <w:rsid w:val="00F74830"/>
  </w:style>
  <w:style w:type="character" w:styleId="FollowedHyperlink">
    <w:name w:val="FollowedHyperlink"/>
    <w:basedOn w:val="DefaultParagraphFont"/>
    <w:uiPriority w:val="99"/>
    <w:semiHidden/>
    <w:unhideWhenUsed/>
    <w:rsid w:val="00387A28"/>
    <w:rPr>
      <w:color w:val="FF00FF" w:themeColor="followedHyperlink"/>
      <w:u w:val="single"/>
    </w:rPr>
  </w:style>
  <w:style w:type="paragraph" w:styleId="Bibliography">
    <w:name w:val="Bibliography"/>
    <w:basedOn w:val="Normal"/>
    <w:next w:val="Normal"/>
    <w:uiPriority w:val="37"/>
    <w:unhideWhenUsed/>
    <w:rsid w:val="00F02E9B"/>
    <w:pPr>
      <w:tabs>
        <w:tab w:val="left" w:pos="380"/>
      </w:tabs>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571726">
      <w:bodyDiv w:val="1"/>
      <w:marLeft w:val="0"/>
      <w:marRight w:val="0"/>
      <w:marTop w:val="0"/>
      <w:marBottom w:val="0"/>
      <w:divBdr>
        <w:top w:val="none" w:sz="0" w:space="0" w:color="auto"/>
        <w:left w:val="none" w:sz="0" w:space="0" w:color="auto"/>
        <w:bottom w:val="none" w:sz="0" w:space="0" w:color="auto"/>
        <w:right w:val="none" w:sz="0" w:space="0" w:color="auto"/>
      </w:divBdr>
      <w:divsChild>
        <w:div w:id="1727534445">
          <w:marLeft w:val="0"/>
          <w:marRight w:val="0"/>
          <w:marTop w:val="240"/>
          <w:marBottom w:val="240"/>
          <w:divBdr>
            <w:top w:val="none" w:sz="0" w:space="0" w:color="auto"/>
            <w:left w:val="none" w:sz="0" w:space="0" w:color="auto"/>
            <w:bottom w:val="none" w:sz="0" w:space="0" w:color="auto"/>
            <w:right w:val="none" w:sz="0" w:space="0" w:color="auto"/>
          </w:divBdr>
        </w:div>
      </w:divsChild>
    </w:div>
    <w:div w:id="339351825">
      <w:bodyDiv w:val="1"/>
      <w:marLeft w:val="0"/>
      <w:marRight w:val="0"/>
      <w:marTop w:val="0"/>
      <w:marBottom w:val="0"/>
      <w:divBdr>
        <w:top w:val="none" w:sz="0" w:space="0" w:color="auto"/>
        <w:left w:val="none" w:sz="0" w:space="0" w:color="auto"/>
        <w:bottom w:val="none" w:sz="0" w:space="0" w:color="auto"/>
        <w:right w:val="none" w:sz="0" w:space="0" w:color="auto"/>
      </w:divBdr>
    </w:div>
    <w:div w:id="478302980">
      <w:bodyDiv w:val="1"/>
      <w:marLeft w:val="0"/>
      <w:marRight w:val="0"/>
      <w:marTop w:val="0"/>
      <w:marBottom w:val="0"/>
      <w:divBdr>
        <w:top w:val="none" w:sz="0" w:space="0" w:color="auto"/>
        <w:left w:val="none" w:sz="0" w:space="0" w:color="auto"/>
        <w:bottom w:val="none" w:sz="0" w:space="0" w:color="auto"/>
        <w:right w:val="none" w:sz="0" w:space="0" w:color="auto"/>
      </w:divBdr>
    </w:div>
    <w:div w:id="552035976">
      <w:bodyDiv w:val="1"/>
      <w:marLeft w:val="0"/>
      <w:marRight w:val="0"/>
      <w:marTop w:val="0"/>
      <w:marBottom w:val="0"/>
      <w:divBdr>
        <w:top w:val="none" w:sz="0" w:space="0" w:color="auto"/>
        <w:left w:val="none" w:sz="0" w:space="0" w:color="auto"/>
        <w:bottom w:val="none" w:sz="0" w:space="0" w:color="auto"/>
        <w:right w:val="none" w:sz="0" w:space="0" w:color="auto"/>
      </w:divBdr>
      <w:divsChild>
        <w:div w:id="628587653">
          <w:marLeft w:val="0"/>
          <w:marRight w:val="0"/>
          <w:marTop w:val="0"/>
          <w:marBottom w:val="0"/>
          <w:divBdr>
            <w:top w:val="none" w:sz="0" w:space="0" w:color="auto"/>
            <w:left w:val="none" w:sz="0" w:space="0" w:color="auto"/>
            <w:bottom w:val="none" w:sz="0" w:space="0" w:color="auto"/>
            <w:right w:val="none" w:sz="0" w:space="0" w:color="auto"/>
          </w:divBdr>
          <w:divsChild>
            <w:div w:id="733700517">
              <w:marLeft w:val="0"/>
              <w:marRight w:val="0"/>
              <w:marTop w:val="0"/>
              <w:marBottom w:val="0"/>
              <w:divBdr>
                <w:top w:val="none" w:sz="0" w:space="0" w:color="auto"/>
                <w:left w:val="none" w:sz="0" w:space="0" w:color="auto"/>
                <w:bottom w:val="none" w:sz="0" w:space="0" w:color="auto"/>
                <w:right w:val="none" w:sz="0" w:space="0" w:color="auto"/>
              </w:divBdr>
              <w:divsChild>
                <w:div w:id="1794713711">
                  <w:marLeft w:val="0"/>
                  <w:marRight w:val="0"/>
                  <w:marTop w:val="0"/>
                  <w:marBottom w:val="0"/>
                  <w:divBdr>
                    <w:top w:val="none" w:sz="0" w:space="0" w:color="auto"/>
                    <w:left w:val="none" w:sz="0" w:space="0" w:color="auto"/>
                    <w:bottom w:val="none" w:sz="0" w:space="0" w:color="auto"/>
                    <w:right w:val="none" w:sz="0" w:space="0" w:color="auto"/>
                  </w:divBdr>
                  <w:divsChild>
                    <w:div w:id="9439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410810">
      <w:bodyDiv w:val="1"/>
      <w:marLeft w:val="0"/>
      <w:marRight w:val="0"/>
      <w:marTop w:val="0"/>
      <w:marBottom w:val="0"/>
      <w:divBdr>
        <w:top w:val="none" w:sz="0" w:space="0" w:color="auto"/>
        <w:left w:val="none" w:sz="0" w:space="0" w:color="auto"/>
        <w:bottom w:val="none" w:sz="0" w:space="0" w:color="auto"/>
        <w:right w:val="none" w:sz="0" w:space="0" w:color="auto"/>
      </w:divBdr>
      <w:divsChild>
        <w:div w:id="1598251906">
          <w:marLeft w:val="480"/>
          <w:marRight w:val="0"/>
          <w:marTop w:val="0"/>
          <w:marBottom w:val="0"/>
          <w:divBdr>
            <w:top w:val="none" w:sz="0" w:space="0" w:color="auto"/>
            <w:left w:val="none" w:sz="0" w:space="0" w:color="auto"/>
            <w:bottom w:val="none" w:sz="0" w:space="0" w:color="auto"/>
            <w:right w:val="none" w:sz="0" w:space="0" w:color="auto"/>
          </w:divBdr>
          <w:divsChild>
            <w:div w:id="12055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58409">
      <w:bodyDiv w:val="1"/>
      <w:marLeft w:val="0"/>
      <w:marRight w:val="0"/>
      <w:marTop w:val="0"/>
      <w:marBottom w:val="0"/>
      <w:divBdr>
        <w:top w:val="none" w:sz="0" w:space="0" w:color="auto"/>
        <w:left w:val="none" w:sz="0" w:space="0" w:color="auto"/>
        <w:bottom w:val="none" w:sz="0" w:space="0" w:color="auto"/>
        <w:right w:val="none" w:sz="0" w:space="0" w:color="auto"/>
      </w:divBdr>
      <w:divsChild>
        <w:div w:id="2081362406">
          <w:marLeft w:val="0"/>
          <w:marRight w:val="0"/>
          <w:marTop w:val="0"/>
          <w:marBottom w:val="0"/>
          <w:divBdr>
            <w:top w:val="none" w:sz="0" w:space="0" w:color="auto"/>
            <w:left w:val="none" w:sz="0" w:space="0" w:color="auto"/>
            <w:bottom w:val="none" w:sz="0" w:space="0" w:color="auto"/>
            <w:right w:val="none" w:sz="0" w:space="0" w:color="auto"/>
          </w:divBdr>
          <w:divsChild>
            <w:div w:id="1884781733">
              <w:marLeft w:val="0"/>
              <w:marRight w:val="0"/>
              <w:marTop w:val="0"/>
              <w:marBottom w:val="0"/>
              <w:divBdr>
                <w:top w:val="none" w:sz="0" w:space="0" w:color="auto"/>
                <w:left w:val="none" w:sz="0" w:space="0" w:color="auto"/>
                <w:bottom w:val="none" w:sz="0" w:space="0" w:color="auto"/>
                <w:right w:val="none" w:sz="0" w:space="0" w:color="auto"/>
              </w:divBdr>
              <w:divsChild>
                <w:div w:id="88795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16735">
      <w:bodyDiv w:val="1"/>
      <w:marLeft w:val="0"/>
      <w:marRight w:val="0"/>
      <w:marTop w:val="0"/>
      <w:marBottom w:val="0"/>
      <w:divBdr>
        <w:top w:val="none" w:sz="0" w:space="0" w:color="auto"/>
        <w:left w:val="none" w:sz="0" w:space="0" w:color="auto"/>
        <w:bottom w:val="none" w:sz="0" w:space="0" w:color="auto"/>
        <w:right w:val="none" w:sz="0" w:space="0" w:color="auto"/>
      </w:divBdr>
    </w:div>
    <w:div w:id="805009135">
      <w:bodyDiv w:val="1"/>
      <w:marLeft w:val="0"/>
      <w:marRight w:val="0"/>
      <w:marTop w:val="0"/>
      <w:marBottom w:val="0"/>
      <w:divBdr>
        <w:top w:val="none" w:sz="0" w:space="0" w:color="auto"/>
        <w:left w:val="none" w:sz="0" w:space="0" w:color="auto"/>
        <w:bottom w:val="none" w:sz="0" w:space="0" w:color="auto"/>
        <w:right w:val="none" w:sz="0" w:space="0" w:color="auto"/>
      </w:divBdr>
    </w:div>
    <w:div w:id="894924762">
      <w:bodyDiv w:val="1"/>
      <w:marLeft w:val="0"/>
      <w:marRight w:val="0"/>
      <w:marTop w:val="0"/>
      <w:marBottom w:val="0"/>
      <w:divBdr>
        <w:top w:val="none" w:sz="0" w:space="0" w:color="auto"/>
        <w:left w:val="none" w:sz="0" w:space="0" w:color="auto"/>
        <w:bottom w:val="none" w:sz="0" w:space="0" w:color="auto"/>
        <w:right w:val="none" w:sz="0" w:space="0" w:color="auto"/>
      </w:divBdr>
      <w:divsChild>
        <w:div w:id="1696229708">
          <w:marLeft w:val="480"/>
          <w:marRight w:val="0"/>
          <w:marTop w:val="0"/>
          <w:marBottom w:val="0"/>
          <w:divBdr>
            <w:top w:val="none" w:sz="0" w:space="0" w:color="auto"/>
            <w:left w:val="none" w:sz="0" w:space="0" w:color="auto"/>
            <w:bottom w:val="none" w:sz="0" w:space="0" w:color="auto"/>
            <w:right w:val="none" w:sz="0" w:space="0" w:color="auto"/>
          </w:divBdr>
          <w:divsChild>
            <w:div w:id="98759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145">
      <w:bodyDiv w:val="1"/>
      <w:marLeft w:val="0"/>
      <w:marRight w:val="0"/>
      <w:marTop w:val="0"/>
      <w:marBottom w:val="0"/>
      <w:divBdr>
        <w:top w:val="none" w:sz="0" w:space="0" w:color="auto"/>
        <w:left w:val="none" w:sz="0" w:space="0" w:color="auto"/>
        <w:bottom w:val="none" w:sz="0" w:space="0" w:color="auto"/>
        <w:right w:val="none" w:sz="0" w:space="0" w:color="auto"/>
      </w:divBdr>
    </w:div>
    <w:div w:id="934292718">
      <w:bodyDiv w:val="1"/>
      <w:marLeft w:val="0"/>
      <w:marRight w:val="0"/>
      <w:marTop w:val="0"/>
      <w:marBottom w:val="0"/>
      <w:divBdr>
        <w:top w:val="none" w:sz="0" w:space="0" w:color="auto"/>
        <w:left w:val="none" w:sz="0" w:space="0" w:color="auto"/>
        <w:bottom w:val="none" w:sz="0" w:space="0" w:color="auto"/>
        <w:right w:val="none" w:sz="0" w:space="0" w:color="auto"/>
      </w:divBdr>
      <w:divsChild>
        <w:div w:id="769932907">
          <w:marLeft w:val="0"/>
          <w:marRight w:val="0"/>
          <w:marTop w:val="240"/>
          <w:marBottom w:val="240"/>
          <w:divBdr>
            <w:top w:val="none" w:sz="0" w:space="0" w:color="auto"/>
            <w:left w:val="none" w:sz="0" w:space="0" w:color="auto"/>
            <w:bottom w:val="none" w:sz="0" w:space="0" w:color="auto"/>
            <w:right w:val="none" w:sz="0" w:space="0" w:color="auto"/>
          </w:divBdr>
        </w:div>
      </w:divsChild>
    </w:div>
    <w:div w:id="1109590527">
      <w:bodyDiv w:val="1"/>
      <w:marLeft w:val="0"/>
      <w:marRight w:val="0"/>
      <w:marTop w:val="0"/>
      <w:marBottom w:val="0"/>
      <w:divBdr>
        <w:top w:val="none" w:sz="0" w:space="0" w:color="auto"/>
        <w:left w:val="none" w:sz="0" w:space="0" w:color="auto"/>
        <w:bottom w:val="none" w:sz="0" w:space="0" w:color="auto"/>
        <w:right w:val="none" w:sz="0" w:space="0" w:color="auto"/>
      </w:divBdr>
    </w:div>
    <w:div w:id="1310012740">
      <w:bodyDiv w:val="1"/>
      <w:marLeft w:val="0"/>
      <w:marRight w:val="0"/>
      <w:marTop w:val="0"/>
      <w:marBottom w:val="0"/>
      <w:divBdr>
        <w:top w:val="none" w:sz="0" w:space="0" w:color="auto"/>
        <w:left w:val="none" w:sz="0" w:space="0" w:color="auto"/>
        <w:bottom w:val="none" w:sz="0" w:space="0" w:color="auto"/>
        <w:right w:val="none" w:sz="0" w:space="0" w:color="auto"/>
      </w:divBdr>
      <w:divsChild>
        <w:div w:id="978071745">
          <w:marLeft w:val="0"/>
          <w:marRight w:val="0"/>
          <w:marTop w:val="240"/>
          <w:marBottom w:val="240"/>
          <w:divBdr>
            <w:top w:val="none" w:sz="0" w:space="0" w:color="auto"/>
            <w:left w:val="none" w:sz="0" w:space="0" w:color="auto"/>
            <w:bottom w:val="none" w:sz="0" w:space="0" w:color="auto"/>
            <w:right w:val="none" w:sz="0" w:space="0" w:color="auto"/>
          </w:divBdr>
        </w:div>
        <w:div w:id="1845699992">
          <w:marLeft w:val="0"/>
          <w:marRight w:val="0"/>
          <w:marTop w:val="240"/>
          <w:marBottom w:val="240"/>
          <w:divBdr>
            <w:top w:val="none" w:sz="0" w:space="0" w:color="auto"/>
            <w:left w:val="none" w:sz="0" w:space="0" w:color="auto"/>
            <w:bottom w:val="none" w:sz="0" w:space="0" w:color="auto"/>
            <w:right w:val="none" w:sz="0" w:space="0" w:color="auto"/>
          </w:divBdr>
        </w:div>
      </w:divsChild>
    </w:div>
    <w:div w:id="1336693351">
      <w:bodyDiv w:val="1"/>
      <w:marLeft w:val="0"/>
      <w:marRight w:val="0"/>
      <w:marTop w:val="0"/>
      <w:marBottom w:val="0"/>
      <w:divBdr>
        <w:top w:val="none" w:sz="0" w:space="0" w:color="auto"/>
        <w:left w:val="none" w:sz="0" w:space="0" w:color="auto"/>
        <w:bottom w:val="none" w:sz="0" w:space="0" w:color="auto"/>
        <w:right w:val="none" w:sz="0" w:space="0" w:color="auto"/>
      </w:divBdr>
      <w:divsChild>
        <w:div w:id="1180893546">
          <w:marLeft w:val="480"/>
          <w:marRight w:val="0"/>
          <w:marTop w:val="0"/>
          <w:marBottom w:val="0"/>
          <w:divBdr>
            <w:top w:val="none" w:sz="0" w:space="0" w:color="auto"/>
            <w:left w:val="none" w:sz="0" w:space="0" w:color="auto"/>
            <w:bottom w:val="none" w:sz="0" w:space="0" w:color="auto"/>
            <w:right w:val="none" w:sz="0" w:space="0" w:color="auto"/>
          </w:divBdr>
          <w:divsChild>
            <w:div w:id="21228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21888">
      <w:bodyDiv w:val="1"/>
      <w:marLeft w:val="0"/>
      <w:marRight w:val="0"/>
      <w:marTop w:val="0"/>
      <w:marBottom w:val="0"/>
      <w:divBdr>
        <w:top w:val="none" w:sz="0" w:space="0" w:color="auto"/>
        <w:left w:val="none" w:sz="0" w:space="0" w:color="auto"/>
        <w:bottom w:val="none" w:sz="0" w:space="0" w:color="auto"/>
        <w:right w:val="none" w:sz="0" w:space="0" w:color="auto"/>
      </w:divBdr>
      <w:divsChild>
        <w:div w:id="2013406836">
          <w:marLeft w:val="480"/>
          <w:marRight w:val="0"/>
          <w:marTop w:val="0"/>
          <w:marBottom w:val="0"/>
          <w:divBdr>
            <w:top w:val="none" w:sz="0" w:space="0" w:color="auto"/>
            <w:left w:val="none" w:sz="0" w:space="0" w:color="auto"/>
            <w:bottom w:val="none" w:sz="0" w:space="0" w:color="auto"/>
            <w:right w:val="none" w:sz="0" w:space="0" w:color="auto"/>
          </w:divBdr>
          <w:divsChild>
            <w:div w:id="14005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78642">
      <w:bodyDiv w:val="1"/>
      <w:marLeft w:val="0"/>
      <w:marRight w:val="0"/>
      <w:marTop w:val="0"/>
      <w:marBottom w:val="0"/>
      <w:divBdr>
        <w:top w:val="none" w:sz="0" w:space="0" w:color="auto"/>
        <w:left w:val="none" w:sz="0" w:space="0" w:color="auto"/>
        <w:bottom w:val="none" w:sz="0" w:space="0" w:color="auto"/>
        <w:right w:val="none" w:sz="0" w:space="0" w:color="auto"/>
      </w:divBdr>
      <w:divsChild>
        <w:div w:id="1542549988">
          <w:marLeft w:val="0"/>
          <w:marRight w:val="0"/>
          <w:marTop w:val="240"/>
          <w:marBottom w:val="240"/>
          <w:divBdr>
            <w:top w:val="none" w:sz="0" w:space="0" w:color="auto"/>
            <w:left w:val="none" w:sz="0" w:space="0" w:color="auto"/>
            <w:bottom w:val="none" w:sz="0" w:space="0" w:color="auto"/>
            <w:right w:val="none" w:sz="0" w:space="0" w:color="auto"/>
          </w:divBdr>
        </w:div>
      </w:divsChild>
    </w:div>
    <w:div w:id="1900283654">
      <w:bodyDiv w:val="1"/>
      <w:marLeft w:val="0"/>
      <w:marRight w:val="0"/>
      <w:marTop w:val="0"/>
      <w:marBottom w:val="0"/>
      <w:divBdr>
        <w:top w:val="none" w:sz="0" w:space="0" w:color="auto"/>
        <w:left w:val="none" w:sz="0" w:space="0" w:color="auto"/>
        <w:bottom w:val="none" w:sz="0" w:space="0" w:color="auto"/>
        <w:right w:val="none" w:sz="0" w:space="0" w:color="auto"/>
      </w:divBdr>
      <w:divsChild>
        <w:div w:id="385498302">
          <w:marLeft w:val="0"/>
          <w:marRight w:val="0"/>
          <w:marTop w:val="0"/>
          <w:marBottom w:val="0"/>
          <w:divBdr>
            <w:top w:val="none" w:sz="0" w:space="0" w:color="auto"/>
            <w:left w:val="none" w:sz="0" w:space="0" w:color="auto"/>
            <w:bottom w:val="none" w:sz="0" w:space="0" w:color="auto"/>
            <w:right w:val="none" w:sz="0" w:space="0" w:color="auto"/>
          </w:divBdr>
          <w:divsChild>
            <w:div w:id="1272013181">
              <w:marLeft w:val="0"/>
              <w:marRight w:val="0"/>
              <w:marTop w:val="0"/>
              <w:marBottom w:val="0"/>
              <w:divBdr>
                <w:top w:val="none" w:sz="0" w:space="0" w:color="auto"/>
                <w:left w:val="none" w:sz="0" w:space="0" w:color="auto"/>
                <w:bottom w:val="none" w:sz="0" w:space="0" w:color="auto"/>
                <w:right w:val="none" w:sz="0" w:space="0" w:color="auto"/>
              </w:divBdr>
              <w:divsChild>
                <w:div w:id="18342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584791">
      <w:bodyDiv w:val="1"/>
      <w:marLeft w:val="0"/>
      <w:marRight w:val="0"/>
      <w:marTop w:val="0"/>
      <w:marBottom w:val="0"/>
      <w:divBdr>
        <w:top w:val="none" w:sz="0" w:space="0" w:color="auto"/>
        <w:left w:val="none" w:sz="0" w:space="0" w:color="auto"/>
        <w:bottom w:val="none" w:sz="0" w:space="0" w:color="auto"/>
        <w:right w:val="none" w:sz="0" w:space="0" w:color="auto"/>
      </w:divBdr>
      <w:divsChild>
        <w:div w:id="692075514">
          <w:marLeft w:val="0"/>
          <w:marRight w:val="0"/>
          <w:marTop w:val="0"/>
          <w:marBottom w:val="0"/>
          <w:divBdr>
            <w:top w:val="none" w:sz="0" w:space="0" w:color="auto"/>
            <w:left w:val="none" w:sz="0" w:space="0" w:color="auto"/>
            <w:bottom w:val="none" w:sz="0" w:space="0" w:color="auto"/>
            <w:right w:val="none" w:sz="0" w:space="0" w:color="auto"/>
          </w:divBdr>
          <w:divsChild>
            <w:div w:id="673654337">
              <w:marLeft w:val="0"/>
              <w:marRight w:val="0"/>
              <w:marTop w:val="0"/>
              <w:marBottom w:val="0"/>
              <w:divBdr>
                <w:top w:val="none" w:sz="0" w:space="0" w:color="auto"/>
                <w:left w:val="none" w:sz="0" w:space="0" w:color="auto"/>
                <w:bottom w:val="none" w:sz="0" w:space="0" w:color="auto"/>
                <w:right w:val="none" w:sz="0" w:space="0" w:color="auto"/>
              </w:divBdr>
              <w:divsChild>
                <w:div w:id="9434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064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2043</Words>
  <Characters>11650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Emily Howell</cp:lastModifiedBy>
  <cp:revision>7</cp:revision>
  <dcterms:created xsi:type="dcterms:W3CDTF">2025-02-03T21:49:00Z</dcterms:created>
  <dcterms:modified xsi:type="dcterms:W3CDTF">2025-03-26T15:28:00Z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id="J6rrYtnV"/&gt;&lt;style id="http://www.zotero.org/styles/physical-review-letters" hasBibliography="1" bibliographyStyleHasBeenSet="1"/&gt;&lt;prefs&gt;&lt;pref name="fieldType" value="Field"/&gt;&lt;pref name="dontAskDe</vt:lpwstr>
  </property>
  <property fmtid="{D5CDD505-2E9C-101B-9397-08002B2CF9AE}" pid="3" name="ZOTERO_PREF_2">
    <vt:lpwstr>layCitationUpdates" value="true"/&gt;&lt;/prefs&gt;&lt;/data&gt;</vt:lpwstr>
  </property>
</Properties>
</file>