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9AE09" w14:textId="01E9A8BB" w:rsidR="00B4015F" w:rsidRDefault="00306D56" w:rsidP="00B4015F">
      <w:pPr>
        <w:pStyle w:val="MStitle"/>
      </w:pPr>
      <w:r w:rsidRPr="00306D56">
        <w:t xml:space="preserve">Geomorphological and sedimentological traces of the 365 AD and 1303 AD tsunami impacts on the </w:t>
      </w:r>
      <w:proofErr w:type="spellStart"/>
      <w:r w:rsidRPr="00306D56">
        <w:t>Korission</w:t>
      </w:r>
      <w:proofErr w:type="spellEnd"/>
      <w:r w:rsidRPr="00306D56">
        <w:t xml:space="preserve"> Lagoon (Corfu Island, Greece), compared with tsunami simulation scenarios</w:t>
      </w:r>
    </w:p>
    <w:p w14:paraId="538659D3" w14:textId="7298D881" w:rsidR="00B4015F" w:rsidRPr="00306D56" w:rsidRDefault="00306D56" w:rsidP="00450DB9">
      <w:pPr>
        <w:pStyle w:val="Authors"/>
        <w:rPr>
          <w:lang w:val="de-DE"/>
        </w:rPr>
      </w:pPr>
      <w:r w:rsidRPr="00306D56">
        <w:rPr>
          <w:lang w:val="de-DE"/>
        </w:rPr>
        <w:t>Tina Georg</w:t>
      </w:r>
      <w:r w:rsidRPr="00306D56">
        <w:rPr>
          <w:vertAlign w:val="superscript"/>
          <w:lang w:val="de-DE"/>
        </w:rPr>
        <w:t>1</w:t>
      </w:r>
      <w:r w:rsidR="001679A6">
        <w:rPr>
          <w:vertAlign w:val="superscript"/>
          <w:lang w:val="de-DE"/>
        </w:rPr>
        <w:t>,2</w:t>
      </w:r>
      <w:r w:rsidRPr="00306D56">
        <w:rPr>
          <w:vertAlign w:val="superscript"/>
          <w:lang w:val="de-DE"/>
        </w:rPr>
        <w:t>*</w:t>
      </w:r>
      <w:r w:rsidRPr="00306D56">
        <w:rPr>
          <w:lang w:val="de-DE"/>
        </w:rPr>
        <w:t>, Björn R. Röbke</w:t>
      </w:r>
      <w:r w:rsidR="001679A6">
        <w:rPr>
          <w:vertAlign w:val="superscript"/>
          <w:lang w:val="de-DE"/>
        </w:rPr>
        <w:t>3</w:t>
      </w:r>
      <w:r w:rsidRPr="00306D56">
        <w:rPr>
          <w:lang w:val="de-DE"/>
        </w:rPr>
        <w:t>,</w:t>
      </w:r>
      <w:r w:rsidR="001679A6">
        <w:rPr>
          <w:lang w:val="de-DE"/>
        </w:rPr>
        <w:t xml:space="preserve"> </w:t>
      </w:r>
      <w:r w:rsidR="001679A6" w:rsidRPr="00306D56">
        <w:rPr>
          <w:lang w:val="de-DE"/>
        </w:rPr>
        <w:t>Peter Fischer</w:t>
      </w:r>
      <w:r w:rsidR="001679A6" w:rsidRPr="00306D56">
        <w:rPr>
          <w:vertAlign w:val="superscript"/>
          <w:lang w:val="de-DE"/>
        </w:rPr>
        <w:t>1</w:t>
      </w:r>
      <w:r w:rsidR="001679A6">
        <w:rPr>
          <w:lang w:val="de-DE"/>
        </w:rPr>
        <w:t>, Pe</w:t>
      </w:r>
      <w:r w:rsidRPr="00306D56">
        <w:rPr>
          <w:lang w:val="de-DE"/>
        </w:rPr>
        <w:t>ter Frenzel</w:t>
      </w:r>
      <w:r w:rsidR="001679A6">
        <w:rPr>
          <w:vertAlign w:val="superscript"/>
          <w:lang w:val="de-DE"/>
        </w:rPr>
        <w:t>4</w:t>
      </w:r>
      <w:r w:rsidRPr="00306D56">
        <w:rPr>
          <w:lang w:val="de-DE"/>
        </w:rPr>
        <w:t>, Kalliopi Baika</w:t>
      </w:r>
      <w:r w:rsidR="001679A6">
        <w:rPr>
          <w:vertAlign w:val="superscript"/>
          <w:lang w:val="de-DE"/>
        </w:rPr>
        <w:t>5</w:t>
      </w:r>
      <w:r w:rsidRPr="00306D56">
        <w:rPr>
          <w:lang w:val="de-DE"/>
        </w:rPr>
        <w:t>, Timo Willershäuser</w:t>
      </w:r>
      <w:r w:rsidRPr="00306D56">
        <w:rPr>
          <w:vertAlign w:val="superscript"/>
          <w:lang w:val="de-DE"/>
        </w:rPr>
        <w:t>1</w:t>
      </w:r>
      <w:r w:rsidRPr="00306D56">
        <w:rPr>
          <w:lang w:val="de-DE"/>
        </w:rPr>
        <w:t>, Andreas Vött</w:t>
      </w:r>
      <w:r w:rsidRPr="00306D56">
        <w:rPr>
          <w:vertAlign w:val="superscript"/>
          <w:lang w:val="de-DE"/>
        </w:rPr>
        <w:t>1</w:t>
      </w:r>
    </w:p>
    <w:p w14:paraId="6430C339" w14:textId="6CA708DA" w:rsidR="00B4015F" w:rsidRDefault="00B4015F" w:rsidP="000A1B66">
      <w:pPr>
        <w:pStyle w:val="Affiliation"/>
      </w:pPr>
      <w:r w:rsidRPr="000A1B66">
        <w:rPr>
          <w:vertAlign w:val="superscript"/>
        </w:rPr>
        <w:t>1</w:t>
      </w:r>
      <w:r w:rsidR="00306D56" w:rsidRPr="00306D56">
        <w:t>Institute of Geography, Johannes Gutenberg-Universität Mainz, Johann-Joachim-Becher-Weg 21, 55099, Mainz, Germany</w:t>
      </w:r>
    </w:p>
    <w:p w14:paraId="30D3CC9A" w14:textId="63007E44" w:rsidR="001679A6" w:rsidRPr="001679A6" w:rsidRDefault="001679A6" w:rsidP="000A1B66">
      <w:pPr>
        <w:pStyle w:val="Affiliation"/>
      </w:pPr>
      <w:r w:rsidRPr="001679A6">
        <w:rPr>
          <w:vertAlign w:val="superscript"/>
        </w:rPr>
        <w:t>2</w:t>
      </w:r>
      <w:r w:rsidRPr="001679A6">
        <w:t xml:space="preserve">Institute of Neotectonics and Natural Hazards, RWTH Aachen University, </w:t>
      </w:r>
      <w:proofErr w:type="spellStart"/>
      <w:r w:rsidRPr="001679A6">
        <w:t>Lochnerstrasse</w:t>
      </w:r>
      <w:proofErr w:type="spellEnd"/>
      <w:r w:rsidRPr="001679A6">
        <w:t xml:space="preserve"> 4</w:t>
      </w:r>
      <w:r w:rsidRPr="001679A6">
        <w:rPr>
          <w:rFonts w:hint="eastAsia"/>
        </w:rPr>
        <w:t>–</w:t>
      </w:r>
      <w:r w:rsidRPr="001679A6">
        <w:t>20, 52056 Aachen, Germany</w:t>
      </w:r>
    </w:p>
    <w:p w14:paraId="3DBE5E2A" w14:textId="50F6EF18" w:rsidR="000A1B66" w:rsidRDefault="001679A6" w:rsidP="00450DB9">
      <w:pPr>
        <w:pStyle w:val="Affiliation"/>
      </w:pPr>
      <w:r>
        <w:rPr>
          <w:vertAlign w:val="superscript"/>
        </w:rPr>
        <w:t>3</w:t>
      </w:r>
      <w:r w:rsidR="00306D56" w:rsidRPr="00306D56">
        <w:t xml:space="preserve">Department for Applied </w:t>
      </w:r>
      <w:proofErr w:type="spellStart"/>
      <w:r w:rsidR="00306D56" w:rsidRPr="00306D56">
        <w:t>Morphodynamics</w:t>
      </w:r>
      <w:proofErr w:type="spellEnd"/>
      <w:r w:rsidR="00306D56" w:rsidRPr="00306D56">
        <w:t xml:space="preserve">, </w:t>
      </w:r>
      <w:proofErr w:type="spellStart"/>
      <w:r w:rsidR="00306D56" w:rsidRPr="00306D56">
        <w:t>Deltares</w:t>
      </w:r>
      <w:proofErr w:type="spellEnd"/>
      <w:r w:rsidR="00306D56" w:rsidRPr="00306D56">
        <w:t xml:space="preserve">, </w:t>
      </w:r>
      <w:proofErr w:type="spellStart"/>
      <w:r w:rsidR="00306D56" w:rsidRPr="00306D56">
        <w:t>Boussinesqweg</w:t>
      </w:r>
      <w:proofErr w:type="spellEnd"/>
      <w:r w:rsidR="00306D56" w:rsidRPr="00306D56">
        <w:t xml:space="preserve"> 1, 2629 HV Delft, The Netherlands</w:t>
      </w:r>
    </w:p>
    <w:p w14:paraId="266BBA87" w14:textId="3D87305B" w:rsidR="00306D56" w:rsidRDefault="001679A6" w:rsidP="00450DB9">
      <w:pPr>
        <w:pStyle w:val="Affiliation"/>
      </w:pPr>
      <w:r>
        <w:rPr>
          <w:vertAlign w:val="superscript"/>
        </w:rPr>
        <w:t>4</w:t>
      </w:r>
      <w:r w:rsidR="00306D56" w:rsidRPr="00306D56">
        <w:t xml:space="preserve">Institute of Geosciences, Friedrich Schiller University, </w:t>
      </w:r>
      <w:proofErr w:type="spellStart"/>
      <w:r w:rsidR="00306D56" w:rsidRPr="00306D56">
        <w:t>Burgweg</w:t>
      </w:r>
      <w:proofErr w:type="spellEnd"/>
      <w:r w:rsidR="00306D56" w:rsidRPr="00306D56">
        <w:t xml:space="preserve"> 11, 07749 Jena, Germany</w:t>
      </w:r>
    </w:p>
    <w:p w14:paraId="0448DAF0" w14:textId="1CFC8DF8" w:rsidR="00306D56" w:rsidRDefault="001679A6" w:rsidP="00450DB9">
      <w:pPr>
        <w:pStyle w:val="Affiliation"/>
      </w:pPr>
      <w:r>
        <w:rPr>
          <w:vertAlign w:val="superscript"/>
        </w:rPr>
        <w:t>5</w:t>
      </w:r>
      <w:r>
        <w:t>Ce</w:t>
      </w:r>
      <w:r w:rsidR="00306D56" w:rsidRPr="00306D56">
        <w:t xml:space="preserve">ntre Camille-Jullian, CNRS, Aix-Marseille Université, Maison Méditerranéenne des Sciences de </w:t>
      </w:r>
      <w:proofErr w:type="spellStart"/>
      <w:r w:rsidR="00306D56" w:rsidRPr="00306D56">
        <w:t>l'Homme</w:t>
      </w:r>
      <w:proofErr w:type="spellEnd"/>
      <w:r w:rsidR="00306D56" w:rsidRPr="00306D56">
        <w:t xml:space="preserve">, 5 Rue Château de </w:t>
      </w:r>
      <w:proofErr w:type="spellStart"/>
      <w:r w:rsidR="00306D56" w:rsidRPr="00306D56">
        <w:t>l'Horloge</w:t>
      </w:r>
      <w:proofErr w:type="spellEnd"/>
      <w:r w:rsidR="00306D56" w:rsidRPr="00306D56">
        <w:t>, 13090 Aix-en-Provence, France</w:t>
      </w:r>
    </w:p>
    <w:p w14:paraId="1F55B8D5" w14:textId="77777777" w:rsidR="00D03C9C" w:rsidRDefault="000A1B66" w:rsidP="00D03C9C">
      <w:pPr>
        <w:pStyle w:val="Correspondence"/>
      </w:pPr>
      <w:r w:rsidRPr="000A1B66">
        <w:rPr>
          <w:i/>
        </w:rPr>
        <w:t>Correspondence to</w:t>
      </w:r>
      <w:r>
        <w:t xml:space="preserve">: </w:t>
      </w:r>
      <w:r w:rsidR="00306D56">
        <w:t>Tina Georg</w:t>
      </w:r>
      <w:r>
        <w:t xml:space="preserve"> (</w:t>
      </w:r>
      <w:r w:rsidR="00306D56">
        <w:t>tina.georg</w:t>
      </w:r>
      <w:r>
        <w:t>@</w:t>
      </w:r>
      <w:r w:rsidR="00306D56">
        <w:t>uni-mainz.de)</w:t>
      </w:r>
    </w:p>
    <w:p w14:paraId="15559C35" w14:textId="34E0637E" w:rsidR="00A021BF" w:rsidRDefault="00D03C9C" w:rsidP="00D03C9C">
      <w:pPr>
        <w:pStyle w:val="Heading1"/>
      </w:pPr>
      <w:r>
        <w:t xml:space="preserve">1 </w:t>
      </w:r>
      <w:proofErr w:type="spellStart"/>
      <w:r w:rsidR="00A021BF">
        <w:t>Sensistivity</w:t>
      </w:r>
      <w:proofErr w:type="spellEnd"/>
      <w:r w:rsidR="00A021BF">
        <w:t xml:space="preserve"> analyses of the numerical simulation</w:t>
      </w:r>
    </w:p>
    <w:p w14:paraId="3B30B045" w14:textId="446CE2B9" w:rsidR="00A021BF" w:rsidRPr="00D72A50" w:rsidRDefault="00A527C2" w:rsidP="00A021BF">
      <w:r>
        <w:t xml:space="preserve">For our sensitivity analyses, we </w:t>
      </w:r>
      <w:r w:rsidR="00A021BF" w:rsidRPr="00D72A50">
        <w:t>tested the</w:t>
      </w:r>
      <w:r>
        <w:t xml:space="preserve"> different seismic scenarios, the</w:t>
      </w:r>
      <w:r w:rsidR="00A021BF" w:rsidRPr="00D72A50">
        <w:t xml:space="preserve"> effects of different modelling parameters and the influence of different morphological features within the </w:t>
      </w:r>
      <w:proofErr w:type="spellStart"/>
      <w:r w:rsidR="00A021BF" w:rsidRPr="00D72A50">
        <w:t>Korission</w:t>
      </w:r>
      <w:proofErr w:type="spellEnd"/>
      <w:r w:rsidR="00A021BF" w:rsidRPr="00D72A50">
        <w:t xml:space="preserve"> Lagoon. </w:t>
      </w:r>
      <w:r>
        <w:t xml:space="preserve">For the 365 AD tsunami, we used four published scenarios, namely by </w:t>
      </w:r>
      <w:r>
        <w:fldChar w:fldCharType="begin"/>
      </w:r>
      <w:r>
        <w:instrText xml:space="preserve"> ADDIN ZOTERO_ITEM CSL_CITATION {"citationID":"IkFatVAj","properties":{"formattedCitation":"(Lorito et al., 2008; Papadimitriou and Karakostas, 2008; Shaw et al., 2008; Stiros, 2010)","plainCitation":"(Lorito et al., 2008; Papadimitriou and Karakostas, 2008; Shaw et al., 2008; Stiros, 2010)","noteIndex":0},"citationItems":[{"id":1430,"uris":["http://zotero.org/users/7509672/items/MY8WE3KJ"],"itemData":{"id":1430,"type":"article-journal","container-title":"Journal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1407,"uris":["http://zotero.org/users/7509672/items/8HR46LKC"],"itemData":{"id":1407,"type":"article-journal","abstract":"An M8.3 earthquake struck the southwestern part of the Hellenic Arc, near the Island of Crete, in AD 365, generating a tsunami that affected almost the entire eastern Mediterranean region. Taking into account that the time history of seismicity in this region is fairly complete for such earthquakes in the historical catalog, which can be dated as back as the 5th century B.C., there is no indication that this segment of plate boundary has been fully ruptured again. The seismic hazard associated with this part of the Hellenic Arc necessitates the evaluation of the rupture characteristics of this great event. The constraint of the faulting geometry was initially achieved by using information from seismicity, and the focal mechanisms of earthquakes that occurred during the instrumental period. A rupture model for this great earthquake is constructed by assuming an elastic medium and calculating the theoretical surface displacements for various fault models that are matched with the observed surface deformation gleaned from historical reports. The resulted fault model concerns thrust faulting with a rupture length of 160 km and a seismic moment of 5.7×1028 dyn</w:instrText>
      </w:r>
      <w:r>
        <w:rPr>
          <w:rFonts w:ascii="Cambria Math" w:hAnsi="Cambria Math" w:cs="Cambria Math"/>
        </w:rPr>
        <w:instrText>⋅</w:instrText>
      </w:r>
      <w:r>
        <w:instrText>cm, an average slip of 8.9 m and a corresponding moment magnitude equal to 8.4, in excellent agreement with the macroseismic estimation. The absence of such events recurrence is an indication of the lack of complete seismic coupling that is common in subduction zones, which is in accordance with the back arc spreading of the Aegean microplate and with previous results showing low coupling for extensional strain of the upper plate.","container-title":"Acta Geophysica","DOI":"10.2478/s11600-008-0001-6","ISSN":"1895-6572, 1895-7455","issue":"2","language":"en","page":"293–312","title":"Rupture model of the great AD 365 Crete earthquake in the southwestern part of the Hellenic Arc","volume":"56","author":[{"family":"Papadimitriou","given":"Eleftheria E."},{"family":"Karakostas","given":"Vassilios G."}],"issued":{"date-parts":[["2008",6]]}}},{"id":607,"uris":["http://zotero.org/users/7509672/items/DZX68GF8"],"itemData":{"id":607,"type":"article-journal","abstract":"Historical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Pr>
          <w:rFonts w:ascii="Cambria Math" w:hAnsi="Cambria Math" w:cs="Cambria Math"/>
        </w:rPr>
        <w:instrText>∘</w:instrText>
      </w:r>
      <w:r>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Pr>
          <w:rFonts w:ascii="Cambria Math" w:hAnsi="Cambria Math" w:cs="Cambria Math"/>
        </w:rPr>
        <w:instrText>∼</w:instrText>
      </w:r>
      <w:r>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D."}],"issued":{"date-parts":[["2008",4]]}}},{"id":1432,"uris":["http://zotero.org/users/7509672/items/V7JVB28Y"],"itemData":{"id":1432,"type":"article-journal","abstract":"An up to 9 m uplift of western Crete, a cluster of coastal uplifts in the East Mediterranean radiocarbon dated approximately w1500 BP, as well as historical and archaeological data are evidence for major, although poorly documented seismic destruction on a nearly-Mediterranean scale in the 4th to 5th c. AD, including the destruction of the Nile Delta in Egypt by a tsunami in AD365. These data represent parts of a puzzle for historians, archaeologists, geologists and seismologists.","container-title":"Quaternary International","DOI":"10.1016/j.quaint.2009.05.005","ISSN":"10406182","issue":"1-2","language":"en","page":"54–63","title":"The 8.5+ magnitude, AD365 earthquake in Crete: Coastal uplift, topography changes, archaeological and historical signature","title-short":"The 8.5+ magnitude, AD365 earthquake in Crete","volume":"216","author":[{"family":"Stiros","given":"Stathis C."}],"issued":{"date-parts":[["2010",4]]}}}],"schema":"https://github.com/citation-style-language/schema/raw/master/csl-citation.json"} </w:instrText>
      </w:r>
      <w:r>
        <w:fldChar w:fldCharType="separate"/>
      </w:r>
      <w:r w:rsidRPr="00A527C2">
        <w:t xml:space="preserve">Lorito et al. </w:t>
      </w:r>
      <w:r>
        <w:t>(</w:t>
      </w:r>
      <w:r w:rsidRPr="00A527C2">
        <w:t>2008</w:t>
      </w:r>
      <w:r>
        <w:t>),</w:t>
      </w:r>
      <w:r w:rsidRPr="00A527C2">
        <w:t xml:space="preserve"> Papadimitriou and Karakostas </w:t>
      </w:r>
      <w:r>
        <w:t>(</w:t>
      </w:r>
      <w:r w:rsidRPr="00A527C2">
        <w:t>2008</w:t>
      </w:r>
      <w:r>
        <w:t>),</w:t>
      </w:r>
      <w:r w:rsidRPr="00A527C2">
        <w:t xml:space="preserve"> Shaw et al. </w:t>
      </w:r>
      <w:r>
        <w:t>(</w:t>
      </w:r>
      <w:r w:rsidRPr="00A527C2">
        <w:t>2008</w:t>
      </w:r>
      <w:r>
        <w:t>), and</w:t>
      </w:r>
      <w:r w:rsidRPr="00A527C2">
        <w:t xml:space="preserve"> Stiros</w:t>
      </w:r>
      <w:r>
        <w:t xml:space="preserve"> (</w:t>
      </w:r>
      <w:r w:rsidRPr="00A527C2">
        <w:t>2010)</w:t>
      </w:r>
      <w:r>
        <w:fldChar w:fldCharType="end"/>
      </w:r>
      <w:r>
        <w:t xml:space="preserve">. </w:t>
      </w:r>
      <w:r w:rsidR="00A021BF" w:rsidRPr="00D72A50">
        <w:t xml:space="preserve">In the first run of each scenario, standardized values were used for all model parameters uniformly throughout the whole model domain (i.e. a Manning friction coefficient of 0.023 was assumed for the sea bottom and land surface) along with the current topography of the </w:t>
      </w:r>
      <w:proofErr w:type="spellStart"/>
      <w:r w:rsidR="00A021BF" w:rsidRPr="00D72A50">
        <w:t>Korission</w:t>
      </w:r>
      <w:proofErr w:type="spellEnd"/>
      <w:r w:rsidR="00A021BF" w:rsidRPr="00D72A50">
        <w:t xml:space="preserve"> Lagoon to observe the inundation of the tsunami wave caused by each seismic scenario. The results show that under current conditions, the </w:t>
      </w:r>
      <w:proofErr w:type="spellStart"/>
      <w:r w:rsidR="00A021BF" w:rsidRPr="00D72A50">
        <w:t>Korission</w:t>
      </w:r>
      <w:proofErr w:type="spellEnd"/>
      <w:r w:rsidR="00A021BF" w:rsidRPr="00D72A50">
        <w:t xml:space="preserve"> Lagoon would be inundated by tsunami waves in all selected seismic scenarios (Fig. S.1). The inundation, however, only occurs in the northwestern part</w:t>
      </w:r>
      <w:r>
        <w:t xml:space="preserve"> of the lagoon</w:t>
      </w:r>
      <w:r w:rsidR="00A021BF" w:rsidRPr="00D72A50">
        <w:t xml:space="preserve"> and on a small scale. Neither the location of the </w:t>
      </w:r>
      <w:proofErr w:type="spellStart"/>
      <w:r w:rsidR="00A021BF" w:rsidRPr="00D72A50">
        <w:t>washover</w:t>
      </w:r>
      <w:proofErr w:type="spellEnd"/>
      <w:r w:rsidR="00A021BF" w:rsidRPr="00D72A50">
        <w:t xml:space="preserve"> fan where KOR 19 was retrieved nor any other part of the beach ridge where clear </w:t>
      </w:r>
      <w:proofErr w:type="spellStart"/>
      <w:r w:rsidR="00A021BF" w:rsidRPr="00D72A50">
        <w:t>washover</w:t>
      </w:r>
      <w:proofErr w:type="spellEnd"/>
      <w:r w:rsidR="00A021BF" w:rsidRPr="00D72A50">
        <w:t xml:space="preserve"> fans can be observed are inundated. The maximum wave height and the flow velocity at the location of sediment core KOR 19 is not sufficient to relocate the amount of sediment detected for the AD365 tsunami event in the analyse</w:t>
      </w:r>
      <w:r>
        <w:t xml:space="preserve">d of </w:t>
      </w:r>
      <w:r w:rsidR="00A021BF" w:rsidRPr="00D72A50">
        <w:t>KOR 19 (Fig. S.</w:t>
      </w:r>
      <w:r>
        <w:t>2</w:t>
      </w:r>
      <w:r w:rsidR="00A021BF" w:rsidRPr="00D72A50">
        <w:t xml:space="preserve">, left). In fact, water levels at the location of LIN 1A are higher than at KOR 19 and the flow velocity is similar due to the </w:t>
      </w:r>
      <w:proofErr w:type="spellStart"/>
      <w:r w:rsidR="00A021BF" w:rsidRPr="00D72A50">
        <w:t>funneling</w:t>
      </w:r>
      <w:proofErr w:type="spellEnd"/>
      <w:r w:rsidR="00A021BF" w:rsidRPr="00D72A50">
        <w:t xml:space="preserve"> effect </w:t>
      </w:r>
      <w:r w:rsidR="00A021BF" w:rsidRPr="00D72A50">
        <w:fldChar w:fldCharType="begin"/>
      </w:r>
      <w:r w:rsidR="00A021BF" w:rsidRPr="00D72A50">
        <w:instrText xml:space="preserve"> ADDIN ZOTERO_ITEM CSL_CITATION {"citationID":"BeaJeRse","properties":{"formattedCitation":"(R\\uc0\\u246{}bke and V\\uc0\\u246{}tt, 2017)","plainCitation":"(Röbke and Vött, 2017)","noteIndex":0},"citationItems":[{"id":653,"uris":["http://zotero.org/users/7509672/items/C2CX2FUG"],"itemData":{"id":653,"type":"article-journal","abstract":"With human activity increasingly concentrating on coasts, tsunamis (from Japanese tsu=harbour, nami=wave) are a major natural hazard to today’s society. Stimulated by disastrous tsunami impacts in recent years, for instance in south-east Asia (2004) or in Japan (2011), tsunami science has significantly flourished, which has brought great advances in hazard assessment and mitigation plans. Based on tsunami research of the last decades, this paper provides a thorough treatise on the tsunami phenomenon from a geoscientific point of view. Starting with the wave features, tsunamis are introduced as long shallow water waves or wave trains crossing entire oceans without major energy loss. At the coast, tsunamis typically show wave shoaling, funnelling and resonance effects as well as a significant run-up and backflow. Tsunami waves are caused by a sudden displacement of the water column due to a number of various trigger mechanisms. Such are earthquakes as the main trigger, submarine and subaerial mass wastings, volcanic activity, atmospheric disturbances (meteotsunamis) and cosmic impacts, as is demonstrated by giving corresponding examples from the past. Tsunamis are known to have a significant sedimentary and geomorphological off- and onshore response. So-called tsunamites form allochthonous high-energy deposits that are left at the coast during tsunami landfall. Tsunami deposits show typical sedimentary features, as basal erosional unconformities, fining-upward and -landward, a high content of marine fossils, rip-up clasts from underlying units and mud caps, all reflecting the hydrodynamic processes during inundation. The on- and offshore behaviour of tsunamis and related sedimentary processes can be simulated using hydro- and morphodynamic numerical models. The paper provides an overview of the basic tsunami modelling techniques, including discretisation, guidelines for appropriate temporal and spatial resolution as well as the nesting method. Furthermore, the Boussinesq approximation—a simplification of the three-dimensional Navier-Stokes equations—is presented as a basic theory behind numerical tsunami models, which adequately reflects the non-linear, dispersive wave behaviour of tsunamis. The fully non-linear Boussinesq equations allow the simulation of tsunamis e.g. in the form of N-waves. Based on the various subtopics presented, recommendations for future multidisciplinary tsunami research are made. It is especially discussed how the combination of sedimentary and geomorphological tsunami field traces and numerical modelling techniques can contribute to derive locally relevant tsunami sources and to improve the assessment of tsunami hazards considering the individual pre-/history and physiogeographical setting of a specific region.","container-title":"Progress in Oceanography","DOI":"10.1016/j.pocean.2017.09.003","ISSN":"0079-6611","page":"296–322","title":"The tsunami phenomenon","volume":"159","author":[{"family":"Röbke","given":"B. R."},{"family":"Vött","given":"A."}],"issued":{"date-parts":[["2017",12]]}}}],"schema":"https://github.com/citation-style-language/schema/raw/master/csl-citation.json"} </w:instrText>
      </w:r>
      <w:r w:rsidR="00A021BF" w:rsidRPr="00D72A50">
        <w:fldChar w:fldCharType="separate"/>
      </w:r>
      <w:r w:rsidR="00A021BF" w:rsidRPr="00D72A50">
        <w:t>(Röbke and Vött, 2017)</w:t>
      </w:r>
      <w:r w:rsidR="00A021BF" w:rsidRPr="00D72A50">
        <w:fldChar w:fldCharType="end"/>
      </w:r>
      <w:r w:rsidR="00A021BF" w:rsidRPr="00D72A50">
        <w:t xml:space="preserve"> which becomes apparent especially in the maximum wave heights of the tsunami triggered by the seismic scenarios of </w:t>
      </w:r>
      <w:r w:rsidR="00A021BF" w:rsidRPr="00D72A50">
        <w:fldChar w:fldCharType="begin"/>
      </w:r>
      <w:r w:rsidR="00A021BF" w:rsidRPr="00D72A50">
        <w:instrText xml:space="preserve"> ADDIN ZOTERO_ITEM CSL_CITATION {"citationID":"CYBYjfA4","properties":{"formattedCitation":"(Lorito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00A021BF" w:rsidRPr="00D72A50">
        <w:rPr>
          <w:rFonts w:ascii="Cambria Math" w:hAnsi="Cambria Math" w:cs="Cambria Math"/>
        </w:rPr>
        <w:instrText>∘</w:instrText>
      </w:r>
      <w:r w:rsidR="00A021BF"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00A021BF" w:rsidRPr="00D72A50">
        <w:rPr>
          <w:rFonts w:ascii="Cambria Math" w:hAnsi="Cambria Math" w:cs="Cambria Math"/>
        </w:rPr>
        <w:instrText>∼</w:instrText>
      </w:r>
      <w:r w:rsidR="00A021BF"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00A021BF" w:rsidRPr="00D72A50">
        <w:fldChar w:fldCharType="separate"/>
      </w:r>
      <w:r w:rsidR="00A021BF" w:rsidRPr="00D72A50">
        <w:t>Lorito et al. (2008) and Shaw et al. (2008</w:t>
      </w:r>
      <w:r w:rsidR="00A021BF" w:rsidRPr="00D72A50">
        <w:fldChar w:fldCharType="end"/>
      </w:r>
      <w:r w:rsidR="00A021BF" w:rsidRPr="00D72A50">
        <w:t>, Fig. S.2, left). The water level at selected observation points at the seaward side of the lagoon (location see Fig. S.</w:t>
      </w:r>
      <w:r>
        <w:t>1</w:t>
      </w:r>
      <w:r w:rsidR="00A021BF" w:rsidRPr="00D72A50">
        <w:t>) shows wave heights of up to 1 m (</w:t>
      </w:r>
      <w:proofErr w:type="spellStart"/>
      <w:r w:rsidR="00A021BF" w:rsidRPr="00D72A50">
        <w:t>Obs.W</w:t>
      </w:r>
      <w:proofErr w:type="spellEnd"/>
      <w:r w:rsidR="00A021BF" w:rsidRPr="00D72A50">
        <w:t>) and up to 2 m (</w:t>
      </w:r>
      <w:proofErr w:type="spellStart"/>
      <w:r w:rsidR="00A021BF" w:rsidRPr="00D72A50">
        <w:t>Obs.S</w:t>
      </w:r>
      <w:proofErr w:type="spellEnd"/>
      <w:r w:rsidR="00A021BF" w:rsidRPr="00D72A50">
        <w:t xml:space="preserve">, Fig. S.3). This implies that the southern part of the lagoon is protected by the Holocene and Pleistocene dunes, while the spit at the northwestern part is prone to tsunami inundations. Since the inundation modelled for the scenarios is greatest for the one by </w:t>
      </w:r>
      <w:r w:rsidR="00A021BF" w:rsidRPr="00D72A50">
        <w:fldChar w:fldCharType="begin"/>
      </w:r>
      <w:r w:rsidR="00A021BF" w:rsidRPr="00D72A50">
        <w:instrText xml:space="preserve"> ADDIN ZOTERO_ITEM CSL_CITATION {"citationID":"j1jpzeDU","properties":{"formattedCitation":"(Lorito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00A021BF" w:rsidRPr="00D72A50">
        <w:rPr>
          <w:rFonts w:ascii="Cambria Math" w:hAnsi="Cambria Math" w:cs="Cambria Math"/>
        </w:rPr>
        <w:instrText>∘</w:instrText>
      </w:r>
      <w:r w:rsidR="00A021BF"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00A021BF" w:rsidRPr="00D72A50">
        <w:rPr>
          <w:rFonts w:ascii="Cambria Math" w:hAnsi="Cambria Math" w:cs="Cambria Math"/>
        </w:rPr>
        <w:instrText>∼</w:instrText>
      </w:r>
      <w:r w:rsidR="00A021BF"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00A021BF" w:rsidRPr="00D72A50">
        <w:fldChar w:fldCharType="separate"/>
      </w:r>
      <w:r w:rsidR="00A021BF" w:rsidRPr="00D72A50">
        <w:t>Lorito et al. (2008) and Shaw et al. (2008)</w:t>
      </w:r>
      <w:r w:rsidR="00A021BF" w:rsidRPr="00D72A50">
        <w:fldChar w:fldCharType="end"/>
      </w:r>
      <w:r w:rsidR="00A021BF" w:rsidRPr="00D72A50">
        <w:t>, further adaptations have been restricted to these scenarios.</w:t>
      </w:r>
    </w:p>
    <w:p w14:paraId="3AF00611" w14:textId="50782EF9" w:rsidR="00A021BF" w:rsidRDefault="00A021BF" w:rsidP="00A021BF">
      <w:r w:rsidRPr="00D81189">
        <w:rPr>
          <w:noProof/>
        </w:rPr>
        <w:lastRenderedPageBreak/>
        <w:drawing>
          <wp:inline distT="0" distB="0" distL="0" distR="0" wp14:anchorId="2DAEE924" wp14:editId="21964E89">
            <wp:extent cx="5712107" cy="2927039"/>
            <wp:effectExtent l="0" t="0" r="3175" b="6985"/>
            <wp:docPr id="1656292379" name="Picture 31" descr="A collage of different views of the coa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292379" name="Picture 31" descr="A collage of different views of the coas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16085" cy="2929077"/>
                    </a:xfrm>
                    <a:prstGeom prst="rect">
                      <a:avLst/>
                    </a:prstGeom>
                  </pic:spPr>
                </pic:pic>
              </a:graphicData>
            </a:graphic>
          </wp:inline>
        </w:drawing>
      </w:r>
    </w:p>
    <w:p w14:paraId="54E4B010" w14:textId="59A5E0CC" w:rsidR="00A021BF" w:rsidRDefault="00A021BF" w:rsidP="00A021BF">
      <w:pPr>
        <w:pStyle w:val="Caption"/>
      </w:pPr>
      <w:r w:rsidRPr="00D72A50">
        <w:t>Fig</w:t>
      </w:r>
      <w:r>
        <w:t>ure</w:t>
      </w:r>
      <w:r w:rsidRPr="00D72A50">
        <w:t xml:space="preserve"> S.1: Inundation scenarios for the </w:t>
      </w:r>
      <w:proofErr w:type="spellStart"/>
      <w:r w:rsidRPr="00D72A50">
        <w:t>Korission</w:t>
      </w:r>
      <w:proofErr w:type="spellEnd"/>
      <w:r w:rsidRPr="00D72A50">
        <w:t xml:space="preserve"> Lagoon for 4 selected seismic scenarios of the 365 AD earthquake and the resulting tsunami</w:t>
      </w:r>
      <w:r w:rsidR="00D03C9C">
        <w:t xml:space="preserve"> (Map: ©Microsoft, 2024)</w:t>
      </w:r>
      <w:r w:rsidRPr="00D72A50">
        <w:t>.</w:t>
      </w:r>
    </w:p>
    <w:p w14:paraId="6E3E54DD" w14:textId="21E0A0B1" w:rsidR="00A021BF" w:rsidRDefault="00A021BF" w:rsidP="00A021BF">
      <w:r w:rsidRPr="00D81189">
        <w:rPr>
          <w:noProof/>
        </w:rPr>
        <w:drawing>
          <wp:inline distT="0" distB="0" distL="0" distR="0" wp14:anchorId="418158CD" wp14:editId="71C4CA84">
            <wp:extent cx="6208395" cy="3248025"/>
            <wp:effectExtent l="0" t="0" r="1905" b="9525"/>
            <wp:docPr id="115325555" name="Picture 30" descr="A graph of a graph showing a number of wav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25555" name="Picture 30" descr="A graph of a graph showing a number of wave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208395" cy="3248025"/>
                    </a:xfrm>
                    <a:prstGeom prst="rect">
                      <a:avLst/>
                    </a:prstGeom>
                  </pic:spPr>
                </pic:pic>
              </a:graphicData>
            </a:graphic>
          </wp:inline>
        </w:drawing>
      </w:r>
    </w:p>
    <w:p w14:paraId="4764970A" w14:textId="2FF10156" w:rsidR="00A021BF" w:rsidRDefault="00A021BF" w:rsidP="00A021BF">
      <w:pPr>
        <w:pStyle w:val="Caption"/>
      </w:pPr>
      <w:r w:rsidRPr="00D72A50">
        <w:t>Fig</w:t>
      </w:r>
      <w:r>
        <w:t>ure</w:t>
      </w:r>
      <w:r w:rsidRPr="00D72A50">
        <w:t xml:space="preserve"> S.2: Modelled water level (m) relative to Mean Sea Level (MSL, top) and flow velocity (ms</w:t>
      </w:r>
      <w:r w:rsidRPr="00D72A50">
        <w:rPr>
          <w:vertAlign w:val="superscript"/>
        </w:rPr>
        <w:t>-1</w:t>
      </w:r>
      <w:r w:rsidRPr="00D72A50">
        <w:t>, bottom) for KOR 19 (left) and LIN 1A (right).</w:t>
      </w:r>
    </w:p>
    <w:p w14:paraId="17F6417C" w14:textId="1C71FB56" w:rsidR="00A021BF" w:rsidRDefault="00A021BF" w:rsidP="00A021BF">
      <w:r w:rsidRPr="00D81189">
        <w:rPr>
          <w:noProof/>
        </w:rPr>
        <w:lastRenderedPageBreak/>
        <w:drawing>
          <wp:inline distT="0" distB="0" distL="0" distR="0" wp14:anchorId="5BC3CBB6" wp14:editId="1864E57E">
            <wp:extent cx="6208395" cy="2112010"/>
            <wp:effectExtent l="0" t="0" r="1905" b="2540"/>
            <wp:docPr id="437887801" name="Picture 32" descr="A graph showing a wave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887801" name="Picture 32" descr="A graph showing a wavefor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208395" cy="2112010"/>
                    </a:xfrm>
                    <a:prstGeom prst="rect">
                      <a:avLst/>
                    </a:prstGeom>
                  </pic:spPr>
                </pic:pic>
              </a:graphicData>
            </a:graphic>
          </wp:inline>
        </w:drawing>
      </w:r>
    </w:p>
    <w:p w14:paraId="73653D33" w14:textId="7F83B747" w:rsidR="00A021BF" w:rsidRDefault="00A021BF" w:rsidP="00A021BF">
      <w:pPr>
        <w:pStyle w:val="Caption"/>
      </w:pPr>
      <w:r w:rsidRPr="00D72A50">
        <w:t>Fig</w:t>
      </w:r>
      <w:r>
        <w:t>ure</w:t>
      </w:r>
      <w:r w:rsidRPr="00D72A50">
        <w:t xml:space="preserve"> S.3: Water level (m) relative to the MSL of two observation points at the seaward side of KOR 19 (</w:t>
      </w:r>
      <w:proofErr w:type="spellStart"/>
      <w:r w:rsidRPr="00D72A50">
        <w:t>Obs.W</w:t>
      </w:r>
      <w:proofErr w:type="spellEnd"/>
      <w:r w:rsidRPr="00D72A50">
        <w:t>) and LIN 1A (</w:t>
      </w:r>
      <w:proofErr w:type="spellStart"/>
      <w:r w:rsidRPr="00D72A50">
        <w:t>Obs.S</w:t>
      </w:r>
      <w:proofErr w:type="spellEnd"/>
      <w:r w:rsidRPr="00D72A50">
        <w:t>).</w:t>
      </w:r>
    </w:p>
    <w:p w14:paraId="621A4E5A" w14:textId="6FAC3775" w:rsidR="00A021BF" w:rsidRDefault="00A021BF" w:rsidP="00A021BF">
      <w:r w:rsidRPr="00D72A50">
        <w:t xml:space="preserve">In the next runs, we adapted the friction coefficients (0.02 for sea bottom and within the lagoon, 0.032 for the land surface), implemented a hydrodynamic model to observe the sediment flow during the inundation of the spit and within the lagoon, and tested different types of transport formulas </w:t>
      </w:r>
      <w:r w:rsidRPr="00D72A50">
        <w:fldChar w:fldCharType="begin"/>
      </w:r>
      <w:r w:rsidRPr="00D72A50">
        <w:instrText xml:space="preserve"> ADDIN ZOTERO_ITEM CSL_CITATION {"citationID":"n1PKKtUn","properties":{"formattedCitation":"(van Rijn, 1993)","plainCitation":"(van Rijn, 1993)","dontUpdate":true,"noteIndex":0},"citationItems":[{"id":4910,"uris":["http://zotero.org/users/7509672/items/4SNYRS4C"],"itemData":{"id":4910,"type":"book","event-place":"Amsterdam","ISBN":"978-90-800356-2-1","language":"en","number-of-pages":"675","publisher":"Aqua Publications","publisher-place":"Amsterdam","source":"K10plus ISBN","title":"Principles of sediment transport in rivers, estuaries and coastal seas","author":[{"family":"Rijn","given":"Leo C.","non-dropping-particle":"van"}],"issued":{"date-parts":[["1993"]]}}}],"schema":"https://github.com/citation-style-language/schema/raw/master/csl-citation.json"} </w:instrText>
      </w:r>
      <w:r w:rsidRPr="00D72A50">
        <w:fldChar w:fldCharType="separate"/>
      </w:r>
      <w:r w:rsidRPr="00D72A50">
        <w:t>(i.e., van Rijn, 1993)</w:t>
      </w:r>
      <w:r w:rsidRPr="00D72A50">
        <w:fldChar w:fldCharType="end"/>
      </w:r>
      <w:r w:rsidRPr="00D72A50">
        <w:t>. For the hydrodynamic model, we added sand with a diameter of 200 µm and a thickness of 5 m to the western spit. We did not adapt the morphological features of the lagoon and the beach barrier for this run; hence, it functions as reference for further adaptations (Run08L/Reference, see Fig. 10</w:t>
      </w:r>
      <w:r w:rsidR="00C86959">
        <w:t xml:space="preserve"> of the main article</w:t>
      </w:r>
      <w:r w:rsidRPr="00D72A50">
        <w:t xml:space="preserve"> for results). In the following runs, we removed the </w:t>
      </w:r>
      <w:proofErr w:type="spellStart"/>
      <w:r w:rsidRPr="00D72A50">
        <w:t>washover</w:t>
      </w:r>
      <w:proofErr w:type="spellEnd"/>
      <w:r w:rsidRPr="00D72A50">
        <w:t xml:space="preserve"> fans since they are potentially created by the AD365 event. Additionally, we tested different heights of the beach barrier</w:t>
      </w:r>
      <w:r w:rsidR="00C86959">
        <w:t>: (</w:t>
      </w:r>
      <w:proofErr w:type="spellStart"/>
      <w:r w:rsidR="00C86959">
        <w:t>i</w:t>
      </w:r>
      <w:proofErr w:type="spellEnd"/>
      <w:r w:rsidR="00C86959">
        <w:t xml:space="preserve">) 0.5 m (Run09 and Run10), (ii) </w:t>
      </w:r>
      <w:r w:rsidRPr="00D72A50">
        <w:t>the recent one obtained from the digital elevation model (DEM</w:t>
      </w:r>
      <w:r w:rsidR="00C86959">
        <w:t>, Run11</w:t>
      </w:r>
      <w:r w:rsidRPr="00D72A50">
        <w:t>),</w:t>
      </w:r>
      <w:r w:rsidR="00C86959">
        <w:t xml:space="preserve"> </w:t>
      </w:r>
      <w:r w:rsidRPr="00D72A50">
        <w:t xml:space="preserve">and </w:t>
      </w:r>
      <w:r w:rsidR="00C86959">
        <w:t xml:space="preserve">(iii) </w:t>
      </w:r>
      <w:r w:rsidRPr="00D72A50">
        <w:t>1</w:t>
      </w:r>
      <w:r w:rsidR="00C86959">
        <w:t xml:space="preserve"> </w:t>
      </w:r>
      <w:r w:rsidRPr="00D72A50">
        <w:t xml:space="preserve">m </w:t>
      </w:r>
      <w:r w:rsidR="00C86959">
        <w:t xml:space="preserve">(Run13, Run14) </w:t>
      </w:r>
      <w:r w:rsidRPr="00D72A50">
        <w:t>and different depths of the lagoon (</w:t>
      </w:r>
      <w:proofErr w:type="spellStart"/>
      <w:r w:rsidRPr="00D72A50">
        <w:t>Fig</w:t>
      </w:r>
      <w:r w:rsidR="00C86959">
        <w:t>d</w:t>
      </w:r>
      <w:proofErr w:type="spellEnd"/>
      <w:r w:rsidRPr="00D72A50">
        <w:t>. S.4</w:t>
      </w:r>
      <w:r w:rsidR="00C86959">
        <w:t xml:space="preserve"> and S.5</w:t>
      </w:r>
      <w:r w:rsidRPr="00D72A50">
        <w:t xml:space="preserve">). For the latter, we tested </w:t>
      </w:r>
      <w:r w:rsidR="00C86959">
        <w:t>a shallower lagoon with a depth of 0.5 m (Run09, Run11)</w:t>
      </w:r>
      <w:r w:rsidR="00777FCE">
        <w:t xml:space="preserve"> and</w:t>
      </w:r>
      <w:r w:rsidR="00C86959">
        <w:t xml:space="preserve"> a deeper bottom level of -4 m (Run10, Run14, Run17, Run18) </w:t>
      </w:r>
      <w:r w:rsidR="00777FCE">
        <w:t>t</w:t>
      </w:r>
      <w:r w:rsidRPr="00D72A50">
        <w:t xml:space="preserve">o test for the effects of a potential subsidence or stable tectonic conditions of the area. The chosen </w:t>
      </w:r>
      <w:r w:rsidR="00777FCE">
        <w:t xml:space="preserve">maximum </w:t>
      </w:r>
      <w:r w:rsidRPr="00D72A50">
        <w:t>depth</w:t>
      </w:r>
      <w:r w:rsidR="00777FCE">
        <w:t xml:space="preserve"> was</w:t>
      </w:r>
      <w:r w:rsidRPr="00D72A50">
        <w:t xml:space="preserve"> based on the stratigraphy of the sediment core KOR 19 where the base of the corresponding high-energy event layer was observed at 4.47 m. The results of these adaptations show a clear formation of </w:t>
      </w:r>
      <w:proofErr w:type="spellStart"/>
      <w:r w:rsidRPr="00D72A50">
        <w:t>washover</w:t>
      </w:r>
      <w:proofErr w:type="spellEnd"/>
      <w:r w:rsidRPr="00D72A50">
        <w:t xml:space="preserve"> fans in all runs, however, an increased sedimentation into the lagoon can be observed with a deeper bottom level (Fig. S.4 A</w:t>
      </w:r>
      <w:r w:rsidRPr="00D72A50">
        <w:rPr>
          <w:vertAlign w:val="subscript"/>
        </w:rPr>
        <w:t xml:space="preserve">2 </w:t>
      </w:r>
      <w:r w:rsidRPr="00D72A50">
        <w:t xml:space="preserve">and </w:t>
      </w:r>
      <w:r w:rsidRPr="00D72A50">
        <w:rPr>
          <w:bCs/>
        </w:rPr>
        <w:t>B</w:t>
      </w:r>
      <w:r w:rsidRPr="00D72A50">
        <w:rPr>
          <w:bCs/>
          <w:vertAlign w:val="subscript"/>
        </w:rPr>
        <w:t>2</w:t>
      </w:r>
      <w:r w:rsidRPr="00D72A50">
        <w:rPr>
          <w:b/>
        </w:rPr>
        <w:t>)</w:t>
      </w:r>
      <w:r w:rsidRPr="00D72A50">
        <w:t>. Since an increase of the height of the beach ridge did not lead to increased erosion and sedimentation (Fig. S.</w:t>
      </w:r>
      <w:r w:rsidR="00777FCE">
        <w:t>5</w:t>
      </w:r>
      <w:r w:rsidRPr="00D72A50">
        <w:t xml:space="preserve"> A</w:t>
      </w:r>
      <w:r w:rsidRPr="00D72A50">
        <w:rPr>
          <w:vertAlign w:val="subscript"/>
        </w:rPr>
        <w:t>1</w:t>
      </w:r>
      <w:r w:rsidRPr="00D72A50">
        <w:t xml:space="preserve"> and B</w:t>
      </w:r>
      <w:r w:rsidRPr="00D72A50">
        <w:rPr>
          <w:vertAlign w:val="subscript"/>
        </w:rPr>
        <w:t>1</w:t>
      </w:r>
      <w:r w:rsidRPr="00D72A50">
        <w:t>), we considered the recent height (DEM) as the best fit for the simulation runs. Using this height also ensures a more natural setting of the beach ridge in contrast to a uniform height throughout the whole western part of the ridge.</w:t>
      </w:r>
    </w:p>
    <w:p w14:paraId="7E48D824" w14:textId="386EB03F" w:rsidR="00777FCE" w:rsidRDefault="00777FCE" w:rsidP="00777FCE">
      <w:r w:rsidRPr="00D72A50">
        <w:t>In a last step, we tested the impact of slip rate and dip angle on the erosion and sedimentation</w:t>
      </w:r>
      <w:r>
        <w:t xml:space="preserve"> (Run15, Run16, Run17, Run18)</w:t>
      </w:r>
      <w:r w:rsidRPr="00D72A50">
        <w:t>. The results of these runs show that an increase of the slip rate increases the velocity and, therefore, the erosion and sedimentation</w:t>
      </w:r>
      <w:r>
        <w:t xml:space="preserve"> (Figs. 10 and S.5)</w:t>
      </w:r>
      <w:r w:rsidRPr="00D72A50">
        <w:t>. An increase in the dip angle does, however, not impact the result on a noticeable scale. Still, sedimentation and erosion at or near all locations of the shown sediment cores occurs in this scenario (Fig. S.5 D).</w:t>
      </w:r>
    </w:p>
    <w:p w14:paraId="010E8AFA" w14:textId="77777777" w:rsidR="00777FCE" w:rsidRPr="00D72A50" w:rsidRDefault="00777FCE" w:rsidP="00777FCE">
      <w:r w:rsidRPr="00D72A50">
        <w:t xml:space="preserve">For the best-fit runs, we compared the results based on the seismic scenarios by </w:t>
      </w:r>
      <w:r w:rsidRPr="00D72A50">
        <w:fldChar w:fldCharType="begin"/>
      </w:r>
      <w:r w:rsidRPr="00D72A50">
        <w:instrText xml:space="preserve"> ADDIN ZOTERO_ITEM CSL_CITATION {"citationID":"f5AcG7dd","properties":{"formattedCitation":"(Lorito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and Shaw et al. (2008</w:t>
      </w:r>
      <w:r w:rsidRPr="00D72A50">
        <w:fldChar w:fldCharType="end"/>
      </w:r>
      <w:r w:rsidRPr="00D72A50">
        <w:t xml:space="preserve">) for the whole </w:t>
      </w:r>
      <w:proofErr w:type="spellStart"/>
      <w:r w:rsidRPr="00D72A50">
        <w:t>Korission</w:t>
      </w:r>
      <w:proofErr w:type="spellEnd"/>
      <w:r w:rsidRPr="00D72A50">
        <w:t xml:space="preserve"> Lagoon (Figs. S.6-S.8) and selected observation points near the sediment cores (Figs. S.9-S.11). The </w:t>
      </w:r>
      <w:r w:rsidRPr="00D72A50">
        <w:lastRenderedPageBreak/>
        <w:t xml:space="preserve">scenario based on </w:t>
      </w:r>
      <w:r w:rsidRPr="00D72A50">
        <w:fldChar w:fldCharType="begin"/>
      </w:r>
      <w:r w:rsidRPr="00D72A50">
        <w:instrText xml:space="preserve"> ADDIN ZOTERO_ITEM CSL_CITATION {"citationID":"GfhYTMhR","properties":{"formattedCitation":"(Lorito et al., 2008)","plainCitation":"(Lorito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Monica"},{"family":"Basili","given":"Roberto"},{"family":"Piatanesi","given":"Alessio"},{"family":"Valensise","given":"Gianluca"}],"issued":{"date-parts":[["2008",1]]}}}],"schema":"https://github.com/citation-style-language/schema/raw/master/csl-citation.json"} </w:instrText>
      </w:r>
      <w:r w:rsidRPr="00D72A50">
        <w:fldChar w:fldCharType="separate"/>
      </w:r>
      <w:r w:rsidRPr="00D72A50">
        <w:t>Lorito et al. (2008)</w:t>
      </w:r>
      <w:r w:rsidRPr="00D72A50">
        <w:fldChar w:fldCharType="end"/>
      </w:r>
      <w:r w:rsidRPr="00D72A50">
        <w:t xml:space="preserve"> leads to higher water levels on the seawards side of the beach ridge and in the lagoon (Fig. S.6), to increased velocity magnitudes (Fig. S.7), and enhanced erosion and sedimentation (Fig. S.8). Here, the </w:t>
      </w:r>
      <w:proofErr w:type="spellStart"/>
      <w:r w:rsidRPr="00D72A50">
        <w:t>washover</w:t>
      </w:r>
      <w:proofErr w:type="spellEnd"/>
      <w:r w:rsidRPr="00D72A50">
        <w:t xml:space="preserve"> fans built up farther into the lagoon. Differences in the distribution of highest observed waves, highest flow velocities, and sedimentation/erosion rates between both scenarios also become visible in the point data of the observation points (Figs. S.9-S.11). In general, the results show that the highest wave is not always the first one, however, it is within the first 10 waves of the wave train. Additionally, the highest wave does not always correspond to the highest flow velocities and erosion rates. Differences in the sedimentation and erosion rates of both scenarios are depicted in Tab. S.1.</w:t>
      </w:r>
    </w:p>
    <w:p w14:paraId="30A2922A" w14:textId="77777777" w:rsidR="00A021BF" w:rsidRDefault="00A021BF" w:rsidP="00A021BF">
      <w:pPr>
        <w:jc w:val="center"/>
      </w:pPr>
      <w:r w:rsidRPr="00D81189">
        <w:rPr>
          <w:noProof/>
        </w:rPr>
        <w:drawing>
          <wp:inline distT="0" distB="0" distL="0" distR="0" wp14:anchorId="0EDE2836" wp14:editId="5989C271">
            <wp:extent cx="4757754" cy="4850961"/>
            <wp:effectExtent l="0" t="0" r="0" b="6985"/>
            <wp:docPr id="103165379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653794" name="Picture 2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57754" cy="4850961"/>
                    </a:xfrm>
                    <a:prstGeom prst="rect">
                      <a:avLst/>
                    </a:prstGeom>
                  </pic:spPr>
                </pic:pic>
              </a:graphicData>
            </a:graphic>
          </wp:inline>
        </w:drawing>
      </w:r>
    </w:p>
    <w:p w14:paraId="3BE5CEC9" w14:textId="521CE682" w:rsidR="00A021BF" w:rsidRDefault="00A021BF" w:rsidP="00A021BF">
      <w:pPr>
        <w:pStyle w:val="Caption"/>
      </w:pPr>
      <w:r w:rsidRPr="00D72A50">
        <w:rPr>
          <w:szCs w:val="24"/>
        </w:rPr>
        <w:t>Fig</w:t>
      </w:r>
      <w:r>
        <w:t>ure</w:t>
      </w:r>
      <w:r w:rsidRPr="00D72A50">
        <w:rPr>
          <w:szCs w:val="24"/>
        </w:rPr>
        <w:t xml:space="preserve"> S.4: </w:t>
      </w:r>
      <w:r w:rsidRPr="00D72A50">
        <w:t xml:space="preserve">Cumulative erosion (blues) and sedimentation (yellow-red) for adapted morphological features for </w:t>
      </w:r>
      <w:r w:rsidRPr="00D72A50">
        <w:fldChar w:fldCharType="begin"/>
      </w:r>
      <w:r w:rsidRPr="00D72A50">
        <w:instrText xml:space="preserve"> ADDIN ZOTERO_ITEM CSL_CITATION {"citationID":"RlqfXeZs","properties":{"formattedCitation":"(Lorito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A) and Shaw et al. (2008, B</w:t>
      </w:r>
      <w:r w:rsidR="00D03C9C">
        <w:t xml:space="preserve">, </w:t>
      </w:r>
      <w:r w:rsidR="00D03C9C">
        <w:t>Map: ©Microsoft, 2024</w:t>
      </w:r>
      <w:r w:rsidRPr="00D72A50">
        <w:t>)</w:t>
      </w:r>
      <w:r w:rsidRPr="00D72A50">
        <w:fldChar w:fldCharType="end"/>
      </w:r>
      <w:r w:rsidRPr="00D72A50">
        <w:t>.</w:t>
      </w:r>
    </w:p>
    <w:p w14:paraId="780843BA" w14:textId="1F9EABEC" w:rsidR="00A021BF" w:rsidRDefault="00A021BF" w:rsidP="00A021BF">
      <w:r w:rsidRPr="00D81189">
        <w:rPr>
          <w:noProof/>
        </w:rPr>
        <w:lastRenderedPageBreak/>
        <w:drawing>
          <wp:inline distT="0" distB="0" distL="0" distR="0" wp14:anchorId="253636A8" wp14:editId="4CB5123E">
            <wp:extent cx="4972561" cy="3719901"/>
            <wp:effectExtent l="0" t="0" r="0" b="0"/>
            <wp:docPr id="65979538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795380" name="Picture 2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72561" cy="3719901"/>
                    </a:xfrm>
                    <a:prstGeom prst="rect">
                      <a:avLst/>
                    </a:prstGeom>
                  </pic:spPr>
                </pic:pic>
              </a:graphicData>
            </a:graphic>
          </wp:inline>
        </w:drawing>
      </w:r>
    </w:p>
    <w:p w14:paraId="1CE5BD33" w14:textId="49CA7F52" w:rsidR="00A021BF" w:rsidRDefault="00A021BF" w:rsidP="00A021BF">
      <w:pPr>
        <w:pStyle w:val="Caption"/>
      </w:pPr>
      <w:r w:rsidRPr="00D72A50">
        <w:rPr>
          <w:szCs w:val="24"/>
        </w:rPr>
        <w:t>Fig</w:t>
      </w:r>
      <w:r>
        <w:t>ure</w:t>
      </w:r>
      <w:r w:rsidRPr="00D72A50">
        <w:rPr>
          <w:szCs w:val="24"/>
        </w:rPr>
        <w:t xml:space="preserve"> S.5: </w:t>
      </w:r>
      <w:r w:rsidRPr="00D72A50">
        <w:t xml:space="preserve">Cumulative erosion (blues) and sedimentation (yellow-red) for adapted morphological features and earthquake parameters for </w:t>
      </w:r>
      <w:r w:rsidRPr="00D72A50">
        <w:fldChar w:fldCharType="begin"/>
      </w:r>
      <w:r w:rsidRPr="00D72A50">
        <w:instrText xml:space="preserve"> ADDIN ZOTERO_ITEM CSL_CITATION {"citationID":"WMt8DWPU","properties":{"formattedCitation":"(Lorito et al., 2008)","plainCitation":"(Lorito et al., 2008)","noteIndex":0},"citationItems":[{"id":1430,"uris":["http://zotero.org/users/7509672/items/MY8WE3KJ"],"itemData":{"id":1430,"type":"article-journal","container-title":"Journal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Monica"},{"family":"Basili","given":"Roberto"},{"family":"Piatanesi","given":"Alessio"},{"family":"Valensise","given":"Gianluca"}],"issued":{"date-parts":[["2008",1]]}}}],"schema":"https://github.com/citation-style-language/schema/raw/master/csl-citation.json"} </w:instrText>
      </w:r>
      <w:r w:rsidRPr="00D72A50">
        <w:fldChar w:fldCharType="separate"/>
      </w:r>
      <w:r w:rsidRPr="00D72A50">
        <w:t>(Lorito et al., 2008</w:t>
      </w:r>
      <w:r w:rsidR="00D03C9C">
        <w:t xml:space="preserve">, </w:t>
      </w:r>
      <w:r w:rsidR="00D03C9C">
        <w:t>Map: ©Microsoft, 2024</w:t>
      </w:r>
      <w:r w:rsidRPr="00D72A50">
        <w:t>)</w:t>
      </w:r>
      <w:r w:rsidRPr="00D72A50">
        <w:fldChar w:fldCharType="end"/>
      </w:r>
      <w:r w:rsidRPr="00D72A50">
        <w:t>.</w:t>
      </w:r>
    </w:p>
    <w:p w14:paraId="715602F4" w14:textId="2B4A349A" w:rsidR="00A021BF" w:rsidRPr="00D72A50" w:rsidRDefault="00A021BF" w:rsidP="00A021BF"/>
    <w:p w14:paraId="085D1D1C" w14:textId="77777777" w:rsidR="00A021BF" w:rsidRPr="00D72A50" w:rsidRDefault="00A021BF" w:rsidP="00A021BF">
      <w:pPr>
        <w:spacing w:line="480" w:lineRule="auto"/>
        <w:jc w:val="center"/>
      </w:pPr>
      <w:r w:rsidRPr="00D81189">
        <w:rPr>
          <w:noProof/>
        </w:rPr>
        <w:lastRenderedPageBreak/>
        <w:drawing>
          <wp:inline distT="0" distB="0" distL="0" distR="0" wp14:anchorId="2FDC6EA2" wp14:editId="7EF9B581">
            <wp:extent cx="4971218" cy="6750763"/>
            <wp:effectExtent l="0" t="0" r="1270" b="0"/>
            <wp:docPr id="18507762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776259"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71218" cy="6750763"/>
                    </a:xfrm>
                    <a:prstGeom prst="rect">
                      <a:avLst/>
                    </a:prstGeom>
                  </pic:spPr>
                </pic:pic>
              </a:graphicData>
            </a:graphic>
          </wp:inline>
        </w:drawing>
      </w:r>
    </w:p>
    <w:p w14:paraId="7732820D" w14:textId="197A1DA8" w:rsidR="00A021BF" w:rsidRPr="00D72A50" w:rsidRDefault="00A021BF" w:rsidP="00A021BF">
      <w:pPr>
        <w:pStyle w:val="Caption"/>
      </w:pPr>
      <w:r w:rsidRPr="00D72A50">
        <w:t>Fig</w:t>
      </w:r>
      <w:r>
        <w:t>ure</w:t>
      </w:r>
      <w:r w:rsidRPr="00D72A50">
        <w:t xml:space="preserve"> S.6: Maximum tsunami water level for selected scenarios of the 365 AD tsunami simulated based on </w:t>
      </w:r>
      <w:r w:rsidRPr="00D72A50">
        <w:fldChar w:fldCharType="begin"/>
      </w:r>
      <w:r w:rsidRPr="00D72A50">
        <w:instrText xml:space="preserve"> ADDIN ZOTERO_ITEM CSL_CITATION {"citationID":"TDucTeg6","properties":{"formattedCitation":"(Lorito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B) and Shaw et al. (2008, C)</w:t>
      </w:r>
      <w:r w:rsidRPr="00D72A50">
        <w:fldChar w:fldCharType="end"/>
      </w:r>
      <w:r w:rsidRPr="00D72A50">
        <w:t xml:space="preserve">. Reference Run (Run08, A) refers to the published seismic scenario of </w:t>
      </w:r>
      <w:r w:rsidRPr="00D72A50">
        <w:fldChar w:fldCharType="begin"/>
      </w:r>
      <w:r w:rsidRPr="00D72A50">
        <w:instrText xml:space="preserve"> ADDIN ZOTERO_ITEM CSL_CITATION {"citationID":"gjAeCkyN","properties":{"formattedCitation":"(Shaw et al., 2008)","plainCitation":"(Shaw et al., 2008)","dontUpdate":true,"noteIndex":0},"citationItems":[{"id":607,"uris":["http://zotero.org/users/7509672/items/DZX68GF8"],"itemData":{"id":607,"type":"article-journal","abstract":"Historical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Shaw et al. (2008)</w:t>
      </w:r>
      <w:r w:rsidRPr="00D72A50">
        <w:fldChar w:fldCharType="end"/>
      </w:r>
      <w:r w:rsidRPr="00D72A50">
        <w:t xml:space="preserve"> and the recent topography. Modifications of Runs 12, 15, and 16 are stated in the headers of each subfigure. Please see supplementary files for results of further runs</w:t>
      </w:r>
      <w:r w:rsidR="00D03C9C">
        <w:t xml:space="preserve"> </w:t>
      </w:r>
      <w:r w:rsidR="00D03C9C">
        <w:t>(Map: ©Microsoft, 2024)</w:t>
      </w:r>
      <w:r w:rsidRPr="00D72A50">
        <w:t>.</w:t>
      </w:r>
    </w:p>
    <w:p w14:paraId="05351CF8" w14:textId="084072AB" w:rsidR="00A021BF" w:rsidRPr="00D72A50" w:rsidRDefault="00A021BF" w:rsidP="00A021BF">
      <w:pPr>
        <w:spacing w:line="480" w:lineRule="auto"/>
        <w:jc w:val="center"/>
      </w:pPr>
      <w:r w:rsidRPr="00D81189">
        <w:rPr>
          <w:noProof/>
        </w:rPr>
        <w:lastRenderedPageBreak/>
        <w:drawing>
          <wp:inline distT="0" distB="0" distL="0" distR="0" wp14:anchorId="5C7BA3AE" wp14:editId="151C6FCD">
            <wp:extent cx="5064982" cy="6821295"/>
            <wp:effectExtent l="0" t="0" r="2540" b="0"/>
            <wp:docPr id="3709516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951652" name="Picture 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64982" cy="6821295"/>
                    </a:xfrm>
                    <a:prstGeom prst="rect">
                      <a:avLst/>
                    </a:prstGeom>
                  </pic:spPr>
                </pic:pic>
              </a:graphicData>
            </a:graphic>
          </wp:inline>
        </w:drawing>
      </w:r>
    </w:p>
    <w:p w14:paraId="61A5193A" w14:textId="745A2181" w:rsidR="00A021BF" w:rsidRPr="00D72A50" w:rsidRDefault="00A021BF" w:rsidP="00A021BF">
      <w:pPr>
        <w:pStyle w:val="Caption"/>
      </w:pPr>
      <w:r w:rsidRPr="00D72A50">
        <w:t>Fig</w:t>
      </w:r>
      <w:r>
        <w:t>ure</w:t>
      </w:r>
      <w:r w:rsidRPr="00D72A50">
        <w:t xml:space="preserve"> S.7: Velocity magnitude for selected scenarios of the 365 AD tsunami simulated based on </w:t>
      </w:r>
      <w:r w:rsidRPr="00D72A50">
        <w:fldChar w:fldCharType="begin"/>
      </w:r>
      <w:r w:rsidRPr="00D72A50">
        <w:instrText xml:space="preserve"> ADDIN ZOTERO_ITEM CSL_CITATION {"citationID":"AXGtS3Cx","properties":{"formattedCitation":"(Lorito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B) and Shaw et al. (2008, C)</w:t>
      </w:r>
      <w:r w:rsidRPr="00D72A50">
        <w:fldChar w:fldCharType="end"/>
      </w:r>
      <w:r w:rsidRPr="00D72A50">
        <w:t>. Please see Fig. MWL and supplementary files for results of further runs</w:t>
      </w:r>
      <w:r w:rsidR="00D03C9C">
        <w:t xml:space="preserve"> </w:t>
      </w:r>
      <w:r w:rsidR="00D03C9C">
        <w:t>(Map: ©Microsoft, 2024)</w:t>
      </w:r>
      <w:r w:rsidR="00D03C9C" w:rsidRPr="00D72A50">
        <w:t>.</w:t>
      </w:r>
    </w:p>
    <w:p w14:paraId="15C5BCAF" w14:textId="77777777" w:rsidR="00A021BF" w:rsidRPr="00D72A50" w:rsidRDefault="00A021BF" w:rsidP="00B03740">
      <w:pPr>
        <w:spacing w:line="480" w:lineRule="auto"/>
        <w:jc w:val="center"/>
      </w:pPr>
      <w:r w:rsidRPr="00D81189">
        <w:rPr>
          <w:noProof/>
        </w:rPr>
        <w:lastRenderedPageBreak/>
        <w:drawing>
          <wp:inline distT="0" distB="0" distL="0" distR="0" wp14:anchorId="42F2BF90" wp14:editId="399A2B05">
            <wp:extent cx="5054064" cy="6853737"/>
            <wp:effectExtent l="0" t="0" r="0" b="4445"/>
            <wp:docPr id="1200745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7457" name="Picture 7"/>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054064" cy="6853737"/>
                    </a:xfrm>
                    <a:prstGeom prst="rect">
                      <a:avLst/>
                    </a:prstGeom>
                  </pic:spPr>
                </pic:pic>
              </a:graphicData>
            </a:graphic>
          </wp:inline>
        </w:drawing>
      </w:r>
    </w:p>
    <w:p w14:paraId="1A83F5D5" w14:textId="075365B1" w:rsidR="00A021BF" w:rsidRPr="00D72A50" w:rsidRDefault="00A021BF" w:rsidP="00A021BF">
      <w:pPr>
        <w:pStyle w:val="Caption"/>
      </w:pPr>
      <w:r w:rsidRPr="00D72A50">
        <w:t>Fig</w:t>
      </w:r>
      <w:r>
        <w:t>ure</w:t>
      </w:r>
      <w:r w:rsidRPr="00D72A50">
        <w:t xml:space="preserve"> S.8: Cumulative erosion (blues) and sedimentation (yellow-red) for selected scenarios of the 365 AD tsunami simulated based on </w:t>
      </w:r>
      <w:r w:rsidRPr="00D72A50">
        <w:fldChar w:fldCharType="begin"/>
      </w:r>
      <w:r w:rsidRPr="00D72A50">
        <w:instrText xml:space="preserve"> ADDIN ZOTERO_ITEM CSL_CITATION {"citationID":"8UiEPau6","properties":{"formattedCitation":"(Lorito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B) and Shaw et al. (2008, C)</w:t>
      </w:r>
      <w:r w:rsidRPr="00D72A50">
        <w:fldChar w:fldCharType="end"/>
      </w:r>
      <w:r w:rsidRPr="00D72A50">
        <w:t>. Please see Fig. MWL and the supplementary files for further information and results</w:t>
      </w:r>
      <w:r w:rsidR="00D03C9C">
        <w:t xml:space="preserve"> </w:t>
      </w:r>
      <w:r w:rsidR="00D03C9C">
        <w:t>(Map: ©Microsoft, 2024)</w:t>
      </w:r>
      <w:r w:rsidR="00D03C9C" w:rsidRPr="00D72A50">
        <w:t>.</w:t>
      </w:r>
      <w:r w:rsidRPr="00D72A50">
        <w:t xml:space="preserve"> </w:t>
      </w:r>
    </w:p>
    <w:p w14:paraId="24E5A89E" w14:textId="77777777" w:rsidR="00A021BF" w:rsidRPr="00D72A50" w:rsidRDefault="00A021BF" w:rsidP="00A021BF">
      <w:pPr>
        <w:spacing w:line="480" w:lineRule="auto"/>
      </w:pPr>
      <w:r w:rsidRPr="00D81189">
        <w:rPr>
          <w:noProof/>
        </w:rPr>
        <w:lastRenderedPageBreak/>
        <w:drawing>
          <wp:inline distT="0" distB="0" distL="0" distR="0" wp14:anchorId="5D9A3EC9" wp14:editId="2C970B53">
            <wp:extent cx="5562186" cy="5884030"/>
            <wp:effectExtent l="0" t="0" r="635" b="2540"/>
            <wp:docPr id="5848258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825812" name="Picture 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62186" cy="5884030"/>
                    </a:xfrm>
                    <a:prstGeom prst="rect">
                      <a:avLst/>
                    </a:prstGeom>
                  </pic:spPr>
                </pic:pic>
              </a:graphicData>
            </a:graphic>
          </wp:inline>
        </w:drawing>
      </w:r>
    </w:p>
    <w:p w14:paraId="198277CA" w14:textId="57D010CC" w:rsidR="00A021BF" w:rsidRPr="00D72A50" w:rsidRDefault="00A021BF" w:rsidP="00A021BF">
      <w:pPr>
        <w:pStyle w:val="Caption"/>
      </w:pPr>
      <w:r w:rsidRPr="00D72A50">
        <w:t>Fig</w:t>
      </w:r>
      <w:r>
        <w:t>ure</w:t>
      </w:r>
      <w:r w:rsidRPr="00D72A50">
        <w:t xml:space="preserve"> S.9: Water level (1), flow velocity (2), and bottom level (3) modelled for the 365 AD tsunami at observation point Obs1 on the beach ridge near coring site KOR 19 (location see Fig. MWL A) for two different tsunamigenic scenarios based on </w:t>
      </w:r>
      <w:r w:rsidRPr="00D72A50">
        <w:fldChar w:fldCharType="begin"/>
      </w:r>
      <w:r w:rsidRPr="00D72A50">
        <w:instrText xml:space="preserve"> ADDIN ZOTERO_ITEM CSL_CITATION {"citationID":"P9QOHJmH","properties":{"formattedCitation":"(Lorito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A) and Shaw et al. (2008, B)</w:t>
      </w:r>
      <w:r w:rsidRPr="00D72A50">
        <w:fldChar w:fldCharType="end"/>
      </w:r>
      <w:r w:rsidRPr="00D72A50">
        <w:t>.</w:t>
      </w:r>
    </w:p>
    <w:p w14:paraId="3D3A3150" w14:textId="77777777" w:rsidR="00A021BF" w:rsidRPr="00D72A50" w:rsidRDefault="00A021BF" w:rsidP="00A021BF">
      <w:pPr>
        <w:spacing w:line="480" w:lineRule="auto"/>
      </w:pPr>
      <w:r w:rsidRPr="00D81189">
        <w:rPr>
          <w:noProof/>
        </w:rPr>
        <w:lastRenderedPageBreak/>
        <w:drawing>
          <wp:inline distT="0" distB="0" distL="0" distR="0" wp14:anchorId="7A860F13" wp14:editId="4F488805">
            <wp:extent cx="5997871" cy="6160770"/>
            <wp:effectExtent l="0" t="0" r="0" b="0"/>
            <wp:docPr id="47070808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708089" name="Picture 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97871" cy="6160770"/>
                    </a:xfrm>
                    <a:prstGeom prst="rect">
                      <a:avLst/>
                    </a:prstGeom>
                  </pic:spPr>
                </pic:pic>
              </a:graphicData>
            </a:graphic>
          </wp:inline>
        </w:drawing>
      </w:r>
    </w:p>
    <w:p w14:paraId="7C8294FD" w14:textId="62FAE8A2" w:rsidR="00A021BF" w:rsidRPr="00D72A50" w:rsidRDefault="00A021BF" w:rsidP="00A021BF">
      <w:pPr>
        <w:pStyle w:val="Caption"/>
      </w:pPr>
      <w:r w:rsidRPr="00D72A50">
        <w:t>Fig</w:t>
      </w:r>
      <w:r>
        <w:t>ure</w:t>
      </w:r>
      <w:r w:rsidRPr="00D72A50">
        <w:t xml:space="preserve"> S.10: Water level (1), flow velocity (2), and bottom level (3) modelled for the 365 AD tsunami at observation point Obs2 on a simulated </w:t>
      </w:r>
      <w:proofErr w:type="spellStart"/>
      <w:r w:rsidRPr="00D72A50">
        <w:t>washover</w:t>
      </w:r>
      <w:proofErr w:type="spellEnd"/>
      <w:r w:rsidRPr="00D72A50">
        <w:t xml:space="preserve"> fan near coring site KOR 19 (location see Fig. MWL A) for two different tsunamigenic scenarios based on </w:t>
      </w:r>
      <w:r w:rsidRPr="00D72A50">
        <w:fldChar w:fldCharType="begin"/>
      </w:r>
      <w:r w:rsidRPr="00D72A50">
        <w:instrText xml:space="preserve"> ADDIN ZOTERO_ITEM CSL_CITATION {"citationID":"ZnnWJVZZ","properties":{"formattedCitation":"(Lorito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A) and Shaw et al. (2008, B)</w:t>
      </w:r>
      <w:r w:rsidRPr="00D72A50">
        <w:fldChar w:fldCharType="end"/>
      </w:r>
      <w:r w:rsidRPr="00D72A50">
        <w:t>.</w:t>
      </w:r>
    </w:p>
    <w:p w14:paraId="389AA054" w14:textId="77777777" w:rsidR="00A021BF" w:rsidRPr="00D72A50" w:rsidRDefault="00A021BF" w:rsidP="00A021BF">
      <w:pPr>
        <w:spacing w:line="480" w:lineRule="auto"/>
      </w:pPr>
      <w:r w:rsidRPr="00D81189">
        <w:rPr>
          <w:noProof/>
        </w:rPr>
        <w:lastRenderedPageBreak/>
        <w:drawing>
          <wp:inline distT="0" distB="0" distL="0" distR="0" wp14:anchorId="24D3E253" wp14:editId="33E76633">
            <wp:extent cx="5977144" cy="6160770"/>
            <wp:effectExtent l="0" t="0" r="0" b="0"/>
            <wp:docPr id="63117970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179702"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77144" cy="6160770"/>
                    </a:xfrm>
                    <a:prstGeom prst="rect">
                      <a:avLst/>
                    </a:prstGeom>
                  </pic:spPr>
                </pic:pic>
              </a:graphicData>
            </a:graphic>
          </wp:inline>
        </w:drawing>
      </w:r>
    </w:p>
    <w:p w14:paraId="1EE6B80B" w14:textId="3DB522C3" w:rsidR="00A021BF" w:rsidRDefault="00A021BF" w:rsidP="00A021BF">
      <w:pPr>
        <w:pStyle w:val="Caption"/>
      </w:pPr>
      <w:r w:rsidRPr="00D72A50">
        <w:t>Fig</w:t>
      </w:r>
      <w:r>
        <w:t>ure</w:t>
      </w:r>
      <w:r w:rsidRPr="00D72A50">
        <w:t xml:space="preserve"> S.11: Water level (1), flow velocity (2), and bottom level (3) modelled for the 365 AD tsunami at observation point Obs3 near LIN 1A (location see Fig. MWL A) for the two different tsunamigenic scenarios based on </w:t>
      </w:r>
      <w:r w:rsidRPr="00D72A50">
        <w:fldChar w:fldCharType="begin"/>
      </w:r>
      <w:r w:rsidRPr="00D72A50">
        <w:instrText xml:space="preserve"> ADDIN ZOTERO_ITEM CSL_CITATION {"citationID":"BQ55eD4M","properties":{"formattedCitation":"(Lorito et al., 2008; Shaw et al., 2008)","plainCitation":"(Lorito et al., 2008; Shaw et al., 2008)","dontUpdate":true,"noteIndex":0},"citationItems":[{"id":1430,"uris":["http://zotero.org/users/7509672/items/MY8WE3KJ"],"itemData":{"id":1430,"type":"article-journal","container-title":"Journal of Geophysical Research","DOI":"10.1029/2007JB004943","ISSN":"0148-0227","issue":"B1","language":"en","page":"B01301","title":"Earthquake-generated tsunamis in the Mediterranean Sea: Scenarios of potential threats to Southern Italy","title-short":"Earthquake-generated tsunamis in the Mediterranean Sea","volume":"113","author":[{"family":"Lorito","given":"Stefano"},{"family":"Tiberti","given":"Mara Monica"},{"family":"Basili","given":"Roberto"},{"family":"Piatanesi","given":"Alessio"},{"family":"Valensise","given":"Gianluca"}],"issued":{"date-parts":[["2008",1]]}}},{"id":607,"uris":["http://zotero.org/users/7509672/items/DZX68GF8"],"itemData":{"id":607,"type":"article-journal","abstract":"Historical accounts describe an earthquake and tsunami on 21 July AD 365 that destroyed cities and drowned thousands of people in coastal regions from the Nile Delta to modern-day Dubrovnik. The location and tectonic setting of this earthquake have been uncertain until now. Here, we present evidence from radiocarbon data and field observations that western Crete was lifted above sea level, by up to 10 m, synchronously with the AD 365 earthquake. The distribution of uplift, combined with observations of present-day seismicity, suggest that this earthquake occurred not on the subduction interface beneath Crete, but on a fault dipping at about 30</w:instrText>
      </w:r>
      <w:r w:rsidRPr="00D72A50">
        <w:rPr>
          <w:rFonts w:ascii="Cambria Math" w:hAnsi="Cambria Math" w:cs="Cambria Math"/>
        </w:rPr>
        <w:instrText>∘</w:instrText>
      </w:r>
      <w:r w:rsidRPr="00D72A50">
        <w:instrText xml:space="preserve"> within the overriding plate. Calculations of tsunami propagation show that the uplift of the sea floor associated with such an earthquake would have generated a damaging tsunami through much of the eastern Mediterranean. Measurement of the present rate of crustal shortening near Crete yields an estimate of </w:instrText>
      </w:r>
      <w:r w:rsidRPr="00D72A50">
        <w:rPr>
          <w:rFonts w:ascii="Cambria Math" w:hAnsi="Cambria Math" w:cs="Cambria Math"/>
        </w:rPr>
        <w:instrText>∼</w:instrText>
      </w:r>
      <w:r w:rsidRPr="00D72A50">
        <w:instrText xml:space="preserve">5,000 yr for the repeat time of tsunamigenic events on this single fault in western Crete, but if the same process takes place along the entire Hellenic subduction zone, such events may occur approximately once every 800 yr.","container-title":"Nature Geoscience","DOI":"10.1038/ngeo151","ISSN":"1752-0908","issue":"4","language":"en","license":"2008 Nature Publishing Group","page":"268–276","title":"Eastern Mediterranean tectonics and tsunami hazard inferred from the AD 365 earthquake","volume":"1","author":[{"family":"Shaw","given":"B."},{"family":"Ambraseys","given":"N. N."},{"family":"England","given":"P. C."},{"family":"Floyd","given":"M. A."},{"family":"Gorman","given":"G. J."},{"family":"Higham","given":"T. F. G."},{"family":"Jackson","given":"J. A."},{"family":"Nocquet","given":"J.-M."},{"family":"Pain","given":"C. C."},{"family":"Piggott","given":"M. D."}],"issued":{"date-parts":[["2008",4]]}}}],"schema":"https://github.com/citation-style-language/schema/raw/master/csl-citation.json"} </w:instrText>
      </w:r>
      <w:r w:rsidRPr="00D72A50">
        <w:fldChar w:fldCharType="separate"/>
      </w:r>
      <w:r w:rsidRPr="00D72A50">
        <w:t>Lorito et al. (2008, A) and Shaw et al. (2008, B)</w:t>
      </w:r>
      <w:r w:rsidRPr="00D72A50">
        <w:fldChar w:fldCharType="end"/>
      </w:r>
      <w:r w:rsidRPr="00D72A50">
        <w:t>.</w:t>
      </w:r>
    </w:p>
    <w:p w14:paraId="40AECF25" w14:textId="77777777" w:rsidR="00777FCE" w:rsidRPr="00777FCE" w:rsidRDefault="00777FCE" w:rsidP="00777FCE"/>
    <w:tbl>
      <w:tblPr>
        <w:tblStyle w:val="TableGrid"/>
        <w:tblW w:w="0" w:type="auto"/>
        <w:tblLook w:val="04A0" w:firstRow="1" w:lastRow="0" w:firstColumn="1" w:lastColumn="0" w:noHBand="0" w:noVBand="1"/>
      </w:tblPr>
      <w:tblGrid>
        <w:gridCol w:w="1118"/>
        <w:gridCol w:w="965"/>
        <w:gridCol w:w="1112"/>
        <w:gridCol w:w="1112"/>
        <w:gridCol w:w="1112"/>
        <w:gridCol w:w="1112"/>
        <w:gridCol w:w="1112"/>
        <w:gridCol w:w="1112"/>
        <w:gridCol w:w="1012"/>
      </w:tblGrid>
      <w:tr w:rsidR="00777FCE" w:rsidRPr="00D72A50" w14:paraId="2EC28D5F" w14:textId="77777777" w:rsidTr="00B96079">
        <w:tc>
          <w:tcPr>
            <w:tcW w:w="1118" w:type="dxa"/>
          </w:tcPr>
          <w:p w14:paraId="78786E0E" w14:textId="77777777" w:rsidR="00777FCE" w:rsidRPr="00D72A50" w:rsidRDefault="00777FCE" w:rsidP="00B96079"/>
        </w:tc>
        <w:tc>
          <w:tcPr>
            <w:tcW w:w="965" w:type="dxa"/>
          </w:tcPr>
          <w:p w14:paraId="3F231A3A" w14:textId="77777777" w:rsidR="00777FCE" w:rsidRPr="00D72A50" w:rsidRDefault="00777FCE" w:rsidP="00B96079">
            <w:proofErr w:type="spellStart"/>
            <w:r w:rsidRPr="00D72A50">
              <w:t>RunRef</w:t>
            </w:r>
            <w:proofErr w:type="spellEnd"/>
          </w:p>
        </w:tc>
        <w:tc>
          <w:tcPr>
            <w:tcW w:w="1112" w:type="dxa"/>
          </w:tcPr>
          <w:p w14:paraId="40B208C0" w14:textId="77777777" w:rsidR="00777FCE" w:rsidRPr="00D72A50" w:rsidRDefault="00777FCE" w:rsidP="00B96079">
            <w:r w:rsidRPr="00D72A50">
              <w:t>12L</w:t>
            </w:r>
          </w:p>
        </w:tc>
        <w:tc>
          <w:tcPr>
            <w:tcW w:w="1112" w:type="dxa"/>
          </w:tcPr>
          <w:p w14:paraId="090673E3" w14:textId="77777777" w:rsidR="00777FCE" w:rsidRPr="00D72A50" w:rsidRDefault="00777FCE" w:rsidP="00B96079">
            <w:r w:rsidRPr="00D72A50">
              <w:t>12S</w:t>
            </w:r>
          </w:p>
        </w:tc>
        <w:tc>
          <w:tcPr>
            <w:tcW w:w="1112" w:type="dxa"/>
          </w:tcPr>
          <w:p w14:paraId="57987F8A" w14:textId="77777777" w:rsidR="00777FCE" w:rsidRPr="00D72A50" w:rsidRDefault="00777FCE" w:rsidP="00B96079">
            <w:r w:rsidRPr="00D72A50">
              <w:t>15L</w:t>
            </w:r>
          </w:p>
        </w:tc>
        <w:tc>
          <w:tcPr>
            <w:tcW w:w="1112" w:type="dxa"/>
          </w:tcPr>
          <w:p w14:paraId="1061B431" w14:textId="77777777" w:rsidR="00777FCE" w:rsidRPr="00D72A50" w:rsidRDefault="00777FCE" w:rsidP="00B96079">
            <w:r w:rsidRPr="00D72A50">
              <w:t>15S</w:t>
            </w:r>
          </w:p>
        </w:tc>
        <w:tc>
          <w:tcPr>
            <w:tcW w:w="1112" w:type="dxa"/>
          </w:tcPr>
          <w:p w14:paraId="0F4A743A" w14:textId="77777777" w:rsidR="00777FCE" w:rsidRPr="00D72A50" w:rsidRDefault="00777FCE" w:rsidP="00B96079">
            <w:r w:rsidRPr="00D72A50">
              <w:t>16L</w:t>
            </w:r>
          </w:p>
        </w:tc>
        <w:tc>
          <w:tcPr>
            <w:tcW w:w="1112" w:type="dxa"/>
          </w:tcPr>
          <w:p w14:paraId="36597FEE" w14:textId="77777777" w:rsidR="00777FCE" w:rsidRPr="00D72A50" w:rsidRDefault="00777FCE" w:rsidP="00B96079">
            <w:r w:rsidRPr="00D72A50">
              <w:t>16S</w:t>
            </w:r>
          </w:p>
        </w:tc>
        <w:tc>
          <w:tcPr>
            <w:tcW w:w="1012" w:type="dxa"/>
          </w:tcPr>
          <w:p w14:paraId="228DA368" w14:textId="77777777" w:rsidR="00777FCE" w:rsidRPr="00D72A50" w:rsidRDefault="00777FCE" w:rsidP="00B96079">
            <w:r w:rsidRPr="00D72A50">
              <w:t>Field traces</w:t>
            </w:r>
          </w:p>
        </w:tc>
      </w:tr>
      <w:tr w:rsidR="00777FCE" w:rsidRPr="00D72A50" w14:paraId="1E178022" w14:textId="77777777" w:rsidTr="00B96079">
        <w:tc>
          <w:tcPr>
            <w:tcW w:w="1118" w:type="dxa"/>
          </w:tcPr>
          <w:p w14:paraId="78B63F03" w14:textId="77777777" w:rsidR="00777FCE" w:rsidRPr="00D72A50" w:rsidRDefault="00777FCE" w:rsidP="00B96079">
            <w:pPr>
              <w:rPr>
                <w:color w:val="000000" w:themeColor="text1"/>
              </w:rPr>
            </w:pPr>
            <w:r w:rsidRPr="00D72A50">
              <w:rPr>
                <w:color w:val="000000" w:themeColor="text1"/>
              </w:rPr>
              <w:t>Obs.1</w:t>
            </w:r>
          </w:p>
        </w:tc>
        <w:tc>
          <w:tcPr>
            <w:tcW w:w="965" w:type="dxa"/>
          </w:tcPr>
          <w:p w14:paraId="029C5D90" w14:textId="77777777" w:rsidR="00777FCE" w:rsidRPr="00D72A50" w:rsidRDefault="00777FCE" w:rsidP="00B96079">
            <w:pPr>
              <w:rPr>
                <w:color w:val="000000" w:themeColor="text1"/>
              </w:rPr>
            </w:pPr>
            <w:r w:rsidRPr="00D72A50">
              <w:rPr>
                <w:color w:val="000000" w:themeColor="text1"/>
              </w:rPr>
              <w:t>0</w:t>
            </w:r>
          </w:p>
        </w:tc>
        <w:tc>
          <w:tcPr>
            <w:tcW w:w="1112" w:type="dxa"/>
          </w:tcPr>
          <w:p w14:paraId="43BE2060" w14:textId="77777777" w:rsidR="00777FCE" w:rsidRPr="00D72A50" w:rsidRDefault="00777FCE" w:rsidP="00B96079">
            <w:pPr>
              <w:rPr>
                <w:color w:val="000000" w:themeColor="text1"/>
              </w:rPr>
            </w:pPr>
            <w:r w:rsidRPr="00D72A50">
              <w:rPr>
                <w:color w:val="000000" w:themeColor="text1"/>
              </w:rPr>
              <w:t>-1.3</w:t>
            </w:r>
          </w:p>
        </w:tc>
        <w:tc>
          <w:tcPr>
            <w:tcW w:w="1112" w:type="dxa"/>
          </w:tcPr>
          <w:p w14:paraId="6FECCC28" w14:textId="77777777" w:rsidR="00777FCE" w:rsidRPr="00D72A50" w:rsidRDefault="00777FCE" w:rsidP="00B96079">
            <w:pPr>
              <w:rPr>
                <w:color w:val="000000" w:themeColor="text1"/>
              </w:rPr>
            </w:pPr>
            <w:r w:rsidRPr="00D72A50">
              <w:rPr>
                <w:color w:val="000000" w:themeColor="text1"/>
              </w:rPr>
              <w:t>-0.878</w:t>
            </w:r>
          </w:p>
        </w:tc>
        <w:tc>
          <w:tcPr>
            <w:tcW w:w="1112" w:type="dxa"/>
          </w:tcPr>
          <w:p w14:paraId="6A60FDBC" w14:textId="77777777" w:rsidR="00777FCE" w:rsidRPr="00D72A50" w:rsidRDefault="00777FCE" w:rsidP="00B96079">
            <w:pPr>
              <w:rPr>
                <w:color w:val="000000" w:themeColor="text1"/>
              </w:rPr>
            </w:pPr>
            <w:r w:rsidRPr="00D72A50">
              <w:rPr>
                <w:color w:val="000000" w:themeColor="text1"/>
              </w:rPr>
              <w:t>-1.664</w:t>
            </w:r>
          </w:p>
        </w:tc>
        <w:tc>
          <w:tcPr>
            <w:tcW w:w="1112" w:type="dxa"/>
          </w:tcPr>
          <w:p w14:paraId="25F30205" w14:textId="77777777" w:rsidR="00777FCE" w:rsidRPr="00D72A50" w:rsidRDefault="00777FCE" w:rsidP="00B96079">
            <w:pPr>
              <w:rPr>
                <w:color w:val="000000" w:themeColor="text1"/>
              </w:rPr>
            </w:pPr>
            <w:r w:rsidRPr="00D72A50">
              <w:rPr>
                <w:color w:val="000000" w:themeColor="text1"/>
              </w:rPr>
              <w:t>-1.23</w:t>
            </w:r>
          </w:p>
        </w:tc>
        <w:tc>
          <w:tcPr>
            <w:tcW w:w="1112" w:type="dxa"/>
          </w:tcPr>
          <w:p w14:paraId="76A142CB" w14:textId="77777777" w:rsidR="00777FCE" w:rsidRPr="00D72A50" w:rsidRDefault="00777FCE" w:rsidP="00B96079">
            <w:pPr>
              <w:rPr>
                <w:color w:val="000000" w:themeColor="text1"/>
              </w:rPr>
            </w:pPr>
            <w:r w:rsidRPr="00D72A50">
              <w:rPr>
                <w:color w:val="000000" w:themeColor="text1"/>
              </w:rPr>
              <w:t>-2.065</w:t>
            </w:r>
          </w:p>
        </w:tc>
        <w:tc>
          <w:tcPr>
            <w:tcW w:w="1112" w:type="dxa"/>
          </w:tcPr>
          <w:p w14:paraId="238C62CE" w14:textId="77777777" w:rsidR="00777FCE" w:rsidRPr="00D72A50" w:rsidRDefault="00777FCE" w:rsidP="00B96079">
            <w:pPr>
              <w:rPr>
                <w:color w:val="000000" w:themeColor="text1"/>
              </w:rPr>
            </w:pPr>
            <w:r w:rsidRPr="00D72A50">
              <w:rPr>
                <w:color w:val="000000" w:themeColor="text1"/>
              </w:rPr>
              <w:t>-1.523</w:t>
            </w:r>
          </w:p>
        </w:tc>
        <w:tc>
          <w:tcPr>
            <w:tcW w:w="1012" w:type="dxa"/>
          </w:tcPr>
          <w:p w14:paraId="5BB73274" w14:textId="77777777" w:rsidR="00777FCE" w:rsidRPr="00D72A50" w:rsidRDefault="00777FCE" w:rsidP="00B96079">
            <w:pPr>
              <w:rPr>
                <w:color w:val="000000" w:themeColor="text1"/>
              </w:rPr>
            </w:pPr>
            <w:r w:rsidRPr="00D72A50">
              <w:rPr>
                <w:color w:val="000000" w:themeColor="text1"/>
              </w:rPr>
              <w:t>-</w:t>
            </w:r>
          </w:p>
        </w:tc>
      </w:tr>
      <w:tr w:rsidR="00777FCE" w:rsidRPr="00D72A50" w14:paraId="5511B6EE" w14:textId="77777777" w:rsidTr="00B96079">
        <w:tc>
          <w:tcPr>
            <w:tcW w:w="1118" w:type="dxa"/>
          </w:tcPr>
          <w:p w14:paraId="069B52B9" w14:textId="77777777" w:rsidR="00777FCE" w:rsidRPr="00D72A50" w:rsidRDefault="00777FCE" w:rsidP="00B96079">
            <w:pPr>
              <w:rPr>
                <w:color w:val="000000" w:themeColor="text1"/>
              </w:rPr>
            </w:pPr>
            <w:r w:rsidRPr="00D72A50">
              <w:rPr>
                <w:color w:val="000000" w:themeColor="text1"/>
              </w:rPr>
              <w:t>Obs.2 (KOR 19)</w:t>
            </w:r>
          </w:p>
        </w:tc>
        <w:tc>
          <w:tcPr>
            <w:tcW w:w="965" w:type="dxa"/>
          </w:tcPr>
          <w:p w14:paraId="0FC149CB" w14:textId="77777777" w:rsidR="00777FCE" w:rsidRPr="00D72A50" w:rsidRDefault="00777FCE" w:rsidP="00B96079">
            <w:pPr>
              <w:rPr>
                <w:color w:val="000000" w:themeColor="text1"/>
              </w:rPr>
            </w:pPr>
            <w:r w:rsidRPr="00D72A50">
              <w:rPr>
                <w:color w:val="000000" w:themeColor="text1"/>
              </w:rPr>
              <w:t>0</w:t>
            </w:r>
          </w:p>
        </w:tc>
        <w:tc>
          <w:tcPr>
            <w:tcW w:w="1112" w:type="dxa"/>
          </w:tcPr>
          <w:p w14:paraId="0538A846" w14:textId="77777777" w:rsidR="00777FCE" w:rsidRPr="00D72A50" w:rsidRDefault="00777FCE" w:rsidP="00B96079">
            <w:pPr>
              <w:rPr>
                <w:color w:val="000000" w:themeColor="text1"/>
              </w:rPr>
            </w:pPr>
            <w:r w:rsidRPr="00D72A50">
              <w:rPr>
                <w:color w:val="000000" w:themeColor="text1"/>
              </w:rPr>
              <w:t>+0.757</w:t>
            </w:r>
          </w:p>
        </w:tc>
        <w:tc>
          <w:tcPr>
            <w:tcW w:w="1112" w:type="dxa"/>
          </w:tcPr>
          <w:p w14:paraId="699C2965" w14:textId="77777777" w:rsidR="00777FCE" w:rsidRPr="00D72A50" w:rsidRDefault="00777FCE" w:rsidP="00B96079">
            <w:pPr>
              <w:rPr>
                <w:color w:val="000000" w:themeColor="text1"/>
              </w:rPr>
            </w:pPr>
            <w:r w:rsidRPr="00D72A50">
              <w:rPr>
                <w:color w:val="000000" w:themeColor="text1"/>
              </w:rPr>
              <w:t>+0.726</w:t>
            </w:r>
          </w:p>
        </w:tc>
        <w:tc>
          <w:tcPr>
            <w:tcW w:w="1112" w:type="dxa"/>
          </w:tcPr>
          <w:p w14:paraId="26ECE8BA" w14:textId="77777777" w:rsidR="00777FCE" w:rsidRPr="00D72A50" w:rsidRDefault="00777FCE" w:rsidP="00B96079">
            <w:pPr>
              <w:rPr>
                <w:color w:val="000000" w:themeColor="text1"/>
              </w:rPr>
            </w:pPr>
            <w:r w:rsidRPr="00D72A50">
              <w:rPr>
                <w:color w:val="000000" w:themeColor="text1"/>
              </w:rPr>
              <w:t>+0.843</w:t>
            </w:r>
          </w:p>
        </w:tc>
        <w:tc>
          <w:tcPr>
            <w:tcW w:w="1112" w:type="dxa"/>
          </w:tcPr>
          <w:p w14:paraId="69A8E3A9" w14:textId="77777777" w:rsidR="00777FCE" w:rsidRPr="00D72A50" w:rsidRDefault="00777FCE" w:rsidP="00B96079">
            <w:pPr>
              <w:rPr>
                <w:color w:val="000000" w:themeColor="text1"/>
              </w:rPr>
            </w:pPr>
            <w:r w:rsidRPr="00D72A50">
              <w:rPr>
                <w:color w:val="000000" w:themeColor="text1"/>
              </w:rPr>
              <w:t>+0.738</w:t>
            </w:r>
          </w:p>
        </w:tc>
        <w:tc>
          <w:tcPr>
            <w:tcW w:w="1112" w:type="dxa"/>
          </w:tcPr>
          <w:p w14:paraId="0F32BE29" w14:textId="77777777" w:rsidR="00777FCE" w:rsidRPr="00D72A50" w:rsidRDefault="00777FCE" w:rsidP="00B96079">
            <w:pPr>
              <w:rPr>
                <w:color w:val="000000" w:themeColor="text1"/>
              </w:rPr>
            </w:pPr>
            <w:r w:rsidRPr="00D72A50">
              <w:rPr>
                <w:color w:val="000000" w:themeColor="text1"/>
              </w:rPr>
              <w:t>+0.825</w:t>
            </w:r>
          </w:p>
        </w:tc>
        <w:tc>
          <w:tcPr>
            <w:tcW w:w="1112" w:type="dxa"/>
          </w:tcPr>
          <w:p w14:paraId="28B5F6B9" w14:textId="77777777" w:rsidR="00777FCE" w:rsidRPr="00D72A50" w:rsidRDefault="00777FCE" w:rsidP="00B96079">
            <w:pPr>
              <w:rPr>
                <w:color w:val="000000" w:themeColor="text1"/>
              </w:rPr>
            </w:pPr>
            <w:r w:rsidRPr="00D72A50">
              <w:rPr>
                <w:color w:val="000000" w:themeColor="text1"/>
              </w:rPr>
              <w:t>+0.735</w:t>
            </w:r>
          </w:p>
        </w:tc>
        <w:tc>
          <w:tcPr>
            <w:tcW w:w="1012" w:type="dxa"/>
          </w:tcPr>
          <w:p w14:paraId="67C6EA27" w14:textId="77777777" w:rsidR="00777FCE" w:rsidRPr="00D72A50" w:rsidRDefault="00777FCE" w:rsidP="00B96079">
            <w:pPr>
              <w:rPr>
                <w:color w:val="000000" w:themeColor="text1"/>
              </w:rPr>
            </w:pPr>
            <w:r w:rsidRPr="00D72A50">
              <w:rPr>
                <w:color w:val="000000" w:themeColor="text1"/>
              </w:rPr>
              <w:t>+1.47</w:t>
            </w:r>
          </w:p>
        </w:tc>
      </w:tr>
      <w:tr w:rsidR="00777FCE" w:rsidRPr="00D72A50" w14:paraId="15379155" w14:textId="77777777" w:rsidTr="00B96079">
        <w:tc>
          <w:tcPr>
            <w:tcW w:w="1118" w:type="dxa"/>
          </w:tcPr>
          <w:p w14:paraId="23A39D5B" w14:textId="77777777" w:rsidR="00777FCE" w:rsidRPr="00D72A50" w:rsidRDefault="00777FCE" w:rsidP="00B96079">
            <w:pPr>
              <w:rPr>
                <w:color w:val="000000" w:themeColor="text1"/>
              </w:rPr>
            </w:pPr>
            <w:r w:rsidRPr="00D72A50">
              <w:rPr>
                <w:color w:val="000000" w:themeColor="text1"/>
              </w:rPr>
              <w:t>Obs.3</w:t>
            </w:r>
            <w:r w:rsidRPr="00D72A50">
              <w:rPr>
                <w:color w:val="000000" w:themeColor="text1"/>
              </w:rPr>
              <w:br/>
              <w:t>(LIN 1A)</w:t>
            </w:r>
          </w:p>
        </w:tc>
        <w:tc>
          <w:tcPr>
            <w:tcW w:w="965" w:type="dxa"/>
          </w:tcPr>
          <w:p w14:paraId="56D87E2E" w14:textId="77777777" w:rsidR="00777FCE" w:rsidRPr="00D72A50" w:rsidRDefault="00777FCE" w:rsidP="00B96079">
            <w:pPr>
              <w:rPr>
                <w:color w:val="000000" w:themeColor="text1"/>
              </w:rPr>
            </w:pPr>
            <w:r w:rsidRPr="00D72A50">
              <w:rPr>
                <w:color w:val="000000" w:themeColor="text1"/>
              </w:rPr>
              <w:t>0</w:t>
            </w:r>
          </w:p>
        </w:tc>
        <w:tc>
          <w:tcPr>
            <w:tcW w:w="1112" w:type="dxa"/>
          </w:tcPr>
          <w:p w14:paraId="4A6D878C" w14:textId="77777777" w:rsidR="00777FCE" w:rsidRPr="00D72A50" w:rsidRDefault="00777FCE" w:rsidP="00B96079">
            <w:pPr>
              <w:rPr>
                <w:color w:val="000000" w:themeColor="text1"/>
              </w:rPr>
            </w:pPr>
            <w:r w:rsidRPr="00D72A50">
              <w:rPr>
                <w:color w:val="000000" w:themeColor="text1"/>
              </w:rPr>
              <w:t>+0.0007</w:t>
            </w:r>
          </w:p>
        </w:tc>
        <w:tc>
          <w:tcPr>
            <w:tcW w:w="1112" w:type="dxa"/>
          </w:tcPr>
          <w:p w14:paraId="66F5E1B8" w14:textId="77777777" w:rsidR="00777FCE" w:rsidRPr="00D72A50" w:rsidRDefault="00777FCE" w:rsidP="00B96079">
            <w:pPr>
              <w:rPr>
                <w:color w:val="000000" w:themeColor="text1"/>
              </w:rPr>
            </w:pPr>
            <w:r w:rsidRPr="00D72A50">
              <w:rPr>
                <w:color w:val="000000" w:themeColor="text1"/>
              </w:rPr>
              <w:t>+0.0005</w:t>
            </w:r>
          </w:p>
        </w:tc>
        <w:tc>
          <w:tcPr>
            <w:tcW w:w="1112" w:type="dxa"/>
          </w:tcPr>
          <w:p w14:paraId="01E14436" w14:textId="77777777" w:rsidR="00777FCE" w:rsidRPr="00D72A50" w:rsidRDefault="00777FCE" w:rsidP="00B96079">
            <w:pPr>
              <w:rPr>
                <w:color w:val="000000" w:themeColor="text1"/>
              </w:rPr>
            </w:pPr>
            <w:r w:rsidRPr="00D72A50">
              <w:rPr>
                <w:color w:val="000000" w:themeColor="text1"/>
              </w:rPr>
              <w:t>+0.003</w:t>
            </w:r>
          </w:p>
        </w:tc>
        <w:tc>
          <w:tcPr>
            <w:tcW w:w="1112" w:type="dxa"/>
          </w:tcPr>
          <w:p w14:paraId="3A028277" w14:textId="77777777" w:rsidR="00777FCE" w:rsidRPr="00D72A50" w:rsidRDefault="00777FCE" w:rsidP="00B96079">
            <w:pPr>
              <w:rPr>
                <w:color w:val="000000" w:themeColor="text1"/>
              </w:rPr>
            </w:pPr>
            <w:r w:rsidRPr="00D72A50">
              <w:rPr>
                <w:color w:val="000000" w:themeColor="text1"/>
              </w:rPr>
              <w:t>+0.002</w:t>
            </w:r>
          </w:p>
        </w:tc>
        <w:tc>
          <w:tcPr>
            <w:tcW w:w="1112" w:type="dxa"/>
          </w:tcPr>
          <w:p w14:paraId="0D53E794" w14:textId="77777777" w:rsidR="00777FCE" w:rsidRPr="00D72A50" w:rsidRDefault="00777FCE" w:rsidP="00B96079">
            <w:pPr>
              <w:rPr>
                <w:color w:val="000000" w:themeColor="text1"/>
              </w:rPr>
            </w:pPr>
            <w:r w:rsidRPr="00D72A50">
              <w:rPr>
                <w:color w:val="000000" w:themeColor="text1"/>
              </w:rPr>
              <w:t>+0.011</w:t>
            </w:r>
          </w:p>
        </w:tc>
        <w:tc>
          <w:tcPr>
            <w:tcW w:w="1112" w:type="dxa"/>
          </w:tcPr>
          <w:p w14:paraId="66E7C2CC" w14:textId="77777777" w:rsidR="00777FCE" w:rsidRPr="00D72A50" w:rsidRDefault="00777FCE" w:rsidP="00B96079">
            <w:pPr>
              <w:rPr>
                <w:color w:val="000000" w:themeColor="text1"/>
              </w:rPr>
            </w:pPr>
            <w:r w:rsidRPr="00D72A50">
              <w:rPr>
                <w:color w:val="000000" w:themeColor="text1"/>
              </w:rPr>
              <w:t>+0.005</w:t>
            </w:r>
          </w:p>
        </w:tc>
        <w:tc>
          <w:tcPr>
            <w:tcW w:w="1012" w:type="dxa"/>
          </w:tcPr>
          <w:p w14:paraId="6429087D" w14:textId="77777777" w:rsidR="00777FCE" w:rsidRPr="00D72A50" w:rsidRDefault="00777FCE" w:rsidP="00B96079">
            <w:pPr>
              <w:rPr>
                <w:color w:val="000000" w:themeColor="text1"/>
              </w:rPr>
            </w:pPr>
            <w:r w:rsidRPr="00D72A50">
              <w:rPr>
                <w:color w:val="000000" w:themeColor="text1"/>
              </w:rPr>
              <w:t>+0.02</w:t>
            </w:r>
          </w:p>
        </w:tc>
      </w:tr>
    </w:tbl>
    <w:p w14:paraId="0FCF2F44" w14:textId="77777777" w:rsidR="00777FCE" w:rsidRPr="00585243" w:rsidRDefault="00777FCE" w:rsidP="00777FCE">
      <w:pPr>
        <w:pStyle w:val="Caption"/>
      </w:pPr>
      <w:r w:rsidRPr="00D72A50">
        <w:t>Tab. S.1: Modelled erosion and sedimentation for three observation points (Obs.1 and Obs.2 near KOR 19, Obs.3 near LIN 1A) from selected model runs and the observed thickness of deposits found in-situ.</w:t>
      </w:r>
    </w:p>
    <w:p w14:paraId="63992BB7" w14:textId="77777777" w:rsidR="00777FCE" w:rsidRPr="00777FCE" w:rsidRDefault="00777FCE" w:rsidP="00777FCE"/>
    <w:p w14:paraId="1747780F" w14:textId="3C533FD8" w:rsidR="00A021BF" w:rsidRDefault="00A021BF">
      <w:pPr>
        <w:spacing w:line="240" w:lineRule="auto"/>
        <w:jc w:val="left"/>
      </w:pPr>
      <w:r>
        <w:br w:type="page"/>
      </w:r>
    </w:p>
    <w:p w14:paraId="60C51FBA" w14:textId="34321013" w:rsidR="00A021BF" w:rsidRDefault="00A021BF" w:rsidP="00A021BF">
      <w:pPr>
        <w:pStyle w:val="Heading1"/>
      </w:pPr>
      <w:r>
        <w:lastRenderedPageBreak/>
        <w:t>References</w:t>
      </w:r>
    </w:p>
    <w:p w14:paraId="14129439" w14:textId="77777777" w:rsidR="00A527C2" w:rsidRPr="00A527C2" w:rsidRDefault="00A021BF" w:rsidP="00A527C2">
      <w:pPr>
        <w:pStyle w:val="Bibliography"/>
        <w:rPr>
          <w:rFonts w:cs="Times New Roman"/>
          <w:sz w:val="20"/>
        </w:rPr>
      </w:pPr>
      <w:r>
        <w:fldChar w:fldCharType="begin"/>
      </w:r>
      <w:r>
        <w:instrText xml:space="preserve"> ADDIN ZOTERO_BIBL {"uncited":[],"omitted":[],"custom":[]} CSL_BIBLIOGRAPHY </w:instrText>
      </w:r>
      <w:r>
        <w:fldChar w:fldCharType="separate"/>
      </w:r>
      <w:r w:rsidR="00A527C2" w:rsidRPr="00A527C2">
        <w:rPr>
          <w:rFonts w:cs="Times New Roman"/>
          <w:sz w:val="20"/>
        </w:rPr>
        <w:t>Lorito, S., Tiberti, M. M., Basili, R., Piatanesi, A., and Valensise, G.: Earthquake-generated tsunamis in the Mediterranean Sea: Scenarios of potential threats to Southern Italy, Journal of Geophysical Research, 113, B01301, https://doi.org/10.1029/2007JB004943, 2008.</w:t>
      </w:r>
    </w:p>
    <w:p w14:paraId="27CD09AD" w14:textId="77777777" w:rsidR="00A527C2" w:rsidRPr="00A527C2" w:rsidRDefault="00A527C2" w:rsidP="00A527C2">
      <w:pPr>
        <w:pStyle w:val="Bibliography"/>
        <w:rPr>
          <w:rFonts w:cs="Times New Roman"/>
          <w:sz w:val="20"/>
        </w:rPr>
      </w:pPr>
      <w:r w:rsidRPr="00A527C2">
        <w:rPr>
          <w:rFonts w:cs="Times New Roman"/>
          <w:sz w:val="20"/>
        </w:rPr>
        <w:t>Papadimitriou, E. E. and Karakostas, V. G.: Rupture model of the great AD 365 Crete earthquake in the southwestern part of the Hellenic Arc, Acta Geophysica, 56, 293–312, https://doi.org/10.2478/s11600-008-0001-6, 2008.</w:t>
      </w:r>
    </w:p>
    <w:p w14:paraId="7FF909CF" w14:textId="77777777" w:rsidR="00A527C2" w:rsidRPr="00A527C2" w:rsidRDefault="00A527C2" w:rsidP="00A527C2">
      <w:pPr>
        <w:pStyle w:val="Bibliography"/>
        <w:rPr>
          <w:rFonts w:cs="Times New Roman"/>
          <w:sz w:val="20"/>
        </w:rPr>
      </w:pPr>
      <w:r w:rsidRPr="00A527C2">
        <w:rPr>
          <w:rFonts w:cs="Times New Roman"/>
          <w:sz w:val="20"/>
        </w:rPr>
        <w:t>van Rijn, L. C.: Principles of sediment transport in rivers, estuaries and coastal seas, Aqua Publications, Amsterdam, 675 pp., 1993.</w:t>
      </w:r>
    </w:p>
    <w:p w14:paraId="0FFA53D9" w14:textId="77777777" w:rsidR="00A527C2" w:rsidRPr="00A527C2" w:rsidRDefault="00A527C2" w:rsidP="00A527C2">
      <w:pPr>
        <w:pStyle w:val="Bibliography"/>
        <w:rPr>
          <w:rFonts w:cs="Times New Roman"/>
          <w:sz w:val="20"/>
        </w:rPr>
      </w:pPr>
      <w:r w:rsidRPr="00A527C2">
        <w:rPr>
          <w:rFonts w:cs="Times New Roman"/>
          <w:sz w:val="20"/>
        </w:rPr>
        <w:t>Röbke, B. R. and Vött, A.: The tsunami phenomenon, Progress in Oceanography, 159, 296–322, https://doi.org/10.1016/j.pocean.2017.09.003, 2017.</w:t>
      </w:r>
    </w:p>
    <w:p w14:paraId="116F52DF" w14:textId="77777777" w:rsidR="00A527C2" w:rsidRPr="00A527C2" w:rsidRDefault="00A527C2" w:rsidP="00A527C2">
      <w:pPr>
        <w:pStyle w:val="Bibliography"/>
        <w:rPr>
          <w:rFonts w:cs="Times New Roman"/>
          <w:sz w:val="20"/>
        </w:rPr>
      </w:pPr>
      <w:r w:rsidRPr="00A527C2">
        <w:rPr>
          <w:rFonts w:cs="Times New Roman"/>
          <w:sz w:val="20"/>
        </w:rPr>
        <w:t>Shaw, B., Ambraseys, N. N., England, P. C., Floyd, M. A., Gorman, G. J., Higham, T. F. G., Jackson, J. A., Nocquet, J.-M., Pain, C. C., and Piggott, M. D.: Eastern Mediterranean tectonics and tsunami hazard inferred from the AD 365 earthquake, Nature Geoscience, 1, 268–276, https://doi.org/10.1038/ngeo151, 2008.</w:t>
      </w:r>
    </w:p>
    <w:p w14:paraId="76CB00D6" w14:textId="77777777" w:rsidR="00A527C2" w:rsidRPr="00A527C2" w:rsidRDefault="00A527C2" w:rsidP="00A527C2">
      <w:pPr>
        <w:pStyle w:val="Bibliography"/>
        <w:rPr>
          <w:rFonts w:cs="Times New Roman"/>
          <w:sz w:val="20"/>
        </w:rPr>
      </w:pPr>
      <w:r w:rsidRPr="00A527C2">
        <w:rPr>
          <w:rFonts w:cs="Times New Roman"/>
          <w:sz w:val="20"/>
        </w:rPr>
        <w:t>Stiros, S. C.: The 8.5+ magnitude, AD365 earthquake in Crete: Coastal uplift, topography changes, archaeological and historical signature, Quaternary International, 216, 54–63, https://doi.org/10.1016/j.quaint.2009.05.005, 2010.</w:t>
      </w:r>
    </w:p>
    <w:p w14:paraId="2436D268" w14:textId="58B11FCF" w:rsidR="00A021BF" w:rsidRPr="00A021BF" w:rsidRDefault="00A021BF" w:rsidP="00A021BF">
      <w:r>
        <w:fldChar w:fldCharType="end"/>
      </w:r>
    </w:p>
    <w:sectPr w:rsidR="00A021BF" w:rsidRPr="00A021BF" w:rsidSect="00F512A5">
      <w:footerReference w:type="default" r:id="rId19"/>
      <w:pgSz w:w="11907" w:h="13608"/>
      <w:pgMar w:top="567" w:right="936" w:bottom="1338" w:left="936" w:header="0" w:footer="737" w:gutter="0"/>
      <w:lnNumType w:countBy="5" w:distance="227"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989FA" w14:textId="77777777" w:rsidR="00883829" w:rsidRDefault="00883829" w:rsidP="006D0C96">
      <w:pPr>
        <w:spacing w:line="240" w:lineRule="auto"/>
      </w:pPr>
      <w:r>
        <w:separator/>
      </w:r>
    </w:p>
  </w:endnote>
  <w:endnote w:type="continuationSeparator" w:id="0">
    <w:p w14:paraId="18186EFE" w14:textId="77777777" w:rsidR="00883829" w:rsidRDefault="00883829" w:rsidP="006D0C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7788171"/>
      <w:docPartObj>
        <w:docPartGallery w:val="Page Numbers (Bottom of Page)"/>
        <w:docPartUnique/>
      </w:docPartObj>
    </w:sdtPr>
    <w:sdtEndPr>
      <w:rPr>
        <w:noProof/>
      </w:rPr>
    </w:sdtEndPr>
    <w:sdtContent>
      <w:p w14:paraId="5576ABD1" w14:textId="77777777" w:rsidR="006D0C96" w:rsidRDefault="006D0C96">
        <w:pPr>
          <w:pStyle w:val="Footer"/>
          <w:jc w:val="center"/>
        </w:pPr>
        <w:r>
          <w:fldChar w:fldCharType="begin"/>
        </w:r>
        <w:r>
          <w:instrText xml:space="preserve"> PAGE   \* MERGEFORMAT </w:instrText>
        </w:r>
        <w:r>
          <w:fldChar w:fldCharType="separate"/>
        </w:r>
        <w:r w:rsidR="003118C8">
          <w:rPr>
            <w:noProof/>
          </w:rPr>
          <w:t>2</w:t>
        </w:r>
        <w:r>
          <w:rPr>
            <w:noProof/>
          </w:rPr>
          <w:fldChar w:fldCharType="end"/>
        </w:r>
      </w:p>
    </w:sdtContent>
  </w:sdt>
  <w:p w14:paraId="44AA5123" w14:textId="77777777" w:rsidR="006D0C96" w:rsidRDefault="006D0C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18FFC" w14:textId="77777777" w:rsidR="00883829" w:rsidRDefault="00883829" w:rsidP="006D0C96">
      <w:pPr>
        <w:spacing w:line="240" w:lineRule="auto"/>
      </w:pPr>
      <w:r>
        <w:separator/>
      </w:r>
    </w:p>
  </w:footnote>
  <w:footnote w:type="continuationSeparator" w:id="0">
    <w:p w14:paraId="71651F01" w14:textId="77777777" w:rsidR="00883829" w:rsidRDefault="00883829" w:rsidP="006D0C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CEB"/>
    <w:multiLevelType w:val="hybridMultilevel"/>
    <w:tmpl w:val="722A2646"/>
    <w:lvl w:ilvl="0" w:tplc="CBC83C52">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21B7666"/>
    <w:multiLevelType w:val="multilevel"/>
    <w:tmpl w:val="44328928"/>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B294403"/>
    <w:multiLevelType w:val="hybridMultilevel"/>
    <w:tmpl w:val="E6ECA0A2"/>
    <w:lvl w:ilvl="0" w:tplc="35A460C0">
      <w:start w:val="1"/>
      <w:numFmt w:val="decimal"/>
      <w:lvlText w:val="%1."/>
      <w:lvlJc w:val="left"/>
      <w:pPr>
        <w:ind w:left="720" w:hanging="360"/>
      </w:pPr>
      <w:rPr>
        <w:rFonts w:ascii="Times New Roman" w:hAnsi="Times New Roman"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4E6DB9"/>
    <w:multiLevelType w:val="hybridMultilevel"/>
    <w:tmpl w:val="E64227C8"/>
    <w:lvl w:ilvl="0" w:tplc="BE345478">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A9B62DD"/>
    <w:multiLevelType w:val="hybridMultilevel"/>
    <w:tmpl w:val="E7486B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C8A03CD"/>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EC0601A"/>
    <w:multiLevelType w:val="multilevel"/>
    <w:tmpl w:val="02BC3410"/>
    <w:styleLink w:val="Headings"/>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2269"/>
        </w:tabs>
        <w:ind w:left="2269"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ascii="Times New Roman" w:eastAsiaTheme="minorHAnsi" w:hAnsi="Times New Roman" w:cstheme="minorBidi"/>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8" w15:restartNumberingAfterBreak="0">
    <w:nsid w:val="23621EB8"/>
    <w:multiLevelType w:val="hybridMultilevel"/>
    <w:tmpl w:val="B3626938"/>
    <w:lvl w:ilvl="0" w:tplc="F29A847E">
      <w:start w:val="1"/>
      <w:numFmt w:val="bullet"/>
      <w:pStyle w:val="Bullets"/>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2A7CAC"/>
    <w:multiLevelType w:val="multilevel"/>
    <w:tmpl w:val="02BC3410"/>
    <w:numStyleLink w:val="Headings"/>
  </w:abstractNum>
  <w:abstractNum w:abstractNumId="10" w15:restartNumberingAfterBreak="0">
    <w:nsid w:val="36D30736"/>
    <w:multiLevelType w:val="hybridMultilevel"/>
    <w:tmpl w:val="BC1E7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17787E"/>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AE92CDE"/>
    <w:multiLevelType w:val="hybridMultilevel"/>
    <w:tmpl w:val="294E0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C1539C0"/>
    <w:multiLevelType w:val="hybridMultilevel"/>
    <w:tmpl w:val="675E0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8E502C"/>
    <w:multiLevelType w:val="hybridMultilevel"/>
    <w:tmpl w:val="C2165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216449"/>
    <w:multiLevelType w:val="hybridMultilevel"/>
    <w:tmpl w:val="60E244E0"/>
    <w:lvl w:ilvl="0" w:tplc="BB925A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8113DE"/>
    <w:multiLevelType w:val="multilevel"/>
    <w:tmpl w:val="ADB20CA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4784180"/>
    <w:multiLevelType w:val="hybridMultilevel"/>
    <w:tmpl w:val="176CE4A6"/>
    <w:lvl w:ilvl="0" w:tplc="F39C5F3C">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0794BB1"/>
    <w:multiLevelType w:val="hybridMultilevel"/>
    <w:tmpl w:val="FB6888D8"/>
    <w:lvl w:ilvl="0" w:tplc="866083CE">
      <w:start w:val="1"/>
      <w:numFmt w:val="bullet"/>
      <w:lvlText w:val="-"/>
      <w:lvlJc w:val="left"/>
      <w:pPr>
        <w:ind w:left="1080" w:hanging="360"/>
      </w:pPr>
      <w:rPr>
        <w:rFonts w:ascii="Times New Roman" w:eastAsia="Cambria"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62290D83"/>
    <w:multiLevelType w:val="hybridMultilevel"/>
    <w:tmpl w:val="D1E4BA92"/>
    <w:lvl w:ilvl="0" w:tplc="E9807BE6">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66396EA4"/>
    <w:multiLevelType w:val="multilevel"/>
    <w:tmpl w:val="527852B2"/>
    <w:lvl w:ilvl="0">
      <w:start w:val="4"/>
      <w:numFmt w:val="decimal"/>
      <w:lvlText w:val="%1"/>
      <w:lvlJc w:val="left"/>
      <w:pPr>
        <w:ind w:left="360" w:hanging="360"/>
      </w:pPr>
      <w:rPr>
        <w:i w:val="0"/>
      </w:rPr>
    </w:lvl>
    <w:lvl w:ilvl="1">
      <w:start w:val="2"/>
      <w:numFmt w:val="decimal"/>
      <w:lvlText w:val="%1.%2"/>
      <w:lvlJc w:val="left"/>
      <w:pPr>
        <w:ind w:left="1069" w:hanging="360"/>
      </w:pPr>
      <w:rPr>
        <w:i w:val="0"/>
      </w:rPr>
    </w:lvl>
    <w:lvl w:ilvl="2">
      <w:start w:val="1"/>
      <w:numFmt w:val="decimal"/>
      <w:lvlText w:val="%1.%2.%3"/>
      <w:lvlJc w:val="left"/>
      <w:pPr>
        <w:ind w:left="2138" w:hanging="720"/>
      </w:pPr>
      <w:rPr>
        <w:i w:val="0"/>
      </w:rPr>
    </w:lvl>
    <w:lvl w:ilvl="3">
      <w:start w:val="1"/>
      <w:numFmt w:val="decimal"/>
      <w:lvlText w:val="%1.%2.%3.%4"/>
      <w:lvlJc w:val="left"/>
      <w:pPr>
        <w:ind w:left="2847" w:hanging="720"/>
      </w:pPr>
      <w:rPr>
        <w:i w:val="0"/>
      </w:rPr>
    </w:lvl>
    <w:lvl w:ilvl="4">
      <w:start w:val="1"/>
      <w:numFmt w:val="decimal"/>
      <w:lvlText w:val="%1.%2.%3.%4.%5"/>
      <w:lvlJc w:val="left"/>
      <w:pPr>
        <w:ind w:left="3916" w:hanging="1080"/>
      </w:pPr>
      <w:rPr>
        <w:i w:val="0"/>
      </w:rPr>
    </w:lvl>
    <w:lvl w:ilvl="5">
      <w:start w:val="1"/>
      <w:numFmt w:val="decimal"/>
      <w:lvlText w:val="%1.%2.%3.%4.%5.%6"/>
      <w:lvlJc w:val="left"/>
      <w:pPr>
        <w:ind w:left="4625" w:hanging="1080"/>
      </w:pPr>
      <w:rPr>
        <w:i w:val="0"/>
      </w:rPr>
    </w:lvl>
    <w:lvl w:ilvl="6">
      <w:start w:val="1"/>
      <w:numFmt w:val="decimal"/>
      <w:lvlText w:val="%1.%2.%3.%4.%5.%6.%7"/>
      <w:lvlJc w:val="left"/>
      <w:pPr>
        <w:ind w:left="5694" w:hanging="1440"/>
      </w:pPr>
      <w:rPr>
        <w:i w:val="0"/>
      </w:rPr>
    </w:lvl>
    <w:lvl w:ilvl="7">
      <w:start w:val="1"/>
      <w:numFmt w:val="decimal"/>
      <w:lvlText w:val="%1.%2.%3.%4.%5.%6.%7.%8"/>
      <w:lvlJc w:val="left"/>
      <w:pPr>
        <w:ind w:left="6403" w:hanging="1440"/>
      </w:pPr>
      <w:rPr>
        <w:i w:val="0"/>
      </w:rPr>
    </w:lvl>
    <w:lvl w:ilvl="8">
      <w:start w:val="1"/>
      <w:numFmt w:val="decimal"/>
      <w:lvlText w:val="%1.%2.%3.%4.%5.%6.%7.%8.%9"/>
      <w:lvlJc w:val="left"/>
      <w:pPr>
        <w:ind w:left="7112" w:hanging="1440"/>
      </w:pPr>
      <w:rPr>
        <w:i w:val="0"/>
      </w:rPr>
    </w:lvl>
  </w:abstractNum>
  <w:abstractNum w:abstractNumId="22"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A74FD6"/>
    <w:multiLevelType w:val="hybridMultilevel"/>
    <w:tmpl w:val="E1761B62"/>
    <w:lvl w:ilvl="0" w:tplc="E7322EFC">
      <w:start w:val="1"/>
      <w:numFmt w:val="bullet"/>
      <w:lvlText w:val="-"/>
      <w:lvlJc w:val="left"/>
      <w:pPr>
        <w:ind w:left="927" w:hanging="360"/>
      </w:pPr>
      <w:rPr>
        <w:rFonts w:ascii="Times New Roman" w:eastAsia="Cambria" w:hAnsi="Times New Roman" w:cs="Times New Roman" w:hint="default"/>
      </w:rPr>
    </w:lvl>
    <w:lvl w:ilvl="1" w:tplc="04070003" w:tentative="1">
      <w:start w:val="1"/>
      <w:numFmt w:val="bullet"/>
      <w:lvlText w:val="o"/>
      <w:lvlJc w:val="left"/>
      <w:pPr>
        <w:ind w:left="1647" w:hanging="360"/>
      </w:pPr>
      <w:rPr>
        <w:rFonts w:ascii="Courier New" w:hAnsi="Courier New" w:cs="Courier New" w:hint="default"/>
      </w:rPr>
    </w:lvl>
    <w:lvl w:ilvl="2" w:tplc="04070005" w:tentative="1">
      <w:start w:val="1"/>
      <w:numFmt w:val="bullet"/>
      <w:lvlText w:val=""/>
      <w:lvlJc w:val="left"/>
      <w:pPr>
        <w:ind w:left="2367" w:hanging="360"/>
      </w:pPr>
      <w:rPr>
        <w:rFonts w:ascii="Wingdings" w:hAnsi="Wingdings" w:hint="default"/>
      </w:rPr>
    </w:lvl>
    <w:lvl w:ilvl="3" w:tplc="04070001" w:tentative="1">
      <w:start w:val="1"/>
      <w:numFmt w:val="bullet"/>
      <w:lvlText w:val=""/>
      <w:lvlJc w:val="left"/>
      <w:pPr>
        <w:ind w:left="3087" w:hanging="360"/>
      </w:pPr>
      <w:rPr>
        <w:rFonts w:ascii="Symbol" w:hAnsi="Symbol" w:hint="default"/>
      </w:rPr>
    </w:lvl>
    <w:lvl w:ilvl="4" w:tplc="04070003" w:tentative="1">
      <w:start w:val="1"/>
      <w:numFmt w:val="bullet"/>
      <w:lvlText w:val="o"/>
      <w:lvlJc w:val="left"/>
      <w:pPr>
        <w:ind w:left="3807" w:hanging="360"/>
      </w:pPr>
      <w:rPr>
        <w:rFonts w:ascii="Courier New" w:hAnsi="Courier New" w:cs="Courier New" w:hint="default"/>
      </w:rPr>
    </w:lvl>
    <w:lvl w:ilvl="5" w:tplc="04070005" w:tentative="1">
      <w:start w:val="1"/>
      <w:numFmt w:val="bullet"/>
      <w:lvlText w:val=""/>
      <w:lvlJc w:val="left"/>
      <w:pPr>
        <w:ind w:left="4527" w:hanging="360"/>
      </w:pPr>
      <w:rPr>
        <w:rFonts w:ascii="Wingdings" w:hAnsi="Wingdings" w:hint="default"/>
      </w:rPr>
    </w:lvl>
    <w:lvl w:ilvl="6" w:tplc="04070001" w:tentative="1">
      <w:start w:val="1"/>
      <w:numFmt w:val="bullet"/>
      <w:lvlText w:val=""/>
      <w:lvlJc w:val="left"/>
      <w:pPr>
        <w:ind w:left="5247" w:hanging="360"/>
      </w:pPr>
      <w:rPr>
        <w:rFonts w:ascii="Symbol" w:hAnsi="Symbol" w:hint="default"/>
      </w:rPr>
    </w:lvl>
    <w:lvl w:ilvl="7" w:tplc="04070003" w:tentative="1">
      <w:start w:val="1"/>
      <w:numFmt w:val="bullet"/>
      <w:lvlText w:val="o"/>
      <w:lvlJc w:val="left"/>
      <w:pPr>
        <w:ind w:left="5967" w:hanging="360"/>
      </w:pPr>
      <w:rPr>
        <w:rFonts w:ascii="Courier New" w:hAnsi="Courier New" w:cs="Courier New" w:hint="default"/>
      </w:rPr>
    </w:lvl>
    <w:lvl w:ilvl="8" w:tplc="04070005" w:tentative="1">
      <w:start w:val="1"/>
      <w:numFmt w:val="bullet"/>
      <w:lvlText w:val=""/>
      <w:lvlJc w:val="left"/>
      <w:pPr>
        <w:ind w:left="6687" w:hanging="360"/>
      </w:pPr>
      <w:rPr>
        <w:rFonts w:ascii="Wingdings" w:hAnsi="Wingdings" w:hint="default"/>
      </w:rPr>
    </w:lvl>
  </w:abstractNum>
  <w:abstractNum w:abstractNumId="24" w15:restartNumberingAfterBreak="0">
    <w:nsid w:val="7DBC6F29"/>
    <w:multiLevelType w:val="multilevel"/>
    <w:tmpl w:val="02BC3410"/>
    <w:numStyleLink w:val="Headings"/>
  </w:abstractNum>
  <w:abstractNum w:abstractNumId="25" w15:restartNumberingAfterBreak="0">
    <w:nsid w:val="7F983756"/>
    <w:multiLevelType w:val="multilevel"/>
    <w:tmpl w:val="F300CEF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805780240">
    <w:abstractNumId w:val="8"/>
  </w:num>
  <w:num w:numId="2" w16cid:durableId="1476216129">
    <w:abstractNumId w:val="8"/>
  </w:num>
  <w:num w:numId="3" w16cid:durableId="982927824">
    <w:abstractNumId w:val="2"/>
  </w:num>
  <w:num w:numId="4" w16cid:durableId="890462441">
    <w:abstractNumId w:val="1"/>
  </w:num>
  <w:num w:numId="5" w16cid:durableId="2065833743">
    <w:abstractNumId w:val="18"/>
  </w:num>
  <w:num w:numId="6" w16cid:durableId="1373850105">
    <w:abstractNumId w:val="3"/>
  </w:num>
  <w:num w:numId="7" w16cid:durableId="1592349135">
    <w:abstractNumId w:val="22"/>
  </w:num>
  <w:num w:numId="8" w16cid:durableId="14248416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88509240">
    <w:abstractNumId w:val="14"/>
  </w:num>
  <w:num w:numId="10" w16cid:durableId="1617365373">
    <w:abstractNumId w:val="12"/>
  </w:num>
  <w:num w:numId="11" w16cid:durableId="1480267610">
    <w:abstractNumId w:val="10"/>
  </w:num>
  <w:num w:numId="12" w16cid:durableId="320160851">
    <w:abstractNumId w:val="13"/>
  </w:num>
  <w:num w:numId="13" w16cid:durableId="1892187761">
    <w:abstractNumId w:val="11"/>
  </w:num>
  <w:num w:numId="14" w16cid:durableId="857159273">
    <w:abstractNumId w:val="6"/>
  </w:num>
  <w:num w:numId="15" w16cid:durableId="1766147065">
    <w:abstractNumId w:val="25"/>
  </w:num>
  <w:num w:numId="16" w16cid:durableId="139034134">
    <w:abstractNumId w:val="16"/>
  </w:num>
  <w:num w:numId="17" w16cid:durableId="1735741507">
    <w:abstractNumId w:val="15"/>
  </w:num>
  <w:num w:numId="18" w16cid:durableId="2121097754">
    <w:abstractNumId w:val="20"/>
  </w:num>
  <w:num w:numId="19" w16cid:durableId="356780535">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2835"/>
          </w:tabs>
          <w:ind w:left="2835" w:hanging="567"/>
        </w:pPr>
        <w:rPr>
          <w:rFonts w:hint="default"/>
        </w:rPr>
      </w:lvl>
    </w:lvlOverride>
  </w:num>
  <w:num w:numId="20" w16cid:durableId="1460226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03371255">
    <w:abstractNumId w:val="9"/>
  </w:num>
  <w:num w:numId="22" w16cid:durableId="1173909532">
    <w:abstractNumId w:val="24"/>
  </w:num>
  <w:num w:numId="23" w16cid:durableId="1390810253">
    <w:abstractNumId w:val="7"/>
  </w:num>
  <w:num w:numId="24" w16cid:durableId="267781476">
    <w:abstractNumId w:val="7"/>
    <w:lvlOverride w:ilvl="0">
      <w:startOverride w:val="1"/>
      <w:lvl w:ilvl="0">
        <w:start w:val="1"/>
        <w:numFmt w:val="decimal"/>
        <w:lvlText w:val="%1"/>
        <w:lvlJc w:val="left"/>
        <w:pPr>
          <w:tabs>
            <w:tab w:val="num" w:pos="567"/>
          </w:tabs>
          <w:ind w:left="567" w:hanging="567"/>
        </w:pPr>
      </w:lvl>
    </w:lvlOverride>
    <w:lvlOverride w:ilvl="1">
      <w:startOverride w:val="1"/>
      <w:lvl w:ilvl="1">
        <w:start w:val="1"/>
        <w:numFmt w:val="decimal"/>
        <w:lvlText w:val="%1.%2"/>
        <w:lvlJc w:val="left"/>
        <w:pPr>
          <w:tabs>
            <w:tab w:val="num" w:pos="567"/>
          </w:tabs>
          <w:ind w:left="567" w:hanging="567"/>
        </w:pPr>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lvlOverride w:ilvl="8">
      <w:startOverride w:val="1"/>
      <w:lvl w:ilvl="8">
        <w:start w:val="1"/>
        <w:numFmt w:val="decimal"/>
        <w:lvlText w:val=""/>
        <w:lvlJc w:val="left"/>
      </w:lvl>
    </w:lvlOverride>
  </w:num>
  <w:num w:numId="25" w16cid:durableId="1660227835">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567"/>
          </w:tabs>
          <w:ind w:left="567" w:hanging="567"/>
        </w:pPr>
        <w:rPr>
          <w:rFonts w:hint="default"/>
        </w:rPr>
      </w:lvl>
    </w:lvlOverride>
  </w:num>
  <w:num w:numId="26" w16cid:durableId="2053382688">
    <w:abstractNumId w:val="21"/>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18747711">
    <w:abstractNumId w:val="4"/>
  </w:num>
  <w:num w:numId="28" w16cid:durableId="1794903461">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1844"/>
          </w:tabs>
          <w:ind w:left="1844" w:hanging="567"/>
        </w:pPr>
        <w:rPr>
          <w:rFonts w:hint="default"/>
        </w:rPr>
      </w:lvl>
    </w:lvlOverride>
  </w:num>
  <w:num w:numId="29" w16cid:durableId="199973224">
    <w:abstractNumId w:val="19"/>
  </w:num>
  <w:num w:numId="30" w16cid:durableId="752049831">
    <w:abstractNumId w:val="23"/>
  </w:num>
  <w:num w:numId="31" w16cid:durableId="126171742">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2835"/>
          </w:tabs>
          <w:ind w:left="2835" w:hanging="567"/>
        </w:pPr>
        <w:rPr>
          <w:rFonts w:hint="default"/>
        </w:rPr>
      </w:lvl>
    </w:lvlOverride>
  </w:num>
  <w:num w:numId="32" w16cid:durableId="525366742">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2835"/>
          </w:tabs>
          <w:ind w:left="2835" w:hanging="567"/>
        </w:pPr>
        <w:rPr>
          <w:rFonts w:hint="default"/>
        </w:rPr>
      </w:lvl>
    </w:lvlOverride>
  </w:num>
  <w:num w:numId="33" w16cid:durableId="345600373">
    <w:abstractNumId w:val="7"/>
    <w:lvlOverride w:ilvl="0">
      <w:lvl w:ilvl="0">
        <w:start w:val="1"/>
        <w:numFmt w:val="decimal"/>
        <w:lvlText w:val="%1"/>
        <w:lvlJc w:val="left"/>
        <w:pPr>
          <w:tabs>
            <w:tab w:val="num" w:pos="567"/>
          </w:tabs>
          <w:ind w:left="567" w:hanging="567"/>
        </w:pPr>
        <w:rPr>
          <w:rFonts w:hint="default"/>
        </w:rPr>
      </w:lvl>
    </w:lvlOverride>
    <w:lvlOverride w:ilvl="1">
      <w:lvl w:ilvl="1">
        <w:start w:val="1"/>
        <w:numFmt w:val="decimal"/>
        <w:lvlText w:val="%1.%2"/>
        <w:lvlJc w:val="left"/>
        <w:pPr>
          <w:tabs>
            <w:tab w:val="num" w:pos="2835"/>
          </w:tabs>
          <w:ind w:left="2835" w:hanging="567"/>
        </w:pPr>
        <w:rPr>
          <w:rFonts w:hint="default"/>
        </w:rPr>
      </w:lvl>
    </w:lvlOverride>
  </w:num>
  <w:num w:numId="34" w16cid:durableId="2134055112">
    <w:abstractNumId w:val="0"/>
  </w:num>
  <w:num w:numId="35" w16cid:durableId="452361310">
    <w:abstractNumId w:val="17"/>
  </w:num>
  <w:num w:numId="36" w16cid:durableId="10173870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213"/>
    <w:rsid w:val="00041A84"/>
    <w:rsid w:val="0005690A"/>
    <w:rsid w:val="00075F28"/>
    <w:rsid w:val="00081491"/>
    <w:rsid w:val="00084789"/>
    <w:rsid w:val="000876BA"/>
    <w:rsid w:val="000A1B66"/>
    <w:rsid w:val="000C3A9F"/>
    <w:rsid w:val="00135329"/>
    <w:rsid w:val="0015365A"/>
    <w:rsid w:val="00163816"/>
    <w:rsid w:val="001679A6"/>
    <w:rsid w:val="001944AD"/>
    <w:rsid w:val="001C5EB9"/>
    <w:rsid w:val="001D19D8"/>
    <w:rsid w:val="00200B97"/>
    <w:rsid w:val="00203F92"/>
    <w:rsid w:val="002D7ECA"/>
    <w:rsid w:val="00306D56"/>
    <w:rsid w:val="003118C8"/>
    <w:rsid w:val="00335619"/>
    <w:rsid w:val="00380C96"/>
    <w:rsid w:val="003A4FB4"/>
    <w:rsid w:val="003D5288"/>
    <w:rsid w:val="00450DB9"/>
    <w:rsid w:val="00463568"/>
    <w:rsid w:val="004C0D80"/>
    <w:rsid w:val="004D0F1A"/>
    <w:rsid w:val="00542A82"/>
    <w:rsid w:val="0055217B"/>
    <w:rsid w:val="00564213"/>
    <w:rsid w:val="005928FE"/>
    <w:rsid w:val="005A4F32"/>
    <w:rsid w:val="006326D7"/>
    <w:rsid w:val="00670F05"/>
    <w:rsid w:val="006D0C96"/>
    <w:rsid w:val="0070537F"/>
    <w:rsid w:val="00725D1A"/>
    <w:rsid w:val="00733CBB"/>
    <w:rsid w:val="00751A44"/>
    <w:rsid w:val="007641D2"/>
    <w:rsid w:val="00777FCE"/>
    <w:rsid w:val="00796A7F"/>
    <w:rsid w:val="00855006"/>
    <w:rsid w:val="00861C91"/>
    <w:rsid w:val="00883829"/>
    <w:rsid w:val="008B719F"/>
    <w:rsid w:val="008E213F"/>
    <w:rsid w:val="008E26E2"/>
    <w:rsid w:val="008E3110"/>
    <w:rsid w:val="009150E4"/>
    <w:rsid w:val="0091791F"/>
    <w:rsid w:val="00932F15"/>
    <w:rsid w:val="00943440"/>
    <w:rsid w:val="009D38E2"/>
    <w:rsid w:val="009F2C0A"/>
    <w:rsid w:val="00A021BF"/>
    <w:rsid w:val="00A17EED"/>
    <w:rsid w:val="00A23BB3"/>
    <w:rsid w:val="00A527C2"/>
    <w:rsid w:val="00A62AC2"/>
    <w:rsid w:val="00AE4157"/>
    <w:rsid w:val="00B03740"/>
    <w:rsid w:val="00B4015F"/>
    <w:rsid w:val="00B5719D"/>
    <w:rsid w:val="00B62878"/>
    <w:rsid w:val="00B75342"/>
    <w:rsid w:val="00B80FDB"/>
    <w:rsid w:val="00B94A58"/>
    <w:rsid w:val="00BD0523"/>
    <w:rsid w:val="00BD0EEC"/>
    <w:rsid w:val="00C1589F"/>
    <w:rsid w:val="00C26311"/>
    <w:rsid w:val="00C35812"/>
    <w:rsid w:val="00C65E57"/>
    <w:rsid w:val="00C82F79"/>
    <w:rsid w:val="00C86959"/>
    <w:rsid w:val="00CC51D0"/>
    <w:rsid w:val="00CD59BA"/>
    <w:rsid w:val="00D03C9C"/>
    <w:rsid w:val="00D40CE0"/>
    <w:rsid w:val="00D67414"/>
    <w:rsid w:val="00DA50C8"/>
    <w:rsid w:val="00DB4E53"/>
    <w:rsid w:val="00E00253"/>
    <w:rsid w:val="00E00339"/>
    <w:rsid w:val="00E142A8"/>
    <w:rsid w:val="00E507E9"/>
    <w:rsid w:val="00E861A5"/>
    <w:rsid w:val="00ED6B96"/>
    <w:rsid w:val="00EE58C0"/>
    <w:rsid w:val="00F35903"/>
    <w:rsid w:val="00F512A5"/>
    <w:rsid w:val="00F5258E"/>
    <w:rsid w:val="00F64C9C"/>
    <w:rsid w:val="00FE53F8"/>
    <w:rsid w:val="00FF308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BE553"/>
  <w15:docId w15:val="{D2CFD17B-36C5-4048-BB43-0059F9DAD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CE0"/>
    <w:pPr>
      <w:spacing w:line="360" w:lineRule="auto"/>
      <w:jc w:val="both"/>
    </w:pPr>
    <w:rPr>
      <w:rFonts w:ascii="Times New Roman" w:eastAsia="Times New Roman" w:hAnsi="Times New Roman"/>
      <w:szCs w:val="24"/>
      <w:lang w:eastAsia="de-DE"/>
    </w:rPr>
  </w:style>
  <w:style w:type="paragraph" w:styleId="Heading1">
    <w:name w:val="heading 1"/>
    <w:basedOn w:val="Normal"/>
    <w:next w:val="Normal"/>
    <w:link w:val="Heading1Char"/>
    <w:uiPriority w:val="2"/>
    <w:qFormat/>
    <w:rsid w:val="00075F28"/>
    <w:pPr>
      <w:keepNext/>
      <w:spacing w:before="480" w:after="240" w:line="240" w:lineRule="auto"/>
      <w:outlineLvl w:val="0"/>
    </w:pPr>
    <w:rPr>
      <w:rFonts w:cs="Arial"/>
      <w:b/>
      <w:bCs/>
      <w:color w:val="000000"/>
      <w:kern w:val="32"/>
      <w:szCs w:val="32"/>
    </w:rPr>
  </w:style>
  <w:style w:type="paragraph" w:styleId="Heading2">
    <w:name w:val="heading 2"/>
    <w:basedOn w:val="Normal"/>
    <w:next w:val="Normal"/>
    <w:link w:val="Heading2Char"/>
    <w:uiPriority w:val="2"/>
    <w:qFormat/>
    <w:rsid w:val="00E00339"/>
    <w:pPr>
      <w:keepNext/>
      <w:spacing w:before="240" w:after="240" w:line="240" w:lineRule="auto"/>
      <w:outlineLvl w:val="1"/>
    </w:pPr>
    <w:rPr>
      <w:rFonts w:cs="Arial"/>
      <w:b/>
      <w:bCs/>
      <w:iCs/>
      <w:szCs w:val="28"/>
    </w:rPr>
  </w:style>
  <w:style w:type="paragraph" w:styleId="Heading3">
    <w:name w:val="heading 3"/>
    <w:basedOn w:val="Normal"/>
    <w:next w:val="Normal"/>
    <w:link w:val="Heading3Char"/>
    <w:uiPriority w:val="2"/>
    <w:qFormat/>
    <w:rsid w:val="005A4F32"/>
    <w:pPr>
      <w:keepNext/>
      <w:spacing w:before="240" w:after="240" w:line="240" w:lineRule="auto"/>
      <w:outlineLvl w:val="2"/>
    </w:pPr>
    <w:rPr>
      <w:rFonts w:cs="Arial"/>
      <w:b/>
      <w:bCs/>
      <w:szCs w:val="26"/>
    </w:rPr>
  </w:style>
  <w:style w:type="paragraph" w:styleId="Heading4">
    <w:name w:val="heading 4"/>
    <w:basedOn w:val="Normal"/>
    <w:next w:val="Normal"/>
    <w:link w:val="Heading4Char"/>
    <w:uiPriority w:val="2"/>
    <w:qFormat/>
    <w:rsid w:val="00ED6B96"/>
    <w:pPr>
      <w:keepNext/>
      <w:outlineLvl w:val="3"/>
    </w:pPr>
    <w:rPr>
      <w:b/>
      <w:bCs/>
      <w:szCs w:val="28"/>
    </w:rPr>
  </w:style>
  <w:style w:type="paragraph" w:styleId="Heading5">
    <w:name w:val="heading 5"/>
    <w:basedOn w:val="Heading4"/>
    <w:next w:val="Normal"/>
    <w:link w:val="Heading5Char"/>
    <w:uiPriority w:val="2"/>
    <w:qFormat/>
    <w:rsid w:val="00D67414"/>
    <w:pPr>
      <w:keepLines/>
      <w:tabs>
        <w:tab w:val="num" w:pos="567"/>
      </w:tabs>
      <w:spacing w:before="40" w:after="120" w:line="240" w:lineRule="auto"/>
      <w:ind w:left="567" w:hanging="567"/>
      <w:jc w:val="left"/>
      <w:outlineLvl w:val="4"/>
    </w:pPr>
    <w:rPr>
      <w:rFonts w:eastAsiaTheme="majorEastAsia" w:cstheme="majorBidi"/>
      <w:bCs w:val="0"/>
      <w:iCs/>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etreff">
    <w:name w:val="Betreff"/>
    <w:basedOn w:val="Normal"/>
    <w:next w:val="Normal"/>
    <w:rsid w:val="00ED6B96"/>
    <w:rPr>
      <w:b/>
    </w:rPr>
  </w:style>
  <w:style w:type="paragraph" w:customStyle="1" w:styleId="Bullets">
    <w:name w:val="Bullets"/>
    <w:basedOn w:val="Normal"/>
    <w:link w:val="BulletsChar"/>
    <w:rsid w:val="00ED6B96"/>
    <w:pPr>
      <w:numPr>
        <w:numId w:val="2"/>
      </w:numPr>
    </w:pPr>
  </w:style>
  <w:style w:type="character" w:customStyle="1" w:styleId="BulletsChar">
    <w:name w:val="Bullets Char"/>
    <w:link w:val="Bullets"/>
    <w:rsid w:val="00ED6B96"/>
    <w:rPr>
      <w:rFonts w:ascii="Verdana" w:eastAsia="Times New Roman" w:hAnsi="Verdana" w:cs="Times New Roman"/>
      <w:sz w:val="19"/>
      <w:szCs w:val="24"/>
      <w:lang w:eastAsia="de-DE"/>
    </w:rPr>
  </w:style>
  <w:style w:type="table" w:customStyle="1" w:styleId="Copernicus">
    <w:name w:val="Copernicus"/>
    <w:basedOn w:val="TableNormal"/>
    <w:rsid w:val="00ED6B96"/>
    <w:rPr>
      <w:rFonts w:ascii="Verdana" w:eastAsia="Times New Roman" w:hAnsi="Verdana"/>
      <w:sz w:val="19"/>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cPr>
      <w:shd w:val="clear" w:color="auto" w:fill="auto"/>
      <w:vAlign w:val="center"/>
    </w:tcPr>
    <w:tblStylePr w:type="firstRow">
      <w:pPr>
        <w:jc w:val="left"/>
      </w:pPr>
      <w:rPr>
        <w:rFonts w:ascii="Verdana" w:hAnsi="Verdana"/>
        <w:b/>
        <w:i w:val="0"/>
        <w:sz w:val="19"/>
      </w:rPr>
      <w:tblPr/>
      <w:tcPr>
        <w:shd w:val="clear" w:color="auto" w:fill="BFBFBF"/>
      </w:tcPr>
    </w:tblStylePr>
    <w:tblStylePr w:type="lastRow">
      <w:pPr>
        <w:jc w:val="left"/>
      </w:pPr>
      <w:rPr>
        <w:rFonts w:ascii="Verdana" w:hAnsi="Verdana"/>
        <w:sz w:val="19"/>
      </w:rPr>
    </w:tblStylePr>
    <w:tblStylePr w:type="firstCol">
      <w:rPr>
        <w:rFonts w:ascii="Verdana" w:hAnsi="Verdana"/>
        <w:sz w:val="19"/>
      </w:rPr>
    </w:tblStylePr>
    <w:tblStylePr w:type="lastCol">
      <w:rPr>
        <w:rFonts w:ascii="Verdana" w:hAnsi="Verdana"/>
        <w:sz w:val="19"/>
      </w:rPr>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cBorders>
      </w:tcPr>
    </w:tblStylePr>
  </w:style>
  <w:style w:type="paragraph" w:styleId="Header">
    <w:name w:val="header"/>
    <w:basedOn w:val="Normal"/>
    <w:link w:val="HeaderChar"/>
    <w:uiPriority w:val="99"/>
    <w:rsid w:val="00ED6B96"/>
    <w:pPr>
      <w:tabs>
        <w:tab w:val="center" w:pos="4536"/>
        <w:tab w:val="right" w:pos="9072"/>
      </w:tabs>
    </w:pPr>
  </w:style>
  <w:style w:type="character" w:customStyle="1" w:styleId="Heading1Char">
    <w:name w:val="Heading 1 Char"/>
    <w:link w:val="Heading1"/>
    <w:uiPriority w:val="2"/>
    <w:rsid w:val="00075F28"/>
    <w:rPr>
      <w:rFonts w:ascii="Times New Roman" w:eastAsia="Times New Roman" w:hAnsi="Times New Roman" w:cs="Arial"/>
      <w:b/>
      <w:bCs/>
      <w:color w:val="000000"/>
      <w:kern w:val="32"/>
      <w:szCs w:val="32"/>
      <w:lang w:eastAsia="de-DE"/>
    </w:rPr>
  </w:style>
  <w:style w:type="character" w:customStyle="1" w:styleId="Heading3Char">
    <w:name w:val="Heading 3 Char"/>
    <w:link w:val="Heading3"/>
    <w:uiPriority w:val="2"/>
    <w:rsid w:val="005A4F32"/>
    <w:rPr>
      <w:rFonts w:ascii="Times New Roman" w:eastAsia="Times New Roman" w:hAnsi="Times New Roman" w:cs="Arial"/>
      <w:b/>
      <w:bCs/>
      <w:szCs w:val="26"/>
      <w:lang w:eastAsia="de-DE"/>
    </w:rPr>
  </w:style>
  <w:style w:type="character" w:customStyle="1" w:styleId="Heading4Char">
    <w:name w:val="Heading 4 Char"/>
    <w:link w:val="Heading4"/>
    <w:uiPriority w:val="2"/>
    <w:rsid w:val="00796A7F"/>
    <w:rPr>
      <w:rFonts w:ascii="Verdana" w:eastAsia="Times New Roman" w:hAnsi="Verdana" w:cs="Times New Roman"/>
      <w:b/>
      <w:bCs/>
      <w:sz w:val="19"/>
      <w:szCs w:val="28"/>
      <w:lang w:eastAsia="de-DE"/>
    </w:rPr>
  </w:style>
  <w:style w:type="character" w:customStyle="1" w:styleId="HeaderChar">
    <w:name w:val="Header Char"/>
    <w:link w:val="Header"/>
    <w:uiPriority w:val="99"/>
    <w:rsid w:val="00ED6B96"/>
    <w:rPr>
      <w:rFonts w:ascii="Verdana" w:eastAsia="Times New Roman" w:hAnsi="Verdana" w:cs="Times New Roman"/>
      <w:sz w:val="19"/>
      <w:szCs w:val="24"/>
      <w:lang w:eastAsia="de-DE"/>
    </w:rPr>
  </w:style>
  <w:style w:type="character" w:customStyle="1" w:styleId="Heading2Char">
    <w:name w:val="Heading 2 Char"/>
    <w:link w:val="Heading2"/>
    <w:uiPriority w:val="2"/>
    <w:rsid w:val="00E00339"/>
    <w:rPr>
      <w:rFonts w:ascii="Times New Roman" w:eastAsia="Times New Roman" w:hAnsi="Times New Roman" w:cs="Arial"/>
      <w:b/>
      <w:bCs/>
      <w:iCs/>
      <w:szCs w:val="28"/>
      <w:lang w:eastAsia="de-DE"/>
    </w:rPr>
  </w:style>
  <w:style w:type="character" w:styleId="Hyperlink">
    <w:name w:val="Hyperlink"/>
    <w:uiPriority w:val="99"/>
    <w:rsid w:val="00ED6B96"/>
    <w:rPr>
      <w:color w:val="0000FF"/>
      <w:u w:val="single"/>
    </w:rPr>
  </w:style>
  <w:style w:type="paragraph" w:customStyle="1" w:styleId="Kontakt">
    <w:name w:val="Kontakt"/>
    <w:basedOn w:val="Normal"/>
    <w:rsid w:val="00ED6B96"/>
    <w:pPr>
      <w:spacing w:line="160" w:lineRule="exact"/>
    </w:pPr>
    <w:rPr>
      <w:color w:val="808080"/>
      <w:sz w:val="13"/>
    </w:rPr>
  </w:style>
  <w:style w:type="paragraph" w:customStyle="1" w:styleId="Name">
    <w:name w:val="Name"/>
    <w:basedOn w:val="Normal"/>
    <w:rsid w:val="00ED6B96"/>
    <w:pPr>
      <w:spacing w:before="160" w:after="80"/>
    </w:pPr>
    <w:rPr>
      <w:rFonts w:ascii="Book Antiqua" w:hAnsi="Book Antiqua"/>
      <w:color w:val="808080"/>
      <w:sz w:val="22"/>
    </w:rPr>
  </w:style>
  <w:style w:type="paragraph" w:customStyle="1" w:styleId="CopernicusWordtemplate">
    <w:name w:val="Copernicus_Word_template"/>
    <w:basedOn w:val="Normal"/>
    <w:link w:val="CopernicusWordtemplateChar"/>
    <w:rsid w:val="00B5719D"/>
  </w:style>
  <w:style w:type="character" w:customStyle="1" w:styleId="CopernicusWordtemplateChar">
    <w:name w:val="Copernicus_Word_template Char"/>
    <w:basedOn w:val="DefaultParagraphFont"/>
    <w:link w:val="CopernicusWordtemplate"/>
    <w:rsid w:val="00B5719D"/>
    <w:rPr>
      <w:rFonts w:ascii="Times New Roman" w:eastAsia="Times New Roman" w:hAnsi="Times New Roman"/>
      <w:sz w:val="24"/>
      <w:szCs w:val="24"/>
      <w:lang w:eastAsia="de-DE"/>
    </w:rPr>
  </w:style>
  <w:style w:type="character" w:styleId="LineNumber">
    <w:name w:val="line number"/>
    <w:basedOn w:val="DefaultParagraphFont"/>
    <w:uiPriority w:val="99"/>
    <w:semiHidden/>
    <w:unhideWhenUsed/>
    <w:rsid w:val="00D40CE0"/>
  </w:style>
  <w:style w:type="paragraph" w:customStyle="1" w:styleId="MStitle">
    <w:name w:val="MS title"/>
    <w:basedOn w:val="Normal"/>
    <w:link w:val="MStitleChar"/>
    <w:qFormat/>
    <w:rsid w:val="0091791F"/>
    <w:pPr>
      <w:spacing w:before="360" w:line="440" w:lineRule="exact"/>
      <w:contextualSpacing/>
    </w:pPr>
    <w:rPr>
      <w:b/>
      <w:sz w:val="34"/>
    </w:rPr>
  </w:style>
  <w:style w:type="paragraph" w:styleId="ListParagraph">
    <w:name w:val="List Paragraph"/>
    <w:basedOn w:val="Normal"/>
    <w:uiPriority w:val="34"/>
    <w:qFormat/>
    <w:rsid w:val="00B4015F"/>
    <w:pPr>
      <w:ind w:left="720"/>
      <w:contextualSpacing/>
    </w:pPr>
  </w:style>
  <w:style w:type="character" w:customStyle="1" w:styleId="MStitleChar">
    <w:name w:val="MS title Char"/>
    <w:basedOn w:val="DefaultParagraphFont"/>
    <w:link w:val="MStitle"/>
    <w:rsid w:val="0091791F"/>
    <w:rPr>
      <w:rFonts w:ascii="Times New Roman" w:eastAsia="Times New Roman" w:hAnsi="Times New Roman"/>
      <w:b/>
      <w:sz w:val="34"/>
      <w:szCs w:val="24"/>
      <w:lang w:eastAsia="de-DE"/>
    </w:rPr>
  </w:style>
  <w:style w:type="paragraph" w:customStyle="1" w:styleId="Affiliation">
    <w:name w:val="Affiliation"/>
    <w:basedOn w:val="Normal"/>
    <w:link w:val="AffiliationChar"/>
    <w:qFormat/>
    <w:rsid w:val="00450DB9"/>
    <w:pPr>
      <w:spacing w:before="120" w:line="240" w:lineRule="auto"/>
      <w:contextualSpacing/>
    </w:pPr>
  </w:style>
  <w:style w:type="character" w:styleId="PlaceholderText">
    <w:name w:val="Placeholder Text"/>
    <w:basedOn w:val="DefaultParagraphFont"/>
    <w:uiPriority w:val="99"/>
    <w:semiHidden/>
    <w:rsid w:val="003D5288"/>
    <w:rPr>
      <w:color w:val="808080"/>
    </w:rPr>
  </w:style>
  <w:style w:type="character" w:customStyle="1" w:styleId="AffiliationChar">
    <w:name w:val="Affiliation Char"/>
    <w:basedOn w:val="DefaultParagraphFont"/>
    <w:link w:val="Affiliation"/>
    <w:rsid w:val="00450DB9"/>
    <w:rPr>
      <w:rFonts w:ascii="Times New Roman" w:eastAsia="Times New Roman" w:hAnsi="Times New Roman"/>
      <w:szCs w:val="24"/>
      <w:lang w:eastAsia="de-DE"/>
    </w:rPr>
  </w:style>
  <w:style w:type="paragraph" w:styleId="BalloonText">
    <w:name w:val="Balloon Text"/>
    <w:basedOn w:val="Normal"/>
    <w:link w:val="BalloonTextChar"/>
    <w:uiPriority w:val="99"/>
    <w:semiHidden/>
    <w:unhideWhenUsed/>
    <w:rsid w:val="003D528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5288"/>
    <w:rPr>
      <w:rFonts w:ascii="Tahoma" w:eastAsia="Times New Roman" w:hAnsi="Tahoma" w:cs="Tahoma"/>
      <w:sz w:val="16"/>
      <w:szCs w:val="16"/>
      <w:lang w:eastAsia="de-DE"/>
    </w:rPr>
  </w:style>
  <w:style w:type="paragraph" w:customStyle="1" w:styleId="Equation">
    <w:name w:val="Equation"/>
    <w:basedOn w:val="Normal"/>
    <w:link w:val="EquationChar"/>
    <w:rsid w:val="00C35812"/>
    <w:pPr>
      <w:spacing w:before="120" w:after="120"/>
    </w:pPr>
    <w:rPr>
      <w:rFonts w:ascii="Cambria Math" w:hAnsi="Cambria Math"/>
    </w:rPr>
  </w:style>
  <w:style w:type="paragraph" w:styleId="Caption">
    <w:name w:val="caption"/>
    <w:basedOn w:val="Normal"/>
    <w:next w:val="Normal"/>
    <w:uiPriority w:val="35"/>
    <w:unhideWhenUsed/>
    <w:qFormat/>
    <w:rsid w:val="003A4FB4"/>
    <w:pPr>
      <w:spacing w:after="200" w:line="240" w:lineRule="auto"/>
    </w:pPr>
    <w:rPr>
      <w:b/>
      <w:bCs/>
      <w:sz w:val="18"/>
      <w:szCs w:val="18"/>
    </w:rPr>
  </w:style>
  <w:style w:type="character" w:customStyle="1" w:styleId="EquationChar">
    <w:name w:val="Equation Char"/>
    <w:basedOn w:val="DefaultParagraphFont"/>
    <w:link w:val="Equation"/>
    <w:rsid w:val="00C35812"/>
    <w:rPr>
      <w:rFonts w:ascii="Cambria Math" w:eastAsia="Times New Roman" w:hAnsi="Cambria Math"/>
      <w:szCs w:val="24"/>
      <w:lang w:eastAsia="de-DE"/>
    </w:rPr>
  </w:style>
  <w:style w:type="paragraph" w:styleId="Footer">
    <w:name w:val="footer"/>
    <w:basedOn w:val="Normal"/>
    <w:link w:val="FooterChar"/>
    <w:uiPriority w:val="99"/>
    <w:unhideWhenUsed/>
    <w:rsid w:val="006D0C96"/>
    <w:pPr>
      <w:tabs>
        <w:tab w:val="center" w:pos="4513"/>
        <w:tab w:val="right" w:pos="9026"/>
      </w:tabs>
      <w:spacing w:line="240" w:lineRule="auto"/>
    </w:pPr>
  </w:style>
  <w:style w:type="character" w:customStyle="1" w:styleId="FooterChar">
    <w:name w:val="Footer Char"/>
    <w:basedOn w:val="DefaultParagraphFont"/>
    <w:link w:val="Footer"/>
    <w:uiPriority w:val="99"/>
    <w:rsid w:val="006D0C96"/>
    <w:rPr>
      <w:rFonts w:ascii="Times New Roman" w:eastAsia="Times New Roman" w:hAnsi="Times New Roman"/>
      <w:szCs w:val="24"/>
      <w:lang w:eastAsia="de-DE"/>
    </w:rPr>
  </w:style>
  <w:style w:type="paragraph" w:customStyle="1" w:styleId="Correspondence">
    <w:name w:val="Correspondence"/>
    <w:basedOn w:val="Normal"/>
    <w:link w:val="CorrespondenceChar"/>
    <w:qFormat/>
    <w:rsid w:val="008E213F"/>
    <w:pPr>
      <w:spacing w:before="120" w:after="360" w:line="240" w:lineRule="auto"/>
    </w:pPr>
  </w:style>
  <w:style w:type="character" w:customStyle="1" w:styleId="CorrespondenceChar">
    <w:name w:val="Correspondence Char"/>
    <w:basedOn w:val="DefaultParagraphFont"/>
    <w:link w:val="Correspondence"/>
    <w:rsid w:val="008E213F"/>
    <w:rPr>
      <w:rFonts w:ascii="Times New Roman" w:eastAsia="Times New Roman" w:hAnsi="Times New Roman"/>
      <w:szCs w:val="24"/>
      <w:lang w:eastAsia="de-DE"/>
    </w:rPr>
  </w:style>
  <w:style w:type="paragraph" w:customStyle="1" w:styleId="Authors">
    <w:name w:val="Authors"/>
    <w:basedOn w:val="Normal"/>
    <w:link w:val="AuthorsChar"/>
    <w:qFormat/>
    <w:rsid w:val="00BD0523"/>
    <w:pPr>
      <w:spacing w:before="180" w:line="240" w:lineRule="auto"/>
      <w:contextualSpacing/>
    </w:pPr>
    <w:rPr>
      <w:sz w:val="24"/>
    </w:rPr>
  </w:style>
  <w:style w:type="character" w:customStyle="1" w:styleId="AuthorsChar">
    <w:name w:val="Authors Char"/>
    <w:basedOn w:val="DefaultParagraphFont"/>
    <w:link w:val="Authors"/>
    <w:rsid w:val="00BD0523"/>
    <w:rPr>
      <w:rFonts w:ascii="Times New Roman" w:eastAsia="Times New Roman" w:hAnsi="Times New Roman"/>
      <w:sz w:val="24"/>
      <w:szCs w:val="24"/>
      <w:lang w:eastAsia="de-DE"/>
    </w:rPr>
  </w:style>
  <w:style w:type="character" w:customStyle="1" w:styleId="Heading5Char">
    <w:name w:val="Heading 5 Char"/>
    <w:basedOn w:val="DefaultParagraphFont"/>
    <w:link w:val="Heading5"/>
    <w:uiPriority w:val="2"/>
    <w:rsid w:val="00D67414"/>
    <w:rPr>
      <w:rFonts w:ascii="Times New Roman" w:eastAsiaTheme="majorEastAsia" w:hAnsi="Times New Roman" w:cstheme="majorBidi"/>
      <w:b/>
      <w:iCs/>
      <w:sz w:val="24"/>
      <w:szCs w:val="24"/>
      <w:lang w:eastAsia="en-US"/>
    </w:rPr>
  </w:style>
  <w:style w:type="character" w:styleId="Emphasis">
    <w:name w:val="Emphasis"/>
    <w:basedOn w:val="DefaultParagraphFont"/>
    <w:uiPriority w:val="20"/>
    <w:qFormat/>
    <w:rsid w:val="00D67414"/>
    <w:rPr>
      <w:rFonts w:ascii="Times New Roman" w:hAnsi="Times New Roman"/>
      <w:i/>
      <w:iCs/>
    </w:rPr>
  </w:style>
  <w:style w:type="character" w:styleId="Strong">
    <w:name w:val="Strong"/>
    <w:basedOn w:val="DefaultParagraphFont"/>
    <w:uiPriority w:val="22"/>
    <w:qFormat/>
    <w:rsid w:val="00D67414"/>
    <w:rPr>
      <w:rFonts w:ascii="Times New Roman" w:hAnsi="Times New Roman"/>
      <w:b/>
      <w:bCs/>
    </w:rPr>
  </w:style>
  <w:style w:type="paragraph" w:styleId="NormalWeb">
    <w:name w:val="Normal (Web)"/>
    <w:basedOn w:val="Normal"/>
    <w:uiPriority w:val="99"/>
    <w:unhideWhenUsed/>
    <w:rsid w:val="00D67414"/>
    <w:pPr>
      <w:spacing w:before="100" w:beforeAutospacing="1" w:after="100" w:afterAutospacing="1" w:line="240" w:lineRule="auto"/>
      <w:jc w:val="left"/>
    </w:pPr>
    <w:rPr>
      <w:sz w:val="24"/>
      <w:lang w:eastAsia="en-US"/>
    </w:rPr>
  </w:style>
  <w:style w:type="table" w:styleId="TableGrid">
    <w:name w:val="Table Grid"/>
    <w:basedOn w:val="TableNormal"/>
    <w:uiPriority w:val="59"/>
    <w:rsid w:val="00D67414"/>
    <w:rPr>
      <w:rFonts w:asciiTheme="majorHAnsi" w:eastAsiaTheme="minorHAnsi" w:hAnsiTheme="maj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D67414"/>
    <w:pPr>
      <w:spacing w:before="120" w:line="240" w:lineRule="auto"/>
      <w:jc w:val="left"/>
    </w:pPr>
    <w:rPr>
      <w:rFonts w:eastAsiaTheme="minorHAnsi" w:cstheme="minorBidi"/>
      <w:szCs w:val="20"/>
      <w:lang w:eastAsia="en-US"/>
    </w:rPr>
  </w:style>
  <w:style w:type="character" w:customStyle="1" w:styleId="FootnoteTextChar">
    <w:name w:val="Footnote Text Char"/>
    <w:basedOn w:val="DefaultParagraphFont"/>
    <w:link w:val="FootnoteText"/>
    <w:uiPriority w:val="99"/>
    <w:semiHidden/>
    <w:rsid w:val="00D67414"/>
    <w:rPr>
      <w:rFonts w:ascii="Times New Roman" w:eastAsiaTheme="minorHAnsi" w:hAnsi="Times New Roman" w:cstheme="minorBidi"/>
      <w:lang w:eastAsia="en-US"/>
    </w:rPr>
  </w:style>
  <w:style w:type="character" w:styleId="FootnoteReference">
    <w:name w:val="footnote reference"/>
    <w:basedOn w:val="DefaultParagraphFont"/>
    <w:uiPriority w:val="99"/>
    <w:semiHidden/>
    <w:unhideWhenUsed/>
    <w:rsid w:val="00D67414"/>
    <w:rPr>
      <w:vertAlign w:val="superscript"/>
    </w:rPr>
  </w:style>
  <w:style w:type="paragraph" w:styleId="EndnoteText">
    <w:name w:val="endnote text"/>
    <w:basedOn w:val="Normal"/>
    <w:link w:val="EndnoteTextChar"/>
    <w:uiPriority w:val="99"/>
    <w:semiHidden/>
    <w:unhideWhenUsed/>
    <w:rsid w:val="00D67414"/>
    <w:pPr>
      <w:spacing w:before="120" w:line="240" w:lineRule="auto"/>
      <w:jc w:val="left"/>
    </w:pPr>
    <w:rPr>
      <w:rFonts w:eastAsiaTheme="minorHAnsi" w:cstheme="minorBidi"/>
      <w:szCs w:val="20"/>
      <w:lang w:eastAsia="en-US"/>
    </w:rPr>
  </w:style>
  <w:style w:type="character" w:customStyle="1" w:styleId="EndnoteTextChar">
    <w:name w:val="Endnote Text Char"/>
    <w:basedOn w:val="DefaultParagraphFont"/>
    <w:link w:val="EndnoteText"/>
    <w:uiPriority w:val="99"/>
    <w:semiHidden/>
    <w:rsid w:val="00D67414"/>
    <w:rPr>
      <w:rFonts w:ascii="Times New Roman" w:eastAsiaTheme="minorHAnsi" w:hAnsi="Times New Roman" w:cstheme="minorBidi"/>
      <w:lang w:eastAsia="en-US"/>
    </w:rPr>
  </w:style>
  <w:style w:type="character" w:styleId="EndnoteReference">
    <w:name w:val="endnote reference"/>
    <w:basedOn w:val="DefaultParagraphFont"/>
    <w:uiPriority w:val="99"/>
    <w:semiHidden/>
    <w:unhideWhenUsed/>
    <w:rsid w:val="00D67414"/>
    <w:rPr>
      <w:vertAlign w:val="superscript"/>
    </w:rPr>
  </w:style>
  <w:style w:type="character" w:styleId="CommentReference">
    <w:name w:val="annotation reference"/>
    <w:basedOn w:val="DefaultParagraphFont"/>
    <w:uiPriority w:val="99"/>
    <w:semiHidden/>
    <w:unhideWhenUsed/>
    <w:rsid w:val="00D67414"/>
    <w:rPr>
      <w:sz w:val="16"/>
      <w:szCs w:val="16"/>
    </w:rPr>
  </w:style>
  <w:style w:type="paragraph" w:styleId="CommentText">
    <w:name w:val="annotation text"/>
    <w:basedOn w:val="Normal"/>
    <w:link w:val="CommentTextChar"/>
    <w:uiPriority w:val="99"/>
    <w:unhideWhenUsed/>
    <w:rsid w:val="00D67414"/>
    <w:pPr>
      <w:spacing w:before="120" w:after="240" w:line="240" w:lineRule="auto"/>
      <w:jc w:val="left"/>
    </w:pPr>
    <w:rPr>
      <w:rFonts w:eastAsiaTheme="minorHAnsi" w:cstheme="minorBidi"/>
      <w:szCs w:val="20"/>
      <w:lang w:eastAsia="en-US"/>
    </w:rPr>
  </w:style>
  <w:style w:type="character" w:customStyle="1" w:styleId="CommentTextChar">
    <w:name w:val="Comment Text Char"/>
    <w:basedOn w:val="DefaultParagraphFont"/>
    <w:link w:val="CommentText"/>
    <w:uiPriority w:val="99"/>
    <w:rsid w:val="00D67414"/>
    <w:rPr>
      <w:rFonts w:ascii="Times New Roman" w:eastAsiaTheme="minorHAnsi" w:hAnsi="Times New Roman" w:cstheme="minorBidi"/>
      <w:lang w:eastAsia="en-US"/>
    </w:rPr>
  </w:style>
  <w:style w:type="paragraph" w:styleId="CommentSubject">
    <w:name w:val="annotation subject"/>
    <w:basedOn w:val="CommentText"/>
    <w:next w:val="CommentText"/>
    <w:link w:val="CommentSubjectChar"/>
    <w:uiPriority w:val="99"/>
    <w:semiHidden/>
    <w:unhideWhenUsed/>
    <w:rsid w:val="00D67414"/>
    <w:rPr>
      <w:b/>
      <w:bCs/>
    </w:rPr>
  </w:style>
  <w:style w:type="character" w:customStyle="1" w:styleId="CommentSubjectChar">
    <w:name w:val="Comment Subject Char"/>
    <w:basedOn w:val="CommentTextChar"/>
    <w:link w:val="CommentSubject"/>
    <w:uiPriority w:val="99"/>
    <w:semiHidden/>
    <w:rsid w:val="00D67414"/>
    <w:rPr>
      <w:rFonts w:ascii="Times New Roman" w:eastAsiaTheme="minorHAnsi" w:hAnsi="Times New Roman" w:cstheme="minorBidi"/>
      <w:b/>
      <w:bCs/>
      <w:lang w:eastAsia="en-US"/>
    </w:rPr>
  </w:style>
  <w:style w:type="character" w:styleId="FollowedHyperlink">
    <w:name w:val="FollowedHyperlink"/>
    <w:basedOn w:val="DefaultParagraphFont"/>
    <w:uiPriority w:val="99"/>
    <w:semiHidden/>
    <w:unhideWhenUsed/>
    <w:rsid w:val="00D67414"/>
    <w:rPr>
      <w:color w:val="800080" w:themeColor="followedHyperlink"/>
      <w:u w:val="single"/>
    </w:rPr>
  </w:style>
  <w:style w:type="paragraph" w:styleId="Title">
    <w:name w:val="Title"/>
    <w:basedOn w:val="Normal"/>
    <w:next w:val="Normal"/>
    <w:link w:val="TitleChar"/>
    <w:qFormat/>
    <w:rsid w:val="00D67414"/>
    <w:pPr>
      <w:suppressLineNumbers/>
      <w:spacing w:before="240" w:after="360" w:line="240" w:lineRule="auto"/>
      <w:jc w:val="center"/>
    </w:pPr>
    <w:rPr>
      <w:rFonts w:eastAsiaTheme="minorHAnsi"/>
      <w:b/>
      <w:sz w:val="32"/>
      <w:szCs w:val="32"/>
      <w:lang w:eastAsia="en-US"/>
    </w:rPr>
  </w:style>
  <w:style w:type="character" w:customStyle="1" w:styleId="TitleChar">
    <w:name w:val="Title Char"/>
    <w:basedOn w:val="DefaultParagraphFont"/>
    <w:link w:val="Title"/>
    <w:rsid w:val="00D67414"/>
    <w:rPr>
      <w:rFonts w:ascii="Times New Roman" w:eastAsiaTheme="minorHAnsi" w:hAnsi="Times New Roman"/>
      <w:b/>
      <w:sz w:val="32"/>
      <w:szCs w:val="32"/>
      <w:lang w:eastAsia="en-US"/>
    </w:rPr>
  </w:style>
  <w:style w:type="paragraph" w:styleId="Subtitle">
    <w:name w:val="Subtitle"/>
    <w:basedOn w:val="Normal"/>
    <w:next w:val="Normal"/>
    <w:link w:val="SubtitleChar"/>
    <w:uiPriority w:val="99"/>
    <w:unhideWhenUsed/>
    <w:qFormat/>
    <w:rsid w:val="00D67414"/>
    <w:pPr>
      <w:spacing w:before="240" w:after="240" w:line="240" w:lineRule="auto"/>
      <w:jc w:val="left"/>
    </w:pPr>
    <w:rPr>
      <w:rFonts w:eastAsiaTheme="minorHAnsi"/>
      <w:b/>
      <w:sz w:val="24"/>
      <w:lang w:eastAsia="en-US"/>
    </w:rPr>
  </w:style>
  <w:style w:type="character" w:customStyle="1" w:styleId="SubtitleChar">
    <w:name w:val="Subtitle Char"/>
    <w:basedOn w:val="DefaultParagraphFont"/>
    <w:link w:val="Subtitle"/>
    <w:uiPriority w:val="99"/>
    <w:rsid w:val="00D67414"/>
    <w:rPr>
      <w:rFonts w:ascii="Times New Roman" w:eastAsiaTheme="minorHAnsi" w:hAnsi="Times New Roman"/>
      <w:b/>
      <w:sz w:val="24"/>
      <w:szCs w:val="24"/>
      <w:lang w:eastAsia="en-US"/>
    </w:rPr>
  </w:style>
  <w:style w:type="paragraph" w:styleId="NoSpacing">
    <w:name w:val="No Spacing"/>
    <w:uiPriority w:val="99"/>
    <w:unhideWhenUsed/>
    <w:qFormat/>
    <w:rsid w:val="00D67414"/>
    <w:rPr>
      <w:rFonts w:ascii="Times New Roman" w:eastAsiaTheme="minorHAnsi" w:hAnsi="Times New Roman" w:cstheme="minorBidi"/>
      <w:sz w:val="24"/>
      <w:szCs w:val="22"/>
      <w:lang w:val="en-US" w:eastAsia="en-US"/>
    </w:rPr>
  </w:style>
  <w:style w:type="paragraph" w:customStyle="1" w:styleId="AuthorList">
    <w:name w:val="Author List"/>
    <w:aliases w:val="Keywords,Abstract"/>
    <w:basedOn w:val="Subtitle"/>
    <w:next w:val="Normal"/>
    <w:qFormat/>
    <w:rsid w:val="00D67414"/>
  </w:style>
  <w:style w:type="character" w:styleId="SubtleEmphasis">
    <w:name w:val="Subtle Emphasis"/>
    <w:basedOn w:val="DefaultParagraphFont"/>
    <w:uiPriority w:val="19"/>
    <w:qFormat/>
    <w:rsid w:val="00D67414"/>
    <w:rPr>
      <w:rFonts w:ascii="Times New Roman" w:hAnsi="Times New Roman"/>
      <w:i/>
      <w:iCs/>
      <w:color w:val="404040" w:themeColor="text1" w:themeTint="BF"/>
    </w:rPr>
  </w:style>
  <w:style w:type="character" w:styleId="IntenseEmphasis">
    <w:name w:val="Intense Emphasis"/>
    <w:basedOn w:val="DefaultParagraphFont"/>
    <w:uiPriority w:val="21"/>
    <w:unhideWhenUsed/>
    <w:rsid w:val="00D67414"/>
    <w:rPr>
      <w:rFonts w:ascii="Times New Roman" w:hAnsi="Times New Roman"/>
      <w:i/>
      <w:iCs/>
      <w:color w:val="auto"/>
    </w:rPr>
  </w:style>
  <w:style w:type="paragraph" w:styleId="Quote">
    <w:name w:val="Quote"/>
    <w:basedOn w:val="Normal"/>
    <w:next w:val="Normal"/>
    <w:link w:val="QuoteChar"/>
    <w:uiPriority w:val="29"/>
    <w:qFormat/>
    <w:rsid w:val="00D67414"/>
    <w:pPr>
      <w:spacing w:before="200" w:after="160" w:line="240" w:lineRule="auto"/>
      <w:ind w:left="864" w:right="864"/>
      <w:jc w:val="center"/>
    </w:pPr>
    <w:rPr>
      <w:rFonts w:eastAsiaTheme="minorHAnsi" w:cstheme="minorBidi"/>
      <w:i/>
      <w:iCs/>
      <w:color w:val="404040" w:themeColor="text1" w:themeTint="BF"/>
      <w:sz w:val="24"/>
      <w:szCs w:val="22"/>
      <w:lang w:eastAsia="en-US"/>
    </w:rPr>
  </w:style>
  <w:style w:type="character" w:customStyle="1" w:styleId="QuoteChar">
    <w:name w:val="Quote Char"/>
    <w:basedOn w:val="DefaultParagraphFont"/>
    <w:link w:val="Quote"/>
    <w:uiPriority w:val="29"/>
    <w:rsid w:val="00D67414"/>
    <w:rPr>
      <w:rFonts w:ascii="Times New Roman" w:eastAsiaTheme="minorHAnsi" w:hAnsi="Times New Roman" w:cstheme="minorBidi"/>
      <w:i/>
      <w:iCs/>
      <w:color w:val="404040" w:themeColor="text1" w:themeTint="BF"/>
      <w:sz w:val="24"/>
      <w:szCs w:val="22"/>
      <w:lang w:eastAsia="en-US"/>
    </w:rPr>
  </w:style>
  <w:style w:type="character" w:styleId="IntenseReference">
    <w:name w:val="Intense Reference"/>
    <w:basedOn w:val="DefaultParagraphFont"/>
    <w:uiPriority w:val="32"/>
    <w:qFormat/>
    <w:rsid w:val="00D67414"/>
    <w:rPr>
      <w:b/>
      <w:bCs/>
      <w:smallCaps/>
      <w:color w:val="auto"/>
      <w:spacing w:val="5"/>
    </w:rPr>
  </w:style>
  <w:style w:type="character" w:styleId="BookTitle">
    <w:name w:val="Book Title"/>
    <w:basedOn w:val="DefaultParagraphFont"/>
    <w:uiPriority w:val="33"/>
    <w:qFormat/>
    <w:rsid w:val="00D67414"/>
    <w:rPr>
      <w:rFonts w:ascii="Times New Roman" w:hAnsi="Times New Roman"/>
      <w:b/>
      <w:bCs/>
      <w:i/>
      <w:iCs/>
      <w:spacing w:val="5"/>
    </w:rPr>
  </w:style>
  <w:style w:type="numbering" w:customStyle="1" w:styleId="Headings">
    <w:name w:val="Headings"/>
    <w:uiPriority w:val="99"/>
    <w:rsid w:val="00D67414"/>
    <w:pPr>
      <w:numPr>
        <w:numId w:val="23"/>
      </w:numPr>
    </w:pPr>
  </w:style>
  <w:style w:type="paragraph" w:styleId="Revision">
    <w:name w:val="Revision"/>
    <w:hidden/>
    <w:uiPriority w:val="99"/>
    <w:semiHidden/>
    <w:rsid w:val="00D67414"/>
    <w:rPr>
      <w:rFonts w:ascii="Times New Roman" w:eastAsiaTheme="minorHAnsi" w:hAnsi="Times New Roman" w:cstheme="minorBidi"/>
      <w:sz w:val="24"/>
      <w:szCs w:val="22"/>
      <w:lang w:val="en-US" w:eastAsia="en-US"/>
    </w:rPr>
  </w:style>
  <w:style w:type="paragraph" w:customStyle="1" w:styleId="Articletitle">
    <w:name w:val="Article title"/>
    <w:basedOn w:val="Normal"/>
    <w:next w:val="Normal"/>
    <w:qFormat/>
    <w:rsid w:val="00D67414"/>
    <w:pPr>
      <w:spacing w:after="120"/>
      <w:jc w:val="left"/>
    </w:pPr>
    <w:rPr>
      <w:b/>
      <w:sz w:val="28"/>
      <w:lang w:eastAsia="en-GB"/>
    </w:rPr>
  </w:style>
  <w:style w:type="paragraph" w:styleId="Bibliography">
    <w:name w:val="Bibliography"/>
    <w:basedOn w:val="Normal"/>
    <w:next w:val="Normal"/>
    <w:uiPriority w:val="37"/>
    <w:unhideWhenUsed/>
    <w:rsid w:val="00D67414"/>
    <w:pPr>
      <w:spacing w:before="120" w:after="240" w:line="240" w:lineRule="auto"/>
      <w:jc w:val="left"/>
    </w:pPr>
    <w:rPr>
      <w:rFonts w:eastAsiaTheme="minorHAnsi" w:cstheme="minorBidi"/>
      <w:sz w:val="24"/>
      <w:szCs w:val="22"/>
      <w:lang w:eastAsia="en-US"/>
    </w:rPr>
  </w:style>
  <w:style w:type="character" w:styleId="UnresolvedMention">
    <w:name w:val="Unresolved Mention"/>
    <w:basedOn w:val="DefaultParagraphFont"/>
    <w:uiPriority w:val="99"/>
    <w:semiHidden/>
    <w:unhideWhenUsed/>
    <w:rsid w:val="00D674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CopernicusTemplates\Free-Forms\Blan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pernicus_Word_template">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4FDE8-F468-4358-9F5B-AA26B1268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Blank.dotm</Template>
  <TotalTime>0</TotalTime>
  <Pages>13</Pages>
  <Words>7779</Words>
  <Characters>49011</Characters>
  <Application>Microsoft Office Word</Application>
  <DocSecurity>0</DocSecurity>
  <Lines>408</Lines>
  <Paragraphs>113</Paragraphs>
  <ScaleCrop>false</ScaleCrop>
  <HeadingPairs>
    <vt:vector size="2" baseType="variant">
      <vt:variant>
        <vt:lpstr>Title</vt:lpstr>
      </vt:variant>
      <vt:variant>
        <vt:i4>1</vt:i4>
      </vt:variant>
    </vt:vector>
  </HeadingPairs>
  <TitlesOfParts>
    <vt:vector size="1" baseType="lpstr">
      <vt:lpstr>Blank</vt:lpstr>
    </vt:vector>
  </TitlesOfParts>
  <Company>Copernicus Gesellschaft mbH</Company>
  <LinksUpToDate>false</LinksUpToDate>
  <CharactersWithSpaces>56677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dc:title>
  <dc:creator>Martin Rasmussen</dc:creator>
  <cp:lastModifiedBy>Georg, Tina</cp:lastModifiedBy>
  <cp:revision>3</cp:revision>
  <cp:lastPrinted>2016-02-01T07:21:00Z</cp:lastPrinted>
  <dcterms:created xsi:type="dcterms:W3CDTF">2025-05-12T11:48:00Z</dcterms:created>
  <dcterms:modified xsi:type="dcterms:W3CDTF">2025-05-12T11:50:00Z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id="npT17slS"/&gt;&lt;style id="http://www.zotero.org/styles/copernicus-publications" hasBibliography="1" bibliographyStyleHasBeenSet="1"/&gt;&lt;prefs&gt;&lt;pref name="fieldType" value="Field"/&gt;&lt;/prefs&gt;&lt;/data&gt;</vt:lpwstr>
  </property>
</Properties>
</file>