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C573B" w14:textId="77777777" w:rsidR="00DF1F9E" w:rsidRDefault="00DF1F9E" w:rsidP="00DF1F9E">
      <w:pPr>
        <w:spacing w:line="360" w:lineRule="auto"/>
        <w:rPr>
          <w:rFonts w:ascii="Times New Roman" w:hAnsi="Times New Roman" w:cs="Times New Roman"/>
          <w:b/>
          <w:bCs/>
          <w:color w:val="000000"/>
          <w:sz w:val="28"/>
          <w:szCs w:val="28"/>
        </w:rPr>
      </w:pPr>
      <w:r>
        <w:rPr>
          <w:rFonts w:ascii="Times New Roman" w:hAnsi="Times New Roman" w:cs="Times New Roman"/>
          <w:b/>
          <w:bCs/>
          <w:color w:val="000000"/>
          <w:sz w:val="28"/>
          <w:szCs w:val="28"/>
        </w:rPr>
        <w:t>Experimental methods</w:t>
      </w:r>
    </w:p>
    <w:p w14:paraId="5FAB2336"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 xml:space="preserve">Establishment and characterization of the engineered bacteria </w:t>
      </w:r>
      <w:r>
        <w:rPr>
          <w:rFonts w:ascii="Times New Roman" w:eastAsia="Microsoft YaHei" w:hAnsi="Times New Roman" w:cs="Times New Roman" w:hint="eastAsia"/>
          <w:b/>
          <w:bCs/>
          <w:i/>
          <w:iCs/>
          <w:color w:val="000000"/>
          <w:sz w:val="24"/>
        </w:rPr>
        <w:t>VNP/ARG</w:t>
      </w:r>
      <w:r>
        <w:rPr>
          <w:rFonts w:ascii="Times New Roman" w:eastAsia="Microsoft YaHei" w:hAnsi="Times New Roman" w:cs="Times New Roman"/>
          <w:b/>
          <w:bCs/>
          <w:color w:val="000000"/>
          <w:sz w:val="24"/>
        </w:rPr>
        <w:t xml:space="preserve">  </w:t>
      </w:r>
    </w:p>
    <w:p w14:paraId="4372B1F9"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The attenuated Salmonella VNP2009 strain (provided by Shanghai YuanChuang Biotechnology) was cultured in LB broth. The ARG sequence-containing plasmid (provided by AddGene) was digested with restriction enzymes, and the purified ARG fragment was ligated into the vector. Recombinant plasmids were screened, verified by sequencing, and electroporated into VNP2009. ARG expression was confirmed via PCR.</w:t>
      </w:r>
    </w:p>
    <w:p w14:paraId="222271C1"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 xml:space="preserve">Extract the GVs encoded by the </w:t>
      </w:r>
      <w:r>
        <w:rPr>
          <w:rFonts w:ascii="Times New Roman" w:eastAsia="Microsoft YaHei" w:hAnsi="Times New Roman" w:cs="Times New Roman" w:hint="eastAsia"/>
          <w:b/>
          <w:bCs/>
          <w:i/>
          <w:iCs/>
          <w:color w:val="000000"/>
          <w:sz w:val="24"/>
        </w:rPr>
        <w:t>VNP/ARG</w:t>
      </w:r>
    </w:p>
    <w:p w14:paraId="1E72B9DB"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were cultured in LB broth (37°C, 220 rpm) overnight. After induction with 0.2% arabinose for 4 hours, cells were pelleted (4°C, 600×g, 30 min), and the supernatant was collected. The mixture was digested with lysozyme (1 h), filtered sequentially through 0.45 μm and 0.22 μm PVDF membranes (Beyotime, FFP32), and GV morphology was characterized by TEM.</w:t>
      </w:r>
    </w:p>
    <w:p w14:paraId="3250B7A3"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 xml:space="preserve">Ultrasound imaging of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b/>
          <w:bCs/>
          <w:color w:val="000000"/>
          <w:sz w:val="24"/>
        </w:rPr>
        <w:t xml:space="preserve">-GVs at different acoutstic intensity </w:t>
      </w:r>
    </w:p>
    <w:p w14:paraId="5DA1C114"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The parameters used in this study are suit for clinical application and lower than the mechanical index of clinical application. In this study, we utilized acoustic intensity at pressures of 0.6 MPa and 0.8 MPa</w:t>
      </w:r>
      <w:r>
        <w:rPr>
          <w:rFonts w:ascii="Times New Roman" w:eastAsia="Microsoft YaHei" w:hAnsi="Times New Roman" w:cs="Times New Roman" w:hint="eastAsia"/>
          <w:color w:val="000000"/>
          <w:sz w:val="24"/>
        </w:rPr>
        <w:t xml:space="preserve"> (1 MHz</w:t>
      </w:r>
      <w:r>
        <w:rPr>
          <w:rFonts w:ascii="Times New Roman" w:eastAsia="Microsoft YaHei" w:hAnsi="Times New Roman" w:cs="Times New Roman" w:hint="eastAsia"/>
          <w:color w:val="000000"/>
          <w:sz w:val="24"/>
        </w:rPr>
        <w:t>，</w:t>
      </w:r>
      <w:r>
        <w:rPr>
          <w:rFonts w:ascii="Times New Roman" w:eastAsia="Microsoft YaHei" w:hAnsi="Times New Roman" w:cs="Times New Roman" w:hint="eastAsia"/>
          <w:color w:val="000000"/>
          <w:sz w:val="24"/>
        </w:rPr>
        <w:t>8kHZ RPF</w:t>
      </w:r>
      <w:r>
        <w:rPr>
          <w:rFonts w:ascii="Times New Roman" w:eastAsia="Microsoft YaHei" w:hAnsi="Times New Roman" w:cs="Times New Roman" w:hint="eastAsia"/>
          <w:color w:val="000000"/>
          <w:sz w:val="24"/>
        </w:rPr>
        <w:t>，</w:t>
      </w:r>
      <w:r>
        <w:rPr>
          <w:rFonts w:ascii="Times New Roman" w:eastAsia="Microsoft YaHei" w:hAnsi="Times New Roman" w:cs="Times New Roman" w:hint="eastAsia"/>
          <w:color w:val="000000"/>
          <w:sz w:val="24"/>
        </w:rPr>
        <w:t>16 Cycle )</w:t>
      </w:r>
      <w:r>
        <w:rPr>
          <w:rFonts w:ascii="Times New Roman" w:eastAsia="Microsoft YaHei" w:hAnsi="Times New Roman" w:cs="Times New Roman"/>
          <w:color w:val="000000"/>
          <w:sz w:val="24"/>
        </w:rPr>
        <w:t xml:space="preserve">, based on previous research to assess the imaging efficacy of genetically engineered bacteria. 2.25g of agarose was weighed and melting 1% (w/v) agarose in PBS, the final made agarose (about </w:t>
      </w:r>
      <w:r>
        <w:rPr>
          <w:rFonts w:ascii="Times New Roman" w:eastAsia="Microsoft YaHei" w:hAnsi="Times New Roman" w:cs="Times New Roman" w:hint="eastAsia"/>
          <w:color w:val="000000"/>
          <w:sz w:val="24"/>
        </w:rPr>
        <w:t>43</w:t>
      </w:r>
      <w:r>
        <w:rPr>
          <w:rFonts w:ascii="Times New Roman" w:eastAsia="Microsoft YaHei" w:hAnsi="Times New Roman" w:cs="Times New Roman"/>
          <w:color w:val="000000"/>
          <w:sz w:val="24"/>
        </w:rPr>
        <w:t>°C) and the induced engineered bacteria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-GVs) were mixed 1:1 and immediately poured into a specially made dish. Defoaming needs to be performed before mixing the agarose gel and cells to eliminate the effects of other bubbles. Next, the application of varying sonication intensities ((Resona R9)) on a specialized dish was utilized to monitor the alterations in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-GVs, both acoustic cavitation (2 min and 5 min) imaging were recorded. Data between the different groups were statistically analyzed using the One Way-ANOVA method.</w:t>
      </w:r>
    </w:p>
    <w:p w14:paraId="21790671"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 xml:space="preserve">Inhibition of the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b/>
          <w:bCs/>
          <w:color w:val="000000"/>
          <w:sz w:val="24"/>
        </w:rPr>
        <w:t xml:space="preserve"> by different acoustic intensities</w:t>
      </w:r>
    </w:p>
    <w:p w14:paraId="3AF8DF4A"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Collect 5×10</w:t>
      </w:r>
      <w:r>
        <w:rPr>
          <w:rFonts w:ascii="Times New Roman" w:eastAsia="Microsoft YaHei" w:hAnsi="Times New Roman" w:cs="Times New Roman"/>
          <w:color w:val="000000"/>
          <w:sz w:val="24"/>
          <w:vertAlign w:val="superscript"/>
        </w:rPr>
        <w:t>6</w:t>
      </w:r>
      <w:r>
        <w:rPr>
          <w:rFonts w:ascii="Times New Roman" w:eastAsia="Microsoft YaHei" w:hAnsi="Times New Roman" w:cs="Times New Roman"/>
          <w:color w:val="000000"/>
          <w:sz w:val="24"/>
        </w:rPr>
        <w:t xml:space="preserve">/mL of the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color w:val="000000"/>
          <w:sz w:val="24"/>
        </w:rPr>
        <w:t xml:space="preserve"> in a molded agarose gel, the gel was receive different acoustic intensities of 0.6 MPa and 0.8 MPa for 5 min, and the live-dead staining reagent (SYTO 9 and Propidium Iodide) was mix in the recommended proportion to label live and dead cells, respectively. With the fluorescence microscopy to detect these two cells, SYTO 9 stained live cells will emit green fluorescence, dead cells stained with PI will emit red fluorescence. The ratio of </w:t>
      </w:r>
      <w:r>
        <w:rPr>
          <w:rFonts w:ascii="Times New Roman" w:eastAsia="Microsoft YaHei" w:hAnsi="Times New Roman" w:cs="Times New Roman"/>
          <w:color w:val="000000"/>
          <w:sz w:val="24"/>
        </w:rPr>
        <w:lastRenderedPageBreak/>
        <w:t xml:space="preserve">live and dead cells was analyzed by comparing the fluorescence intensity. </w:t>
      </w:r>
    </w:p>
    <w:p w14:paraId="789AE33C"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 xml:space="preserve">Colonization of the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b/>
          <w:bCs/>
          <w:color w:val="000000"/>
          <w:sz w:val="24"/>
        </w:rPr>
        <w:t>-GVs by different acoustic intensities</w:t>
      </w:r>
    </w:p>
    <w:p w14:paraId="690C6E54"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An equal amount of 10</w:t>
      </w:r>
      <w:r>
        <w:rPr>
          <w:rFonts w:ascii="Times New Roman" w:eastAsia="Microsoft YaHei" w:hAnsi="Times New Roman" w:cs="Times New Roman"/>
          <w:color w:val="000000"/>
          <w:sz w:val="24"/>
          <w:vertAlign w:val="superscript"/>
        </w:rPr>
        <w:t>6</w:t>
      </w:r>
      <w:r>
        <w:rPr>
          <w:rFonts w:ascii="Times New Roman" w:eastAsia="Microsoft YaHei" w:hAnsi="Times New Roman" w:cs="Times New Roman"/>
          <w:color w:val="000000"/>
          <w:sz w:val="24"/>
        </w:rPr>
        <w:t xml:space="preserve">/mL of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were colonized in plates (LB broth, 37°C), when colonies (70-80% confluence) ) were divided into two groups, one group was induced with 0.2% arabinose, one group was without arabinose, exposed to different acoustic intensities for 5 minutes each time, and the growth of the colonies was observed after 24 hours.</w:t>
      </w:r>
    </w:p>
    <w:p w14:paraId="1CF17E56"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Cytotoxicity assay</w:t>
      </w:r>
    </w:p>
    <w:p w14:paraId="77885958"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 xml:space="preserve">To further explore the cytotoxicity of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for tumor cells, the CCK-8 experiments were performed. 4T1 breast tumor cells were seeded in 96-well plates with 100 μL (5×10³ cells per well), and divided into tumor cells, </w:t>
      </w:r>
      <w:r>
        <w:rPr>
          <w:rFonts w:ascii="Times New Roman" w:eastAsia="Microsoft YaHei" w:hAnsi="Times New Roman" w:cs="Times New Roman" w:hint="eastAsia"/>
          <w:i/>
          <w:iCs/>
          <w:color w:val="000000"/>
          <w:sz w:val="24"/>
        </w:rPr>
        <w:t>VNP/ARG</w:t>
      </w:r>
      <w:r>
        <w:rPr>
          <w:rFonts w:ascii="Times New Roman" w:eastAsia="Microsoft YaHei" w:hAnsi="Times New Roman" w:cs="Times New Roman"/>
          <w:color w:val="000000"/>
          <w:sz w:val="24"/>
        </w:rPr>
        <w:t xml:space="preserve">, US + tumor cells, 4T1 +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-GVs (induced), 4T1 +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-GVs (induced) + US, tumor cells +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(uninduced), each group with at least 3 compound wells and blank wells (only medium no cells). PBS was added to the outer circle of the 96-well plate to prevent the effects of liquid evaporation. The inoculated 96-well plates were pre-cultured in a 37℃, 5% CO</w:t>
      </w:r>
      <w:r>
        <w:rPr>
          <w:rFonts w:ascii="Times New Roman" w:eastAsia="Microsoft YaHei" w:hAnsi="Times New Roman" w:cs="Times New Roman"/>
          <w:color w:val="000000"/>
          <w:sz w:val="24"/>
          <w:vertAlign w:val="subscript"/>
        </w:rPr>
        <w:t>2</w:t>
      </w:r>
      <w:r>
        <w:rPr>
          <w:rFonts w:ascii="Times New Roman" w:eastAsia="Microsoft YaHei" w:hAnsi="Times New Roman" w:cs="Times New Roman"/>
          <w:color w:val="000000"/>
          <w:sz w:val="24"/>
        </w:rPr>
        <w:t xml:space="preserve"> incubator for 24 hours to achieve a suitable growth. According to the experimental requirements of each group, the original culture medium in the well was discarded after appropriate 24 hours, and followed by the CCK-8 assay protocol (Beyotime,</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C0042). The absorbance of each well was then measured at 460 nm wavelength to detecting the product formed by the reduction of WST-8 in viable cells. The toxic effects were calculated according to Eq</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(Toxicity (%) =A−A</w:t>
      </w:r>
      <w:r>
        <w:rPr>
          <w:rFonts w:ascii="Times New Roman" w:eastAsia="Microsoft YaHei" w:hAnsi="Times New Roman" w:cs="Times New Roman"/>
          <w:color w:val="000000"/>
          <w:sz w:val="24"/>
          <w:vertAlign w:val="subscript"/>
        </w:rPr>
        <w:t>0</w:t>
      </w:r>
      <w:r>
        <w:rPr>
          <w:rFonts w:ascii="Times New Roman" w:eastAsia="Microsoft YaHei" w:hAnsi="Times New Roman" w:cs="Times New Roman"/>
          <w:color w:val="000000"/>
          <w:sz w:val="24"/>
        </w:rPr>
        <w:t>/B−A</w:t>
      </w:r>
      <w:r>
        <w:rPr>
          <w:rFonts w:ascii="Times New Roman" w:eastAsia="Microsoft YaHei" w:hAnsi="Times New Roman" w:cs="Times New Roman"/>
          <w:color w:val="000000"/>
          <w:sz w:val="24"/>
          <w:vertAlign w:val="subscript"/>
        </w:rPr>
        <w:t>0</w:t>
      </w:r>
      <w:r>
        <w:rPr>
          <w:rFonts w:ascii="Times New Roman" w:eastAsia="Microsoft YaHei" w:hAnsi="Times New Roman" w:cs="Times New Roman"/>
          <w:color w:val="000000"/>
          <w:sz w:val="24"/>
        </w:rPr>
        <w:t xml:space="preserve">×100%). </w:t>
      </w:r>
    </w:p>
    <w:p w14:paraId="44D87656"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 xml:space="preserve">Safety assessment of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b/>
          <w:bCs/>
          <w:color w:val="000000"/>
          <w:sz w:val="24"/>
        </w:rPr>
        <w:t>-GVs in vivo</w:t>
      </w:r>
    </w:p>
    <w:p w14:paraId="3F409457"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 xml:space="preserve">The safety assessments of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in vivo included mouse weight, hematological indicators and HE staining important tissue analysis. These experimental mice met the standards of the</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 xml:space="preserve">Shanghai </w:t>
      </w:r>
      <w:r>
        <w:rPr>
          <w:rFonts w:ascii="Times New Roman" w:eastAsia="Microsoft YaHei" w:hAnsi="Times New Roman" w:cs="Times New Roman" w:hint="eastAsia"/>
          <w:color w:val="000000"/>
          <w:sz w:val="24"/>
        </w:rPr>
        <w:t>Ten</w:t>
      </w:r>
      <w:r>
        <w:rPr>
          <w:rFonts w:ascii="Times New Roman" w:eastAsia="Microsoft YaHei" w:hAnsi="Times New Roman" w:cs="Times New Roman"/>
          <w:color w:val="000000"/>
          <w:sz w:val="24"/>
        </w:rPr>
        <w:t>’</w:t>
      </w:r>
      <w:r>
        <w:rPr>
          <w:rFonts w:ascii="Times New Roman" w:eastAsia="Microsoft YaHei" w:hAnsi="Times New Roman" w:cs="Times New Roman" w:hint="eastAsia"/>
          <w:color w:val="000000"/>
          <w:sz w:val="24"/>
        </w:rPr>
        <w:t>s People</w:t>
      </w:r>
      <w:r>
        <w:rPr>
          <w:rFonts w:ascii="Times New Roman" w:eastAsia="Microsoft YaHei" w:hAnsi="Times New Roman" w:cs="Times New Roman"/>
          <w:color w:val="000000"/>
          <w:sz w:val="24"/>
        </w:rPr>
        <w:t>’</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 xml:space="preserve">Hospita Animal Ethics Association and were strictly bred in a SPF environment. BALB/c mice aged 5-6 weeks (from Shanghai Ji Hui Experimental Animal Breeding Center) were selected to randomly divide different groups. The experiment group were injected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with the tail vein, while the control mice received an equal volume of PBS. Mice were examined weekly for body weight changes. Blood samples from mice were collected on days 1 and 3 after injection for hematological testing, mainly including inflammatory blood tests and the function of liver and kidney .</w:t>
      </w:r>
    </w:p>
    <w:p w14:paraId="2B8791F1"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 xml:space="preserve">Lastly, the mice were anesthetized and euthanized to collect their heart and liver tissues for HE staining. The effects of the engineered bacteria on the structure and cell morphology of the liver </w:t>
      </w:r>
      <w:r>
        <w:rPr>
          <w:rFonts w:ascii="Times New Roman" w:eastAsia="Microsoft YaHei" w:hAnsi="Times New Roman" w:cs="Times New Roman"/>
          <w:color w:val="000000"/>
          <w:sz w:val="24"/>
        </w:rPr>
        <w:lastRenderedPageBreak/>
        <w:t>and kidney tissues, such as the presence of inflammatory cell infiltration, cell necrosis or degeneration.</w:t>
      </w:r>
    </w:p>
    <w:p w14:paraId="0AF69735"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Establishment and grouping of 4T1 graft tumors</w:t>
      </w:r>
    </w:p>
    <w:p w14:paraId="311378C3"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 xml:space="preserve">In this study, 5- 6 week-old BALB/c mice were randomly assigned to five groups: control group, single ultrasound group (LIFUS),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-GVs (induced),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(uninduced), and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-GVs + LIFUS group. Each group received approximately 1×10</w:t>
      </w:r>
      <w:r>
        <w:rPr>
          <w:rFonts w:ascii="Times New Roman" w:eastAsia="Microsoft YaHei" w:hAnsi="Times New Roman" w:cs="Times New Roman"/>
          <w:color w:val="000000"/>
          <w:sz w:val="24"/>
          <w:vertAlign w:val="superscript"/>
        </w:rPr>
        <w:t>6</w:t>
      </w:r>
      <w:r>
        <w:rPr>
          <w:rFonts w:ascii="Times New Roman" w:eastAsia="Microsoft YaHei" w:hAnsi="Times New Roman" w:cs="Times New Roman"/>
          <w:color w:val="000000"/>
          <w:sz w:val="24"/>
        </w:rPr>
        <w:t xml:space="preserve"> cells/mL of 4T1 injection into the right axillary region. Tumor volume was estimated using the formula V=0.52×L×W</w:t>
      </w:r>
      <w:r>
        <w:rPr>
          <w:rFonts w:ascii="Times New Roman" w:eastAsia="Microsoft YaHei" w:hAnsi="Times New Roman" w:cs="Times New Roman"/>
          <w:color w:val="000000"/>
          <w:sz w:val="24"/>
          <w:vertAlign w:val="superscript"/>
        </w:rPr>
        <w:t>2</w:t>
      </w:r>
      <w:r>
        <w:rPr>
          <w:rFonts w:ascii="Times New Roman" w:eastAsia="Microsoft YaHei" w:hAnsi="Times New Roman" w:cs="Times New Roman"/>
          <w:color w:val="000000"/>
          <w:sz w:val="24"/>
          <w:vertAlign w:val="subscript"/>
        </w:rPr>
        <w:t>,</w:t>
      </w:r>
      <w:r>
        <w:rPr>
          <w:rFonts w:ascii="Times New Roman" w:eastAsia="Microsoft YaHei" w:hAnsi="Times New Roman" w:cs="Times New Roman"/>
          <w:color w:val="000000"/>
          <w:sz w:val="24"/>
        </w:rPr>
        <w:t xml:space="preserve"> every three days once the tumor volume and body weight was concurrently recorded. After conducting a survival analysis experiment, the number of individuals surviving in each group was documented over a period of 60 days, and the results were visualized using Kaplan-Meier survival curves.</w:t>
      </w:r>
    </w:p>
    <w:p w14:paraId="530CA6A2"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 xml:space="preserve">Treatment methods of each group: control group: no special treatment; individual ultrasound group: sonicated the mouse tumor;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 group: engineered bacteria without induction in the tumor;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 xml:space="preserve">-GVs (induced group): engineered bacteria with induction in the tumor;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-GVs + LI</w:t>
      </w:r>
      <w:r>
        <w:rPr>
          <w:rFonts w:ascii="Times New Roman" w:eastAsia="Microsoft YaHei" w:hAnsi="Times New Roman" w:cs="Times New Roman" w:hint="eastAsia"/>
          <w:color w:val="000000"/>
          <w:sz w:val="24"/>
        </w:rPr>
        <w:t>F</w:t>
      </w:r>
      <w:r>
        <w:rPr>
          <w:rFonts w:ascii="Times New Roman" w:eastAsia="Microsoft YaHei" w:hAnsi="Times New Roman" w:cs="Times New Roman"/>
          <w:color w:val="000000"/>
          <w:sz w:val="24"/>
        </w:rPr>
        <w:t>US group: the combined of induced engineered bacteria with sonicated for the tumor.</w:t>
      </w:r>
    </w:p>
    <w:p w14:paraId="27616DDE"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 xml:space="preserve">Ultrasound imaging of </w:t>
      </w:r>
      <w:r>
        <w:rPr>
          <w:rFonts w:ascii="Times New Roman" w:eastAsia="Microsoft YaHei" w:hAnsi="Times New Roman" w:cs="Times New Roman" w:hint="eastAsia"/>
          <w:b/>
          <w:bCs/>
          <w:i/>
          <w:iCs/>
          <w:color w:val="000000"/>
          <w:sz w:val="24"/>
        </w:rPr>
        <w:t>VNP/</w:t>
      </w:r>
      <w:r>
        <w:rPr>
          <w:rFonts w:ascii="Times New Roman" w:eastAsia="Microsoft YaHei" w:hAnsi="Times New Roman" w:cs="Times New Roman" w:hint="eastAsia"/>
          <w:b/>
          <w:bCs/>
          <w:color w:val="000000"/>
          <w:sz w:val="24"/>
        </w:rPr>
        <w:t>ARG</w:t>
      </w:r>
      <w:r>
        <w:rPr>
          <w:rFonts w:ascii="Times New Roman" w:eastAsia="Microsoft YaHei" w:hAnsi="Times New Roman" w:cs="Times New Roman"/>
          <w:b/>
          <w:bCs/>
          <w:color w:val="000000"/>
          <w:sz w:val="24"/>
        </w:rPr>
        <w:t>-GVs in vivo</w:t>
      </w:r>
    </w:p>
    <w:p w14:paraId="5FC0AF65"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Finally, the imaging effect of</w:t>
      </w:r>
      <w:r>
        <w:rPr>
          <w:rFonts w:ascii="Times New Roman" w:eastAsia="Microsoft YaHei" w:hAnsi="Times New Roman" w:cs="Times New Roman"/>
          <w:i/>
          <w:iCs/>
          <w:color w:val="000000"/>
          <w:sz w:val="24"/>
        </w:rPr>
        <w:t xml:space="preserve"> </w:t>
      </w:r>
      <w:r>
        <w:rPr>
          <w:rFonts w:ascii="Times New Roman" w:eastAsia="Microsoft YaHei" w:hAnsi="Times New Roman" w:cs="Times New Roman" w:hint="eastAsia"/>
          <w:i/>
          <w:iCs/>
          <w:color w:val="000000"/>
          <w:sz w:val="24"/>
        </w:rPr>
        <w:t>VNP/</w:t>
      </w:r>
      <w:r>
        <w:rPr>
          <w:rFonts w:ascii="Times New Roman" w:eastAsia="Microsoft YaHei" w:hAnsi="Times New Roman" w:cs="Times New Roman" w:hint="eastAsia"/>
          <w:color w:val="000000"/>
          <w:sz w:val="24"/>
        </w:rPr>
        <w:t>ARG</w:t>
      </w:r>
      <w:r>
        <w:rPr>
          <w:rFonts w:ascii="Times New Roman" w:eastAsia="Microsoft YaHei" w:hAnsi="Times New Roman" w:cs="Times New Roman"/>
          <w:color w:val="000000"/>
          <w:sz w:val="24"/>
        </w:rPr>
        <w:t>-GVs in the tumor was tested. First, approximately 1×10</w:t>
      </w:r>
      <w:r>
        <w:rPr>
          <w:rFonts w:ascii="Times New Roman" w:eastAsia="Microsoft YaHei" w:hAnsi="Times New Roman" w:cs="Times New Roman"/>
          <w:color w:val="000000"/>
          <w:sz w:val="24"/>
          <w:vertAlign w:val="superscript"/>
        </w:rPr>
        <w:t>6</w:t>
      </w:r>
      <w:r>
        <w:rPr>
          <w:rFonts w:ascii="Times New Roman" w:eastAsia="Microsoft YaHei" w:hAnsi="Times New Roman" w:cs="Times New Roman"/>
          <w:color w:val="000000"/>
          <w:sz w:val="24"/>
        </w:rPr>
        <w:t xml:space="preserve"> cells/mL of 4T1 were collected in the right back area of BALB/ c mice and 100 μL (containing 1×10</w:t>
      </w:r>
      <w:r>
        <w:rPr>
          <w:rFonts w:ascii="Times New Roman" w:eastAsia="Microsoft YaHei" w:hAnsi="Times New Roman" w:cs="Times New Roman"/>
          <w:color w:val="000000"/>
          <w:sz w:val="24"/>
          <w:vertAlign w:val="superscript"/>
        </w:rPr>
        <w:t>5</w:t>
      </w:r>
      <w:r>
        <w:rPr>
          <w:rFonts w:ascii="Times New Roman" w:eastAsia="Microsoft YaHei" w:hAnsi="Times New Roman" w:cs="Times New Roman"/>
          <w:color w:val="000000"/>
          <w:sz w:val="24"/>
        </w:rPr>
        <w:t xml:space="preserve"> cells) was injected when the tumor volume reached a certain size, the 0.2% arabinose was injected into tumor for the induction of GVs, the ulatrasound imaging (mechanical index 0.4) was performed after 2 days.</w:t>
      </w:r>
    </w:p>
    <w:p w14:paraId="7E15960C"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b/>
          <w:bCs/>
          <w:color w:val="000000"/>
          <w:sz w:val="24"/>
        </w:rPr>
        <w:t>The Distribution of T cells and associated factors in tumor</w:t>
      </w:r>
    </w:p>
    <w:p w14:paraId="1D2A3AD4"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 xml:space="preserve">Tumor tissue and spleen were harvested from each group and cell suspension was obtained for 100 μL for each group, mixed with the cell suspension by using CD3 antibody (Proteintech, 17617-1-AP), CD4 antibody (Proteintech, 67786-1-lg), CD8 antibody (Proteintech, 66868-1-lg), and FOXP 3 antibody (Gibco, 11161D), and then incubated in the dark for 15 minutes. Cells were washed with PBS twice to remove unbound antibodies and other impurities. The number of T cells and FOXP3-expressing cells in each sample can be quantified using flow cytometry, a method that allows for the detection of intracellular FOXP3 expression regulatory T cells. Based on the experimental requirements, the flow cytometry instruments were pre-configured with suitable </w:t>
      </w:r>
      <w:r>
        <w:rPr>
          <w:rFonts w:ascii="Times New Roman" w:eastAsia="Microsoft YaHei" w:hAnsi="Times New Roman" w:cs="Times New Roman"/>
          <w:color w:val="000000"/>
          <w:sz w:val="24"/>
        </w:rPr>
        <w:lastRenderedPageBreak/>
        <w:t>parameters and analysis gates. The FSC and SSC parameter voltages were adjusted to ensure accurate representation of cell types. The voltage of the other fluorescence parameters was adjusted according to the position of the negative cell population. Through gating to different types of T cells. Depending on the antibody labeling used, different T cell types like CD4</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and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can be distinguished. We recorded and analyzed the proportion and number of each cell population. Finally, we analyzed the number and type of T cells in the tumor based on the data obtained from flow cytometry. Data between the different groups were statistically analyzed using the Two way-ANOVA method.</w:t>
      </w:r>
    </w:p>
    <w:p w14:paraId="781FA337"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Here, the absorbance values were determined using the ELISA kit (PeproTech, 30293-1-AP), and the secreted levels of IFN-γ and TNF in mouse serum were derived from the standard curve.</w:t>
      </w:r>
    </w:p>
    <w:p w14:paraId="70C56AC4"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Apoptosis Assay</w:t>
      </w:r>
    </w:p>
    <w:p w14:paraId="609DCFB8"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Apoptosis in each group was determined using Ki67 (PeproTech, 28074-1-AP) immunohistochemical staining. Tumor tissue sections were taken and processed for Ki67 and HE staining to visualize cell morphology and apoptosis.</w:t>
      </w:r>
    </w:p>
    <w:p w14:paraId="2136C30D"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 xml:space="preserve">The Ki67 staining method involves a series of steps to evaluate cell proliferation in tissue samples. This process includes dewaxing and antigen retrieval to prepare the sample, followed by incubation with primary and secondary antibodies specific to Ki67. The staining is visualized using DAB color development and counterstaining is applied to enhance contrast. The proportion of Ki67 positive cells is then evaluated via microscope. </w:t>
      </w:r>
    </w:p>
    <w:p w14:paraId="4CE59134"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Collagen</w:t>
      </w:r>
      <w:r>
        <w:rPr>
          <w:rFonts w:ascii="Times New Roman" w:eastAsia="Microsoft YaHei" w:hAnsi="Times New Roman" w:cs="Times New Roman" w:hint="eastAsia"/>
          <w:b/>
          <w:bCs/>
          <w:color w:val="000000"/>
          <w:sz w:val="24"/>
        </w:rPr>
        <w:t xml:space="preserve"> I</w:t>
      </w:r>
      <w:r>
        <w:rPr>
          <w:rFonts w:ascii="Times New Roman" w:eastAsia="Microsoft YaHei" w:hAnsi="Times New Roman" w:cs="Times New Roman"/>
          <w:b/>
          <w:bCs/>
          <w:color w:val="000000"/>
          <w:sz w:val="24"/>
        </w:rPr>
        <w:t xml:space="preserve"> Detection</w:t>
      </w:r>
    </w:p>
    <w:p w14:paraId="1E005CAC"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Collagen I (C</w:t>
      </w:r>
      <w:r>
        <w:rPr>
          <w:rFonts w:ascii="Times New Roman" w:eastAsia="Microsoft YaHei" w:hAnsi="Times New Roman" w:cs="Times New Roman" w:hint="eastAsia"/>
          <w:color w:val="000000"/>
          <w:sz w:val="24"/>
        </w:rPr>
        <w:t>ol I</w:t>
      </w:r>
      <w:r>
        <w:rPr>
          <w:rFonts w:ascii="Times New Roman" w:eastAsia="Microsoft YaHei" w:hAnsi="Times New Roman" w:cs="Times New Roman"/>
          <w:color w:val="000000"/>
          <w:sz w:val="24"/>
        </w:rPr>
        <w:t>) was detected by IHC using anti-COL1 antibody (Proteintech, 66786-1-Ig). Antigen retrieval was performed via boiling citrate buffer, followed by HRP-conjugated secondary antibody incubation.</w:t>
      </w:r>
    </w:p>
    <w:p w14:paraId="0EEFF1BA"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Single-cell sequencing</w:t>
      </w:r>
    </w:p>
    <w:p w14:paraId="26192BBD"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Tumor samples from each group were first collected and immediately placed in pre-cooled RPMI 1640 + 10% FBS (Gibco, C11875500BT) using tumor dissociation kit (Miltenyi Tumor Dissociation Kit) (Beytian, C3702), digested for 15-30 min and  removed the debris by 70 μM filter. ACK lysate</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 xml:space="preserve">was mixed to lyse red blood cells for 15 min. Single-cell capture was performed using the 10x Genomics Chromium platform, which employs microfluidics technology to encapsulate cells with Gel Beads in Emulsion (GEMs). Each GEM contains a unique barcode and UMI (Unique Molecular Identifier) that allows for the labeling and identification of individual </w:t>
      </w:r>
      <w:r>
        <w:rPr>
          <w:rFonts w:ascii="Times New Roman" w:eastAsia="Microsoft YaHei" w:hAnsi="Times New Roman" w:cs="Times New Roman"/>
          <w:color w:val="000000"/>
          <w:sz w:val="24"/>
        </w:rPr>
        <w:lastRenderedPageBreak/>
        <w:t>cells' transcripts. The 3′-end transcriptomic library was then constructed, enabling the sequencing of the 3′ ends of transcripts to provide a comprehensive gene expression profile at the single-cell level. Then, 5000-10000 cells per sample target was extracted to ensure accurate single-cell sequencing data analysis. Raw data alignments were performed using Cell Ranger (10x Genomics), filtering low-quality cells, followed by cell clustering and annotation analysis, including Seurat R package (v4.0) standardization, PCA dimension reduction, UMAP visualization, and clustering based on Louvain algorithm. The proportion of T cells (CD3D/CD3E</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was analyzed by reference to CellMarker database, and the subset of T cells was extracted and reclustered to identify the classification of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w:t>
      </w:r>
    </w:p>
    <w:p w14:paraId="2EAFA9DC"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Cell interaction analysis</w:t>
      </w:r>
    </w:p>
    <w:p w14:paraId="2414193E"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Cell-cell interactions were identified based on cell type signature, cell interaction analysis using CellChat tool, loading Seurat objects with already annotated cells, created Cellchat objects and imported ligand receptor database to preprocess data. The interaction inference was performed to complete interaction visualization.</w:t>
      </w:r>
    </w:p>
    <w:p w14:paraId="32191B78"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hint="eastAsia"/>
          <w:b/>
          <w:bCs/>
          <w:color w:val="000000"/>
          <w:sz w:val="24"/>
        </w:rPr>
        <w:t>Fibroblasts</w:t>
      </w:r>
      <w:r>
        <w:rPr>
          <w:rFonts w:ascii="Times New Roman" w:eastAsia="Microsoft YaHei" w:hAnsi="Times New Roman" w:cs="Times New Roman"/>
          <w:b/>
          <w:bCs/>
          <w:color w:val="000000"/>
          <w:sz w:val="24"/>
        </w:rPr>
        <w:t xml:space="preserve"> extraction </w:t>
      </w:r>
    </w:p>
    <w:p w14:paraId="083F8A10"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hint="eastAsia"/>
          <w:color w:val="000000"/>
          <w:sz w:val="24"/>
        </w:rPr>
        <w:t xml:space="preserve">An </w:t>
      </w:r>
      <w:r>
        <w:rPr>
          <w:rFonts w:ascii="Times New Roman" w:eastAsia="Microsoft YaHei" w:hAnsi="Times New Roman" w:cs="Times New Roman"/>
          <w:color w:val="000000"/>
          <w:sz w:val="24"/>
        </w:rPr>
        <w:t>8-week-old BACL/c mouse w</w:t>
      </w:r>
      <w:r>
        <w:rPr>
          <w:rFonts w:ascii="Times New Roman" w:eastAsia="Microsoft YaHei" w:hAnsi="Times New Roman" w:cs="Times New Roman" w:hint="eastAsia"/>
          <w:color w:val="000000"/>
          <w:sz w:val="24"/>
        </w:rPr>
        <w:t>as</w:t>
      </w:r>
      <w:r>
        <w:rPr>
          <w:rFonts w:ascii="Times New Roman" w:eastAsia="Microsoft YaHei" w:hAnsi="Times New Roman" w:cs="Times New Roman"/>
          <w:color w:val="000000"/>
          <w:sz w:val="24"/>
        </w:rPr>
        <w:t xml:space="preserve"> anesthetized and sacrificed to collect tumor tissue in a sterile conditions. Tumor tissue was minced into small pieces and digested with pancreatic enzyme to obtain a single cell suspension. The cell</w:t>
      </w:r>
      <w:r>
        <w:rPr>
          <w:rFonts w:ascii="Times New Roman" w:eastAsia="Microsoft YaHei" w:hAnsi="Times New Roman" w:cs="Times New Roman" w:hint="eastAsia"/>
          <w:color w:val="000000"/>
          <w:sz w:val="24"/>
        </w:rPr>
        <w:t>s</w:t>
      </w:r>
      <w:r>
        <w:rPr>
          <w:rFonts w:ascii="Times New Roman" w:eastAsia="Microsoft YaHei" w:hAnsi="Times New Roman" w:cs="Times New Roman"/>
          <w:color w:val="000000"/>
          <w:sz w:val="24"/>
        </w:rPr>
        <w:t xml:space="preserve"> suspension was lysed by centrifugation (500g) to remove impurities and the red cell lysate (incubated for 5 min) to give pure fibroblasts. Fibroblasts were resuspended in the 1640 medium and cultured in a 37°C incubator.</w:t>
      </w:r>
    </w:p>
    <w:p w14:paraId="08A03586"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CD8</w:t>
      </w:r>
      <w:r>
        <w:rPr>
          <w:rFonts w:ascii="Times New Roman" w:eastAsia="Microsoft YaHei" w:hAnsi="Times New Roman" w:cs="Times New Roman"/>
          <w:b/>
          <w:bCs/>
          <w:color w:val="000000"/>
          <w:sz w:val="24"/>
          <w:vertAlign w:val="superscript"/>
        </w:rPr>
        <w:t>+</w:t>
      </w:r>
      <w:r>
        <w:rPr>
          <w:rFonts w:ascii="Times New Roman" w:eastAsia="Microsoft YaHei" w:hAnsi="Times New Roman" w:cs="Times New Roman"/>
          <w:b/>
          <w:bCs/>
          <w:color w:val="000000"/>
          <w:sz w:val="24"/>
        </w:rPr>
        <w:t xml:space="preserve"> T cell extraction </w:t>
      </w:r>
    </w:p>
    <w:p w14:paraId="05320184"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An 8-week-old BACL/c mouse was euthanize by eye bleeding to aseptically isolate the spleen in a sterile conditions. The spleen was ground on a 70 μM cell sieve and the cells was washed with pre-cooled PBS, collected in a 50 mL centrifuge tube at 500 g to centrifuge for 5 min. After centrifugation, discard the supernatant, add 5 mL of red blood cell lysate at room temperature for 5 min, then add 20 mL PBS, 500 g,  centrifugation for 5 min. This procession repeat twice until the cell suspension was filtered with a 70 μM cell screen again and counted. After counting, they were centrifuged at 500 g for 5 min. Discard the supernatant again and the cells were resuspended in sorted Buffer and the cell density was adjusted to 1× 10</w:t>
      </w:r>
      <w:r>
        <w:rPr>
          <w:rFonts w:ascii="Times New Roman" w:eastAsia="Microsoft YaHei" w:hAnsi="Times New Roman" w:cs="Times New Roman"/>
          <w:color w:val="000000"/>
          <w:sz w:val="24"/>
          <w:vertAlign w:val="superscript"/>
        </w:rPr>
        <w:t>8</w:t>
      </w:r>
      <w:r>
        <w:rPr>
          <w:rFonts w:ascii="Times New Roman" w:eastAsia="Microsoft YaHei" w:hAnsi="Times New Roman" w:cs="Times New Roman"/>
          <w:color w:val="000000"/>
          <w:sz w:val="24"/>
        </w:rPr>
        <w:t xml:space="preserve"> cells/mL. Add 100 μL of cell suspension (1× 10</w:t>
      </w:r>
      <w:r>
        <w:rPr>
          <w:rFonts w:ascii="Times New Roman" w:eastAsia="Microsoft YaHei" w:hAnsi="Times New Roman" w:cs="Times New Roman"/>
          <w:color w:val="000000"/>
          <w:sz w:val="24"/>
          <w:vertAlign w:val="superscript"/>
        </w:rPr>
        <w:t>7</w:t>
      </w:r>
      <w:r>
        <w:rPr>
          <w:rFonts w:ascii="Times New Roman" w:eastAsia="Microsoft YaHei" w:hAnsi="Times New Roman" w:cs="Times New Roman"/>
          <w:color w:val="000000"/>
          <w:sz w:val="24"/>
        </w:rPr>
        <w:t xml:space="preserve"> cells) to the bottom of the sterile flow tube, mixed 2 μL Biotin- Antibody Mix</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 xml:space="preserve">(Selleck, B90011) in 4°C for 10 min. After incubation, add 20 μL Streptavidin Magnetic Beads to the flow </w:t>
      </w:r>
      <w:r>
        <w:rPr>
          <w:rFonts w:ascii="Times New Roman" w:eastAsia="Microsoft YaHei" w:hAnsi="Times New Roman" w:cs="Times New Roman"/>
          <w:color w:val="000000"/>
          <w:sz w:val="24"/>
        </w:rPr>
        <w:lastRenderedPageBreak/>
        <w:t>tube, incubated with 4°C for 10 min. Place the flow tube containing the cells on a magnetic stand for 5 minutes.Gently pour the cell suspension into a sterile centrifuge tube.This cell suspension now contains purified mouse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Centrifuge at 500 g for 5 minutes, discard the supernatant and collect the cells in culture plate. Wash Dynabeads® Human T-Activator CD3/CD28 (Gibco, 11161D) and IL-2 (Proteintech, CK24-10UG) for activation of T cells before use. Start with 8×10</w:t>
      </w:r>
      <w:r>
        <w:rPr>
          <w:rFonts w:ascii="Times New Roman" w:eastAsia="Microsoft YaHei" w:hAnsi="Times New Roman" w:cs="Times New Roman"/>
          <w:color w:val="000000"/>
          <w:sz w:val="24"/>
          <w:vertAlign w:val="superscript"/>
        </w:rPr>
        <w:t>4</w:t>
      </w:r>
      <w:r>
        <w:rPr>
          <w:rFonts w:ascii="Times New Roman" w:eastAsia="Microsoft YaHei" w:hAnsi="Times New Roman" w:cs="Times New Roman"/>
          <w:color w:val="000000"/>
          <w:sz w:val="24"/>
        </w:rPr>
        <w:t xml:space="preserve"> purified T cells in 100 μL RIPM1640 medium in a 96-well tissue culture plate, add 2 µL pre-washed and resuspended Dynabeads® to obtain a bead-to-cell ratio of 1:1, then incubate in a humidified CO</w:t>
      </w:r>
      <w:r>
        <w:rPr>
          <w:rFonts w:ascii="Times New Roman" w:eastAsia="Microsoft YaHei" w:hAnsi="Times New Roman" w:cs="Times New Roman"/>
          <w:color w:val="000000"/>
          <w:sz w:val="24"/>
          <w:vertAlign w:val="subscript"/>
        </w:rPr>
        <w:t>2</w:t>
      </w:r>
      <w:r>
        <w:rPr>
          <w:rFonts w:ascii="Times New Roman" w:eastAsia="Microsoft YaHei" w:hAnsi="Times New Roman" w:cs="Times New Roman"/>
          <w:color w:val="000000"/>
          <w:sz w:val="24"/>
        </w:rPr>
        <w:t xml:space="preserve"> incubator at 37°C.</w:t>
      </w:r>
    </w:p>
    <w:p w14:paraId="6A70E264"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b/>
          <w:bCs/>
          <w:color w:val="000000"/>
          <w:sz w:val="24"/>
        </w:rPr>
        <w:t>Co-culture of CAFs and CD8</w:t>
      </w:r>
      <w:r>
        <w:rPr>
          <w:rFonts w:ascii="Times New Roman" w:eastAsia="Microsoft YaHei" w:hAnsi="Times New Roman" w:cs="Times New Roman"/>
          <w:b/>
          <w:bCs/>
          <w:color w:val="000000"/>
          <w:sz w:val="24"/>
          <w:vertAlign w:val="superscript"/>
        </w:rPr>
        <w:t xml:space="preserve"> +</w:t>
      </w:r>
      <w:r>
        <w:rPr>
          <w:rFonts w:ascii="Times New Roman" w:eastAsia="Microsoft YaHei" w:hAnsi="Times New Roman" w:cs="Times New Roman"/>
          <w:b/>
          <w:bCs/>
          <w:color w:val="000000"/>
          <w:sz w:val="24"/>
        </w:rPr>
        <w:t xml:space="preserve"> T cells</w:t>
      </w:r>
    </w:p>
    <w:p w14:paraId="07AA1470"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The RIPM1640 medium was chosen to ensure that both cells could grow in it. Fibroblasts were seeded in dishes containing RIPM1640 medium and then grown to a certain density, the isolated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were added to an appropriate proportion (1:5). The co-culture system was incubated in a 37°C, 5% CO</w:t>
      </w:r>
      <w:r>
        <w:rPr>
          <w:rFonts w:ascii="Times New Roman" w:eastAsia="Microsoft YaHei" w:hAnsi="Times New Roman" w:cs="Times New Roman"/>
          <w:color w:val="000000"/>
          <w:sz w:val="24"/>
          <w:vertAlign w:val="subscript"/>
        </w:rPr>
        <w:t>2</w:t>
      </w:r>
      <w:r>
        <w:rPr>
          <w:rFonts w:ascii="Times New Roman" w:eastAsia="Microsoft YaHei" w:hAnsi="Times New Roman" w:cs="Times New Roman"/>
          <w:color w:val="000000"/>
          <w:sz w:val="24"/>
        </w:rPr>
        <w:t xml:space="preserve"> incubator for 24 hours., followed by the addition of the extracted equal proportion of GVs, sonicated with 0.8 MPa.</w:t>
      </w:r>
    </w:p>
    <w:p w14:paraId="22DEB4B4"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Expression of Notch1 and Jagged1 in CAFs and CD8</w:t>
      </w:r>
      <w:r>
        <w:rPr>
          <w:rFonts w:ascii="Times New Roman" w:eastAsia="Microsoft YaHei" w:hAnsi="Times New Roman" w:cs="Times New Roman"/>
          <w:b/>
          <w:bCs/>
          <w:color w:val="000000"/>
          <w:sz w:val="24"/>
          <w:vertAlign w:val="superscript"/>
        </w:rPr>
        <w:t xml:space="preserve"> +</w:t>
      </w:r>
      <w:r>
        <w:rPr>
          <w:rFonts w:ascii="Times New Roman" w:eastAsia="Microsoft YaHei" w:hAnsi="Times New Roman" w:cs="Times New Roman"/>
          <w:b/>
          <w:bCs/>
          <w:color w:val="000000"/>
          <w:sz w:val="24"/>
        </w:rPr>
        <w:t xml:space="preserve"> T cells</w:t>
      </w:r>
    </w:p>
    <w:p w14:paraId="54C710B7"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The two cells were first separated from co-culture medium by flow method, fibroblast samples were fixed with 4% paraformaldehyde and cells were treated with PBS solution containing Triton X-100 to increase cell membrane permeability and facilitate antibody entry into the cells. Cells were blocked using a PBS solution containing BSA to minimize nonspecific binding. The corresponding primary antibody Notch1 (Proteintech, KHC1061) and Jagged1 (Proteintech, 66890-1-lg) were diluted in appropriate proportions and incubated with the sample to bind the primary antibody to the target antigen. Incubation of primary antibodies typically occurs at 4°C overnight. Specific secondary antibodies with an enzyme tag were added and combined with the primary antibody to form an antigen-primary antibody-secondary antibody complex. Depending on the color of the desired staining, different fluorochrome-labeled complexes were selected for the TSA reactions. Nuclei were stained using DAPI solution, typically through incubation at room temperature for 5-20 minutes as recommended for optimal results. Thoroughly to remove unbound fluorescent molecules and antibodies. Seal tablets with anti-fluorescence quenching tablets and prepare for observation. Samples were observed under a fluorescence microscope and the filters were adjusted to match the wavelengths of the different fluorescent labels. The same method observes CD8</w:t>
      </w:r>
      <w:r>
        <w:rPr>
          <w:rFonts w:ascii="Times New Roman" w:eastAsia="Microsoft YaHei" w:hAnsi="Times New Roman" w:cs="Times New Roman"/>
          <w:color w:val="000000"/>
          <w:sz w:val="24"/>
          <w:vertAlign w:val="superscript"/>
        </w:rPr>
        <w:t xml:space="preserve"> +</w:t>
      </w:r>
      <w:r>
        <w:rPr>
          <w:rFonts w:ascii="Times New Roman" w:eastAsia="Microsoft YaHei" w:hAnsi="Times New Roman" w:cs="Times New Roman"/>
          <w:color w:val="000000"/>
          <w:sz w:val="24"/>
        </w:rPr>
        <w:t xml:space="preserve"> T cells, but here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are mainly suspension, and attention should be paid </w:t>
      </w:r>
      <w:r>
        <w:rPr>
          <w:rFonts w:ascii="Times New Roman" w:eastAsia="Microsoft YaHei" w:hAnsi="Times New Roman" w:cs="Times New Roman"/>
          <w:color w:val="000000"/>
          <w:sz w:val="24"/>
        </w:rPr>
        <w:lastRenderedPageBreak/>
        <w:t>to the loss of CD8 + T cells during the cleaning process.</w:t>
      </w:r>
    </w:p>
    <w:p w14:paraId="73D92693" w14:textId="77777777" w:rsidR="00DF1F9E" w:rsidRDefault="00DF1F9E" w:rsidP="00DF1F9E">
      <w:pPr>
        <w:spacing w:line="360" w:lineRule="auto"/>
        <w:rPr>
          <w:rFonts w:ascii="Times New Roman" w:eastAsia="Microsoft YaHei" w:hAnsi="Times New Roman" w:cs="Times New Roman"/>
          <w:b/>
          <w:bCs/>
          <w:sz w:val="24"/>
        </w:rPr>
      </w:pPr>
      <w:r>
        <w:rPr>
          <w:rFonts w:ascii="Times New Roman" w:eastAsia="Microsoft YaHei" w:hAnsi="Times New Roman" w:cs="Times New Roman" w:hint="eastAsia"/>
          <w:b/>
          <w:bCs/>
          <w:sz w:val="24"/>
        </w:rPr>
        <w:t>CAFs migrant experiment</w:t>
      </w:r>
    </w:p>
    <w:p w14:paraId="6CA9DD65"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Digest CAFs (T</w:t>
      </w:r>
      <w:r>
        <w:rPr>
          <w:rFonts w:ascii="Times New Roman" w:eastAsia="Microsoft YaHei" w:hAnsi="Times New Roman" w:cs="Times New Roman"/>
          <w:color w:val="000000"/>
          <w:sz w:val="24"/>
          <w:vertAlign w:val="superscript"/>
        </w:rPr>
        <w:t>GVs+LIFUS</w:t>
      </w:r>
      <w:r>
        <w:rPr>
          <w:rFonts w:ascii="Times New Roman" w:eastAsia="Microsoft YaHei" w:hAnsi="Times New Roman" w:cs="Times New Roman"/>
          <w:color w:val="000000"/>
          <w:sz w:val="24"/>
        </w:rPr>
        <w:t xml:space="preserve"> and T</w:t>
      </w:r>
      <w:r>
        <w:rPr>
          <w:rFonts w:ascii="Times New Roman" w:eastAsia="Microsoft YaHei" w:hAnsi="Times New Roman" w:cs="Times New Roman"/>
          <w:color w:val="000000"/>
          <w:sz w:val="24"/>
          <w:vertAlign w:val="superscript"/>
        </w:rPr>
        <w:t>GVs-LIFUS</w:t>
      </w:r>
      <w:r>
        <w:rPr>
          <w:rFonts w:ascii="Times New Roman" w:eastAsia="Microsoft YaHei" w:hAnsi="Times New Roman" w:cs="Times New Roman"/>
          <w:color w:val="000000"/>
          <w:sz w:val="24"/>
        </w:rPr>
        <w:t>) and resuspend in serum-free medium (density: 1–5×10⁵ cells/mL). Seed 200 μL cell suspension into Transwell inserts (upper chamber; 3 replicates for control and treatment groups). Add 600 μL medium with 10% FBS (chemoattractant) to the lower chamber. Culture at 37°C for 12 h.Remove non-migrated cells from the upper chamber with a cotton swab. Fix cells with 4% paraformaldehyde (30 min), and PBS wash, stain with 0.1% crystal violet (20 min). Count migrated cells in 3 random fields (200×, inverted microscope).</w:t>
      </w:r>
    </w:p>
    <w:p w14:paraId="4B9F5F9B"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Co-culture and functional validation of CD8</w:t>
      </w:r>
      <w:r>
        <w:rPr>
          <w:rFonts w:ascii="Times New Roman" w:eastAsia="Microsoft YaHei" w:hAnsi="Times New Roman" w:cs="Times New Roman"/>
          <w:b/>
          <w:bCs/>
          <w:color w:val="000000"/>
          <w:sz w:val="24"/>
          <w:vertAlign w:val="superscript"/>
        </w:rPr>
        <w:t>+</w:t>
      </w:r>
      <w:r>
        <w:rPr>
          <w:rFonts w:ascii="Times New Roman" w:eastAsia="Microsoft YaHei" w:hAnsi="Times New Roman" w:cs="Times New Roman"/>
          <w:b/>
          <w:bCs/>
          <w:color w:val="000000"/>
          <w:sz w:val="24"/>
        </w:rPr>
        <w:t xml:space="preserve"> T cells with 4T1 cells after different treatments</w:t>
      </w:r>
    </w:p>
    <w:p w14:paraId="3C239726"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(T</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xml:space="preserve"> and</w:t>
      </w:r>
      <w:r>
        <w:rPr>
          <w:rFonts w:ascii="Times New Roman" w:eastAsia="Microsoft YaHei" w:hAnsi="Times New Roman" w:cs="Times New Roman" w:hint="eastAsia"/>
          <w:color w:val="000000"/>
          <w:sz w:val="24"/>
        </w:rPr>
        <w:t xml:space="preserve"> </w:t>
      </w:r>
      <w:r>
        <w:rPr>
          <w:rFonts w:ascii="Times New Roman" w:eastAsia="Microsoft YaHei" w:hAnsi="Times New Roman" w:cs="Times New Roman"/>
          <w:color w:val="000000"/>
          <w:sz w:val="24"/>
        </w:rPr>
        <w:t>T</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were mixed with 4T1 tumor cells (5:1 ratio) in RIPM1640 medium. After 24 hours, the two cells were stained by immunofluorescence, the distribution and number of the two cells were observed by fluorescence microscopy, and the number of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around fibroblasts was counted by semi-quantitative method. Co-cultured cultures were isolated for the amount of relevant toxic factors GZMA and IFN-γ.</w:t>
      </w:r>
    </w:p>
    <w:p w14:paraId="3C6A5E7A"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Meanwhile, both cells were co-cultured in 12-well plates, pre-labeled 4T1 with luciferase (4T1-Luc), and then cultured for 12 h and 24 h, and 10 μL of fluorescein potassium salt was injected into each well. After 30 minutes, 4T1-Luc was imaged using small animal image to analyze the fluorescence intensity in each group, and the inhibition of tumor cells in each group was analyzed.</w:t>
      </w:r>
    </w:p>
    <w:p w14:paraId="57B747B5"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Establishment of the B16-OVA mouse model</w:t>
      </w:r>
    </w:p>
    <w:p w14:paraId="2D46DF58"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First, the B16-OVA cell line was constructed, female</w:t>
      </w:r>
      <w:r>
        <w:rPr>
          <w:rFonts w:ascii="Times New Roman" w:eastAsia="Microsoft YaHei" w:hAnsi="Times New Roman" w:cs="Times New Roman" w:hint="eastAsia"/>
          <w:color w:val="000000"/>
          <w:sz w:val="24"/>
        </w:rPr>
        <w:t xml:space="preserve"> C57 </w:t>
      </w:r>
      <w:r>
        <w:rPr>
          <w:rFonts w:ascii="Times New Roman" w:eastAsia="Microsoft YaHei" w:hAnsi="Times New Roman" w:cs="Times New Roman"/>
          <w:color w:val="000000"/>
          <w:sz w:val="24"/>
        </w:rPr>
        <w:t>mice aged 6-7 weeks were selected and ovalbumin (OVA) was dissolved in either PBS or saline to achieve the desired OVA solution concentration. The mice were sensitized with the OVA solution via intraperitoneal injection at a dose of 200 µL per vehicle for three consecutive days. Three weeks after sensitization, mice were given OVA solution by nasal drip, and 24 hours later B16-OVA cells were inoculated subcutaneously to establish a tumor model. After sensitization, mice were regularly monitored for tumor growth and tumor volume and weight changes were recorded.</w:t>
      </w:r>
    </w:p>
    <w:p w14:paraId="12F2FEB9"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Treatment of the B16-OVA mouse model</w:t>
      </w:r>
    </w:p>
    <w:p w14:paraId="0F22CB30" w14:textId="77777777" w:rsidR="00DF1F9E" w:rsidRDefault="00DF1F9E" w:rsidP="00DF1F9E">
      <w:pPr>
        <w:spacing w:line="360" w:lineRule="auto"/>
        <w:rPr>
          <w:rFonts w:ascii="Times New Roman" w:hAnsi="Times New Roman" w:cs="Times New Roman"/>
          <w:color w:val="000000"/>
          <w:sz w:val="24"/>
        </w:rPr>
      </w:pPr>
      <w:r>
        <w:rPr>
          <w:rFonts w:ascii="Times New Roman" w:eastAsia="Microsoft YaHei" w:hAnsi="Times New Roman" w:cs="Times New Roman"/>
          <w:color w:val="000000"/>
          <w:sz w:val="24"/>
        </w:rPr>
        <w:t>CD8</w:t>
      </w:r>
      <w:r>
        <w:rPr>
          <w:rFonts w:ascii="Times New Roman" w:eastAsia="Microsoft YaHei" w:hAnsi="Times New Roman" w:cs="Times New Roman"/>
          <w:color w:val="000000"/>
          <w:sz w:val="24"/>
          <w:vertAlign w:val="superscript"/>
        </w:rPr>
        <w:t xml:space="preserve"> +</w:t>
      </w:r>
      <w:r>
        <w:rPr>
          <w:rFonts w:ascii="Times New Roman" w:eastAsia="Microsoft YaHei" w:hAnsi="Times New Roman" w:cs="Times New Roman"/>
          <w:color w:val="000000"/>
          <w:sz w:val="24"/>
        </w:rPr>
        <w:t xml:space="preserve"> T cells that specifically recognize OVA antigen (OT-1 cells) were injected</w:t>
      </w:r>
      <w:r>
        <w:rPr>
          <w:rFonts w:ascii="Times New Roman" w:eastAsia="Microsoft YaHei" w:hAnsi="Times New Roman" w:cs="Times New Roman" w:hint="eastAsia"/>
          <w:color w:val="000000"/>
          <w:sz w:val="24"/>
        </w:rPr>
        <w:t>，</w:t>
      </w:r>
      <w:r>
        <w:rPr>
          <w:rFonts w:ascii="Times New Roman" w:eastAsia="Microsoft YaHei" w:hAnsi="Times New Roman" w:cs="Times New Roman"/>
          <w:color w:val="000000"/>
          <w:sz w:val="24"/>
        </w:rPr>
        <w:t xml:space="preserve"> and the OT-1 cells were divided into </w:t>
      </w:r>
      <w:r>
        <w:rPr>
          <w:rFonts w:ascii="Times New Roman" w:eastAsia="Microsoft YaHei" w:hAnsi="Times New Roman" w:cs="Times New Roman" w:hint="eastAsia"/>
          <w:color w:val="000000"/>
          <w:sz w:val="24"/>
        </w:rPr>
        <w:t>control</w:t>
      </w:r>
      <w:r>
        <w:rPr>
          <w:rFonts w:ascii="Times New Roman" w:eastAsia="Microsoft YaHei" w:hAnsi="Times New Roman" w:cs="Times New Roman"/>
          <w:color w:val="000000"/>
          <w:sz w:val="24"/>
        </w:rPr>
        <w:t xml:space="preserve"> (WT)</w:t>
      </w:r>
      <w:r>
        <w:rPr>
          <w:rFonts w:ascii="Times New Roman" w:eastAsia="Microsoft YaHei" w:hAnsi="Times New Roman" w:cs="Times New Roman" w:hint="eastAsia"/>
          <w:color w:val="000000"/>
          <w:sz w:val="24"/>
        </w:rPr>
        <w:t xml:space="preserve">group </w:t>
      </w:r>
      <w:r>
        <w:rPr>
          <w:rFonts w:ascii="Times New Roman" w:eastAsia="Microsoft YaHei" w:hAnsi="Times New Roman" w:cs="Times New Roman"/>
          <w:color w:val="000000"/>
          <w:sz w:val="24"/>
        </w:rPr>
        <w:t>, 0T-1</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xml:space="preserve"> </w:t>
      </w:r>
      <w:r>
        <w:rPr>
          <w:rFonts w:ascii="Times New Roman" w:eastAsia="Microsoft YaHei" w:hAnsi="Times New Roman" w:cs="Times New Roman" w:hint="eastAsia"/>
          <w:color w:val="000000"/>
          <w:sz w:val="24"/>
        </w:rPr>
        <w:t>（</w:t>
      </w:r>
      <w:r>
        <w:rPr>
          <w:rFonts w:ascii="Times New Roman" w:eastAsia="Microsoft YaHei" w:hAnsi="Times New Roman" w:cs="Times New Roman" w:hint="eastAsia"/>
          <w:color w:val="000000"/>
          <w:sz w:val="24"/>
        </w:rPr>
        <w:t>tumor treatment without LIFUS</w:t>
      </w:r>
      <w:r>
        <w:rPr>
          <w:rFonts w:ascii="Times New Roman" w:eastAsia="Microsoft YaHei" w:hAnsi="Times New Roman" w:cs="Times New Roman" w:hint="eastAsia"/>
          <w:color w:val="000000"/>
          <w:sz w:val="24"/>
        </w:rPr>
        <w:t>）</w:t>
      </w:r>
      <w:r>
        <w:rPr>
          <w:rFonts w:ascii="Times New Roman" w:eastAsia="Microsoft YaHei" w:hAnsi="Times New Roman" w:cs="Times New Roman" w:hint="eastAsia"/>
          <w:color w:val="000000"/>
          <w:sz w:val="24"/>
        </w:rPr>
        <w:t xml:space="preserve">group </w:t>
      </w:r>
      <w:r>
        <w:rPr>
          <w:rFonts w:ascii="Times New Roman" w:eastAsia="Microsoft YaHei" w:hAnsi="Times New Roman" w:cs="Times New Roman"/>
          <w:color w:val="000000"/>
          <w:sz w:val="24"/>
        </w:rPr>
        <w:t>and 0T-1</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xml:space="preserve"> </w:t>
      </w:r>
      <w:r>
        <w:rPr>
          <w:rFonts w:ascii="Times New Roman" w:eastAsia="Microsoft YaHei" w:hAnsi="Times New Roman" w:cs="Times New Roman" w:hint="eastAsia"/>
          <w:color w:val="000000"/>
          <w:sz w:val="24"/>
        </w:rPr>
        <w:t>（</w:t>
      </w:r>
      <w:r>
        <w:rPr>
          <w:rFonts w:ascii="Times New Roman" w:eastAsia="Microsoft YaHei" w:hAnsi="Times New Roman" w:cs="Times New Roman" w:hint="eastAsia"/>
          <w:color w:val="000000"/>
          <w:sz w:val="24"/>
        </w:rPr>
        <w:t xml:space="preserve">tumor treatment with LIFUS) </w:t>
      </w:r>
      <w:r>
        <w:rPr>
          <w:rFonts w:ascii="Times New Roman" w:eastAsia="Microsoft YaHei" w:hAnsi="Times New Roman" w:cs="Times New Roman"/>
          <w:color w:val="000000"/>
          <w:sz w:val="24"/>
        </w:rPr>
        <w:t xml:space="preserve">groups. After these three different </w:t>
      </w:r>
      <w:r>
        <w:rPr>
          <w:rFonts w:ascii="Times New Roman" w:eastAsia="Microsoft YaHei" w:hAnsi="Times New Roman" w:cs="Times New Roman"/>
          <w:color w:val="000000"/>
          <w:sz w:val="24"/>
        </w:rPr>
        <w:lastRenderedPageBreak/>
        <w:t>treatment of OT-1 cells, tumor size and weight of mice were recorded every 3 days. Tumor tissues were collected and processed to isolate tumor-infiltrating immune cells. The expression levels of Tim3, PD-1, and the number of TNF, IFN-γ, as well as the proliferation marker Ki67 and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were quantified using flow cytometry. The data from each group were subsequently analyzed to assess the immune cell infiltration and activation status. Data between the different groups were statistically analyzed using the One way-ANOVA method.</w:t>
      </w:r>
    </w:p>
    <w:p w14:paraId="44D9AAF5" w14:textId="77777777" w:rsidR="00DF1F9E" w:rsidRDefault="00DF1F9E" w:rsidP="00DF1F9E">
      <w:pPr>
        <w:spacing w:line="360" w:lineRule="auto"/>
        <w:rPr>
          <w:rFonts w:ascii="Times New Roman" w:hAnsi="Times New Roman" w:cs="Times New Roman"/>
          <w:b/>
          <w:bCs/>
          <w:color w:val="000000"/>
          <w:sz w:val="24"/>
        </w:rPr>
      </w:pPr>
      <w:r>
        <w:rPr>
          <w:rFonts w:ascii="Times New Roman" w:eastAsia="Microsoft YaHei" w:hAnsi="Times New Roman" w:cs="Times New Roman"/>
          <w:b/>
          <w:bCs/>
          <w:color w:val="000000"/>
          <w:sz w:val="24"/>
        </w:rPr>
        <w:t>Establishment and treatment of the 4T1 lung metastasis model</w:t>
      </w:r>
    </w:p>
    <w:p w14:paraId="6D804D85"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4T1-luc cells (4T1-Luc), expressing luciferase, were cultured in vitro at 37℃ in an atmosphere of 5% CO</w:t>
      </w:r>
      <w:r>
        <w:rPr>
          <w:rFonts w:ascii="Times New Roman" w:eastAsia="Microsoft YaHei" w:hAnsi="Times New Roman" w:cs="Times New Roman"/>
          <w:color w:val="000000"/>
          <w:sz w:val="24"/>
          <w:vertAlign w:val="subscript"/>
        </w:rPr>
        <w:t>2</w:t>
      </w:r>
      <w:r>
        <w:rPr>
          <w:rFonts w:ascii="Times New Roman" w:eastAsia="Microsoft YaHei" w:hAnsi="Times New Roman" w:cs="Times New Roman"/>
          <w:color w:val="000000"/>
          <w:sz w:val="24"/>
        </w:rPr>
        <w:t>. When cells were grown to the logarithmic growth phase, cells were harvested and diluted with serum-free medium. Wild-type recipient mice (CD45.1</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were selected as the experimental animals (provided by Shanghai Jihui Experimental Animal Breeding Center). 1×10</w:t>
      </w:r>
      <w:r>
        <w:rPr>
          <w:rFonts w:ascii="Times New Roman" w:eastAsia="Microsoft YaHei" w:hAnsi="Times New Roman" w:cs="Times New Roman"/>
          <w:color w:val="000000"/>
          <w:sz w:val="24"/>
          <w:vertAlign w:val="superscript"/>
        </w:rPr>
        <w:t>5</w:t>
      </w:r>
      <w:r>
        <w:rPr>
          <w:rFonts w:ascii="Times New Roman" w:eastAsia="Microsoft YaHei" w:hAnsi="Times New Roman" w:cs="Times New Roman"/>
          <w:color w:val="000000"/>
          <w:sz w:val="24"/>
        </w:rPr>
        <w:t xml:space="preserve"> 4T1-Luc cells were injected via the tail vein to reach the lungs and form metastases. Naive CD8</w:t>
      </w:r>
      <w:r>
        <w:rPr>
          <w:rFonts w:ascii="Times New Roman" w:eastAsia="Microsoft YaHei" w:hAnsi="Times New Roman" w:cs="Times New Roman"/>
          <w:color w:val="000000"/>
          <w:sz w:val="24"/>
          <w:vertAlign w:val="superscript"/>
        </w:rPr>
        <w:t>+</w:t>
      </w:r>
      <w:r>
        <w:rPr>
          <w:rFonts w:ascii="Times New Roman" w:eastAsia="Microsoft YaHei" w:hAnsi="Times New Roman" w:cs="Times New Roman"/>
          <w:color w:val="000000"/>
          <w:sz w:val="24"/>
        </w:rPr>
        <w:t xml:space="preserve"> T cells were activated with CD3 and transfected with pRVKM-FMC63-CD28-RFP plasmid (provided by Shanghai Jiman Biotechnology), and then treated with LIFUS-GVs mode for 10 minutes to generate CAR-T</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xml:space="preserve"> cells. Then the CAR-T</w:t>
      </w:r>
      <w:r>
        <w:rPr>
          <w:rFonts w:ascii="Times New Roman" w:eastAsia="Microsoft YaHei" w:hAnsi="Times New Roman" w:cs="Times New Roman"/>
          <w:color w:val="000000"/>
          <w:sz w:val="24"/>
          <w:vertAlign w:val="superscript"/>
        </w:rPr>
        <w:t>GVs+</w:t>
      </w:r>
      <w:r>
        <w:rPr>
          <w:rFonts w:ascii="Times New Roman" w:eastAsia="Microsoft YaHei" w:hAnsi="Times New Roman" w:cs="Times New Roman" w:hint="eastAsia"/>
          <w:color w:val="000000"/>
          <w:sz w:val="24"/>
          <w:vertAlign w:val="superscript"/>
        </w:rPr>
        <w:t>LIF</w:t>
      </w:r>
      <w:r>
        <w:rPr>
          <w:rFonts w:ascii="Times New Roman" w:eastAsia="Microsoft YaHei" w:hAnsi="Times New Roman" w:cs="Times New Roman"/>
          <w:color w:val="000000"/>
          <w:sz w:val="24"/>
          <w:vertAlign w:val="superscript"/>
        </w:rPr>
        <w:t>US</w:t>
      </w:r>
      <w:r>
        <w:rPr>
          <w:rFonts w:ascii="Times New Roman" w:eastAsia="Microsoft YaHei" w:hAnsi="Times New Roman" w:cs="Times New Roman"/>
          <w:color w:val="000000"/>
          <w:sz w:val="24"/>
        </w:rPr>
        <w:t xml:space="preserve"> (</w:t>
      </w:r>
      <w:r>
        <w:rPr>
          <w:rFonts w:ascii="Times New Roman" w:hAnsi="Times New Roman" w:cs="Times New Roman"/>
          <w:color w:val="000000"/>
          <w:sz w:val="24"/>
        </w:rPr>
        <w:t>1×10</w:t>
      </w:r>
      <w:r>
        <w:rPr>
          <w:rFonts w:ascii="Times New Roman" w:eastAsia="Microsoft YaHei" w:hAnsi="Times New Roman" w:cs="Times New Roman"/>
          <w:color w:val="000000"/>
          <w:sz w:val="24"/>
          <w:vertAlign w:val="superscript"/>
        </w:rPr>
        <w:t>6</w:t>
      </w:r>
      <w:r>
        <w:rPr>
          <w:rFonts w:ascii="Times New Roman" w:eastAsia="Microsoft YaHei" w:hAnsi="Times New Roman" w:cs="Times New Roman"/>
          <w:color w:val="000000"/>
          <w:sz w:val="24"/>
        </w:rPr>
        <w:t>/100 µL) were transfected, and tumor metastasis was assessed every 5 days by small animal imaging system</w:t>
      </w:r>
      <w:r>
        <w:rPr>
          <w:rFonts w:ascii="Times New Roman" w:eastAsia="Microsoft YaHei" w:hAnsi="Times New Roman" w:cs="Times New Roman" w:hint="eastAsia"/>
          <w:color w:val="000000"/>
          <w:sz w:val="24"/>
        </w:rPr>
        <w:t xml:space="preserve">. </w:t>
      </w:r>
    </w:p>
    <w:p w14:paraId="6E2AE352"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hint="eastAsia"/>
          <w:b/>
          <w:bCs/>
          <w:color w:val="000000"/>
          <w:sz w:val="24"/>
        </w:rPr>
        <w:t>S</w:t>
      </w:r>
      <w:r>
        <w:rPr>
          <w:rFonts w:ascii="Times New Roman" w:eastAsia="Microsoft YaHei" w:hAnsi="Times New Roman" w:cs="Times New Roman"/>
          <w:b/>
          <w:bCs/>
          <w:color w:val="000000"/>
          <w:sz w:val="24"/>
        </w:rPr>
        <w:t>mall animal imaging</w:t>
      </w:r>
    </w:p>
    <w:p w14:paraId="7E5FB24D"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hint="eastAsia"/>
          <w:color w:val="000000"/>
          <w:sz w:val="24"/>
        </w:rPr>
        <w:t xml:space="preserve">All animals were performed animal imaging (AniView100) and analyze by AniViewV1.00.00824. In the animal imaging process, we cover the tails of the mice for reducing the fluorescein influence of the freshly injected D-Luciferin potassium salt (Syd Labs,CAS115144-35-9). </w:t>
      </w:r>
      <w:r>
        <w:rPr>
          <w:rFonts w:ascii="Times New Roman" w:eastAsia="Microsoft YaHei" w:hAnsi="Times New Roman" w:cs="Times New Roman"/>
          <w:color w:val="000000"/>
          <w:sz w:val="24"/>
        </w:rPr>
        <w:t>At the end point, mice were euthanize and lung tissue was collected for pathological sections and staining to analyze the degree of metastasis in each group. Finally, the survival status of the mice was observed, and the survival period was recorded.</w:t>
      </w:r>
    </w:p>
    <w:p w14:paraId="38483B5E" w14:textId="77777777" w:rsidR="00DF1F9E" w:rsidRDefault="00DF1F9E" w:rsidP="00DF1F9E">
      <w:pPr>
        <w:spacing w:line="360" w:lineRule="auto"/>
        <w:rPr>
          <w:rFonts w:ascii="Times New Roman" w:eastAsia="Microsoft YaHei" w:hAnsi="Times New Roman" w:cs="Times New Roman"/>
          <w:b/>
          <w:bCs/>
          <w:color w:val="000000"/>
          <w:sz w:val="24"/>
        </w:rPr>
      </w:pPr>
      <w:r>
        <w:rPr>
          <w:rFonts w:ascii="Times New Roman" w:eastAsia="Microsoft YaHei" w:hAnsi="Times New Roman" w:cs="Times New Roman"/>
          <w:b/>
          <w:bCs/>
          <w:color w:val="000000"/>
          <w:sz w:val="24"/>
        </w:rPr>
        <w:t>Statistics and reproducibility</w:t>
      </w:r>
    </w:p>
    <w:p w14:paraId="461A67AE" w14:textId="77777777" w:rsidR="00DF1F9E" w:rsidRDefault="00DF1F9E" w:rsidP="00DF1F9E">
      <w:pPr>
        <w:spacing w:line="360" w:lineRule="auto"/>
        <w:rPr>
          <w:rFonts w:ascii="Times New Roman" w:eastAsia="Microsoft YaHei" w:hAnsi="Times New Roman" w:cs="Times New Roman"/>
          <w:color w:val="000000"/>
          <w:sz w:val="24"/>
        </w:rPr>
      </w:pPr>
      <w:r>
        <w:rPr>
          <w:rFonts w:ascii="Times New Roman" w:eastAsia="Microsoft YaHei" w:hAnsi="Times New Roman" w:cs="Times New Roman"/>
          <w:color w:val="000000"/>
          <w:sz w:val="24"/>
        </w:rPr>
        <w:t>All statistical analyses were performed using Prism10.2 (GraphPad). The data were showed as mean ± SD or mean ± SEM, and a two-way ANOVA test or one-way ANOVA test were used in the Figure legends. P value &lt; 0.0</w:t>
      </w:r>
      <w:r>
        <w:rPr>
          <w:rFonts w:ascii="Times New Roman" w:eastAsia="Microsoft YaHei" w:hAnsi="Times New Roman" w:cs="Times New Roman" w:hint="eastAsia"/>
          <w:color w:val="000000"/>
          <w:sz w:val="24"/>
        </w:rPr>
        <w:t>0</w:t>
      </w:r>
      <w:r>
        <w:rPr>
          <w:rFonts w:ascii="Times New Roman" w:eastAsia="Microsoft YaHei" w:hAnsi="Times New Roman" w:cs="Times New Roman"/>
          <w:color w:val="000000"/>
          <w:sz w:val="24"/>
        </w:rPr>
        <w:t>5 was considered statistically significant. Most experiments were carried out at least two or three times, the findings in this key experiments were reliably reproduced.</w:t>
      </w:r>
    </w:p>
    <w:p w14:paraId="7E085294" w14:textId="77777777" w:rsidR="00DF1F9E" w:rsidRDefault="00DF1F9E" w:rsidP="00DF1F9E">
      <w:pPr>
        <w:spacing w:line="360" w:lineRule="auto"/>
        <w:rPr>
          <w:rFonts w:ascii="Times New Roman" w:hAnsi="Times New Roman" w:cs="Times New Roman"/>
          <w:color w:val="000000"/>
          <w:sz w:val="24"/>
        </w:rPr>
      </w:pPr>
    </w:p>
    <w:p w14:paraId="2054E5D6" w14:textId="77777777" w:rsidR="00DF1F9E" w:rsidRDefault="00DF1F9E" w:rsidP="00DF1F9E">
      <w:pPr>
        <w:spacing w:line="360" w:lineRule="auto"/>
        <w:rPr>
          <w:rFonts w:ascii="Times New Roman" w:hAnsi="Times New Roman" w:cs="Times New Roman"/>
          <w:color w:val="000000"/>
          <w:sz w:val="24"/>
        </w:rPr>
      </w:pPr>
    </w:p>
    <w:p w14:paraId="74021622" w14:textId="77777777" w:rsidR="00DF1F9E" w:rsidRDefault="00DF1F9E" w:rsidP="00DF1F9E">
      <w:pPr>
        <w:spacing w:line="360" w:lineRule="auto"/>
        <w:rPr>
          <w:rFonts w:ascii="Times New Roman" w:hAnsi="Times New Roman" w:cs="Times New Roman"/>
          <w:color w:val="000000"/>
          <w:sz w:val="24"/>
        </w:rPr>
      </w:pPr>
    </w:p>
    <w:p w14:paraId="0F181CED" w14:textId="77777777" w:rsidR="00DF1F9E" w:rsidRDefault="00DF1F9E" w:rsidP="00DF1F9E">
      <w:pPr>
        <w:spacing w:line="360" w:lineRule="auto"/>
        <w:rPr>
          <w:rFonts w:ascii="Times New Roman" w:hAnsi="Times New Roman" w:cs="Times New Roman"/>
          <w:color w:val="000000"/>
          <w:sz w:val="24"/>
        </w:rPr>
      </w:pPr>
    </w:p>
    <w:p w14:paraId="2B1A6C44" w14:textId="77777777" w:rsidR="00DF1F9E" w:rsidRDefault="00DF1F9E" w:rsidP="00DF1F9E">
      <w:pPr>
        <w:spacing w:line="360" w:lineRule="auto"/>
        <w:rPr>
          <w:rFonts w:ascii="Times New Roman" w:hAnsi="Times New Roman" w:cs="Times New Roman"/>
          <w:color w:val="000000"/>
          <w:sz w:val="24"/>
        </w:rPr>
      </w:pPr>
    </w:p>
    <w:p w14:paraId="2FB84113" w14:textId="77777777" w:rsidR="00DF1F9E" w:rsidRDefault="00DF1F9E" w:rsidP="00DF1F9E">
      <w:pPr>
        <w:spacing w:line="360" w:lineRule="auto"/>
        <w:rPr>
          <w:rFonts w:ascii="Times New Roman" w:hAnsi="Times New Roman" w:cs="Times New Roman"/>
          <w:color w:val="000000"/>
          <w:sz w:val="24"/>
        </w:rPr>
      </w:pPr>
    </w:p>
    <w:p w14:paraId="4AA53D9C" w14:textId="77777777" w:rsidR="00DF1F9E" w:rsidRDefault="00DF1F9E" w:rsidP="00DF1F9E">
      <w:pPr>
        <w:spacing w:line="360" w:lineRule="auto"/>
        <w:rPr>
          <w:rFonts w:ascii="Times New Roman" w:hAnsi="Times New Roman" w:cs="Times New Roman"/>
          <w:color w:val="000000"/>
          <w:sz w:val="24"/>
        </w:rPr>
      </w:pPr>
    </w:p>
    <w:p w14:paraId="40395CFE" w14:textId="77777777" w:rsidR="00DF1F9E" w:rsidRDefault="00DF1F9E" w:rsidP="00DF1F9E">
      <w:pPr>
        <w:spacing w:line="360" w:lineRule="auto"/>
        <w:rPr>
          <w:rFonts w:ascii="Times New Roman" w:hAnsi="Times New Roman" w:cs="Times New Roman"/>
          <w:color w:val="000000"/>
          <w:sz w:val="24"/>
        </w:rPr>
      </w:pPr>
    </w:p>
    <w:p w14:paraId="73B15583" w14:textId="77777777" w:rsidR="00DF1F9E" w:rsidRDefault="00DF1F9E" w:rsidP="00DF1F9E">
      <w:pPr>
        <w:spacing w:line="360" w:lineRule="auto"/>
        <w:rPr>
          <w:rFonts w:ascii="Times New Roman" w:hAnsi="Times New Roman" w:cs="Times New Roman"/>
          <w:color w:val="000000"/>
          <w:sz w:val="24"/>
        </w:rPr>
      </w:pPr>
    </w:p>
    <w:p w14:paraId="752A693D" w14:textId="77777777" w:rsidR="00DF1F9E" w:rsidRDefault="00DF1F9E" w:rsidP="00DF1F9E">
      <w:pPr>
        <w:spacing w:line="360" w:lineRule="auto"/>
        <w:rPr>
          <w:rFonts w:ascii="Times New Roman" w:hAnsi="Times New Roman" w:cs="Times New Roman"/>
          <w:color w:val="000000"/>
          <w:sz w:val="24"/>
        </w:rPr>
      </w:pPr>
    </w:p>
    <w:p w14:paraId="771443AA" w14:textId="77777777" w:rsidR="00DF1F9E" w:rsidRDefault="00DF1F9E" w:rsidP="00DF1F9E">
      <w:pPr>
        <w:spacing w:line="360" w:lineRule="auto"/>
        <w:rPr>
          <w:rFonts w:ascii="Times New Roman" w:hAnsi="Times New Roman" w:cs="Times New Roman"/>
          <w:color w:val="000000"/>
          <w:sz w:val="24"/>
        </w:rPr>
      </w:pPr>
    </w:p>
    <w:p w14:paraId="5F74D05C" w14:textId="77777777" w:rsidR="00DF1F9E" w:rsidRDefault="00DF1F9E" w:rsidP="00DF1F9E">
      <w:pPr>
        <w:spacing w:line="360" w:lineRule="auto"/>
        <w:rPr>
          <w:rFonts w:ascii="Times New Roman" w:hAnsi="Times New Roman" w:cs="Times New Roman"/>
          <w:color w:val="000000"/>
          <w:sz w:val="24"/>
        </w:rPr>
      </w:pPr>
    </w:p>
    <w:p w14:paraId="1F6A4027" w14:textId="77777777" w:rsidR="00DF1F9E" w:rsidRDefault="00DF1F9E" w:rsidP="00DF1F9E">
      <w:pPr>
        <w:spacing w:line="360" w:lineRule="auto"/>
        <w:rPr>
          <w:rFonts w:ascii="Times New Roman" w:hAnsi="Times New Roman" w:cs="Times New Roman"/>
          <w:color w:val="000000"/>
          <w:sz w:val="24"/>
        </w:rPr>
      </w:pPr>
    </w:p>
    <w:p w14:paraId="4A2BCCC4" w14:textId="77777777" w:rsidR="00DF1F9E" w:rsidRDefault="00DF1F9E" w:rsidP="00DF1F9E">
      <w:pPr>
        <w:spacing w:line="360" w:lineRule="auto"/>
        <w:rPr>
          <w:rFonts w:ascii="Times New Roman" w:hAnsi="Times New Roman" w:cs="Times New Roman"/>
          <w:color w:val="000000"/>
          <w:sz w:val="24"/>
        </w:rPr>
      </w:pPr>
    </w:p>
    <w:p w14:paraId="0D5B68AD" w14:textId="77777777" w:rsidR="00DF1F9E" w:rsidRDefault="00DF1F9E" w:rsidP="00DF1F9E">
      <w:pPr>
        <w:spacing w:line="360" w:lineRule="auto"/>
        <w:rPr>
          <w:rFonts w:ascii="Times New Roman" w:hAnsi="Times New Roman" w:cs="Times New Roman"/>
          <w:color w:val="000000"/>
          <w:sz w:val="24"/>
        </w:rPr>
      </w:pPr>
    </w:p>
    <w:p w14:paraId="06CB76CA" w14:textId="77777777" w:rsidR="00DF1F9E" w:rsidRDefault="00DF1F9E" w:rsidP="00DF1F9E">
      <w:pPr>
        <w:spacing w:line="360" w:lineRule="auto"/>
        <w:rPr>
          <w:rFonts w:ascii="Times New Roman" w:hAnsi="Times New Roman" w:cs="Times New Roman"/>
          <w:color w:val="000000"/>
          <w:sz w:val="24"/>
        </w:rPr>
      </w:pPr>
    </w:p>
    <w:p w14:paraId="4698D0DD" w14:textId="77777777" w:rsidR="00DF1F9E" w:rsidRDefault="00DF1F9E" w:rsidP="00DF1F9E">
      <w:pPr>
        <w:spacing w:line="360" w:lineRule="auto"/>
        <w:rPr>
          <w:rFonts w:ascii="Times New Roman" w:hAnsi="Times New Roman" w:cs="Times New Roman"/>
          <w:color w:val="000000"/>
          <w:sz w:val="24"/>
        </w:rPr>
      </w:pPr>
    </w:p>
    <w:p w14:paraId="6F9191F0" w14:textId="77777777" w:rsidR="00DF1F9E" w:rsidRDefault="00DF1F9E" w:rsidP="00DF1F9E">
      <w:pPr>
        <w:spacing w:line="360" w:lineRule="auto"/>
        <w:rPr>
          <w:rFonts w:ascii="Times New Roman" w:hAnsi="Times New Roman" w:cs="Times New Roman"/>
          <w:color w:val="000000"/>
          <w:sz w:val="24"/>
        </w:rPr>
      </w:pPr>
    </w:p>
    <w:p w14:paraId="3E98945B" w14:textId="77777777" w:rsidR="00DF1F9E" w:rsidRDefault="00DF1F9E" w:rsidP="00DF1F9E">
      <w:pPr>
        <w:spacing w:line="360" w:lineRule="auto"/>
        <w:rPr>
          <w:rFonts w:ascii="Times New Roman" w:hAnsi="Times New Roman" w:cs="Times New Roman"/>
          <w:color w:val="000000"/>
          <w:sz w:val="24"/>
        </w:rPr>
      </w:pPr>
    </w:p>
    <w:p w14:paraId="7E803DBF" w14:textId="77777777" w:rsidR="00DF1F9E" w:rsidRDefault="00DF1F9E" w:rsidP="00DF1F9E">
      <w:pPr>
        <w:spacing w:line="360" w:lineRule="auto"/>
        <w:rPr>
          <w:rFonts w:ascii="Times New Roman" w:hAnsi="Times New Roman" w:cs="Times New Roman"/>
          <w:color w:val="000000"/>
          <w:sz w:val="24"/>
        </w:rPr>
      </w:pPr>
    </w:p>
    <w:p w14:paraId="18CDCEA9" w14:textId="77777777" w:rsidR="00DF1F9E" w:rsidRDefault="00DF1F9E" w:rsidP="00DF1F9E">
      <w:pPr>
        <w:spacing w:line="360" w:lineRule="auto"/>
        <w:rPr>
          <w:rFonts w:ascii="Times New Roman" w:hAnsi="Times New Roman" w:cs="Times New Roman"/>
          <w:color w:val="000000"/>
          <w:sz w:val="24"/>
        </w:rPr>
      </w:pPr>
    </w:p>
    <w:p w14:paraId="2A7DF00E" w14:textId="77777777" w:rsidR="00DF1F9E" w:rsidRDefault="00DF1F9E" w:rsidP="00DF1F9E">
      <w:pPr>
        <w:spacing w:line="360" w:lineRule="auto"/>
        <w:rPr>
          <w:rFonts w:ascii="Times New Roman" w:hAnsi="Times New Roman" w:cs="Times New Roman"/>
          <w:color w:val="000000"/>
          <w:sz w:val="24"/>
        </w:rPr>
      </w:pPr>
    </w:p>
    <w:p w14:paraId="2902205D" w14:textId="72F093A8"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F9E"/>
    <w:rsid w:val="00195413"/>
    <w:rsid w:val="003D0186"/>
    <w:rsid w:val="007278E4"/>
    <w:rsid w:val="00A3738C"/>
    <w:rsid w:val="00B95221"/>
    <w:rsid w:val="00BC6C35"/>
    <w:rsid w:val="00CB270D"/>
    <w:rsid w:val="00CF7583"/>
    <w:rsid w:val="00DE6AE2"/>
    <w:rsid w:val="00DF1F9E"/>
    <w:rsid w:val="00E51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CCFF8"/>
  <w15:chartTrackingRefBased/>
  <w15:docId w15:val="{CC145205-B17E-437D-B533-82EC71B2A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F9E"/>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DF1F9E"/>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F1F9E"/>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F1F9E"/>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F1F9E"/>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DF1F9E"/>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DF1F9E"/>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DF1F9E"/>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DF1F9E"/>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DF1F9E"/>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F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1F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1F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1F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1F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1F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1F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1F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1F9E"/>
    <w:rPr>
      <w:rFonts w:eastAsiaTheme="majorEastAsia" w:cstheme="majorBidi"/>
      <w:color w:val="272727" w:themeColor="text1" w:themeTint="D8"/>
    </w:rPr>
  </w:style>
  <w:style w:type="paragraph" w:styleId="Title">
    <w:name w:val="Title"/>
    <w:basedOn w:val="Normal"/>
    <w:next w:val="Normal"/>
    <w:link w:val="TitleChar"/>
    <w:uiPriority w:val="10"/>
    <w:qFormat/>
    <w:rsid w:val="00DF1F9E"/>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F1F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1F9E"/>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F1F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1F9E"/>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DF1F9E"/>
    <w:rPr>
      <w:i/>
      <w:iCs/>
      <w:color w:val="404040" w:themeColor="text1" w:themeTint="BF"/>
    </w:rPr>
  </w:style>
  <w:style w:type="paragraph" w:styleId="ListParagraph">
    <w:name w:val="List Paragraph"/>
    <w:basedOn w:val="Normal"/>
    <w:uiPriority w:val="34"/>
    <w:qFormat/>
    <w:rsid w:val="00DF1F9E"/>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DF1F9E"/>
    <w:rPr>
      <w:i/>
      <w:iCs/>
      <w:color w:val="0F4761" w:themeColor="accent1" w:themeShade="BF"/>
    </w:rPr>
  </w:style>
  <w:style w:type="paragraph" w:styleId="IntenseQuote">
    <w:name w:val="Intense Quote"/>
    <w:basedOn w:val="Normal"/>
    <w:next w:val="Normal"/>
    <w:link w:val="IntenseQuoteChar"/>
    <w:uiPriority w:val="30"/>
    <w:qFormat/>
    <w:rsid w:val="00DF1F9E"/>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DF1F9E"/>
    <w:rPr>
      <w:i/>
      <w:iCs/>
      <w:color w:val="0F4761" w:themeColor="accent1" w:themeShade="BF"/>
    </w:rPr>
  </w:style>
  <w:style w:type="character" w:styleId="IntenseReference">
    <w:name w:val="Intense Reference"/>
    <w:basedOn w:val="DefaultParagraphFont"/>
    <w:uiPriority w:val="32"/>
    <w:qFormat/>
    <w:rsid w:val="00DF1F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3014</Words>
  <Characters>17183</Characters>
  <Application>Microsoft Office Word</Application>
  <DocSecurity>0</DocSecurity>
  <Lines>143</Lines>
  <Paragraphs>40</Paragraphs>
  <ScaleCrop>false</ScaleCrop>
  <Company>Springer Nature</Company>
  <LinksUpToDate>false</LinksUpToDate>
  <CharactersWithSpaces>20157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2025-05-23T10:11:00Z</dcterms:created>
  <dcterms:modified xsi:type="dcterms:W3CDTF">2025-05-23T10:13:00Z</dcterms:modified>
</cp:coreProperties>
</file>