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B4D6" w14:textId="77777777" w:rsidR="007211A0" w:rsidRDefault="00000000">
      <w:pPr>
        <w:jc w:val="center"/>
        <w:rPr>
          <w:rFonts w:ascii="Times New Roman" w:eastAsia="Times New Roman" w:hAnsi="Times New Roman" w:cs="Times New Roman"/>
          <w:b/>
          <w:color w:val="0B0B0B"/>
        </w:rPr>
      </w:pPr>
      <w:r>
        <w:rPr>
          <w:rFonts w:ascii="Times New Roman" w:eastAsia="Times New Roman" w:hAnsi="Times New Roman" w:cs="Times New Roman"/>
          <w:b/>
          <w:color w:val="0B0B0B"/>
        </w:rPr>
        <w:t xml:space="preserve">FGFR gene amplification and response to HER2-targeted therapy in patients with HER2-expressing metastatic breast cancer </w:t>
      </w:r>
    </w:p>
    <w:p w14:paraId="22AD7173" w14:textId="77777777" w:rsidR="007211A0" w:rsidRDefault="007211A0">
      <w:pPr>
        <w:jc w:val="center"/>
        <w:rPr>
          <w:rFonts w:ascii="Times New Roman" w:eastAsia="Times New Roman" w:hAnsi="Times New Roman" w:cs="Times New Roman"/>
          <w:b/>
          <w:color w:val="0B0B0B"/>
        </w:rPr>
      </w:pPr>
    </w:p>
    <w:p w14:paraId="72E61E58" w14:textId="60113CFE" w:rsidR="007211A0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40C28"/>
          <w:highlight w:val="white"/>
        </w:rPr>
        <w:t>Diana Jaber,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1*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highlight w:val="white"/>
        </w:rPr>
        <w:t>Yangruijue</w:t>
      </w:r>
      <w:proofErr w:type="spellEnd"/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Ma,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Sarah Marini,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Natalie K. Heater,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Surbhi Warrior,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 xml:space="preserve">1,3 </w:t>
      </w:r>
      <w:r>
        <w:rPr>
          <w:rFonts w:ascii="Times New Roman" w:eastAsia="Times New Roman" w:hAnsi="Times New Roman" w:cs="Times New Roman"/>
          <w:color w:val="040C28"/>
          <w:highlight w:val="white"/>
        </w:rPr>
        <w:t>Regina Stein,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 xml:space="preserve">1,3 </w:t>
      </w:r>
      <w:r>
        <w:rPr>
          <w:rFonts w:ascii="Times New Roman" w:eastAsia="Times New Roman" w:hAnsi="Times New Roman" w:cs="Times New Roman"/>
          <w:color w:val="040C28"/>
          <w:highlight w:val="white"/>
        </w:rPr>
        <w:t>Lisa Flaum,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Patricia Robinson,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B0B0B"/>
        </w:rPr>
        <w:t>Huiping Liu</w:t>
      </w:r>
      <w:r>
        <w:rPr>
          <w:rFonts w:ascii="Times New Roman" w:eastAsia="Times New Roman" w:hAnsi="Times New Roman" w:cs="Times New Roman"/>
          <w:color w:val="040C28"/>
          <w:highlight w:val="white"/>
        </w:rPr>
        <w:t>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Claudia Tellez,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Ami Shah,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Massimo Cristofanilli,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B0B0B"/>
        </w:rPr>
        <w:t>Youbin</w:t>
      </w:r>
      <w:proofErr w:type="spellEnd"/>
      <w:r>
        <w:rPr>
          <w:rFonts w:ascii="Times New Roman" w:eastAsia="Times New Roman" w:hAnsi="Times New Roman" w:cs="Times New Roman"/>
          <w:color w:val="0B0B0B"/>
        </w:rPr>
        <w:t xml:space="preserve"> Zhang</w:t>
      </w:r>
      <w:r>
        <w:rPr>
          <w:rFonts w:ascii="Times New Roman" w:eastAsia="Times New Roman" w:hAnsi="Times New Roman" w:cs="Times New Roman"/>
          <w:color w:val="040C28"/>
          <w:highlight w:val="white"/>
        </w:rPr>
        <w:t>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Leonidas</w:t>
      </w:r>
      <w:r w:rsidR="0074741A">
        <w:rPr>
          <w:rFonts w:ascii="Times New Roman" w:eastAsia="Times New Roman" w:hAnsi="Times New Roman" w:cs="Times New Roman"/>
          <w:color w:val="040C28"/>
          <w:highlight w:val="white"/>
        </w:rPr>
        <w:t xml:space="preserve"> C.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Platanias,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B0B0B"/>
        </w:rPr>
        <w:t>Qiang Zhang</w:t>
      </w:r>
      <w:r>
        <w:rPr>
          <w:rFonts w:ascii="Times New Roman" w:eastAsia="Times New Roman" w:hAnsi="Times New Roman" w:cs="Times New Roman"/>
          <w:color w:val="040C28"/>
          <w:highlight w:val="white"/>
        </w:rPr>
        <w:t>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B0B0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highlight w:val="white"/>
        </w:rPr>
        <w:t>Zequn</w:t>
      </w:r>
      <w:proofErr w:type="spellEnd"/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Sun,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William Gradisha</w:t>
      </w:r>
      <w:r>
        <w:rPr>
          <w:rFonts w:ascii="Times New Roman" w:eastAsia="Times New Roman" w:hAnsi="Times New Roman" w:cs="Times New Roman"/>
          <w:highlight w:val="white"/>
        </w:rPr>
        <w:t>r</w:t>
      </w:r>
      <w:r>
        <w:rPr>
          <w:rFonts w:ascii="Times New Roman" w:eastAsia="Times New Roman" w:hAnsi="Times New Roman" w:cs="Times New Roman"/>
          <w:color w:val="040C28"/>
          <w:highlight w:val="white"/>
        </w:rPr>
        <w:t>,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 xml:space="preserve">1,3 </w:t>
      </w:r>
      <w:r>
        <w:rPr>
          <w:rFonts w:ascii="Times New Roman" w:eastAsia="Times New Roman" w:hAnsi="Times New Roman" w:cs="Times New Roman"/>
          <w:color w:val="040C28"/>
          <w:highlight w:val="white"/>
        </w:rPr>
        <w:t>Janice Lu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1,3</w:t>
      </w:r>
      <w:r>
        <w:rPr>
          <w:rFonts w:ascii="Times New Roman" w:eastAsia="Times New Roman" w:hAnsi="Times New Roman" w:cs="Times New Roman"/>
          <w:color w:val="040C28"/>
          <w:highlight w:val="white"/>
        </w:rPr>
        <w:t xml:space="preserve"> </w:t>
      </w:r>
    </w:p>
    <w:p w14:paraId="01270072" w14:textId="77777777" w:rsidR="007211A0" w:rsidRDefault="007211A0">
      <w:pPr>
        <w:rPr>
          <w:rFonts w:ascii="Times New Roman" w:eastAsia="Times New Roman" w:hAnsi="Times New Roman" w:cs="Times New Roman"/>
          <w:highlight w:val="white"/>
        </w:rPr>
      </w:pPr>
    </w:p>
    <w:p w14:paraId="5048CD3C" w14:textId="77777777" w:rsidR="007211A0" w:rsidRDefault="007211A0">
      <w:pPr>
        <w:spacing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13F65D01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  <w:highlight w:val="white"/>
        </w:rPr>
        <w:t xml:space="preserve"> Department of Medicine, </w:t>
      </w:r>
      <w:r>
        <w:rPr>
          <w:rFonts w:ascii="Times New Roman" w:eastAsia="Times New Roman" w:hAnsi="Times New Roman" w:cs="Times New Roman"/>
          <w:color w:val="212121"/>
          <w:highlight w:val="white"/>
        </w:rPr>
        <w:t>McGaw Medical Center of Northwestern University</w:t>
      </w:r>
      <w:r>
        <w:rPr>
          <w:rFonts w:ascii="Times New Roman" w:eastAsia="Times New Roman" w:hAnsi="Times New Roman" w:cs="Times New Roman"/>
          <w:highlight w:val="white"/>
        </w:rPr>
        <w:t>, Chicago, Illinois, USA</w:t>
      </w:r>
    </w:p>
    <w:p w14:paraId="6D5AA502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12121"/>
          <w:highlight w:val="white"/>
        </w:rPr>
        <w:t xml:space="preserve">Department of Preventive Medicine, Biostatistics and Informative Division, </w:t>
      </w:r>
      <w:r>
        <w:rPr>
          <w:rFonts w:ascii="Times New Roman" w:eastAsia="Times New Roman" w:hAnsi="Times New Roman" w:cs="Times New Roman"/>
          <w:highlight w:val="white"/>
        </w:rPr>
        <w:t>Northwestern University, Chicago, Illinois, USA</w:t>
      </w:r>
    </w:p>
    <w:p w14:paraId="49794007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  <w:highlight w:val="white"/>
        </w:rPr>
        <w:t xml:space="preserve"> Division of Hematology/Oncology, Robert H. Lurie Comprehensive Cancer Center of Northwestern University, Chicago, Illinois, USA</w:t>
      </w:r>
    </w:p>
    <w:p w14:paraId="4B9A2196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  <w:highlight w:val="white"/>
        </w:rPr>
        <w:t xml:space="preserve"> Division of Hematology/Oncology, Weill Cornell Medicine, New York, New York, USA</w:t>
      </w:r>
    </w:p>
    <w:p w14:paraId="7307578C" w14:textId="77777777" w:rsidR="007211A0" w:rsidRDefault="007211A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BB690D0" w14:textId="77777777" w:rsidR="007211A0" w:rsidRDefault="007211A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5DE7E9D" w14:textId="77777777" w:rsidR="007211A0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*Corresponding Author:</w:t>
      </w:r>
    </w:p>
    <w:p w14:paraId="63AC1B09" w14:textId="77777777" w:rsidR="007211A0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Diana Jaber, MD </w:t>
      </w:r>
    </w:p>
    <w:p w14:paraId="5C96057B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Department of Medicine</w:t>
      </w:r>
    </w:p>
    <w:p w14:paraId="025D1807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McGaw Medical Center of Northwestern University</w:t>
      </w:r>
    </w:p>
    <w:p w14:paraId="486F7DF0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676 North Saint Clair Street</w:t>
      </w:r>
    </w:p>
    <w:p w14:paraId="783F3F45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Suite #2330</w:t>
      </w:r>
    </w:p>
    <w:p w14:paraId="2D6B3E2B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Chicago, IL</w:t>
      </w:r>
    </w:p>
    <w:p w14:paraId="063CB418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60611</w:t>
      </w:r>
    </w:p>
    <w:p w14:paraId="61D5A03C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Phone: 312-926-2000</w:t>
      </w:r>
    </w:p>
    <w:p w14:paraId="5B70FB62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Email: diana.jaber@northwestern.edu (email)</w:t>
      </w:r>
    </w:p>
    <w:p w14:paraId="1868B36C" w14:textId="77777777" w:rsidR="007211A0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ORCID: 0009-0008-7288-6820</w:t>
      </w:r>
    </w:p>
    <w:p w14:paraId="03B80164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</w:rPr>
      </w:pPr>
    </w:p>
    <w:p w14:paraId="451A13EC" w14:textId="77777777" w:rsidR="007211A0" w:rsidRDefault="00000000">
      <w:pPr>
        <w:spacing w:before="240" w:after="24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This document contains supplementary material for the above manuscript.</w:t>
      </w:r>
    </w:p>
    <w:p w14:paraId="147B203A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</w:rPr>
      </w:pPr>
    </w:p>
    <w:p w14:paraId="528FFC3A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</w:rPr>
      </w:pPr>
    </w:p>
    <w:p w14:paraId="78CC2EE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2F90EF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D7EBFA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84B6C8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B64CBC8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EA892D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9D752A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A4A2B9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2038493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01CE6C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58E8F6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EE1C80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C8538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38898E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201D291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F7F78A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Supplementary Fig. S1 Overall survival swimmer plot by FGFR status</w:t>
      </w:r>
    </w:p>
    <w:p w14:paraId="12AB4419" w14:textId="77777777" w:rsidR="0074741A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Swimmer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plot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illustrating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overall survival from the time of metastatic breast cancer diagnosis, stratified by FGFR amplification status. Each horizontal bar represents an individual patient, with FGFR wild-type (WT) shown in red and FGFR-amplified (FGFR+) in blue. FGFR+ patients demonstrated shorter survival durations and earlier mortality events compared to WT patients</w:t>
      </w:r>
    </w:p>
    <w:p w14:paraId="6582A968" w14:textId="1642906C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47D197D5" wp14:editId="4EBAA2B1">
            <wp:simplePos x="0" y="0"/>
            <wp:positionH relativeFrom="page">
              <wp:posOffset>819150</wp:posOffset>
            </wp:positionH>
            <wp:positionV relativeFrom="page">
              <wp:posOffset>1790700</wp:posOffset>
            </wp:positionV>
            <wp:extent cx="5943600" cy="6565900"/>
            <wp:effectExtent l="0" t="0" r="0" b="0"/>
            <wp:wrapSquare wrapText="bothSides" distT="0" distB="0" distL="0" distR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A9EBB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3A62F09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6711E3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225EBFC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DAF711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Supplementary Fig. S2 Multivariate analysis of progression-free survival on 1st–2nd line HER2-targeted therapy following FGFR detection</w:t>
      </w:r>
    </w:p>
    <w:p w14:paraId="22451CD2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Multivariate Cox proportional hazards model evaluating the association of FGFR amplification and clinical covariates with progression-free survival on 1st–2nd line HER2-targeted therapy (low treatment burden) following FGFR detection. Hazard ratios (HRs) and 95% confidence intervals (CIs) are shown. FGFR-amplified (FGFR+) patients had significantly higher risk of progression compared to FGFR wild-type (WT) (HR = 6.27,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=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0.005). Global model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z w:val="20"/>
          <w:szCs w:val="20"/>
        </w:rPr>
        <w:t>= 0.03. ER, estrogen receptor; PR, progesterone receptor</w:t>
      </w:r>
    </w:p>
    <w:p w14:paraId="506F6F5E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104323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EC7553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690031BF" wp14:editId="4781573C">
            <wp:simplePos x="0" y="0"/>
            <wp:positionH relativeFrom="page">
              <wp:posOffset>933450</wp:posOffset>
            </wp:positionH>
            <wp:positionV relativeFrom="page">
              <wp:posOffset>2455892</wp:posOffset>
            </wp:positionV>
            <wp:extent cx="5818930" cy="3882996"/>
            <wp:effectExtent l="0" t="0" r="0" b="0"/>
            <wp:wrapSquare wrapText="bothSides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930" cy="3882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5DC24C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9F3D2F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F07924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40ADB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0156EA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70234E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07281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993859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1360E9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2135BC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49B268" w14:textId="77777777" w:rsidR="0074741A" w:rsidRDefault="0074741A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173AC6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3690B9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5AFE66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Supplementary Fig. S3 Multivariate analysis of progression-free survival on 3rd–4th line HER2-targeted therapy following FGFR detection</w:t>
      </w:r>
    </w:p>
    <w:p w14:paraId="54DE45D4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Multivariate Cox proportional hazards model evaluating the association of FGFR amplification and clinical covariates with progression-free survival on 3rd–4th line HER2-targeted therapy (moderate treatment burden) following FGFR detection. Hazard ratios (HRs) and 95% confidence intervals (CIs) are shown. FGFR-amplified (FGFR+) patients had significantly higher risk of progression compared to FGFR wild-type (WT) (HR = 3.41,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= </w:t>
      </w:r>
      <w:r>
        <w:rPr>
          <w:rFonts w:ascii="Times New Roman" w:eastAsia="Times New Roman" w:hAnsi="Times New Roman" w:cs="Times New Roman"/>
          <w:sz w:val="20"/>
          <w:szCs w:val="20"/>
        </w:rPr>
        <w:t>0.008). Global model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0.05. ER, estrogen receptor; PR, progesterone receptor</w:t>
      </w:r>
    </w:p>
    <w:p w14:paraId="6E29A763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F0764D8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B49140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0288" behindDoc="0" locked="0" layoutInCell="1" hidden="0" allowOverlap="1" wp14:anchorId="47FC7363" wp14:editId="3AE36798">
            <wp:simplePos x="0" y="0"/>
            <wp:positionH relativeFrom="page">
              <wp:posOffset>933450</wp:posOffset>
            </wp:positionH>
            <wp:positionV relativeFrom="page">
              <wp:posOffset>2455892</wp:posOffset>
            </wp:positionV>
            <wp:extent cx="5943600" cy="3962400"/>
            <wp:effectExtent l="0" t="0" r="0" b="0"/>
            <wp:wrapSquare wrapText="bothSides" distT="0" distB="0" distL="0" distR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353BD6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4556AF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1B5E87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062A8C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9B1DF7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D97628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3B8AE6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4C81C9" w14:textId="77777777" w:rsidR="007211A0" w:rsidRDefault="0000000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4741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Supplementary Fig. S4 Multivariate analysis of progression-free survival</w:t>
      </w:r>
      <w:r w:rsidRPr="0074741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741A">
        <w:rPr>
          <w:rFonts w:ascii="Times New Roman" w:eastAsia="Gungsuh" w:hAnsi="Times New Roman" w:cs="Times New Roman"/>
          <w:b/>
          <w:sz w:val="20"/>
          <w:szCs w:val="20"/>
        </w:rPr>
        <w:t>on ≥5th line HER2-targeted therapy following FGFR detection</w:t>
      </w:r>
      <w:r w:rsidRPr="0074741A">
        <w:rPr>
          <w:rFonts w:ascii="Times New Roman" w:eastAsia="Times New Roman" w:hAnsi="Times New Roman" w:cs="Times New Roman"/>
          <w:sz w:val="20"/>
          <w:szCs w:val="20"/>
        </w:rPr>
        <w:br/>
        <w:t>Multivariate Cox proportional hazards model evaluating the association of FGFR amplification and clinical covariates with progression-free survival on 5th line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or later HER2-targeted therapy (high treatment burden) following FGFR detection. Hazard ratios (HRs) and 95% confidence intervals (CIs) are shown. FGFR-amplified (FGFR+) patients had significantly higher risk of progression compared to FGFR wild-type (WT) (HR = 13.38,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&lt; 0.001). Global model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&lt; 0.001. ER, estrogen receptor; PR, progesterone receptor</w:t>
      </w:r>
    </w:p>
    <w:p w14:paraId="341BA289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37232F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54D8B82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EDAE00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9238B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157AC5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CF6B7F" w14:textId="77777777" w:rsidR="007211A0" w:rsidRDefault="007211A0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7872168" w14:textId="3DD64D80" w:rsidR="007211A0" w:rsidRPr="0074741A" w:rsidRDefault="00000000" w:rsidP="0074741A">
      <w:pPr>
        <w:spacing w:before="240" w:after="240"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 wp14:anchorId="410A08C3" wp14:editId="38FEF2D0">
            <wp:simplePos x="0" y="0"/>
            <wp:positionH relativeFrom="page">
              <wp:posOffset>933450</wp:posOffset>
            </wp:positionH>
            <wp:positionV relativeFrom="page">
              <wp:posOffset>2269972</wp:posOffset>
            </wp:positionV>
            <wp:extent cx="5943600" cy="3962400"/>
            <wp:effectExtent l="0" t="0" r="0" b="0"/>
            <wp:wrapSquare wrapText="bothSides" distT="0" distB="0" distL="0" distR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956E5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2746F1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D9446C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Supplementary Fig. S5 Multivariate analysis of progression-free survival on 1st–2nd line HER2-targeted therapy prior to FGFR detection</w:t>
      </w:r>
    </w:p>
    <w:p w14:paraId="1022B7E8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Multivariate Cox proportional hazards model evaluating the association of FGFR amplification and clinical covariates with progression-free survival on 1st–2nd line HER2-targeted therapy (low treatment burden) prior to FGFR detection. Hazard ratios (HRs) and 95% confidence intervals (CIs) are shown. FGFR-amplified (FGFR+) patients had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significantly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higher risk of progression compared to FGFR wild-type (WT) (HR = 4.03,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 0.025). Global model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0.06. ER, estrogen receptor; PR, progesterone receptor</w:t>
      </w:r>
    </w:p>
    <w:p w14:paraId="1EF5FC80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E47D56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27B5E477" wp14:editId="080A66FA">
            <wp:simplePos x="0" y="0"/>
            <wp:positionH relativeFrom="column">
              <wp:posOffset>0</wp:posOffset>
            </wp:positionH>
            <wp:positionV relativeFrom="paragraph">
              <wp:posOffset>78856</wp:posOffset>
            </wp:positionV>
            <wp:extent cx="5943600" cy="3962400"/>
            <wp:effectExtent l="0" t="0" r="0" b="0"/>
            <wp:wrapSquare wrapText="bothSides" distT="0" distB="0" distL="0" distR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A926FC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4943BF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2B8EB0D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B1E2485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E6BD124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9432F37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77225B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6DBA93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9B781E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5BBACB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19B171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B948FE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320561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050A32" w14:textId="77777777" w:rsidR="007211A0" w:rsidRDefault="007211A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64DD3C" w14:textId="77777777" w:rsidR="007211A0" w:rsidRPr="0074741A" w:rsidRDefault="00000000">
      <w:pPr>
        <w:spacing w:line="278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4741A">
        <w:rPr>
          <w:rFonts w:ascii="Times New Roman" w:eastAsia="Gungsuh" w:hAnsi="Times New Roman" w:cs="Times New Roman"/>
          <w:b/>
          <w:sz w:val="20"/>
          <w:szCs w:val="20"/>
        </w:rPr>
        <w:lastRenderedPageBreak/>
        <w:t xml:space="preserve">Supplementary Fig. S6 Multivariate analysis of progression-free survival on ≥3rd line HER2-targeted therapy prior to FGFR detection </w:t>
      </w:r>
    </w:p>
    <w:p w14:paraId="7C87FBB1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4741A">
        <w:rPr>
          <w:rFonts w:ascii="Times New Roman" w:eastAsia="Times New Roman" w:hAnsi="Times New Roman" w:cs="Times New Roman"/>
          <w:sz w:val="20"/>
          <w:szCs w:val="20"/>
        </w:rPr>
        <w:t>Multivariate Cox proportional hazards model evaluating the association of FGFR amplification and clinical covariates with progression-free survival on 3rd line or later HER2-targeted therapy (moderate-to-high treatment burden) prior to FGFR detection. Hazard ratios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(HRs) and 95% confidence intervals (CIs) are shown. FGFR-amplified (FGFR+) patients had significantly higher risk of progression compared to FGFR wild-type (WT) (HR = 2.95,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 0.046). Global model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z w:val="20"/>
          <w:szCs w:val="20"/>
        </w:rPr>
        <w:t>= 0.09. ER, estrogen receptor; PR, progesterone receptor</w:t>
      </w:r>
    </w:p>
    <w:p w14:paraId="07CFBEA6" w14:textId="77777777" w:rsidR="007211A0" w:rsidRDefault="00000000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 wp14:anchorId="121D2BB6" wp14:editId="0422A303">
            <wp:simplePos x="0" y="0"/>
            <wp:positionH relativeFrom="page">
              <wp:posOffset>914400</wp:posOffset>
            </wp:positionH>
            <wp:positionV relativeFrom="page">
              <wp:posOffset>2203297</wp:posOffset>
            </wp:positionV>
            <wp:extent cx="5943600" cy="3962400"/>
            <wp:effectExtent l="0" t="0" r="0" b="0"/>
            <wp:wrapSquare wrapText="bothSides" distT="0" distB="0" distL="0" distR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211A0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04AEC" w14:textId="77777777" w:rsidR="00B53EF2" w:rsidRDefault="00B53EF2" w:rsidP="0074741A">
      <w:pPr>
        <w:spacing w:line="240" w:lineRule="auto"/>
      </w:pPr>
      <w:r>
        <w:separator/>
      </w:r>
    </w:p>
  </w:endnote>
  <w:endnote w:type="continuationSeparator" w:id="0">
    <w:p w14:paraId="6D6BF550" w14:textId="77777777" w:rsidR="00B53EF2" w:rsidRDefault="00B53EF2" w:rsidP="007474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58217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315E5320" w14:textId="61CC095E" w:rsidR="0074741A" w:rsidRPr="0074741A" w:rsidRDefault="0074741A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4741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4741A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4741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74741A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4741A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7FA69D50" w14:textId="77777777" w:rsidR="0074741A" w:rsidRDefault="007474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5A5DF" w14:textId="77777777" w:rsidR="00B53EF2" w:rsidRDefault="00B53EF2" w:rsidP="0074741A">
      <w:pPr>
        <w:spacing w:line="240" w:lineRule="auto"/>
      </w:pPr>
      <w:r>
        <w:separator/>
      </w:r>
    </w:p>
  </w:footnote>
  <w:footnote w:type="continuationSeparator" w:id="0">
    <w:p w14:paraId="10F79866" w14:textId="77777777" w:rsidR="00B53EF2" w:rsidRDefault="00B53EF2" w:rsidP="0074741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1A0"/>
    <w:rsid w:val="00132A0C"/>
    <w:rsid w:val="007211A0"/>
    <w:rsid w:val="0074741A"/>
    <w:rsid w:val="00B5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CFB15"/>
  <w15:docId w15:val="{F068269B-221B-468F-AA38-3C9C30E6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4741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41A"/>
  </w:style>
  <w:style w:type="paragraph" w:styleId="Footer">
    <w:name w:val="footer"/>
    <w:basedOn w:val="Normal"/>
    <w:link w:val="FooterChar"/>
    <w:uiPriority w:val="99"/>
    <w:unhideWhenUsed/>
    <w:rsid w:val="0074741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671</Words>
  <Characters>4296</Characters>
  <Application>Microsoft Office Word</Application>
  <DocSecurity>0</DocSecurity>
  <Lines>70</Lines>
  <Paragraphs>42</Paragraphs>
  <ScaleCrop>false</ScaleCrop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 Troller</cp:lastModifiedBy>
  <cp:revision>2</cp:revision>
  <dcterms:created xsi:type="dcterms:W3CDTF">2025-05-11T17:43:00Z</dcterms:created>
  <dcterms:modified xsi:type="dcterms:W3CDTF">2025-05-11T17:43:00Z</dcterms:modified>
</cp:coreProperties>
</file>