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6Renkli"/>
        <w:tblpPr w:leftFromText="141" w:rightFromText="141" w:horzAnchor="margin" w:tblpY="864"/>
        <w:tblW w:w="0" w:type="auto"/>
        <w:tblLook w:val="04A0" w:firstRow="1" w:lastRow="0" w:firstColumn="1" w:lastColumn="0" w:noHBand="0" w:noVBand="1"/>
      </w:tblPr>
      <w:tblGrid>
        <w:gridCol w:w="1782"/>
        <w:gridCol w:w="1794"/>
        <w:gridCol w:w="1798"/>
        <w:gridCol w:w="1816"/>
        <w:gridCol w:w="1882"/>
      </w:tblGrid>
      <w:tr w:rsidR="008051B1" w:rsidRPr="000A225D" w:rsidTr="006A3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8051B1" w:rsidRPr="008051B1" w:rsidRDefault="008051B1" w:rsidP="006A33BD">
            <w:pPr>
              <w:spacing w:after="120" w:line="360" w:lineRule="auto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12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Control</w:t>
            </w:r>
          </w:p>
        </w:tc>
        <w:tc>
          <w:tcPr>
            <w:tcW w:w="1812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TQ</w:t>
            </w:r>
          </w:p>
        </w:tc>
        <w:tc>
          <w:tcPr>
            <w:tcW w:w="1813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LPS</w:t>
            </w:r>
          </w:p>
        </w:tc>
        <w:tc>
          <w:tcPr>
            <w:tcW w:w="1813" w:type="dxa"/>
          </w:tcPr>
          <w:p w:rsidR="008051B1" w:rsidRPr="008051B1" w:rsidRDefault="008051B1" w:rsidP="006A33BD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8051B1">
              <w:rPr>
                <w:rFonts w:eastAsiaTheme="minorEastAsia"/>
                <w:color w:val="000000" w:themeColor="text1"/>
                <w:sz w:val="20"/>
                <w:lang w:eastAsia="en-US"/>
              </w:rPr>
              <w:t>LPS+TQ</w:t>
            </w:r>
          </w:p>
        </w:tc>
      </w:tr>
      <w:tr w:rsidR="00841514" w:rsidRPr="000A225D" w:rsidTr="006A3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nil"/>
            </w:tcBorders>
            <w:shd w:val="clear" w:color="auto" w:fill="FFFFFF" w:themeFill="background1"/>
          </w:tcPr>
          <w:p w:rsidR="0047130F" w:rsidRPr="0047130F" w:rsidRDefault="00B17120" w:rsidP="0047130F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Plasma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Zn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="0047130F"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</w:p>
          <w:p w:rsidR="0047130F" w:rsidRDefault="0047130F" w:rsidP="0047130F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(µg/</w:t>
            </w:r>
            <w:proofErr w:type="spellStart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dL</w:t>
            </w:r>
            <w:proofErr w:type="spellEnd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)</w:t>
            </w:r>
          </w:p>
          <w:p w:rsidR="008051B1" w:rsidRPr="00C84DC2" w:rsidRDefault="008051B1" w:rsidP="009938AC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12" w:type="dxa"/>
            <w:tcBorders>
              <w:bottom w:val="nil"/>
            </w:tcBorders>
            <w:shd w:val="clear" w:color="auto" w:fill="FFFFFF" w:themeFill="background1"/>
          </w:tcPr>
          <w:p w:rsidR="00D17966" w:rsidRPr="00C84DC2" w:rsidRDefault="00D17966" w:rsidP="00E3334B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81.715±1.095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FFFFFF" w:themeFill="background1"/>
          </w:tcPr>
          <w:p w:rsidR="008051B1" w:rsidRPr="00C84DC2" w:rsidRDefault="00D17966" w:rsidP="00D17966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66.175±0.817</w:t>
            </w:r>
            <w:r w:rsidR="0012586B"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FFFFFF" w:themeFill="background1"/>
          </w:tcPr>
          <w:p w:rsidR="008051B1" w:rsidRPr="00C84DC2" w:rsidRDefault="00D17966" w:rsidP="00D17966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53.514±3.937</w:t>
            </w:r>
            <w:r w:rsidR="0012586B"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FFFFFF" w:themeFill="background1"/>
          </w:tcPr>
          <w:p w:rsidR="008051B1" w:rsidRPr="00C84DC2" w:rsidRDefault="00D17966" w:rsidP="00D17966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102.475±5.188</w:t>
            </w:r>
            <w:r w:rsidR="0012586B"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*###ƐƐƐ</w:t>
            </w:r>
          </w:p>
        </w:tc>
      </w:tr>
      <w:tr w:rsidR="00841514" w:rsidRPr="000A225D" w:rsidTr="002C265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7130F" w:rsidRPr="0047130F" w:rsidRDefault="00B17120" w:rsidP="0047130F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Pancreas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Zn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="0047130F"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="0047130F"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(µg/mg protein)</w:t>
            </w:r>
          </w:p>
          <w:p w:rsidR="0047130F" w:rsidRPr="00C84DC2" w:rsidRDefault="0047130F" w:rsidP="009938AC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C2650" w:rsidRPr="00B07845" w:rsidRDefault="00B07845" w:rsidP="00B07845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5.</w:t>
            </w:r>
            <w:r w:rsidRPr="00B07845">
              <w:rPr>
                <w:rFonts w:eastAsiaTheme="minorEastAsia"/>
                <w:color w:val="000000" w:themeColor="text1"/>
                <w:sz w:val="20"/>
                <w:lang w:eastAsia="en-US"/>
              </w:rPr>
              <w:t>690</w:t>
            </w: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±0.117</w:t>
            </w:r>
          </w:p>
        </w:tc>
        <w:tc>
          <w:tcPr>
            <w:tcW w:w="181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036B" w:rsidRPr="00B07845" w:rsidRDefault="00B07845" w:rsidP="00B07845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3.655±0.154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036B" w:rsidRPr="00B07845" w:rsidRDefault="00B07845" w:rsidP="00B07845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7.155±0.415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036B" w:rsidRPr="00B07845" w:rsidRDefault="00B07845" w:rsidP="00B07845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3.063±0.223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***ƐƐƐ</w:t>
            </w:r>
          </w:p>
        </w:tc>
      </w:tr>
      <w:tr w:rsidR="00841514" w:rsidRPr="000A225D" w:rsidTr="006A3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7130F" w:rsidRPr="0047130F" w:rsidRDefault="0047130F" w:rsidP="0047130F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Pancreas</w:t>
            </w:r>
            <w:proofErr w:type="spellEnd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ZIP-10 </w:t>
            </w:r>
            <w:proofErr w:type="spellStart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(</w:t>
            </w:r>
            <w:proofErr w:type="spellStart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ng</w:t>
            </w:r>
            <w:proofErr w:type="spellEnd"/>
            <w:r w:rsidRPr="0047130F">
              <w:rPr>
                <w:rFonts w:eastAsiaTheme="minorEastAsia"/>
                <w:color w:val="000000" w:themeColor="text1"/>
                <w:sz w:val="20"/>
                <w:lang w:eastAsia="en-US"/>
              </w:rPr>
              <w:t>/g protein)</w:t>
            </w:r>
          </w:p>
          <w:p w:rsidR="00714A07" w:rsidRPr="00C84DC2" w:rsidRDefault="00714A07" w:rsidP="009938AC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4A07" w:rsidRPr="00502BEF" w:rsidRDefault="00502BEF" w:rsidP="009A5219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83.</w:t>
            </w:r>
            <w:r w:rsidR="009A5219" w:rsidRPr="009A5219">
              <w:rPr>
                <w:rFonts w:eastAsiaTheme="minorEastAsia"/>
                <w:color w:val="000000" w:themeColor="text1"/>
                <w:sz w:val="20"/>
                <w:lang w:eastAsia="en-US"/>
              </w:rPr>
              <w:t>069</w:t>
            </w:r>
            <w:r>
              <w:rPr>
                <w:rFonts w:eastAsiaTheme="minorEastAsia"/>
                <w:color w:val="000000" w:themeColor="text1"/>
                <w:sz w:val="20"/>
                <w:lang w:eastAsia="en-US"/>
              </w:rPr>
              <w:t>±3.548</w:t>
            </w:r>
          </w:p>
        </w:tc>
        <w:tc>
          <w:tcPr>
            <w:tcW w:w="181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4A07" w:rsidRPr="00A15094" w:rsidRDefault="00502BEF" w:rsidP="009A5219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57.300±3.656*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4A07" w:rsidRPr="00A15094" w:rsidRDefault="00502BEF" w:rsidP="00C70199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120.780±4.027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***###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4A07" w:rsidRPr="00A15094" w:rsidRDefault="00502BEF" w:rsidP="006A33BD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66.234±5.106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*ƐƐƐ</w:t>
            </w:r>
          </w:p>
        </w:tc>
      </w:tr>
      <w:tr w:rsidR="00841514" w:rsidRPr="000A225D" w:rsidTr="00B63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nil"/>
            </w:tcBorders>
            <w:shd w:val="clear" w:color="auto" w:fill="FFFFFF" w:themeFill="background1"/>
          </w:tcPr>
          <w:p w:rsidR="004577AE" w:rsidRPr="00C84DC2" w:rsidRDefault="004577AE" w:rsidP="004577AE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Pancreas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IFN-γ</w:t>
            </w:r>
          </w:p>
          <w:p w:rsidR="004577AE" w:rsidRPr="00C84DC2" w:rsidRDefault="004577AE" w:rsidP="004577AE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(</w:t>
            </w: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ng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/g protein)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FFFFFF" w:themeFill="background1"/>
          </w:tcPr>
          <w:p w:rsidR="004577AE" w:rsidRPr="00C84DC2" w:rsidRDefault="004577AE" w:rsidP="004577AE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5.367±0.576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FFFFFF" w:themeFill="background1"/>
          </w:tcPr>
          <w:p w:rsidR="004577AE" w:rsidRPr="00A15094" w:rsidRDefault="004577AE" w:rsidP="004577AE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13.635±3.431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FFFFFF" w:themeFill="background1"/>
          </w:tcPr>
          <w:p w:rsidR="004577AE" w:rsidRPr="00A15094" w:rsidRDefault="004577AE" w:rsidP="004577AE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9.275±1.969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FFFFFF" w:themeFill="background1"/>
          </w:tcPr>
          <w:p w:rsidR="004577AE" w:rsidRPr="00A15094" w:rsidRDefault="004577AE" w:rsidP="004577AE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16.347±4.710</w:t>
            </w:r>
            <w:r w:rsidRPr="0084151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</w:t>
            </w:r>
          </w:p>
        </w:tc>
      </w:tr>
      <w:tr w:rsidR="00841514" w:rsidRPr="000A225D" w:rsidTr="006A3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77AE" w:rsidRPr="00C84DC2" w:rsidRDefault="004577AE" w:rsidP="004577AE">
            <w:pPr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Pancreas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Caspase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- 3 </w:t>
            </w: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Levels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 xml:space="preserve"> (</w:t>
            </w:r>
            <w:proofErr w:type="spellStart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ng</w:t>
            </w:r>
            <w:proofErr w:type="spellEnd"/>
            <w:r w:rsidRPr="00C84DC2">
              <w:rPr>
                <w:rFonts w:eastAsiaTheme="minorEastAsia"/>
                <w:color w:val="000000" w:themeColor="text1"/>
                <w:sz w:val="20"/>
                <w:lang w:eastAsia="en-US"/>
              </w:rPr>
              <w:t>/mg protein)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77AE" w:rsidRPr="00296CE9" w:rsidRDefault="004577AE" w:rsidP="004577AE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296CE9">
              <w:rPr>
                <w:rFonts w:eastAsiaTheme="minorEastAsia"/>
                <w:color w:val="000000" w:themeColor="text1"/>
                <w:sz w:val="20"/>
                <w:lang w:eastAsia="en-US"/>
              </w:rPr>
              <w:t>0.874 ± 0.327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77AE" w:rsidRPr="00A15094" w:rsidRDefault="00CD5D58" w:rsidP="004577AE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0.841 ± 0.348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77AE" w:rsidRPr="00A15094" w:rsidRDefault="004577AE" w:rsidP="004577AE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0.185 ± 0.021</w:t>
            </w:r>
            <w:r w:rsidRPr="00A15094">
              <w:rPr>
                <w:rFonts w:eastAsiaTheme="minorEastAsia"/>
                <w:color w:val="000000" w:themeColor="text1"/>
                <w:sz w:val="20"/>
                <w:vertAlign w:val="superscript"/>
                <w:lang w:eastAsia="en-US"/>
              </w:rPr>
              <w:t>*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77AE" w:rsidRPr="00A15094" w:rsidRDefault="004577AE" w:rsidP="004577AE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lang w:eastAsia="en-US"/>
              </w:rPr>
            </w:pPr>
            <w:r w:rsidRPr="00A15094">
              <w:rPr>
                <w:rFonts w:eastAsiaTheme="minorEastAsia"/>
                <w:color w:val="000000" w:themeColor="text1"/>
                <w:sz w:val="20"/>
                <w:lang w:eastAsia="en-US"/>
              </w:rPr>
              <w:t>0.673 ± 0.2260</w:t>
            </w:r>
          </w:p>
        </w:tc>
      </w:tr>
    </w:tbl>
    <w:p w:rsidR="006A33BD" w:rsidRPr="008D619D" w:rsidRDefault="006A33BD" w:rsidP="006A33BD">
      <w:pPr>
        <w:spacing w:after="120" w:line="360" w:lineRule="auto"/>
        <w:rPr>
          <w:rFonts w:eastAsiaTheme="minorEastAsia"/>
          <w:b/>
          <w:bCs/>
          <w:color w:val="000000" w:themeColor="text1"/>
          <w:sz w:val="20"/>
          <w:lang w:eastAsia="en-US"/>
        </w:rPr>
      </w:pPr>
      <w:r w:rsidRPr="006A33BD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TABLE </w:t>
      </w:r>
      <w:r w:rsidR="003B3A72">
        <w:rPr>
          <w:rFonts w:eastAsiaTheme="minorEastAsia"/>
          <w:b/>
          <w:bCs/>
          <w:color w:val="000000" w:themeColor="text1"/>
          <w:sz w:val="20"/>
          <w:lang w:eastAsia="en-US"/>
        </w:rPr>
        <w:t>1</w:t>
      </w:r>
      <w:bookmarkStart w:id="0" w:name="_GoBack"/>
      <w:bookmarkEnd w:id="0"/>
    </w:p>
    <w:p w:rsidR="00F76F3D" w:rsidRPr="00F76F3D" w:rsidRDefault="008D619D" w:rsidP="002966ED">
      <w:pPr>
        <w:spacing w:after="120" w:line="360" w:lineRule="auto"/>
        <w:rPr>
          <w:rFonts w:eastAsiaTheme="minorEastAsia"/>
          <w:b/>
          <w:bCs/>
          <w:color w:val="000000" w:themeColor="text1"/>
          <w:sz w:val="20"/>
          <w:lang w:eastAsia="en-US"/>
        </w:rPr>
      </w:pPr>
      <w:r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Evaluation of </w:t>
      </w:r>
      <w:proofErr w:type="spellStart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cytokine</w:t>
      </w:r>
      <w:proofErr w:type="spellEnd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, caspase-3, </w:t>
      </w:r>
      <w:proofErr w:type="spellStart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and</w:t>
      </w:r>
      <w:proofErr w:type="spellEnd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Zn</w:t>
      </w:r>
      <w:proofErr w:type="spellEnd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related</w:t>
      </w:r>
      <w:proofErr w:type="spellEnd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0566AB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paratameters</w:t>
      </w:r>
      <w:proofErr w:type="spellEnd"/>
      <w:r w:rsidR="00F76F3D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F76F3D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between</w:t>
      </w:r>
      <w:proofErr w:type="spellEnd"/>
      <w:r w:rsidR="00F76F3D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F76F3D" w:rsidRPr="00210194">
        <w:rPr>
          <w:rFonts w:eastAsiaTheme="minorEastAsia"/>
          <w:b/>
          <w:bCs/>
          <w:color w:val="000000" w:themeColor="text1"/>
          <w:sz w:val="20"/>
          <w:lang w:eastAsia="en-US"/>
        </w:rPr>
        <w:t>groups</w:t>
      </w:r>
      <w:proofErr w:type="spellEnd"/>
    </w:p>
    <w:p w:rsidR="003C4407" w:rsidRDefault="003C4407" w:rsidP="00DA4841">
      <w:pPr>
        <w:spacing w:after="120" w:line="360" w:lineRule="auto"/>
        <w:jc w:val="both"/>
        <w:rPr>
          <w:rFonts w:eastAsiaTheme="minorEastAsia"/>
          <w:bCs/>
          <w:color w:val="000000" w:themeColor="text1"/>
          <w:sz w:val="20"/>
          <w:lang w:eastAsia="en-US"/>
        </w:rPr>
      </w:pPr>
    </w:p>
    <w:p w:rsidR="00DA4841" w:rsidRPr="00CD5463" w:rsidRDefault="00CD5463" w:rsidP="00DA4841">
      <w:pPr>
        <w:spacing w:after="120" w:line="360" w:lineRule="auto"/>
        <w:jc w:val="both"/>
        <w:rPr>
          <w:rFonts w:eastAsiaTheme="minorEastAsia"/>
          <w:bCs/>
          <w:color w:val="000000" w:themeColor="text1"/>
          <w:sz w:val="20"/>
          <w:lang w:eastAsia="en-US"/>
        </w:rPr>
      </w:pPr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Statistical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was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gram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done</w:t>
      </w:r>
      <w:proofErr w:type="gram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using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Kruskal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Wallis's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One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Way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Analysis of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Variance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on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Ranks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.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All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pairwise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multiple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comparison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procedures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were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gram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done</w:t>
      </w:r>
      <w:proofErr w:type="gram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using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the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Mann-</w:t>
      </w:r>
      <w:proofErr w:type="spellStart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>Whitney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U test</w:t>
      </w:r>
      <w:r w:rsidR="007C4C09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7C4C09">
        <w:rPr>
          <w:rFonts w:eastAsiaTheme="minorEastAsia"/>
          <w:bCs/>
          <w:color w:val="000000" w:themeColor="text1"/>
          <w:sz w:val="20"/>
          <w:lang w:eastAsia="en-US"/>
        </w:rPr>
        <w:t>for</w:t>
      </w:r>
      <w:proofErr w:type="spellEnd"/>
      <w:r w:rsidR="007C4C09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7C4C09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="007C4C09">
        <w:rPr>
          <w:rFonts w:eastAsiaTheme="minorEastAsia"/>
          <w:bCs/>
          <w:color w:val="000000" w:themeColor="text1"/>
          <w:sz w:val="20"/>
          <w:lang w:eastAsia="en-US"/>
        </w:rPr>
        <w:t xml:space="preserve"> IFN-γ, </w:t>
      </w:r>
      <w:proofErr w:type="spellStart"/>
      <w:r w:rsidR="007C4C09">
        <w:rPr>
          <w:rFonts w:eastAsiaTheme="minorEastAsia"/>
          <w:bCs/>
          <w:color w:val="000000" w:themeColor="text1"/>
          <w:sz w:val="20"/>
          <w:lang w:eastAsia="en-US"/>
        </w:rPr>
        <w:t>and</w:t>
      </w:r>
      <w:proofErr w:type="spellEnd"/>
      <w:r w:rsidR="007C4C09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7C4C09">
        <w:rPr>
          <w:rFonts w:eastAsiaTheme="minorEastAsia"/>
          <w:bCs/>
          <w:color w:val="000000" w:themeColor="text1"/>
          <w:sz w:val="20"/>
          <w:lang w:eastAsia="en-US"/>
        </w:rPr>
        <w:t>caspase</w:t>
      </w:r>
      <w:proofErr w:type="spellEnd"/>
      <w:r w:rsidR="007C4C09">
        <w:rPr>
          <w:rFonts w:eastAsiaTheme="minorEastAsia"/>
          <w:bCs/>
          <w:color w:val="000000" w:themeColor="text1"/>
          <w:sz w:val="20"/>
          <w:lang w:eastAsia="en-US"/>
        </w:rPr>
        <w:t xml:space="preserve"> 3 </w:t>
      </w:r>
      <w:proofErr w:type="spellStart"/>
      <w:r w:rsidR="007C4C09">
        <w:rPr>
          <w:rFonts w:eastAsiaTheme="minorEastAsia"/>
          <w:bCs/>
          <w:color w:val="000000" w:themeColor="text1"/>
          <w:sz w:val="20"/>
          <w:lang w:eastAsia="en-US"/>
        </w:rPr>
        <w:t>levels</w:t>
      </w:r>
      <w:proofErr w:type="spellEnd"/>
      <w:r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. </w:t>
      </w:r>
      <w:r w:rsidR="00DE7EE5" w:rsidRPr="00B02878">
        <w:rPr>
          <w:rFonts w:eastAsiaTheme="minorEastAsia"/>
          <w:bCs/>
          <w:color w:val="000000" w:themeColor="text1"/>
          <w:sz w:val="20"/>
          <w:lang w:eastAsia="en-US"/>
        </w:rPr>
        <w:t xml:space="preserve">Statistical </w:t>
      </w:r>
      <w:proofErr w:type="spellStart"/>
      <w:r w:rsidR="00DE7EE5" w:rsidRPr="00B02878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="00DE7EE5" w:rsidRPr="00B02878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 w:rsidRPr="00B02878">
        <w:rPr>
          <w:rFonts w:eastAsiaTheme="minorEastAsia"/>
          <w:bCs/>
          <w:color w:val="000000" w:themeColor="text1"/>
          <w:sz w:val="20"/>
          <w:lang w:eastAsia="en-US"/>
        </w:rPr>
        <w:t>was</w:t>
      </w:r>
      <w:proofErr w:type="spellEnd"/>
      <w:r w:rsidR="00DE7EE5" w:rsidRPr="00B02878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performed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using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a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one-way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of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variance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(ANOVA)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followed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by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the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Tukey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post hoc test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for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analaysis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of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Zn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and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ZIP10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levels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in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the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pancreas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tissue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,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and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Zn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levels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in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tle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plasma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E7EE5">
        <w:rPr>
          <w:rFonts w:eastAsiaTheme="minorEastAsia"/>
          <w:bCs/>
          <w:color w:val="000000" w:themeColor="text1"/>
          <w:sz w:val="20"/>
          <w:lang w:eastAsia="en-US"/>
        </w:rPr>
        <w:t>samples</w:t>
      </w:r>
      <w:proofErr w:type="spellEnd"/>
      <w:r w:rsidR="00DE7EE5">
        <w:rPr>
          <w:rFonts w:eastAsiaTheme="minorEastAsia"/>
          <w:bCs/>
          <w:color w:val="000000" w:themeColor="text1"/>
          <w:sz w:val="20"/>
          <w:lang w:eastAsia="en-US"/>
        </w:rPr>
        <w:t xml:space="preserve">.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All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values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are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mean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± SEM. n=6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for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each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proofErr w:type="gram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group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.</w:t>
      </w:r>
      <w:proofErr w:type="gram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*, p&lt;0,05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control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; **, p&lt;0,01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control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; ***, p&lt;0,001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control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; #, p&lt;0,05 vs. TQ; ##, p&lt;0,001 vs. TQ; ###, p&lt;0,000 vs. TQ, Ɛ, p&lt;0,05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LPS; ƐƐ, p&lt;0,01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LPS; ƐƐƐ, p&lt;0,001 </w:t>
      </w:r>
      <w:proofErr w:type="spellStart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>vs</w:t>
      </w:r>
      <w:proofErr w:type="spellEnd"/>
      <w:r w:rsidR="00DA4841" w:rsidRPr="00CD5463">
        <w:rPr>
          <w:rFonts w:eastAsiaTheme="minorEastAsia"/>
          <w:bCs/>
          <w:color w:val="000000" w:themeColor="text1"/>
          <w:sz w:val="20"/>
          <w:lang w:eastAsia="en-US"/>
        </w:rPr>
        <w:t xml:space="preserve"> LPS.</w:t>
      </w:r>
    </w:p>
    <w:p w:rsidR="00B17120" w:rsidRDefault="003C4407" w:rsidP="003C4407">
      <w:pPr>
        <w:spacing w:after="120" w:line="360" w:lineRule="auto"/>
        <w:rPr>
          <w:rFonts w:eastAsiaTheme="minorEastAsia"/>
          <w:bCs/>
          <w:color w:val="000000" w:themeColor="text1"/>
          <w:sz w:val="20"/>
          <w:lang w:eastAsia="en-US"/>
        </w:rPr>
      </w:pPr>
      <w:proofErr w:type="spellStart"/>
      <w:r w:rsidRPr="002966ED">
        <w:rPr>
          <w:rFonts w:eastAsiaTheme="minorEastAsia"/>
          <w:b/>
          <w:bCs/>
          <w:color w:val="000000" w:themeColor="text1"/>
          <w:sz w:val="20"/>
          <w:lang w:eastAsia="en-US"/>
        </w:rPr>
        <w:t>Abbreviations</w:t>
      </w:r>
      <w:proofErr w:type="spellEnd"/>
      <w:r w:rsidRPr="002966ED">
        <w:rPr>
          <w:rFonts w:eastAsiaTheme="minorEastAsia"/>
          <w:b/>
          <w:bCs/>
          <w:color w:val="000000" w:themeColor="text1"/>
          <w:sz w:val="20"/>
          <w:lang w:eastAsia="en-US"/>
        </w:rPr>
        <w:t xml:space="preserve">: </w:t>
      </w:r>
      <w:r w:rsidRPr="00B17120">
        <w:rPr>
          <w:rFonts w:eastAsiaTheme="minorEastAsia"/>
          <w:b/>
          <w:bCs/>
          <w:color w:val="000000" w:themeColor="text1"/>
          <w:sz w:val="20"/>
          <w:lang w:eastAsia="en-US"/>
        </w:rPr>
        <w:t>IFN-γ</w:t>
      </w:r>
      <w:r w:rsidRPr="002966ED">
        <w:rPr>
          <w:rFonts w:eastAsiaTheme="minorEastAsia"/>
          <w:bCs/>
          <w:color w:val="000000" w:themeColor="text1"/>
          <w:sz w:val="20"/>
          <w:lang w:eastAsia="en-US"/>
        </w:rPr>
        <w:t>, interferon-γ;</w:t>
      </w:r>
      <w:r w:rsidR="00B17120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B17120" w:rsidRPr="00B17120">
        <w:rPr>
          <w:rFonts w:eastAsiaTheme="minorEastAsia"/>
          <w:b/>
          <w:bCs/>
          <w:color w:val="000000" w:themeColor="text1"/>
          <w:sz w:val="20"/>
          <w:lang w:eastAsia="en-US"/>
        </w:rPr>
        <w:t>Zn</w:t>
      </w:r>
      <w:proofErr w:type="spellEnd"/>
      <w:r w:rsidR="00B17120" w:rsidRPr="00B17120">
        <w:rPr>
          <w:rFonts w:eastAsiaTheme="minorEastAsia"/>
          <w:b/>
          <w:bCs/>
          <w:color w:val="000000" w:themeColor="text1"/>
          <w:sz w:val="20"/>
          <w:lang w:eastAsia="en-US"/>
        </w:rPr>
        <w:t>,</w:t>
      </w:r>
      <w:r w:rsidR="00B17120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="00B17120">
        <w:rPr>
          <w:rFonts w:eastAsiaTheme="minorEastAsia"/>
          <w:bCs/>
          <w:color w:val="000000" w:themeColor="text1"/>
          <w:sz w:val="20"/>
          <w:lang w:eastAsia="en-US"/>
        </w:rPr>
        <w:t>zinc</w:t>
      </w:r>
      <w:proofErr w:type="spellEnd"/>
    </w:p>
    <w:p w:rsidR="00FA634A" w:rsidRPr="008D619D" w:rsidRDefault="00FA634A">
      <w:pPr>
        <w:rPr>
          <w:rFonts w:eastAsiaTheme="minorEastAsia"/>
          <w:b/>
          <w:bCs/>
          <w:color w:val="000000" w:themeColor="text1"/>
          <w:sz w:val="20"/>
          <w:lang w:eastAsia="en-US"/>
        </w:rPr>
      </w:pPr>
    </w:p>
    <w:sectPr w:rsidR="00FA634A" w:rsidRPr="008D61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F4" w:rsidRDefault="00384EF4" w:rsidP="008051B1">
      <w:r>
        <w:separator/>
      </w:r>
    </w:p>
  </w:endnote>
  <w:endnote w:type="continuationSeparator" w:id="0">
    <w:p w:rsidR="00384EF4" w:rsidRDefault="00384EF4" w:rsidP="008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F4" w:rsidRDefault="00384EF4" w:rsidP="008051B1">
      <w:r>
        <w:separator/>
      </w:r>
    </w:p>
  </w:footnote>
  <w:footnote w:type="continuationSeparator" w:id="0">
    <w:p w:rsidR="00384EF4" w:rsidRDefault="00384EF4" w:rsidP="0080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B1" w:rsidRDefault="008051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EB"/>
    <w:rsid w:val="000543D5"/>
    <w:rsid w:val="0005636C"/>
    <w:rsid w:val="000566AB"/>
    <w:rsid w:val="00060C88"/>
    <w:rsid w:val="00070FA5"/>
    <w:rsid w:val="000A3E08"/>
    <w:rsid w:val="000E2537"/>
    <w:rsid w:val="000E6AC3"/>
    <w:rsid w:val="0012586B"/>
    <w:rsid w:val="001353B6"/>
    <w:rsid w:val="001519A4"/>
    <w:rsid w:val="001546BD"/>
    <w:rsid w:val="00172CE6"/>
    <w:rsid w:val="001851D1"/>
    <w:rsid w:val="00186AA9"/>
    <w:rsid w:val="001D07B2"/>
    <w:rsid w:val="00210194"/>
    <w:rsid w:val="00243917"/>
    <w:rsid w:val="00244540"/>
    <w:rsid w:val="002966ED"/>
    <w:rsid w:val="00296CE9"/>
    <w:rsid w:val="002B13CE"/>
    <w:rsid w:val="002C2650"/>
    <w:rsid w:val="002E6F4F"/>
    <w:rsid w:val="00325E00"/>
    <w:rsid w:val="00363C89"/>
    <w:rsid w:val="00384EF4"/>
    <w:rsid w:val="003B3A72"/>
    <w:rsid w:val="003B68F5"/>
    <w:rsid w:val="003C0432"/>
    <w:rsid w:val="003C4407"/>
    <w:rsid w:val="003F16D8"/>
    <w:rsid w:val="004276E1"/>
    <w:rsid w:val="004577AE"/>
    <w:rsid w:val="0047130F"/>
    <w:rsid w:val="004B4EB2"/>
    <w:rsid w:val="00502BEF"/>
    <w:rsid w:val="00512BD8"/>
    <w:rsid w:val="00537FEF"/>
    <w:rsid w:val="00566286"/>
    <w:rsid w:val="005A05D7"/>
    <w:rsid w:val="0063493E"/>
    <w:rsid w:val="00674DFD"/>
    <w:rsid w:val="00687D35"/>
    <w:rsid w:val="006A2E43"/>
    <w:rsid w:val="006A33BD"/>
    <w:rsid w:val="006B0403"/>
    <w:rsid w:val="006F29D5"/>
    <w:rsid w:val="006F7459"/>
    <w:rsid w:val="00705BD2"/>
    <w:rsid w:val="00706F47"/>
    <w:rsid w:val="00714A07"/>
    <w:rsid w:val="00733DC0"/>
    <w:rsid w:val="00773526"/>
    <w:rsid w:val="007952B3"/>
    <w:rsid w:val="007C4C09"/>
    <w:rsid w:val="008051B1"/>
    <w:rsid w:val="00841514"/>
    <w:rsid w:val="00844A96"/>
    <w:rsid w:val="00845958"/>
    <w:rsid w:val="008B138F"/>
    <w:rsid w:val="008C6551"/>
    <w:rsid w:val="008D036B"/>
    <w:rsid w:val="008D619D"/>
    <w:rsid w:val="008D63A3"/>
    <w:rsid w:val="008F3BDD"/>
    <w:rsid w:val="009140C3"/>
    <w:rsid w:val="0094742B"/>
    <w:rsid w:val="0096214A"/>
    <w:rsid w:val="00982299"/>
    <w:rsid w:val="00985A7F"/>
    <w:rsid w:val="009938AC"/>
    <w:rsid w:val="009A06EB"/>
    <w:rsid w:val="009A5219"/>
    <w:rsid w:val="009D4312"/>
    <w:rsid w:val="009F7F80"/>
    <w:rsid w:val="00A03542"/>
    <w:rsid w:val="00A15094"/>
    <w:rsid w:val="00A358A8"/>
    <w:rsid w:val="00A83679"/>
    <w:rsid w:val="00A86B63"/>
    <w:rsid w:val="00AA4C6F"/>
    <w:rsid w:val="00AB0085"/>
    <w:rsid w:val="00AC7F29"/>
    <w:rsid w:val="00AD6747"/>
    <w:rsid w:val="00AE32CA"/>
    <w:rsid w:val="00B07845"/>
    <w:rsid w:val="00B17120"/>
    <w:rsid w:val="00B618D5"/>
    <w:rsid w:val="00B82FB7"/>
    <w:rsid w:val="00B93A52"/>
    <w:rsid w:val="00BF1022"/>
    <w:rsid w:val="00BF3EF7"/>
    <w:rsid w:val="00C212DF"/>
    <w:rsid w:val="00C40A1E"/>
    <w:rsid w:val="00C70199"/>
    <w:rsid w:val="00C84DC2"/>
    <w:rsid w:val="00C949B2"/>
    <w:rsid w:val="00CD5463"/>
    <w:rsid w:val="00CD5D58"/>
    <w:rsid w:val="00D17966"/>
    <w:rsid w:val="00D22718"/>
    <w:rsid w:val="00D56F59"/>
    <w:rsid w:val="00D63BF2"/>
    <w:rsid w:val="00D87390"/>
    <w:rsid w:val="00DA4841"/>
    <w:rsid w:val="00DC361A"/>
    <w:rsid w:val="00DE7EE5"/>
    <w:rsid w:val="00E3334B"/>
    <w:rsid w:val="00E60328"/>
    <w:rsid w:val="00F134A7"/>
    <w:rsid w:val="00F75CD7"/>
    <w:rsid w:val="00F76F3D"/>
    <w:rsid w:val="00F90E02"/>
    <w:rsid w:val="00F95421"/>
    <w:rsid w:val="00FA634A"/>
    <w:rsid w:val="00FB13A5"/>
    <w:rsid w:val="00FB3198"/>
    <w:rsid w:val="00FB6E1F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4CAB"/>
  <w15:chartTrackingRefBased/>
  <w15:docId w15:val="{056735F2-8C6A-43B9-B8C5-413B71C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B1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ListeTablo6Renkli">
    <w:name w:val="List Table 6 Colorful"/>
    <w:basedOn w:val="NormalTablo"/>
    <w:uiPriority w:val="51"/>
    <w:rsid w:val="008051B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051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51B1"/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051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51B1"/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8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1115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61</cp:revision>
  <dcterms:created xsi:type="dcterms:W3CDTF">2025-03-02T14:07:00Z</dcterms:created>
  <dcterms:modified xsi:type="dcterms:W3CDTF">2025-05-11T15:26:00Z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a30f7e4915de5124245388123980c28707b6eadf88eb81a7fd2f2d89e777dc4a</vt:lpwstr>
  </property>
</Properties>
</file>