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6E8789A" w14:textId="637B2CAC" w:rsidR="005538F2" w:rsidRPr="008465AD" w:rsidRDefault="00112D44" w:rsidP="00112D44">
      <w:pPr>
        <w:pStyle w:val="Heading1"/>
        <w:keepNext w:val="0"/>
        <w:keepLines w:val="0"/>
        <w:spacing w:before="0"/>
        <w:jc w:val="both"/>
        <w:rPr>
          <w:rFonts w:ascii="Times New Roman" w:hAnsi="Times New Roman" w:cs="Times New Roman"/>
          <w:b/>
          <w:sz w:val="24"/>
          <w:szCs w:val="24"/>
          <w:lang w:val="en-US"/>
        </w:rPr>
      </w:pPr>
      <w:r w:rsidRPr="008465AD">
        <w:rPr>
          <w:rFonts w:ascii="Times New Roman" w:hAnsi="Times New Roman" w:cs="Times New Roman"/>
          <w:b/>
          <w:sz w:val="24"/>
          <w:szCs w:val="24"/>
          <w:lang w:val="en-US"/>
        </w:rPr>
        <w:t xml:space="preserve">Appendix </w:t>
      </w:r>
      <w:r w:rsidR="00FC05CE" w:rsidRPr="008465AD">
        <w:rPr>
          <w:rFonts w:ascii="Times New Roman" w:hAnsi="Times New Roman" w:cs="Times New Roman"/>
          <w:b/>
          <w:sz w:val="24"/>
          <w:szCs w:val="24"/>
          <w:lang w:val="en-US"/>
        </w:rPr>
        <w:t>8</w:t>
      </w:r>
      <w:r w:rsidRPr="008465AD">
        <w:rPr>
          <w:rFonts w:ascii="Times New Roman" w:hAnsi="Times New Roman" w:cs="Times New Roman"/>
          <w:b/>
          <w:sz w:val="24"/>
          <w:szCs w:val="24"/>
          <w:lang w:val="en-US"/>
        </w:rPr>
        <w:t xml:space="preserve">. </w:t>
      </w:r>
      <w:r w:rsidR="00F052FE" w:rsidRPr="008465AD">
        <w:rPr>
          <w:rFonts w:ascii="Times New Roman" w:hAnsi="Times New Roman" w:cs="Times New Roman"/>
          <w:b/>
          <w:sz w:val="24"/>
          <w:szCs w:val="24"/>
          <w:lang w:val="en-US"/>
        </w:rPr>
        <w:t>Cost Data Modeling and Calculations</w:t>
      </w:r>
    </w:p>
    <w:p w14:paraId="6F675C6C" w14:textId="2BA742D7" w:rsidR="005538F2" w:rsidRPr="000549A5" w:rsidRDefault="00F052FE" w:rsidP="00112D44">
      <w:pPr>
        <w:spacing w:before="240" w:after="240"/>
        <w:jc w:val="both"/>
        <w:rPr>
          <w:rFonts w:ascii="Times New Roman" w:hAnsi="Times New Roman" w:cs="Times New Roman"/>
          <w:b/>
          <w:sz w:val="24"/>
          <w:szCs w:val="24"/>
          <w:lang w:val="en-US"/>
        </w:rPr>
      </w:pPr>
      <w:r w:rsidRPr="000549A5">
        <w:rPr>
          <w:rFonts w:ascii="Times New Roman" w:hAnsi="Times New Roman" w:cs="Times New Roman"/>
          <w:sz w:val="24"/>
          <w:szCs w:val="24"/>
          <w:lang w:val="en-US"/>
        </w:rPr>
        <w:t>This document presents detailed cost data modeling and calculations used to assess the cost-effectiveness of TESTporuch DHI. Using available HIV testing data from 2021, we created projections for 2022-2024 testing costs, accounting for changing detection rates and testing volumes across these periods. These calculations provide the foundation for the comparative analysis presented in the article.</w:t>
      </w:r>
    </w:p>
    <w:p w14:paraId="2B6251BE" w14:textId="77777777" w:rsidR="00F052FE"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TESTporuch demonstrated effectiveness, with 3.15% of users who engaged with the platform (146 out of 4,640) being identified as HIV-positive. The total implementation cost was $94,962, resulting in a cost of $650.42 per identified case for the digital component alone.</w:t>
      </w:r>
      <w:r w:rsidR="00E1230B" w:rsidRPr="000549A5">
        <w:rPr>
          <w:rFonts w:ascii="Times New Roman" w:hAnsi="Times New Roman" w:cs="Times New Roman"/>
          <w:b/>
          <w:sz w:val="24"/>
          <w:szCs w:val="24"/>
          <w:lang w:val="en-US"/>
        </w:rPr>
        <w:t xml:space="preserve"> </w:t>
      </w:r>
      <w:r w:rsidRPr="000549A5">
        <w:rPr>
          <w:rFonts w:ascii="Times New Roman" w:hAnsi="Times New Roman" w:cs="Times New Roman"/>
          <w:sz w:val="24"/>
          <w:szCs w:val="24"/>
          <w:lang w:val="en-US"/>
        </w:rPr>
        <w:t xml:space="preserve">The traditional approach encompasses various outreach activities, physical testing in </w:t>
      </w:r>
      <w:r w:rsidR="00E1230B" w:rsidRPr="000549A5">
        <w:rPr>
          <w:rFonts w:ascii="Times New Roman" w:hAnsi="Times New Roman" w:cs="Times New Roman"/>
          <w:sz w:val="24"/>
          <w:szCs w:val="24"/>
          <w:lang w:val="en-US"/>
        </w:rPr>
        <w:t xml:space="preserve">health </w:t>
      </w:r>
      <w:r w:rsidRPr="000549A5">
        <w:rPr>
          <w:rFonts w:ascii="Times New Roman" w:hAnsi="Times New Roman" w:cs="Times New Roman"/>
          <w:sz w:val="24"/>
          <w:szCs w:val="24"/>
          <w:lang w:val="en-US"/>
        </w:rPr>
        <w:t xml:space="preserve">facilities, and associated administrative costs. </w:t>
      </w:r>
    </w:p>
    <w:p w14:paraId="3204A90C" w14:textId="4ABC0D98" w:rsidR="005538F2" w:rsidRPr="000549A5" w:rsidRDefault="00000000" w:rsidP="00112D44">
      <w:pPr>
        <w:spacing w:before="240" w:after="240"/>
        <w:jc w:val="both"/>
        <w:rPr>
          <w:rFonts w:ascii="Times New Roman" w:hAnsi="Times New Roman" w:cs="Times New Roman"/>
          <w:b/>
          <w:sz w:val="24"/>
          <w:szCs w:val="24"/>
          <w:lang w:val="en-US"/>
        </w:rPr>
      </w:pPr>
      <w:r w:rsidRPr="000549A5">
        <w:rPr>
          <w:rFonts w:ascii="Times New Roman" w:hAnsi="Times New Roman" w:cs="Times New Roman"/>
          <w:sz w:val="24"/>
          <w:szCs w:val="24"/>
          <w:lang w:val="en-US"/>
        </w:rPr>
        <w:t xml:space="preserve">Based on data from the </w:t>
      </w:r>
      <w:r w:rsidR="00E1230B" w:rsidRPr="000549A5">
        <w:rPr>
          <w:rFonts w:ascii="Times New Roman" w:hAnsi="Times New Roman" w:cs="Times New Roman"/>
          <w:sz w:val="24"/>
          <w:szCs w:val="24"/>
          <w:lang w:val="en-US"/>
        </w:rPr>
        <w:t>State Enterprise Center of Public Health of the Ministry of Health of Ukraine</w:t>
      </w:r>
      <w:r w:rsidR="00D176C9" w:rsidRPr="000549A5">
        <w:rPr>
          <w:rFonts w:ascii="Times New Roman" w:hAnsi="Times New Roman" w:cs="Times New Roman"/>
          <w:sz w:val="24"/>
          <w:szCs w:val="24"/>
          <w:lang w:val="en-US"/>
        </w:rPr>
        <w:t xml:space="preserve"> [1]</w:t>
      </w:r>
      <w:r w:rsidR="00E1230B" w:rsidRPr="000549A5">
        <w:rPr>
          <w:rFonts w:ascii="Times New Roman" w:hAnsi="Times New Roman" w:cs="Times New Roman"/>
          <w:sz w:val="24"/>
          <w:szCs w:val="24"/>
          <w:lang w:val="en-US"/>
        </w:rPr>
        <w:t xml:space="preserve"> </w:t>
      </w:r>
      <w:r w:rsidRPr="000549A5">
        <w:rPr>
          <w:rFonts w:ascii="Times New Roman" w:hAnsi="Times New Roman" w:cs="Times New Roman"/>
          <w:sz w:val="24"/>
          <w:szCs w:val="24"/>
          <w:lang w:val="en-US"/>
        </w:rPr>
        <w:t xml:space="preserve">and </w:t>
      </w:r>
      <w:r w:rsidR="00E1230B" w:rsidRPr="000549A5">
        <w:rPr>
          <w:rFonts w:ascii="Times New Roman" w:hAnsi="Times New Roman" w:cs="Times New Roman"/>
          <w:sz w:val="24"/>
          <w:szCs w:val="24"/>
          <w:lang w:val="en-US"/>
        </w:rPr>
        <w:t>the Joint United Nations Program on HIV/Aids (UNAIDS)</w:t>
      </w:r>
      <w:r w:rsidR="00D176C9" w:rsidRPr="000549A5">
        <w:rPr>
          <w:rFonts w:ascii="Times New Roman" w:hAnsi="Times New Roman" w:cs="Times New Roman"/>
          <w:sz w:val="24"/>
          <w:szCs w:val="24"/>
          <w:lang w:val="en-US"/>
        </w:rPr>
        <w:t xml:space="preserve"> [2]</w:t>
      </w:r>
      <w:r w:rsidRPr="000549A5">
        <w:rPr>
          <w:rFonts w:ascii="Times New Roman" w:hAnsi="Times New Roman" w:cs="Times New Roman"/>
          <w:sz w:val="24"/>
          <w:szCs w:val="24"/>
          <w:lang w:val="en-US"/>
        </w:rPr>
        <w:t xml:space="preserve">, the </w:t>
      </w:r>
      <w:r w:rsidR="00E1230B" w:rsidRPr="000549A5">
        <w:rPr>
          <w:rFonts w:ascii="Times New Roman" w:hAnsi="Times New Roman" w:cs="Times New Roman"/>
          <w:sz w:val="24"/>
          <w:szCs w:val="24"/>
          <w:lang w:val="en-US"/>
        </w:rPr>
        <w:t>overall HIV</w:t>
      </w:r>
      <w:r w:rsidRPr="000549A5">
        <w:rPr>
          <w:rFonts w:ascii="Times New Roman" w:hAnsi="Times New Roman" w:cs="Times New Roman"/>
          <w:sz w:val="24"/>
          <w:szCs w:val="24"/>
          <w:lang w:val="en-US"/>
        </w:rPr>
        <w:t xml:space="preserve"> testing </w:t>
      </w:r>
      <w:r w:rsidR="00E1230B" w:rsidRPr="000549A5">
        <w:rPr>
          <w:rFonts w:ascii="Times New Roman" w:hAnsi="Times New Roman" w:cs="Times New Roman"/>
          <w:sz w:val="24"/>
          <w:szCs w:val="24"/>
          <w:lang w:val="en-US"/>
        </w:rPr>
        <w:t>intervention</w:t>
      </w:r>
      <w:r w:rsidRPr="000549A5">
        <w:rPr>
          <w:rFonts w:ascii="Times New Roman" w:hAnsi="Times New Roman" w:cs="Times New Roman"/>
          <w:sz w:val="24"/>
          <w:szCs w:val="24"/>
          <w:lang w:val="en-US"/>
        </w:rPr>
        <w:t xml:space="preserve"> in 2021 had:</w:t>
      </w:r>
    </w:p>
    <w:p w14:paraId="77D5F0AC" w14:textId="0A377571" w:rsidR="005538F2" w:rsidRPr="000549A5" w:rsidRDefault="00000000" w:rsidP="00112D44">
      <w:pPr>
        <w:numPr>
          <w:ilvl w:val="0"/>
          <w:numId w:val="2"/>
        </w:numPr>
        <w:spacing w:before="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 xml:space="preserve">Total </w:t>
      </w:r>
      <w:r w:rsidR="00D176C9" w:rsidRPr="000549A5">
        <w:rPr>
          <w:rFonts w:ascii="Times New Roman" w:hAnsi="Times New Roman" w:cs="Times New Roman"/>
          <w:sz w:val="24"/>
          <w:szCs w:val="24"/>
          <w:lang w:val="en-US"/>
        </w:rPr>
        <w:t>HIV testing intervention</w:t>
      </w:r>
      <w:r w:rsidRPr="000549A5">
        <w:rPr>
          <w:rFonts w:ascii="Times New Roman" w:hAnsi="Times New Roman" w:cs="Times New Roman"/>
          <w:sz w:val="24"/>
          <w:szCs w:val="24"/>
          <w:lang w:val="en-US"/>
        </w:rPr>
        <w:t xml:space="preserve"> budget: approximately $20,000,000</w:t>
      </w:r>
    </w:p>
    <w:p w14:paraId="657EE2FB" w14:textId="77777777" w:rsidR="005538F2" w:rsidRPr="000549A5" w:rsidRDefault="00000000" w:rsidP="00112D44">
      <w:pPr>
        <w:numPr>
          <w:ilvl w:val="0"/>
          <w:numId w:val="2"/>
        </w:num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Number of people tested: 1,992,018</w:t>
      </w:r>
    </w:p>
    <w:p w14:paraId="3271EB0E" w14:textId="0B669647" w:rsidR="00D176C9" w:rsidRPr="000549A5" w:rsidRDefault="00D176C9" w:rsidP="00112D44">
      <w:pPr>
        <w:pStyle w:val="ListParagraph"/>
        <w:numPr>
          <w:ilvl w:val="0"/>
          <w:numId w:val="2"/>
        </w:num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Cost per person tested: $20,000,000 / 1,992,018 = $10.04</w:t>
      </w:r>
    </w:p>
    <w:p w14:paraId="70FF4269" w14:textId="57DF2475" w:rsidR="005538F2" w:rsidRPr="000549A5" w:rsidRDefault="00000000" w:rsidP="00112D44">
      <w:pPr>
        <w:spacing w:before="240" w:after="240"/>
        <w:jc w:val="both"/>
        <w:rPr>
          <w:rFonts w:ascii="Times New Roman" w:hAnsi="Times New Roman" w:cs="Times New Roman"/>
          <w:b/>
          <w:sz w:val="24"/>
          <w:szCs w:val="24"/>
          <w:lang w:val="en-US"/>
        </w:rPr>
      </w:pPr>
      <w:r w:rsidRPr="000549A5">
        <w:rPr>
          <w:rFonts w:ascii="Times New Roman" w:hAnsi="Times New Roman" w:cs="Times New Roman"/>
          <w:sz w:val="24"/>
          <w:szCs w:val="24"/>
          <w:lang w:val="en-US"/>
        </w:rPr>
        <w:t xml:space="preserve">The cost per person tested was $10.04, which includes all components </w:t>
      </w:r>
      <w:r w:rsidR="00E1230B" w:rsidRPr="000549A5">
        <w:rPr>
          <w:rFonts w:ascii="Times New Roman" w:hAnsi="Times New Roman" w:cs="Times New Roman"/>
          <w:sz w:val="24"/>
          <w:szCs w:val="24"/>
          <w:lang w:val="en-US"/>
        </w:rPr>
        <w:t>–</w:t>
      </w:r>
      <w:r w:rsidRPr="000549A5">
        <w:rPr>
          <w:rFonts w:ascii="Times New Roman" w:hAnsi="Times New Roman" w:cs="Times New Roman"/>
          <w:sz w:val="24"/>
          <w:szCs w:val="24"/>
          <w:lang w:val="en-US"/>
        </w:rPr>
        <w:t xml:space="preserve"> </w:t>
      </w:r>
      <w:r w:rsidR="00E1230B" w:rsidRPr="000549A5">
        <w:rPr>
          <w:rFonts w:ascii="Times New Roman" w:hAnsi="Times New Roman" w:cs="Times New Roman"/>
          <w:sz w:val="24"/>
          <w:szCs w:val="24"/>
          <w:lang w:val="en-US"/>
        </w:rPr>
        <w:t>promotion and physical HIV</w:t>
      </w:r>
      <w:r w:rsidRPr="000549A5">
        <w:rPr>
          <w:rFonts w:ascii="Times New Roman" w:hAnsi="Times New Roman" w:cs="Times New Roman"/>
          <w:sz w:val="24"/>
          <w:szCs w:val="24"/>
          <w:lang w:val="en-US"/>
        </w:rPr>
        <w:t xml:space="preserve"> testing</w:t>
      </w:r>
      <w:r w:rsidR="00E1230B" w:rsidRPr="000549A5">
        <w:rPr>
          <w:rFonts w:ascii="Times New Roman" w:hAnsi="Times New Roman" w:cs="Times New Roman"/>
          <w:sz w:val="24"/>
          <w:szCs w:val="24"/>
          <w:lang w:val="en-US"/>
        </w:rPr>
        <w:t xml:space="preserve"> service</w:t>
      </w:r>
      <w:r w:rsidRPr="000549A5">
        <w:rPr>
          <w:rFonts w:ascii="Times New Roman" w:hAnsi="Times New Roman" w:cs="Times New Roman"/>
          <w:sz w:val="24"/>
          <w:szCs w:val="24"/>
          <w:lang w:val="en-US"/>
        </w:rPr>
        <w:t>.</w:t>
      </w:r>
    </w:p>
    <w:p w14:paraId="3BF8B3E8" w14:textId="7B064E6B" w:rsidR="00E1230B" w:rsidRPr="000549A5" w:rsidRDefault="00E1230B"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For an accurate comparison, we must consider the costs associated with digital health interventions and the physical HIV testing expenses for TESTporuch users who proceeded to get tested. The available study in Ukraine indicates that the cost of HIV testing services (including administrative expenses) was $7.22 per person in 2018</w:t>
      </w:r>
      <w:r w:rsidR="00112D44" w:rsidRPr="000549A5">
        <w:rPr>
          <w:rFonts w:ascii="Times New Roman" w:hAnsi="Times New Roman" w:cs="Times New Roman"/>
          <w:sz w:val="24"/>
          <w:szCs w:val="24"/>
          <w:lang w:val="en-US"/>
        </w:rPr>
        <w:t xml:space="preserve"> [3]</w:t>
      </w:r>
      <w:r w:rsidRPr="000549A5">
        <w:rPr>
          <w:rFonts w:ascii="Times New Roman" w:hAnsi="Times New Roman" w:cs="Times New Roman"/>
          <w:sz w:val="24"/>
          <w:szCs w:val="24"/>
          <w:lang w:val="en-US"/>
        </w:rPr>
        <w:t>.</w:t>
      </w:r>
    </w:p>
    <w:p w14:paraId="230D20B4" w14:textId="109CB5D9" w:rsidR="005538F2"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 xml:space="preserve">Given TESTporuch's 3.15% </w:t>
      </w:r>
      <w:r w:rsidR="00E1230B" w:rsidRPr="000549A5">
        <w:rPr>
          <w:rFonts w:ascii="Times New Roman" w:hAnsi="Times New Roman" w:cs="Times New Roman"/>
          <w:sz w:val="24"/>
          <w:szCs w:val="24"/>
          <w:lang w:val="en-US"/>
        </w:rPr>
        <w:t>HIV positivity</w:t>
      </w:r>
      <w:r w:rsidRPr="000549A5">
        <w:rPr>
          <w:rFonts w:ascii="Times New Roman" w:hAnsi="Times New Roman" w:cs="Times New Roman"/>
          <w:sz w:val="24"/>
          <w:szCs w:val="24"/>
          <w:lang w:val="en-US"/>
        </w:rPr>
        <w:t xml:space="preserve"> rate, the testing component cost per identified case is: $7.22 ÷ 0.0315 = $229.21</w:t>
      </w:r>
    </w:p>
    <w:p w14:paraId="49AC6345" w14:textId="3180EAE1" w:rsidR="005538F2"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Therefore, the total cost per identified case through TESTporuch is: $650.42 (digital intervention</w:t>
      </w:r>
      <w:r w:rsidR="00E1230B" w:rsidRPr="000549A5">
        <w:rPr>
          <w:rFonts w:ascii="Times New Roman" w:hAnsi="Times New Roman" w:cs="Times New Roman"/>
          <w:sz w:val="24"/>
          <w:szCs w:val="24"/>
          <w:lang w:val="en-US"/>
        </w:rPr>
        <w:t xml:space="preserve"> that reflect</w:t>
      </w:r>
      <w:r w:rsidR="00D176C9" w:rsidRPr="000549A5">
        <w:rPr>
          <w:rFonts w:ascii="Times New Roman" w:hAnsi="Times New Roman" w:cs="Times New Roman"/>
          <w:sz w:val="24"/>
          <w:szCs w:val="24"/>
          <w:lang w:val="en-US"/>
        </w:rPr>
        <w:t>s</w:t>
      </w:r>
      <w:r w:rsidR="00E1230B" w:rsidRPr="000549A5">
        <w:rPr>
          <w:rFonts w:ascii="Times New Roman" w:hAnsi="Times New Roman" w:cs="Times New Roman"/>
          <w:sz w:val="24"/>
          <w:szCs w:val="24"/>
          <w:lang w:val="en-US"/>
        </w:rPr>
        <w:t xml:space="preserve"> HIV testing promotion</w:t>
      </w:r>
      <w:r w:rsidRPr="000549A5">
        <w:rPr>
          <w:rFonts w:ascii="Times New Roman" w:hAnsi="Times New Roman" w:cs="Times New Roman"/>
          <w:sz w:val="24"/>
          <w:szCs w:val="24"/>
          <w:lang w:val="en-US"/>
        </w:rPr>
        <w:t>) + $229.21 (</w:t>
      </w:r>
      <w:r w:rsidR="00D176C9" w:rsidRPr="000549A5">
        <w:rPr>
          <w:rFonts w:ascii="Times New Roman" w:hAnsi="Times New Roman" w:cs="Times New Roman"/>
          <w:sz w:val="24"/>
          <w:szCs w:val="24"/>
          <w:lang w:val="en-US"/>
        </w:rPr>
        <w:t xml:space="preserve">HIV </w:t>
      </w:r>
      <w:r w:rsidRPr="000549A5">
        <w:rPr>
          <w:rFonts w:ascii="Times New Roman" w:hAnsi="Times New Roman" w:cs="Times New Roman"/>
          <w:sz w:val="24"/>
          <w:szCs w:val="24"/>
          <w:lang w:val="en-US"/>
        </w:rPr>
        <w:t>testing</w:t>
      </w:r>
      <w:r w:rsidR="00E1230B" w:rsidRPr="000549A5">
        <w:rPr>
          <w:rFonts w:ascii="Times New Roman" w:hAnsi="Times New Roman" w:cs="Times New Roman"/>
          <w:sz w:val="24"/>
          <w:szCs w:val="24"/>
          <w:lang w:val="en-US"/>
        </w:rPr>
        <w:t xml:space="preserve"> services</w:t>
      </w:r>
      <w:r w:rsidRPr="000549A5">
        <w:rPr>
          <w:rFonts w:ascii="Times New Roman" w:hAnsi="Times New Roman" w:cs="Times New Roman"/>
          <w:sz w:val="24"/>
          <w:szCs w:val="24"/>
          <w:lang w:val="en-US"/>
        </w:rPr>
        <w:t>) = $879.63</w:t>
      </w:r>
    </w:p>
    <w:p w14:paraId="46A64B8E" w14:textId="5F5AC952" w:rsidR="005538F2"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 xml:space="preserve">Using data from 2022-2024 </w:t>
      </w:r>
      <w:r w:rsidR="00112D44" w:rsidRPr="000549A5">
        <w:rPr>
          <w:rFonts w:ascii="Times New Roman" w:hAnsi="Times New Roman" w:cs="Times New Roman"/>
          <w:sz w:val="24"/>
          <w:szCs w:val="24"/>
          <w:lang w:val="en-US"/>
        </w:rPr>
        <w:t xml:space="preserve">[4] </w:t>
      </w:r>
      <w:r w:rsidRPr="000549A5">
        <w:rPr>
          <w:rFonts w:ascii="Times New Roman" w:hAnsi="Times New Roman" w:cs="Times New Roman"/>
          <w:sz w:val="24"/>
          <w:szCs w:val="24"/>
          <w:lang w:val="en-US"/>
        </w:rPr>
        <w:t xml:space="preserve">and applying the </w:t>
      </w:r>
      <w:r w:rsidR="00D176C9" w:rsidRPr="000549A5">
        <w:rPr>
          <w:rFonts w:ascii="Times New Roman" w:hAnsi="Times New Roman" w:cs="Times New Roman"/>
          <w:sz w:val="24"/>
          <w:szCs w:val="24"/>
          <w:lang w:val="en-US"/>
        </w:rPr>
        <w:t xml:space="preserve">cost per person tested </w:t>
      </w:r>
      <w:r w:rsidRPr="000549A5">
        <w:rPr>
          <w:rFonts w:ascii="Times New Roman" w:hAnsi="Times New Roman" w:cs="Times New Roman"/>
          <w:sz w:val="24"/>
          <w:szCs w:val="24"/>
          <w:lang w:val="en-US"/>
        </w:rPr>
        <w:t xml:space="preserve">from 2021, we can model </w:t>
      </w:r>
      <w:r w:rsidR="00D176C9" w:rsidRPr="000549A5">
        <w:rPr>
          <w:rFonts w:ascii="Times New Roman" w:hAnsi="Times New Roman" w:cs="Times New Roman"/>
          <w:sz w:val="24"/>
          <w:szCs w:val="24"/>
          <w:lang w:val="en-US"/>
        </w:rPr>
        <w:t>the total expenses for HIV testing interventions from 2022 to 2024</w:t>
      </w:r>
      <w:r w:rsidRPr="000549A5">
        <w:rPr>
          <w:rFonts w:ascii="Times New Roman" w:hAnsi="Times New Roman" w:cs="Times New Roman"/>
          <w:sz w:val="24"/>
          <w:szCs w:val="24"/>
          <w:lang w:val="en-US"/>
        </w:rPr>
        <w:t>:</w:t>
      </w:r>
    </w:p>
    <w:tbl>
      <w:tblPr>
        <w:tblStyle w:val="ListTable2"/>
        <w:tblW w:w="9105" w:type="dxa"/>
        <w:tblLayout w:type="fixed"/>
        <w:tblLook w:val="0600" w:firstRow="0" w:lastRow="0" w:firstColumn="0" w:lastColumn="0" w:noHBand="1" w:noVBand="1"/>
      </w:tblPr>
      <w:tblGrid>
        <w:gridCol w:w="1365"/>
        <w:gridCol w:w="1605"/>
        <w:gridCol w:w="1740"/>
        <w:gridCol w:w="1590"/>
        <w:gridCol w:w="2805"/>
      </w:tblGrid>
      <w:tr w:rsidR="005538F2" w:rsidRPr="000549A5" w14:paraId="0AB99382" w14:textId="77777777" w:rsidTr="00E1230B">
        <w:trPr>
          <w:trHeight w:val="455"/>
        </w:trPr>
        <w:tc>
          <w:tcPr>
            <w:tcW w:w="1365" w:type="dxa"/>
          </w:tcPr>
          <w:p w14:paraId="74AD581B"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b/>
                <w:sz w:val="24"/>
                <w:szCs w:val="24"/>
                <w:lang w:val="en-US"/>
              </w:rPr>
              <w:t>Year</w:t>
            </w:r>
          </w:p>
        </w:tc>
        <w:tc>
          <w:tcPr>
            <w:tcW w:w="1605" w:type="dxa"/>
          </w:tcPr>
          <w:p w14:paraId="3919F5A0"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b/>
                <w:sz w:val="24"/>
                <w:szCs w:val="24"/>
                <w:lang w:val="en-US"/>
              </w:rPr>
              <w:t>People Tested</w:t>
            </w:r>
          </w:p>
        </w:tc>
        <w:tc>
          <w:tcPr>
            <w:tcW w:w="1740" w:type="dxa"/>
          </w:tcPr>
          <w:p w14:paraId="33F0D1AB"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b/>
                <w:sz w:val="24"/>
                <w:szCs w:val="24"/>
                <w:lang w:val="en-US"/>
              </w:rPr>
              <w:t>Effectiveness</w:t>
            </w:r>
          </w:p>
        </w:tc>
        <w:tc>
          <w:tcPr>
            <w:tcW w:w="1590" w:type="dxa"/>
          </w:tcPr>
          <w:p w14:paraId="38A85F18"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b/>
                <w:sz w:val="24"/>
                <w:szCs w:val="24"/>
                <w:lang w:val="en-US"/>
              </w:rPr>
              <w:t>Cases Identified</w:t>
            </w:r>
          </w:p>
        </w:tc>
        <w:tc>
          <w:tcPr>
            <w:tcW w:w="2805" w:type="dxa"/>
          </w:tcPr>
          <w:p w14:paraId="2E54EA9F"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b/>
                <w:sz w:val="24"/>
                <w:szCs w:val="24"/>
                <w:lang w:val="en-US"/>
              </w:rPr>
              <w:t>Total Cost</w:t>
            </w:r>
          </w:p>
        </w:tc>
      </w:tr>
      <w:tr w:rsidR="005538F2" w:rsidRPr="000549A5" w14:paraId="3E3ED45D" w14:textId="77777777" w:rsidTr="00E1230B">
        <w:trPr>
          <w:trHeight w:val="455"/>
        </w:trPr>
        <w:tc>
          <w:tcPr>
            <w:tcW w:w="1365" w:type="dxa"/>
          </w:tcPr>
          <w:p w14:paraId="0C5C891E"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2022</w:t>
            </w:r>
          </w:p>
        </w:tc>
        <w:tc>
          <w:tcPr>
            <w:tcW w:w="1605" w:type="dxa"/>
          </w:tcPr>
          <w:p w14:paraId="550501CA"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1,612,348</w:t>
            </w:r>
          </w:p>
        </w:tc>
        <w:tc>
          <w:tcPr>
            <w:tcW w:w="1740" w:type="dxa"/>
          </w:tcPr>
          <w:p w14:paraId="3C227D92"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0.93%</w:t>
            </w:r>
          </w:p>
        </w:tc>
        <w:tc>
          <w:tcPr>
            <w:tcW w:w="1590" w:type="dxa"/>
          </w:tcPr>
          <w:p w14:paraId="1238260E"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14,995</w:t>
            </w:r>
          </w:p>
        </w:tc>
        <w:tc>
          <w:tcPr>
            <w:tcW w:w="2805" w:type="dxa"/>
          </w:tcPr>
          <w:p w14:paraId="0F189CAA"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$16,187,974</w:t>
            </w:r>
          </w:p>
        </w:tc>
      </w:tr>
      <w:tr w:rsidR="005538F2" w:rsidRPr="000549A5" w14:paraId="3C5E3524" w14:textId="77777777" w:rsidTr="00E1230B">
        <w:trPr>
          <w:trHeight w:val="455"/>
        </w:trPr>
        <w:tc>
          <w:tcPr>
            <w:tcW w:w="1365" w:type="dxa"/>
          </w:tcPr>
          <w:p w14:paraId="0B65CCE1"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lastRenderedPageBreak/>
              <w:t>2023</w:t>
            </w:r>
          </w:p>
        </w:tc>
        <w:tc>
          <w:tcPr>
            <w:tcW w:w="1605" w:type="dxa"/>
          </w:tcPr>
          <w:p w14:paraId="5B718617"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2,250,660</w:t>
            </w:r>
          </w:p>
        </w:tc>
        <w:tc>
          <w:tcPr>
            <w:tcW w:w="1740" w:type="dxa"/>
          </w:tcPr>
          <w:p w14:paraId="2D31FC98"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0.63%</w:t>
            </w:r>
          </w:p>
        </w:tc>
        <w:tc>
          <w:tcPr>
            <w:tcW w:w="1590" w:type="dxa"/>
          </w:tcPr>
          <w:p w14:paraId="71B41DB2"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14,179</w:t>
            </w:r>
          </w:p>
        </w:tc>
        <w:tc>
          <w:tcPr>
            <w:tcW w:w="2805" w:type="dxa"/>
          </w:tcPr>
          <w:p w14:paraId="25E424A3"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$22,596,626</w:t>
            </w:r>
          </w:p>
        </w:tc>
      </w:tr>
      <w:tr w:rsidR="005538F2" w:rsidRPr="000549A5" w14:paraId="6A4A5E67" w14:textId="77777777" w:rsidTr="00E1230B">
        <w:trPr>
          <w:trHeight w:val="455"/>
        </w:trPr>
        <w:tc>
          <w:tcPr>
            <w:tcW w:w="1365" w:type="dxa"/>
          </w:tcPr>
          <w:p w14:paraId="05297B33"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2024</w:t>
            </w:r>
          </w:p>
        </w:tc>
        <w:tc>
          <w:tcPr>
            <w:tcW w:w="1605" w:type="dxa"/>
          </w:tcPr>
          <w:p w14:paraId="23681431"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2,587,184</w:t>
            </w:r>
          </w:p>
        </w:tc>
        <w:tc>
          <w:tcPr>
            <w:tcW w:w="1740" w:type="dxa"/>
          </w:tcPr>
          <w:p w14:paraId="6ADB6C45"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0.48%</w:t>
            </w:r>
          </w:p>
        </w:tc>
        <w:tc>
          <w:tcPr>
            <w:tcW w:w="1590" w:type="dxa"/>
          </w:tcPr>
          <w:p w14:paraId="7ED5966A"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12,419</w:t>
            </w:r>
          </w:p>
        </w:tc>
        <w:tc>
          <w:tcPr>
            <w:tcW w:w="2805" w:type="dxa"/>
          </w:tcPr>
          <w:p w14:paraId="62F84A61" w14:textId="77777777" w:rsidR="005538F2" w:rsidRPr="000549A5" w:rsidRDefault="00000000" w:rsidP="00112D44">
            <w:p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$25,975,327</w:t>
            </w:r>
          </w:p>
        </w:tc>
      </w:tr>
    </w:tbl>
    <w:p w14:paraId="4214763A" w14:textId="77777777" w:rsidR="005538F2" w:rsidRPr="000549A5" w:rsidRDefault="00000000" w:rsidP="00112D44">
      <w:pPr>
        <w:spacing w:before="240" w:after="240"/>
        <w:jc w:val="both"/>
        <w:rPr>
          <w:rFonts w:ascii="Times New Roman" w:hAnsi="Times New Roman" w:cs="Times New Roman"/>
          <w:b/>
          <w:bCs/>
          <w:sz w:val="24"/>
          <w:szCs w:val="24"/>
          <w:lang w:val="en-US"/>
        </w:rPr>
      </w:pPr>
      <w:r w:rsidRPr="000549A5">
        <w:rPr>
          <w:rFonts w:ascii="Times New Roman" w:hAnsi="Times New Roman" w:cs="Times New Roman"/>
          <w:sz w:val="24"/>
          <w:szCs w:val="24"/>
          <w:lang w:val="en-US"/>
        </w:rPr>
        <w:t xml:space="preserve">The average effectiveness for this period is 0.68% (simple arithmetic mean of the three years), making the average cost per identified case: $64,759,927 ÷ (6,450,192 × 0.0068) = </w:t>
      </w:r>
      <w:r w:rsidRPr="000549A5">
        <w:rPr>
          <w:rFonts w:ascii="Times New Roman" w:hAnsi="Times New Roman" w:cs="Times New Roman"/>
          <w:b/>
          <w:bCs/>
          <w:sz w:val="24"/>
          <w:szCs w:val="24"/>
          <w:lang w:val="en-US"/>
        </w:rPr>
        <w:t>$1,476.55</w:t>
      </w:r>
    </w:p>
    <w:p w14:paraId="26085C9F" w14:textId="77777777" w:rsidR="005538F2"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Comparing TESTporuch to this average:</w:t>
      </w:r>
    </w:p>
    <w:p w14:paraId="29D61987" w14:textId="5818C55C" w:rsidR="005538F2" w:rsidRPr="000549A5" w:rsidRDefault="00D176C9" w:rsidP="00112D44">
      <w:pPr>
        <w:numPr>
          <w:ilvl w:val="0"/>
          <w:numId w:val="1"/>
        </w:numPr>
        <w:spacing w:before="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National estimations for 2022-2024: $1,476.55 per identified case</w:t>
      </w:r>
    </w:p>
    <w:p w14:paraId="159E1AC0" w14:textId="77777777" w:rsidR="005538F2" w:rsidRPr="000549A5" w:rsidRDefault="00000000" w:rsidP="00112D44">
      <w:pPr>
        <w:numPr>
          <w:ilvl w:val="0"/>
          <w:numId w:val="1"/>
        </w:numPr>
        <w:spacing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TESTporuch: $879.63 per identified case</w:t>
      </w:r>
    </w:p>
    <w:p w14:paraId="6D74EEE5" w14:textId="77777777" w:rsidR="005538F2"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This represents savings of $596.92 (40.4%) per identified case when using TESTporuch compared to the projected average for 2022-2024.</w:t>
      </w:r>
    </w:p>
    <w:p w14:paraId="560B5421" w14:textId="31A70910" w:rsidR="005538F2" w:rsidRPr="000549A5" w:rsidRDefault="00000000" w:rsidP="00112D44">
      <w:pPr>
        <w:spacing w:before="240" w:after="240"/>
        <w:jc w:val="both"/>
        <w:rPr>
          <w:rFonts w:ascii="Times New Roman" w:hAnsi="Times New Roman" w:cs="Times New Roman"/>
          <w:sz w:val="24"/>
          <w:szCs w:val="24"/>
          <w:lang w:val="en-US"/>
        </w:rPr>
      </w:pPr>
      <w:bookmarkStart w:id="0" w:name="_bwar3y55el4a" w:colFirst="0" w:colLast="0"/>
      <w:bookmarkEnd w:id="0"/>
      <w:r w:rsidRPr="000549A5">
        <w:rPr>
          <w:rFonts w:ascii="Times New Roman" w:hAnsi="Times New Roman" w:cs="Times New Roman"/>
          <w:sz w:val="24"/>
          <w:szCs w:val="24"/>
          <w:lang w:val="en-US"/>
        </w:rPr>
        <w:t xml:space="preserve">We can approximate the breakdown of costs in the traditional approach by using the </w:t>
      </w:r>
      <w:r w:rsidR="000549A5" w:rsidRPr="000549A5">
        <w:rPr>
          <w:rFonts w:ascii="Times New Roman" w:hAnsi="Times New Roman" w:cs="Times New Roman"/>
          <w:sz w:val="24"/>
          <w:szCs w:val="24"/>
          <w:lang w:val="en-US"/>
        </w:rPr>
        <w:t>cost information for HIV testing services</w:t>
      </w:r>
      <w:r w:rsidRPr="000549A5">
        <w:rPr>
          <w:rFonts w:ascii="Times New Roman" w:hAnsi="Times New Roman" w:cs="Times New Roman"/>
          <w:sz w:val="24"/>
          <w:szCs w:val="24"/>
          <w:lang w:val="en-US"/>
        </w:rPr>
        <w:t>. At a 0.99% effectiveness rate, the testing component costs approximately: $7.22 ÷ 0.0099 = $729.29 per identified case</w:t>
      </w:r>
    </w:p>
    <w:p w14:paraId="3A6C480A" w14:textId="1B0544F9" w:rsidR="00D176C9" w:rsidRPr="000549A5" w:rsidRDefault="00000000" w:rsidP="00112D44">
      <w:p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The difference between the total and testing cost</w:t>
      </w:r>
      <w:r w:rsidR="000549A5">
        <w:rPr>
          <w:rFonts w:ascii="Times New Roman" w:hAnsi="Times New Roman" w:cs="Times New Roman"/>
          <w:sz w:val="24"/>
          <w:szCs w:val="24"/>
          <w:lang w:val="en-US"/>
        </w:rPr>
        <w:t>s</w:t>
      </w:r>
      <w:r w:rsidRPr="000549A5">
        <w:rPr>
          <w:rFonts w:ascii="Times New Roman" w:hAnsi="Times New Roman" w:cs="Times New Roman"/>
          <w:sz w:val="24"/>
          <w:szCs w:val="24"/>
          <w:lang w:val="en-US"/>
        </w:rPr>
        <w:t xml:space="preserve"> can be attributed to </w:t>
      </w:r>
      <w:r w:rsidR="000549A5">
        <w:rPr>
          <w:rFonts w:ascii="Times New Roman" w:hAnsi="Times New Roman" w:cs="Times New Roman"/>
          <w:sz w:val="24"/>
          <w:szCs w:val="24"/>
          <w:lang w:val="en-US"/>
        </w:rPr>
        <w:t>promotion</w:t>
      </w:r>
      <w:r w:rsidRPr="000549A5">
        <w:rPr>
          <w:rFonts w:ascii="Times New Roman" w:hAnsi="Times New Roman" w:cs="Times New Roman"/>
          <w:sz w:val="24"/>
          <w:szCs w:val="24"/>
          <w:lang w:val="en-US"/>
        </w:rPr>
        <w:t xml:space="preserve"> activities: $1,014.12 - $729.29 = $284.83 per identified case</w:t>
      </w:r>
      <w:r w:rsidR="000549A5">
        <w:rPr>
          <w:rFonts w:ascii="Times New Roman" w:hAnsi="Times New Roman" w:cs="Times New Roman"/>
          <w:sz w:val="24"/>
          <w:szCs w:val="24"/>
          <w:lang w:val="en-US"/>
        </w:rPr>
        <w:t>.</w:t>
      </w:r>
    </w:p>
    <w:p w14:paraId="17DD5A76" w14:textId="7C2E578C" w:rsidR="00D176C9" w:rsidRPr="000549A5" w:rsidRDefault="00D176C9" w:rsidP="00112D44">
      <w:pPr>
        <w:spacing w:before="240" w:after="240"/>
        <w:jc w:val="both"/>
        <w:rPr>
          <w:rFonts w:ascii="Times New Roman" w:hAnsi="Times New Roman" w:cs="Times New Roman"/>
          <w:b/>
          <w:bCs/>
          <w:sz w:val="24"/>
          <w:szCs w:val="24"/>
          <w:lang w:val="en-US"/>
        </w:rPr>
      </w:pPr>
      <w:r w:rsidRPr="000549A5">
        <w:rPr>
          <w:rFonts w:ascii="Times New Roman" w:hAnsi="Times New Roman" w:cs="Times New Roman"/>
          <w:b/>
          <w:bCs/>
          <w:sz w:val="24"/>
          <w:szCs w:val="24"/>
          <w:lang w:val="en-US"/>
        </w:rPr>
        <w:t>References:</w:t>
      </w:r>
    </w:p>
    <w:p w14:paraId="672D435F" w14:textId="3E482197" w:rsidR="00112D44" w:rsidRPr="000549A5" w:rsidRDefault="00112D44" w:rsidP="00112D44">
      <w:pPr>
        <w:pStyle w:val="ListParagraph"/>
        <w:numPr>
          <w:ilvl w:val="0"/>
          <w:numId w:val="4"/>
        </w:num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Public Health Center of the MOH of Ukraine. Information bulletin: HIV infection in Ukraine. Kyiv: PHC; 2022.</w:t>
      </w:r>
    </w:p>
    <w:p w14:paraId="40DE1618" w14:textId="07300CBB" w:rsidR="00112D44" w:rsidRPr="000549A5" w:rsidRDefault="00112D44" w:rsidP="00112D44">
      <w:pPr>
        <w:pStyle w:val="ListParagraph"/>
        <w:numPr>
          <w:ilvl w:val="0"/>
          <w:numId w:val="4"/>
        </w:num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UNAIDS. Country Profile – Ukraine. 2024. https://sustainability.unaids.org/country/ukraine/. Accessed 15 Jan 2025.</w:t>
      </w:r>
    </w:p>
    <w:p w14:paraId="34DB98B7" w14:textId="72584F10" w:rsidR="00D176C9" w:rsidRPr="000549A5" w:rsidRDefault="00D176C9" w:rsidP="00112D44">
      <w:pPr>
        <w:pStyle w:val="ListParagraph"/>
        <w:numPr>
          <w:ilvl w:val="0"/>
          <w:numId w:val="4"/>
        </w:numPr>
        <w:spacing w:before="240" w:after="240"/>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 xml:space="preserve">Latypov, Alisher &amp; Duda, Maksym &amp; Dierst-Davies, Rhodri &amp; Pearson, Jonathan &amp; Sereda, Yuliia &amp; Kerr, Cliff &amp; Kuzin, Ihor &amp; Avaliani, Nata. (2018). HIV INVESTMENT CASE STUDY FOR UKRAINE: EVALUATION OF PROGRAM COSTS, SERVICE QUALITY, AND RESOURCE ALLOCATION FOR HIV EXPENDITURE IN 2015. </w:t>
      </w:r>
    </w:p>
    <w:p w14:paraId="02C5A37A" w14:textId="061D7854" w:rsidR="00112D44" w:rsidRPr="000549A5" w:rsidRDefault="00112D44" w:rsidP="00112D44">
      <w:pPr>
        <w:pStyle w:val="ListParagraph"/>
        <w:numPr>
          <w:ilvl w:val="0"/>
          <w:numId w:val="4"/>
        </w:numPr>
        <w:jc w:val="both"/>
        <w:rPr>
          <w:rFonts w:ascii="Times New Roman" w:hAnsi="Times New Roman" w:cs="Times New Roman"/>
          <w:sz w:val="24"/>
          <w:szCs w:val="24"/>
          <w:lang w:val="en-US"/>
        </w:rPr>
      </w:pPr>
      <w:r w:rsidRPr="000549A5">
        <w:rPr>
          <w:rFonts w:ascii="Times New Roman" w:hAnsi="Times New Roman" w:cs="Times New Roman"/>
          <w:sz w:val="24"/>
          <w:szCs w:val="24"/>
          <w:lang w:val="en-US"/>
        </w:rPr>
        <w:t>Public Health Center of the MOH of Ukraine. Monitoring of HIV infection in Ukraine. National Portal of Strategic Information in Public Health. https://npsi.phc.org.ua/HIV_Monitoring. Accessed 27 Apr 2025.</w:t>
      </w:r>
    </w:p>
    <w:sectPr w:rsidR="00112D44" w:rsidRPr="000549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EC85" w14:textId="77777777" w:rsidR="000B2F87" w:rsidRDefault="000B2F87" w:rsidP="00E1230B">
      <w:pPr>
        <w:spacing w:line="240" w:lineRule="auto"/>
      </w:pPr>
      <w:r>
        <w:separator/>
      </w:r>
    </w:p>
  </w:endnote>
  <w:endnote w:type="continuationSeparator" w:id="0">
    <w:p w14:paraId="1E493111" w14:textId="77777777" w:rsidR="000B2F87" w:rsidRDefault="000B2F87" w:rsidP="00E12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7214" w14:textId="77777777" w:rsidR="00E1230B" w:rsidRDefault="00E12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AB93" w14:textId="77777777" w:rsidR="00E1230B" w:rsidRDefault="00E12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92DB" w14:textId="77777777" w:rsidR="00E1230B" w:rsidRDefault="00E12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C992" w14:textId="77777777" w:rsidR="000B2F87" w:rsidRDefault="000B2F87" w:rsidP="00E1230B">
      <w:pPr>
        <w:spacing w:line="240" w:lineRule="auto"/>
      </w:pPr>
      <w:r>
        <w:separator/>
      </w:r>
    </w:p>
  </w:footnote>
  <w:footnote w:type="continuationSeparator" w:id="0">
    <w:p w14:paraId="038ABFEF" w14:textId="77777777" w:rsidR="000B2F87" w:rsidRDefault="000B2F87" w:rsidP="00E123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66D9" w14:textId="77777777" w:rsidR="00E1230B" w:rsidRDefault="00E12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856A" w14:textId="77777777" w:rsidR="00E1230B" w:rsidRDefault="00E12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2CC0" w14:textId="77777777" w:rsidR="00E1230B" w:rsidRDefault="00E12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50FC"/>
    <w:multiLevelType w:val="hybridMultilevel"/>
    <w:tmpl w:val="A42A6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DA7AAD"/>
    <w:multiLevelType w:val="multilevel"/>
    <w:tmpl w:val="1174E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DA34AE"/>
    <w:multiLevelType w:val="multilevel"/>
    <w:tmpl w:val="8EFCD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6C69A5"/>
    <w:multiLevelType w:val="multilevel"/>
    <w:tmpl w:val="60F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23630119">
    <w:abstractNumId w:val="3"/>
  </w:num>
  <w:num w:numId="2" w16cid:durableId="1088506851">
    <w:abstractNumId w:val="1"/>
  </w:num>
  <w:num w:numId="3" w16cid:durableId="116067298">
    <w:abstractNumId w:val="2"/>
  </w:num>
  <w:num w:numId="4" w16cid:durableId="1574044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F2"/>
    <w:rsid w:val="000549A5"/>
    <w:rsid w:val="00056C07"/>
    <w:rsid w:val="000B2F87"/>
    <w:rsid w:val="00112D44"/>
    <w:rsid w:val="0014398A"/>
    <w:rsid w:val="001C6C06"/>
    <w:rsid w:val="00451444"/>
    <w:rsid w:val="005538F2"/>
    <w:rsid w:val="006E7CAE"/>
    <w:rsid w:val="00772F1E"/>
    <w:rsid w:val="008465AD"/>
    <w:rsid w:val="00AD5451"/>
    <w:rsid w:val="00B35A57"/>
    <w:rsid w:val="00B53968"/>
    <w:rsid w:val="00C96891"/>
    <w:rsid w:val="00D176C9"/>
    <w:rsid w:val="00D23A41"/>
    <w:rsid w:val="00D6081D"/>
    <w:rsid w:val="00E1230B"/>
    <w:rsid w:val="00F052FE"/>
    <w:rsid w:val="00FC05CE"/>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4EA76"/>
  <w15:docId w15:val="{E1D1BA84-C088-6F40-9C52-AE483715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1230B"/>
    <w:pPr>
      <w:tabs>
        <w:tab w:val="center" w:pos="4513"/>
        <w:tab w:val="right" w:pos="9026"/>
      </w:tabs>
      <w:spacing w:line="240" w:lineRule="auto"/>
    </w:pPr>
  </w:style>
  <w:style w:type="character" w:customStyle="1" w:styleId="HeaderChar">
    <w:name w:val="Header Char"/>
    <w:basedOn w:val="DefaultParagraphFont"/>
    <w:link w:val="Header"/>
    <w:uiPriority w:val="99"/>
    <w:rsid w:val="00E1230B"/>
  </w:style>
  <w:style w:type="paragraph" w:styleId="Footer">
    <w:name w:val="footer"/>
    <w:basedOn w:val="Normal"/>
    <w:link w:val="FooterChar"/>
    <w:uiPriority w:val="99"/>
    <w:unhideWhenUsed/>
    <w:rsid w:val="00E1230B"/>
    <w:pPr>
      <w:tabs>
        <w:tab w:val="center" w:pos="4513"/>
        <w:tab w:val="right" w:pos="9026"/>
      </w:tabs>
      <w:spacing w:line="240" w:lineRule="auto"/>
    </w:pPr>
  </w:style>
  <w:style w:type="character" w:customStyle="1" w:styleId="FooterChar">
    <w:name w:val="Footer Char"/>
    <w:basedOn w:val="DefaultParagraphFont"/>
    <w:link w:val="Footer"/>
    <w:uiPriority w:val="99"/>
    <w:rsid w:val="00E1230B"/>
  </w:style>
  <w:style w:type="table" w:styleId="ListTable2">
    <w:name w:val="List Table 2"/>
    <w:basedOn w:val="TableNormal"/>
    <w:uiPriority w:val="47"/>
    <w:rsid w:val="00E1230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17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01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Александренко Гліб Дмитрович</cp:lastModifiedBy>
  <cp:revision>6</cp:revision>
  <dcterms:created xsi:type="dcterms:W3CDTF">2025-05-05T15:08:00Z</dcterms:created>
  <dcterms:modified xsi:type="dcterms:W3CDTF">2025-05-11T16:04:00Z</dcterms:modified>
</cp:coreProperties>
</file>