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EB916" w14:textId="77777777" w:rsidR="00862EF7" w:rsidRDefault="00862EF7" w:rsidP="00862EF7">
      <w:pPr>
        <w:spacing w:line="360" w:lineRule="auto"/>
        <w:ind w:left="720" w:hanging="720"/>
        <w:jc w:val="both"/>
        <w:rPr>
          <w:rFonts w:ascii="Times New Roman" w:hAnsi="Times New Roman" w:cs="Times New Roman"/>
        </w:rPr>
      </w:pPr>
    </w:p>
    <w:p w14:paraId="02EF572A" w14:textId="77777777" w:rsidR="00862EF7" w:rsidRDefault="00862EF7" w:rsidP="00862EF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250CA">
        <w:rPr>
          <w:rFonts w:ascii="Times New Roman" w:hAnsi="Times New Roman" w:cs="Times New Roman"/>
          <w:b/>
          <w:bCs/>
        </w:rPr>
        <w:t>Appendix</w:t>
      </w:r>
      <w:r>
        <w:rPr>
          <w:rFonts w:ascii="Times New Roman" w:hAnsi="Times New Roman" w:cs="Times New Roman"/>
          <w:b/>
          <w:bCs/>
        </w:rPr>
        <w:t xml:space="preserve"> A</w:t>
      </w:r>
    </w:p>
    <w:tbl>
      <w:tblPr>
        <w:tblStyle w:val="TableGrid"/>
        <w:tblW w:w="1076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852"/>
        <w:gridCol w:w="2054"/>
        <w:gridCol w:w="611"/>
        <w:gridCol w:w="590"/>
        <w:gridCol w:w="529"/>
        <w:gridCol w:w="491"/>
        <w:gridCol w:w="491"/>
        <w:gridCol w:w="695"/>
        <w:gridCol w:w="491"/>
        <w:gridCol w:w="1116"/>
        <w:gridCol w:w="720"/>
        <w:gridCol w:w="630"/>
        <w:gridCol w:w="728"/>
        <w:gridCol w:w="762"/>
      </w:tblGrid>
      <w:tr w:rsidR="00862EF7" w:rsidRPr="000718C3" w14:paraId="7878114A" w14:textId="77777777" w:rsidTr="000F0669">
        <w:trPr>
          <w:trHeight w:val="336"/>
        </w:trPr>
        <w:tc>
          <w:tcPr>
            <w:tcW w:w="852" w:type="dxa"/>
            <w:vMerge w:val="restart"/>
            <w:vAlign w:val="center"/>
          </w:tcPr>
          <w:p w14:paraId="32EF9564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Article No.</w:t>
            </w:r>
          </w:p>
        </w:tc>
        <w:tc>
          <w:tcPr>
            <w:tcW w:w="2054" w:type="dxa"/>
            <w:vMerge w:val="restart"/>
            <w:vAlign w:val="center"/>
          </w:tcPr>
          <w:p w14:paraId="2C42DA79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Sources</w:t>
            </w:r>
          </w:p>
        </w:tc>
        <w:tc>
          <w:tcPr>
            <w:tcW w:w="1201" w:type="dxa"/>
            <w:gridSpan w:val="2"/>
          </w:tcPr>
          <w:p w14:paraId="1BC426D5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Relevance</w:t>
            </w:r>
          </w:p>
        </w:tc>
        <w:tc>
          <w:tcPr>
            <w:tcW w:w="2697" w:type="dxa"/>
            <w:gridSpan w:val="5"/>
          </w:tcPr>
          <w:p w14:paraId="4F1268CF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Rigor</w:t>
            </w:r>
          </w:p>
          <w:p w14:paraId="104BA638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6" w:type="dxa"/>
          </w:tcPr>
          <w:p w14:paraId="41345DBA" w14:textId="77777777" w:rsidR="00862EF7" w:rsidRPr="000718C3" w:rsidRDefault="00862EF7" w:rsidP="000F066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Analytical Depth</w:t>
            </w:r>
          </w:p>
        </w:tc>
        <w:tc>
          <w:tcPr>
            <w:tcW w:w="1350" w:type="dxa"/>
            <w:gridSpan w:val="2"/>
          </w:tcPr>
          <w:p w14:paraId="10FC88EE" w14:textId="77777777" w:rsidR="00862EF7" w:rsidRPr="000718C3" w:rsidRDefault="00862EF7" w:rsidP="000F066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728" w:type="dxa"/>
            <w:vMerge w:val="restart"/>
            <w:vAlign w:val="center"/>
          </w:tcPr>
          <w:p w14:paraId="431DDC91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Score</w:t>
            </w:r>
          </w:p>
        </w:tc>
        <w:tc>
          <w:tcPr>
            <w:tcW w:w="762" w:type="dxa"/>
            <w:vMerge w:val="restart"/>
            <w:vAlign w:val="center"/>
          </w:tcPr>
          <w:p w14:paraId="6BA372CD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Rank</w:t>
            </w:r>
          </w:p>
        </w:tc>
      </w:tr>
      <w:tr w:rsidR="00862EF7" w:rsidRPr="000718C3" w14:paraId="5D80F587" w14:textId="77777777" w:rsidTr="000F0669">
        <w:trPr>
          <w:trHeight w:val="610"/>
        </w:trPr>
        <w:tc>
          <w:tcPr>
            <w:tcW w:w="852" w:type="dxa"/>
            <w:vMerge/>
          </w:tcPr>
          <w:p w14:paraId="313C3699" w14:textId="77777777" w:rsidR="00862EF7" w:rsidRPr="000718C3" w:rsidRDefault="00862EF7" w:rsidP="000F066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4" w:type="dxa"/>
            <w:vMerge/>
          </w:tcPr>
          <w:p w14:paraId="6E076904" w14:textId="77777777" w:rsidR="00862EF7" w:rsidRPr="000718C3" w:rsidRDefault="00862EF7" w:rsidP="000F066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</w:tcPr>
          <w:p w14:paraId="2D54ABB3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sz w:val="20"/>
                <w:szCs w:val="20"/>
              </w:rPr>
              <w:t>Q1</w:t>
            </w:r>
          </w:p>
        </w:tc>
        <w:tc>
          <w:tcPr>
            <w:tcW w:w="590" w:type="dxa"/>
          </w:tcPr>
          <w:p w14:paraId="244BC593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529" w:type="dxa"/>
          </w:tcPr>
          <w:p w14:paraId="09E76030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491" w:type="dxa"/>
          </w:tcPr>
          <w:p w14:paraId="0C61C55E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491" w:type="dxa"/>
          </w:tcPr>
          <w:p w14:paraId="1DDD55E8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sz w:val="20"/>
                <w:szCs w:val="20"/>
              </w:rPr>
              <w:t>Q5</w:t>
            </w:r>
          </w:p>
        </w:tc>
        <w:tc>
          <w:tcPr>
            <w:tcW w:w="695" w:type="dxa"/>
          </w:tcPr>
          <w:p w14:paraId="4F3565F2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sz w:val="20"/>
                <w:szCs w:val="20"/>
              </w:rPr>
              <w:t>Q6</w:t>
            </w:r>
          </w:p>
        </w:tc>
        <w:tc>
          <w:tcPr>
            <w:tcW w:w="491" w:type="dxa"/>
          </w:tcPr>
          <w:p w14:paraId="4E94C563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16" w:type="dxa"/>
          </w:tcPr>
          <w:p w14:paraId="3C6543F4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14:paraId="13ECAB14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796BE405" w14:textId="77777777" w:rsidR="00862EF7" w:rsidRPr="000718C3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sz w:val="20"/>
                <w:szCs w:val="20"/>
              </w:rPr>
              <w:t>Q10</w:t>
            </w:r>
          </w:p>
        </w:tc>
        <w:tc>
          <w:tcPr>
            <w:tcW w:w="728" w:type="dxa"/>
            <w:vMerge/>
          </w:tcPr>
          <w:p w14:paraId="3B179824" w14:textId="77777777" w:rsidR="00862EF7" w:rsidRPr="000718C3" w:rsidRDefault="00862EF7" w:rsidP="000F066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" w:type="dxa"/>
            <w:vMerge/>
          </w:tcPr>
          <w:p w14:paraId="13346E87" w14:textId="77777777" w:rsidR="00862EF7" w:rsidRPr="000718C3" w:rsidRDefault="00862EF7" w:rsidP="000F066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EF7" w:rsidRPr="000718C3" w14:paraId="2C6AE38F" w14:textId="77777777" w:rsidTr="000F0669">
        <w:trPr>
          <w:trHeight w:val="270"/>
        </w:trPr>
        <w:tc>
          <w:tcPr>
            <w:tcW w:w="852" w:type="dxa"/>
          </w:tcPr>
          <w:p w14:paraId="375816A2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54" w:type="dxa"/>
          </w:tcPr>
          <w:p w14:paraId="49690F7B" w14:textId="77777777" w:rsidR="00862EF7" w:rsidRPr="00D73D6C" w:rsidRDefault="00862EF7" w:rsidP="000F066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Mudzielwana &amp; Odeku (2023)</w:t>
            </w:r>
          </w:p>
        </w:tc>
        <w:tc>
          <w:tcPr>
            <w:tcW w:w="611" w:type="dxa"/>
          </w:tcPr>
          <w:p w14:paraId="5E83B839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</w:tcPr>
          <w:p w14:paraId="7E3F5B0A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9" w:type="dxa"/>
          </w:tcPr>
          <w:p w14:paraId="5F9483E5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1" w:type="dxa"/>
          </w:tcPr>
          <w:p w14:paraId="5F94CC5E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1" w:type="dxa"/>
          </w:tcPr>
          <w:p w14:paraId="6A712CBB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95" w:type="dxa"/>
          </w:tcPr>
          <w:p w14:paraId="12CDE212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1" w:type="dxa"/>
          </w:tcPr>
          <w:p w14:paraId="7F6681BC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6" w:type="dxa"/>
          </w:tcPr>
          <w:p w14:paraId="1A8C0827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14:paraId="09218794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</w:tcPr>
          <w:p w14:paraId="665AF036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8" w:type="dxa"/>
          </w:tcPr>
          <w:p w14:paraId="49BE3157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62" w:type="dxa"/>
          </w:tcPr>
          <w:p w14:paraId="2077BBC3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62EF7" w:rsidRPr="000718C3" w14:paraId="1A758E3E" w14:textId="77777777" w:rsidTr="000F0669">
        <w:trPr>
          <w:trHeight w:val="280"/>
        </w:trPr>
        <w:tc>
          <w:tcPr>
            <w:tcW w:w="852" w:type="dxa"/>
          </w:tcPr>
          <w:p w14:paraId="1BA8B5E0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54" w:type="dxa"/>
          </w:tcPr>
          <w:p w14:paraId="32560C72" w14:textId="77777777" w:rsidR="00862EF7" w:rsidRPr="00D73D6C" w:rsidRDefault="00862EF7" w:rsidP="000F066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Migozzi (2022)</w:t>
            </w:r>
          </w:p>
        </w:tc>
        <w:tc>
          <w:tcPr>
            <w:tcW w:w="611" w:type="dxa"/>
          </w:tcPr>
          <w:p w14:paraId="2A28427D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90" w:type="dxa"/>
          </w:tcPr>
          <w:p w14:paraId="658B7D6A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9" w:type="dxa"/>
          </w:tcPr>
          <w:p w14:paraId="33573AB4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1" w:type="dxa"/>
          </w:tcPr>
          <w:p w14:paraId="3473D426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1" w:type="dxa"/>
          </w:tcPr>
          <w:p w14:paraId="5A9E7797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5" w:type="dxa"/>
          </w:tcPr>
          <w:p w14:paraId="0C5EC821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1" w:type="dxa"/>
          </w:tcPr>
          <w:p w14:paraId="2B305F86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6" w:type="dxa"/>
          </w:tcPr>
          <w:p w14:paraId="79CD60BB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14:paraId="5704E9F5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</w:tcPr>
          <w:p w14:paraId="729037F0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8" w:type="dxa"/>
          </w:tcPr>
          <w:p w14:paraId="21BEED86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62" w:type="dxa"/>
          </w:tcPr>
          <w:p w14:paraId="34AAE08F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62EF7" w:rsidRPr="000718C3" w14:paraId="0918A16C" w14:textId="77777777" w:rsidTr="000F0669">
        <w:trPr>
          <w:trHeight w:val="280"/>
        </w:trPr>
        <w:tc>
          <w:tcPr>
            <w:tcW w:w="852" w:type="dxa"/>
          </w:tcPr>
          <w:p w14:paraId="2ADE8E28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54" w:type="dxa"/>
          </w:tcPr>
          <w:p w14:paraId="37005FC3" w14:textId="77777777" w:rsidR="00862EF7" w:rsidRPr="00D73D6C" w:rsidRDefault="00862EF7" w:rsidP="000F066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Onatu, Thwala &amp; Aigbavboa (2023);</w:t>
            </w:r>
          </w:p>
        </w:tc>
        <w:tc>
          <w:tcPr>
            <w:tcW w:w="611" w:type="dxa"/>
          </w:tcPr>
          <w:p w14:paraId="24667D67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</w:tcPr>
          <w:p w14:paraId="0AE5AFCA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9" w:type="dxa"/>
          </w:tcPr>
          <w:p w14:paraId="289583EB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1" w:type="dxa"/>
          </w:tcPr>
          <w:p w14:paraId="0AF2964E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1" w:type="dxa"/>
          </w:tcPr>
          <w:p w14:paraId="177CF033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5" w:type="dxa"/>
          </w:tcPr>
          <w:p w14:paraId="2F17A168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1" w:type="dxa"/>
          </w:tcPr>
          <w:p w14:paraId="3897D432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6" w:type="dxa"/>
          </w:tcPr>
          <w:p w14:paraId="33B44B98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14:paraId="26C4E05C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</w:tcPr>
          <w:p w14:paraId="69DFF09A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14:paraId="4F1E3337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62" w:type="dxa"/>
          </w:tcPr>
          <w:p w14:paraId="549F94B4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62EF7" w:rsidRPr="000718C3" w14:paraId="2C5BE809" w14:textId="77777777" w:rsidTr="000F0669">
        <w:trPr>
          <w:trHeight w:val="270"/>
        </w:trPr>
        <w:tc>
          <w:tcPr>
            <w:tcW w:w="852" w:type="dxa"/>
          </w:tcPr>
          <w:p w14:paraId="10F57285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54" w:type="dxa"/>
          </w:tcPr>
          <w:p w14:paraId="33371A54" w14:textId="77777777" w:rsidR="00862EF7" w:rsidRPr="00D73D6C" w:rsidRDefault="00862EF7" w:rsidP="000F066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 xml:space="preserve">Hofer, Charlton &amp; Del Mistro (2024) </w:t>
            </w:r>
          </w:p>
        </w:tc>
        <w:tc>
          <w:tcPr>
            <w:tcW w:w="611" w:type="dxa"/>
          </w:tcPr>
          <w:p w14:paraId="63F9E354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</w:tcPr>
          <w:p w14:paraId="0492ED0E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9" w:type="dxa"/>
          </w:tcPr>
          <w:p w14:paraId="139CD5E8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1" w:type="dxa"/>
          </w:tcPr>
          <w:p w14:paraId="02C6D204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1" w:type="dxa"/>
          </w:tcPr>
          <w:p w14:paraId="2073A7CA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5" w:type="dxa"/>
          </w:tcPr>
          <w:p w14:paraId="0FF8BD0A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1" w:type="dxa"/>
          </w:tcPr>
          <w:p w14:paraId="5478EC24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6" w:type="dxa"/>
          </w:tcPr>
          <w:p w14:paraId="3E08142B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14:paraId="56FA8F76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</w:tcPr>
          <w:p w14:paraId="655E7389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14:paraId="73834E85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2" w:type="dxa"/>
          </w:tcPr>
          <w:p w14:paraId="0F6838E8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62EF7" w:rsidRPr="000718C3" w14:paraId="7A44C0F8" w14:textId="77777777" w:rsidTr="000F0669">
        <w:trPr>
          <w:trHeight w:val="280"/>
        </w:trPr>
        <w:tc>
          <w:tcPr>
            <w:tcW w:w="852" w:type="dxa"/>
          </w:tcPr>
          <w:p w14:paraId="5CE16D3F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54" w:type="dxa"/>
          </w:tcPr>
          <w:p w14:paraId="4F28EAC5" w14:textId="77777777" w:rsidR="00862EF7" w:rsidRPr="00D73D6C" w:rsidRDefault="00862EF7" w:rsidP="000F066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Visagie, Turok &amp; Scheba (2024)</w:t>
            </w:r>
          </w:p>
        </w:tc>
        <w:tc>
          <w:tcPr>
            <w:tcW w:w="611" w:type="dxa"/>
          </w:tcPr>
          <w:p w14:paraId="6FC35C15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0" w:type="dxa"/>
          </w:tcPr>
          <w:p w14:paraId="34B08DA3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9" w:type="dxa"/>
          </w:tcPr>
          <w:p w14:paraId="7436715D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1" w:type="dxa"/>
          </w:tcPr>
          <w:p w14:paraId="67A8041B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1" w:type="dxa"/>
          </w:tcPr>
          <w:p w14:paraId="33B25B72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5" w:type="dxa"/>
          </w:tcPr>
          <w:p w14:paraId="5C6B03DF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1" w:type="dxa"/>
          </w:tcPr>
          <w:p w14:paraId="10806B97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6" w:type="dxa"/>
          </w:tcPr>
          <w:p w14:paraId="29AC30B6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14:paraId="4DD57A14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</w:tcPr>
          <w:p w14:paraId="11B92171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8" w:type="dxa"/>
          </w:tcPr>
          <w:p w14:paraId="0644AD2B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62" w:type="dxa"/>
          </w:tcPr>
          <w:p w14:paraId="13B3F82E" w14:textId="77777777" w:rsidR="00862EF7" w:rsidRPr="00D73D6C" w:rsidRDefault="00862EF7" w:rsidP="000F066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3AABD624" w14:textId="77777777" w:rsidR="00862EF7" w:rsidRPr="000718C3" w:rsidRDefault="00862EF7" w:rsidP="00862EF7">
      <w:pPr>
        <w:spacing w:line="360" w:lineRule="auto"/>
        <w:jc w:val="both"/>
        <w:rPr>
          <w:rFonts w:ascii="Times New Roman" w:hAnsi="Times New Roman" w:cs="Times New Roman"/>
        </w:rPr>
      </w:pPr>
    </w:p>
    <w:p w14:paraId="6D42FA38" w14:textId="77777777" w:rsidR="00862EF7" w:rsidRDefault="00862EF7" w:rsidP="00862EF7">
      <w:pPr>
        <w:spacing w:line="360" w:lineRule="auto"/>
        <w:jc w:val="both"/>
        <w:rPr>
          <w:rFonts w:ascii="Times New Roman" w:hAnsi="Times New Roman" w:cs="Times New Roman"/>
        </w:rPr>
      </w:pPr>
    </w:p>
    <w:p w14:paraId="3D8619B3" w14:textId="77777777" w:rsidR="00862EF7" w:rsidRDefault="00862EF7" w:rsidP="00862EF7">
      <w:pPr>
        <w:spacing w:line="360" w:lineRule="auto"/>
        <w:jc w:val="both"/>
        <w:rPr>
          <w:rFonts w:ascii="Times New Roman" w:hAnsi="Times New Roman" w:cs="Times New Roman"/>
        </w:rPr>
      </w:pPr>
    </w:p>
    <w:p w14:paraId="5C94BC78" w14:textId="77777777" w:rsidR="00862EF7" w:rsidRDefault="00862EF7" w:rsidP="00862EF7">
      <w:pPr>
        <w:spacing w:line="360" w:lineRule="auto"/>
        <w:jc w:val="both"/>
        <w:rPr>
          <w:rFonts w:ascii="Times New Roman" w:hAnsi="Times New Roman" w:cs="Times New Roman"/>
          <w:b/>
          <w:bCs/>
        </w:rPr>
        <w:sectPr w:rsidR="00862EF7" w:rsidSect="00862EF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10F3CA2" w14:textId="77777777" w:rsidR="00862EF7" w:rsidRPr="00F250CA" w:rsidRDefault="00862EF7" w:rsidP="00862EF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250CA">
        <w:rPr>
          <w:rFonts w:ascii="Times New Roman" w:hAnsi="Times New Roman" w:cs="Times New Roman"/>
          <w:b/>
          <w:bCs/>
        </w:rPr>
        <w:lastRenderedPageBreak/>
        <w:t xml:space="preserve">Appendix </w:t>
      </w:r>
      <w:r>
        <w:rPr>
          <w:rFonts w:ascii="Times New Roman" w:hAnsi="Times New Roman" w:cs="Times New Roman"/>
          <w:b/>
          <w:bCs/>
        </w:rPr>
        <w:t>B</w:t>
      </w:r>
    </w:p>
    <w:p w14:paraId="5095E20D" w14:textId="77777777" w:rsidR="00862EF7" w:rsidRPr="000748EE" w:rsidRDefault="00862EF7" w:rsidP="00862EF7">
      <w:pPr>
        <w:spacing w:line="360" w:lineRule="auto"/>
        <w:rPr>
          <w:rFonts w:ascii="Times New Roman" w:hAnsi="Times New Roman" w:cs="Times New Roman"/>
          <w:b/>
          <w:bCs/>
        </w:rPr>
      </w:pPr>
      <w:r w:rsidRPr="000718C3">
        <w:rPr>
          <w:rFonts w:ascii="Times New Roman" w:hAnsi="Times New Roman" w:cs="Times New Roman"/>
          <w:b/>
          <w:bCs/>
        </w:rPr>
        <w:t>Data extraction form</w:t>
      </w:r>
    </w:p>
    <w:tbl>
      <w:tblPr>
        <w:tblStyle w:val="TableGrid"/>
        <w:tblpPr w:leftFromText="180" w:rightFromText="180" w:vertAnchor="text" w:horzAnchor="margin" w:tblpXSpec="center" w:tblpY="709"/>
        <w:tblW w:w="15205" w:type="dxa"/>
        <w:tblLayout w:type="fixed"/>
        <w:tblLook w:val="04A0" w:firstRow="1" w:lastRow="0" w:firstColumn="1" w:lastColumn="0" w:noHBand="0" w:noVBand="1"/>
      </w:tblPr>
      <w:tblGrid>
        <w:gridCol w:w="2160"/>
        <w:gridCol w:w="2335"/>
        <w:gridCol w:w="2747"/>
        <w:gridCol w:w="2388"/>
        <w:gridCol w:w="3150"/>
        <w:gridCol w:w="2425"/>
      </w:tblGrid>
      <w:tr w:rsidR="00862EF7" w:rsidRPr="000718C3" w14:paraId="49154BD8" w14:textId="77777777" w:rsidTr="000F0669">
        <w:trPr>
          <w:trHeight w:val="291"/>
        </w:trPr>
        <w:tc>
          <w:tcPr>
            <w:tcW w:w="2160" w:type="dxa"/>
          </w:tcPr>
          <w:p w14:paraId="210DE657" w14:textId="77777777" w:rsidR="00862EF7" w:rsidRPr="008F48BF" w:rsidRDefault="00862EF7" w:rsidP="000F0669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Categories</w:t>
            </w:r>
          </w:p>
        </w:tc>
        <w:tc>
          <w:tcPr>
            <w:tcW w:w="2335" w:type="dxa"/>
          </w:tcPr>
          <w:p w14:paraId="2D4A5460" w14:textId="77777777" w:rsidR="00862EF7" w:rsidRPr="000718C3" w:rsidRDefault="00862EF7" w:rsidP="000F06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1</w:t>
            </w:r>
          </w:p>
        </w:tc>
        <w:tc>
          <w:tcPr>
            <w:tcW w:w="2747" w:type="dxa"/>
          </w:tcPr>
          <w:p w14:paraId="1793A644" w14:textId="77777777" w:rsidR="00862EF7" w:rsidRPr="000718C3" w:rsidRDefault="00862EF7" w:rsidP="000F06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2</w:t>
            </w:r>
          </w:p>
        </w:tc>
        <w:tc>
          <w:tcPr>
            <w:tcW w:w="2388" w:type="dxa"/>
          </w:tcPr>
          <w:p w14:paraId="165E4BCF" w14:textId="77777777" w:rsidR="00862EF7" w:rsidRPr="000718C3" w:rsidRDefault="00862EF7" w:rsidP="000F06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3</w:t>
            </w:r>
          </w:p>
        </w:tc>
        <w:tc>
          <w:tcPr>
            <w:tcW w:w="3150" w:type="dxa"/>
          </w:tcPr>
          <w:p w14:paraId="3A8EF427" w14:textId="77777777" w:rsidR="00862EF7" w:rsidRPr="000718C3" w:rsidRDefault="00862EF7" w:rsidP="000F06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4</w:t>
            </w:r>
          </w:p>
        </w:tc>
        <w:tc>
          <w:tcPr>
            <w:tcW w:w="2425" w:type="dxa"/>
          </w:tcPr>
          <w:p w14:paraId="19395F9A" w14:textId="77777777" w:rsidR="00862EF7" w:rsidRPr="000718C3" w:rsidRDefault="00862EF7" w:rsidP="000F06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718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5</w:t>
            </w:r>
          </w:p>
        </w:tc>
      </w:tr>
      <w:tr w:rsidR="00862EF7" w:rsidRPr="000718C3" w14:paraId="3DF448B9" w14:textId="77777777" w:rsidTr="000F0669">
        <w:trPr>
          <w:trHeight w:val="355"/>
        </w:trPr>
        <w:tc>
          <w:tcPr>
            <w:tcW w:w="2160" w:type="dxa"/>
          </w:tcPr>
          <w:p w14:paraId="510B8073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Title</w:t>
            </w:r>
          </w:p>
        </w:tc>
        <w:tc>
          <w:tcPr>
            <w:tcW w:w="2335" w:type="dxa"/>
          </w:tcPr>
          <w:p w14:paraId="414B9398" w14:textId="77777777" w:rsidR="00862EF7" w:rsidRPr="00D73D6C" w:rsidRDefault="00862EF7" w:rsidP="000F06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South African Housing Policy and Legislative Framework</w:t>
            </w:r>
          </w:p>
        </w:tc>
        <w:tc>
          <w:tcPr>
            <w:tcW w:w="2747" w:type="dxa"/>
          </w:tcPr>
          <w:p w14:paraId="0B6A0391" w14:textId="77777777" w:rsidR="00862EF7" w:rsidRPr="00EA6C1B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1B">
              <w:rPr>
                <w:rFonts w:ascii="Times New Roman" w:hAnsi="Times New Roman" w:cs="Times New Roman"/>
                <w:sz w:val="20"/>
                <w:szCs w:val="20"/>
              </w:rPr>
              <w:t>An Analysis of Post-1994 Transformative Policies Fostering the Right to Access to Adequate Housing in South Africa.</w:t>
            </w:r>
          </w:p>
          <w:p w14:paraId="7D1780E1" w14:textId="77777777" w:rsidR="00862EF7" w:rsidRPr="00EA6C1B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</w:tcPr>
          <w:p w14:paraId="09B82237" w14:textId="77777777" w:rsidR="00862EF7" w:rsidRPr="00EA6C1B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1B">
              <w:rPr>
                <w:rFonts w:ascii="Times New Roman" w:hAnsi="Times New Roman" w:cs="Times New Roman"/>
                <w:sz w:val="20"/>
                <w:szCs w:val="20"/>
              </w:rPr>
              <w:t xml:space="preserve">Selecting Spaces, Classifying People: The Financialization of Housing in the South African City. </w:t>
            </w:r>
          </w:p>
        </w:tc>
        <w:tc>
          <w:tcPr>
            <w:tcW w:w="3150" w:type="dxa"/>
          </w:tcPr>
          <w:p w14:paraId="78054FCD" w14:textId="77777777" w:rsidR="00862EF7" w:rsidRPr="00315464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5464">
              <w:rPr>
                <w:rFonts w:ascii="Times New Roman" w:hAnsi="Times New Roman" w:cs="Times New Roman"/>
                <w:sz w:val="20"/>
                <w:szCs w:val="20"/>
              </w:rPr>
              <w:t xml:space="preserve">Inclusionary Housing Policy and Practice in South African Cities: Planning as a Spatial Transformation Tool. </w:t>
            </w:r>
          </w:p>
        </w:tc>
        <w:tc>
          <w:tcPr>
            <w:tcW w:w="2425" w:type="dxa"/>
          </w:tcPr>
          <w:p w14:paraId="7ED351AC" w14:textId="77777777" w:rsidR="00862EF7" w:rsidRPr="00315464" w:rsidRDefault="00862EF7" w:rsidP="000F066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15464">
              <w:rPr>
                <w:rFonts w:ascii="Times New Roman" w:hAnsi="Times New Roman" w:cs="Times New Roman"/>
                <w:sz w:val="20"/>
                <w:szCs w:val="20"/>
              </w:rPr>
              <w:t xml:space="preserve">Social Housing and Upward Mobility in South Africa: An Assessment of Household Outcomes. </w:t>
            </w:r>
          </w:p>
          <w:p w14:paraId="0BF12A66" w14:textId="77777777" w:rsidR="00862EF7" w:rsidRPr="00315464" w:rsidRDefault="00862EF7" w:rsidP="000F0669">
            <w:pPr>
              <w:ind w:left="720" w:hanging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EF7" w:rsidRPr="000718C3" w14:paraId="3A99241B" w14:textId="77777777" w:rsidTr="000F0669">
        <w:trPr>
          <w:trHeight w:val="345"/>
        </w:trPr>
        <w:tc>
          <w:tcPr>
            <w:tcW w:w="2160" w:type="dxa"/>
          </w:tcPr>
          <w:p w14:paraId="5F96A77D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Author(s)</w:t>
            </w:r>
          </w:p>
        </w:tc>
        <w:tc>
          <w:tcPr>
            <w:tcW w:w="2335" w:type="dxa"/>
          </w:tcPr>
          <w:p w14:paraId="31A44EC9" w14:textId="77777777" w:rsidR="00862EF7" w:rsidRPr="00D73D6C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Onatu, Thwala &amp; Aigbavboa</w:t>
            </w:r>
          </w:p>
        </w:tc>
        <w:tc>
          <w:tcPr>
            <w:tcW w:w="2747" w:type="dxa"/>
          </w:tcPr>
          <w:p w14:paraId="076F4FD6" w14:textId="77777777" w:rsidR="00862EF7" w:rsidRPr="00EA6C1B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1B">
              <w:rPr>
                <w:rFonts w:ascii="Times New Roman" w:hAnsi="Times New Roman" w:cs="Times New Roman"/>
                <w:sz w:val="20"/>
                <w:szCs w:val="20"/>
              </w:rPr>
              <w:t>Mudzielwana &amp; Odeku</w:t>
            </w:r>
          </w:p>
        </w:tc>
        <w:tc>
          <w:tcPr>
            <w:tcW w:w="2388" w:type="dxa"/>
          </w:tcPr>
          <w:p w14:paraId="54567DE9" w14:textId="77777777" w:rsidR="00862EF7" w:rsidRPr="00EA6C1B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1B">
              <w:rPr>
                <w:rFonts w:ascii="Times New Roman" w:hAnsi="Times New Roman" w:cs="Times New Roman"/>
                <w:sz w:val="20"/>
                <w:szCs w:val="20"/>
              </w:rPr>
              <w:t>Migozzi</w:t>
            </w:r>
          </w:p>
        </w:tc>
        <w:tc>
          <w:tcPr>
            <w:tcW w:w="3150" w:type="dxa"/>
          </w:tcPr>
          <w:p w14:paraId="15294431" w14:textId="77777777" w:rsidR="00862EF7" w:rsidRPr="00315464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5464">
              <w:rPr>
                <w:rFonts w:ascii="Times New Roman" w:hAnsi="Times New Roman" w:cs="Times New Roman"/>
                <w:sz w:val="20"/>
                <w:szCs w:val="20"/>
              </w:rPr>
              <w:t>Hofer, Charlton &amp; Del Mistro</w:t>
            </w:r>
          </w:p>
        </w:tc>
        <w:tc>
          <w:tcPr>
            <w:tcW w:w="2425" w:type="dxa"/>
          </w:tcPr>
          <w:p w14:paraId="6B29B888" w14:textId="77777777" w:rsidR="00862EF7" w:rsidRPr="00315464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5464">
              <w:rPr>
                <w:rFonts w:ascii="Times New Roman" w:hAnsi="Times New Roman" w:cs="Times New Roman"/>
                <w:sz w:val="20"/>
                <w:szCs w:val="20"/>
              </w:rPr>
              <w:t>Visagie, Turok &amp; Scheba</w:t>
            </w:r>
          </w:p>
        </w:tc>
      </w:tr>
      <w:tr w:rsidR="00862EF7" w:rsidRPr="000718C3" w14:paraId="14B62E46" w14:textId="77777777" w:rsidTr="000F0669">
        <w:trPr>
          <w:trHeight w:val="50"/>
        </w:trPr>
        <w:tc>
          <w:tcPr>
            <w:tcW w:w="2160" w:type="dxa"/>
          </w:tcPr>
          <w:p w14:paraId="200AEC76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 of Publication</w:t>
            </w:r>
          </w:p>
        </w:tc>
        <w:tc>
          <w:tcPr>
            <w:tcW w:w="2335" w:type="dxa"/>
          </w:tcPr>
          <w:p w14:paraId="5E1E3DBD" w14:textId="77777777" w:rsidR="00862EF7" w:rsidRPr="00D73D6C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747" w:type="dxa"/>
          </w:tcPr>
          <w:p w14:paraId="49335174" w14:textId="77777777" w:rsidR="00862EF7" w:rsidRPr="000718C3" w:rsidRDefault="00862EF7" w:rsidP="000F06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B39D1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388" w:type="dxa"/>
          </w:tcPr>
          <w:p w14:paraId="50C8A828" w14:textId="77777777" w:rsidR="00862EF7" w:rsidRPr="00EA6C1B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1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3150" w:type="dxa"/>
          </w:tcPr>
          <w:p w14:paraId="3CE7D847" w14:textId="77777777" w:rsidR="00862EF7" w:rsidRPr="00315464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5464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425" w:type="dxa"/>
          </w:tcPr>
          <w:p w14:paraId="2560FC27" w14:textId="77777777" w:rsidR="00862EF7" w:rsidRPr="00315464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5464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</w:tr>
      <w:tr w:rsidR="00862EF7" w:rsidRPr="000718C3" w14:paraId="16B8A0E1" w14:textId="77777777" w:rsidTr="000F0669">
        <w:trPr>
          <w:trHeight w:val="345"/>
        </w:trPr>
        <w:tc>
          <w:tcPr>
            <w:tcW w:w="2160" w:type="dxa"/>
          </w:tcPr>
          <w:p w14:paraId="2C19FF8F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 (Journal/Publisher)</w:t>
            </w:r>
          </w:p>
        </w:tc>
        <w:tc>
          <w:tcPr>
            <w:tcW w:w="2335" w:type="dxa"/>
          </w:tcPr>
          <w:p w14:paraId="7C6DD967" w14:textId="77777777" w:rsidR="00862EF7" w:rsidRPr="00D73D6C" w:rsidRDefault="00862EF7" w:rsidP="000F06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3D6C">
              <w:rPr>
                <w:rFonts w:ascii="Times New Roman" w:hAnsi="Times New Roman" w:cs="Times New Roman"/>
                <w:sz w:val="20"/>
                <w:szCs w:val="20"/>
              </w:rPr>
              <w:t>Book Chapter: South African Housing Policy</w:t>
            </w:r>
          </w:p>
        </w:tc>
        <w:tc>
          <w:tcPr>
            <w:tcW w:w="2747" w:type="dxa"/>
          </w:tcPr>
          <w:p w14:paraId="1D3A3710" w14:textId="77777777" w:rsidR="00862EF7" w:rsidRPr="00EA6C1B" w:rsidRDefault="00862EF7" w:rsidP="000F06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A6C1B">
              <w:rPr>
                <w:rFonts w:ascii="Times New Roman" w:hAnsi="Times New Roman" w:cs="Times New Roman"/>
              </w:rPr>
              <w:t>Housing Policy Journal.</w:t>
            </w:r>
          </w:p>
        </w:tc>
        <w:tc>
          <w:tcPr>
            <w:tcW w:w="2388" w:type="dxa"/>
          </w:tcPr>
          <w:p w14:paraId="5D5F10FD" w14:textId="77777777" w:rsidR="00862EF7" w:rsidRPr="00315464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C1B">
              <w:rPr>
                <w:rFonts w:ascii="Times New Roman" w:hAnsi="Times New Roman" w:cs="Times New Roman"/>
                <w:sz w:val="20"/>
                <w:szCs w:val="20"/>
              </w:rPr>
              <w:t>Journal of Urban Studies</w:t>
            </w:r>
          </w:p>
        </w:tc>
        <w:tc>
          <w:tcPr>
            <w:tcW w:w="3150" w:type="dxa"/>
          </w:tcPr>
          <w:p w14:paraId="231BB23F" w14:textId="77777777" w:rsidR="00862EF7" w:rsidRPr="00315464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5464">
              <w:rPr>
                <w:rFonts w:ascii="Times New Roman" w:hAnsi="Times New Roman" w:cs="Times New Roman"/>
                <w:sz w:val="20"/>
                <w:szCs w:val="20"/>
              </w:rPr>
              <w:t xml:space="preserve">Urban Planning Review. </w:t>
            </w:r>
          </w:p>
          <w:p w14:paraId="7891E9C8" w14:textId="77777777" w:rsidR="00862EF7" w:rsidRPr="00315464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5" w:type="dxa"/>
          </w:tcPr>
          <w:p w14:paraId="10C2A820" w14:textId="77777777" w:rsidR="00862EF7" w:rsidRPr="00315464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5464">
              <w:rPr>
                <w:rFonts w:ascii="Times New Roman" w:hAnsi="Times New Roman" w:cs="Times New Roman"/>
                <w:sz w:val="20"/>
                <w:szCs w:val="20"/>
              </w:rPr>
              <w:t xml:space="preserve">Journal of Housing Studies. </w:t>
            </w:r>
          </w:p>
        </w:tc>
      </w:tr>
      <w:tr w:rsidR="00862EF7" w:rsidRPr="000718C3" w14:paraId="2B1B0FFA" w14:textId="77777777" w:rsidTr="000F0669">
        <w:trPr>
          <w:trHeight w:val="355"/>
        </w:trPr>
        <w:tc>
          <w:tcPr>
            <w:tcW w:w="2160" w:type="dxa"/>
          </w:tcPr>
          <w:p w14:paraId="440095A1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DOI/URL</w:t>
            </w:r>
          </w:p>
        </w:tc>
        <w:tc>
          <w:tcPr>
            <w:tcW w:w="2335" w:type="dxa"/>
          </w:tcPr>
          <w:p w14:paraId="65791CAD" w14:textId="77777777" w:rsidR="00862EF7" w:rsidRPr="00315464" w:rsidRDefault="00862EF7" w:rsidP="000F0669">
            <w:pPr>
              <w:rPr>
                <w:rStyle w:val="Hyperlink"/>
              </w:rPr>
            </w:pPr>
            <w:hyperlink r:id="rId5" w:history="1">
              <w:r w:rsidRPr="00D73D6C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https://doi.org/10.1108/978-1-83753-814-020231007</w:t>
              </w:r>
            </w:hyperlink>
            <w:r w:rsidRPr="00315464">
              <w:rPr>
                <w:rStyle w:val="Hyperlink"/>
              </w:rPr>
              <w:t xml:space="preserve"> </w:t>
            </w:r>
          </w:p>
        </w:tc>
        <w:tc>
          <w:tcPr>
            <w:tcW w:w="2747" w:type="dxa"/>
          </w:tcPr>
          <w:p w14:paraId="724DF4DB" w14:textId="77777777" w:rsidR="00862EF7" w:rsidRPr="00315464" w:rsidRDefault="00862EF7" w:rsidP="000F0669">
            <w:pPr>
              <w:jc w:val="center"/>
              <w:rPr>
                <w:rStyle w:val="Hyperlink"/>
              </w:rPr>
            </w:pPr>
            <w:hyperlink r:id="rId6" w:history="1">
              <w:r w:rsidRPr="00315464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https://doi.org/10.31920/2516-3132/2023/v7n2a4</w:t>
              </w:r>
            </w:hyperlink>
          </w:p>
        </w:tc>
        <w:tc>
          <w:tcPr>
            <w:tcW w:w="2388" w:type="dxa"/>
          </w:tcPr>
          <w:p w14:paraId="33B777DC" w14:textId="77777777" w:rsidR="00862EF7" w:rsidRPr="00EA6C1B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Pr="00EA6C1B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https://doi.org/10.1080/10511482.2019.1684335</w:t>
              </w:r>
            </w:hyperlink>
          </w:p>
        </w:tc>
        <w:tc>
          <w:tcPr>
            <w:tcW w:w="3150" w:type="dxa"/>
          </w:tcPr>
          <w:p w14:paraId="207E07F8" w14:textId="77777777" w:rsidR="00862EF7" w:rsidRPr="00EA6C1B" w:rsidRDefault="00862EF7" w:rsidP="000F06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Pr="0000666D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https://doi.org/10.1007/s10901-024-10149-y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A6C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25" w:type="dxa"/>
          </w:tcPr>
          <w:p w14:paraId="1E046ECA" w14:textId="77777777" w:rsidR="00862EF7" w:rsidRPr="000718C3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hyperlink r:id="rId9" w:history="1">
              <w:r w:rsidRPr="00315464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https://doi.org/10.1007/s12132-023-09504-z</w:t>
              </w:r>
            </w:hyperlink>
          </w:p>
        </w:tc>
      </w:tr>
      <w:tr w:rsidR="00862EF7" w:rsidRPr="000718C3" w14:paraId="7C84F0DF" w14:textId="77777777" w:rsidTr="000F0669">
        <w:trPr>
          <w:trHeight w:val="345"/>
        </w:trPr>
        <w:tc>
          <w:tcPr>
            <w:tcW w:w="2160" w:type="dxa"/>
          </w:tcPr>
          <w:p w14:paraId="4840C66E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Geographic Focus</w:t>
            </w:r>
          </w:p>
        </w:tc>
        <w:tc>
          <w:tcPr>
            <w:tcW w:w="2335" w:type="dxa"/>
          </w:tcPr>
          <w:p w14:paraId="78095747" w14:textId="77777777" w:rsidR="00862EF7" w:rsidRPr="005B6727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727">
              <w:rPr>
                <w:rFonts w:ascii="Times New Roman" w:hAnsi="Times New Roman" w:cs="Times New Roman"/>
                <w:sz w:val="20"/>
                <w:szCs w:val="20"/>
              </w:rPr>
              <w:t>South Africa</w:t>
            </w:r>
          </w:p>
        </w:tc>
        <w:tc>
          <w:tcPr>
            <w:tcW w:w="2747" w:type="dxa"/>
          </w:tcPr>
          <w:p w14:paraId="19663F86" w14:textId="77777777" w:rsidR="00862EF7" w:rsidRPr="005B6727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727">
              <w:rPr>
                <w:rFonts w:ascii="Times New Roman" w:hAnsi="Times New Roman" w:cs="Times New Roman"/>
                <w:sz w:val="20"/>
                <w:szCs w:val="20"/>
              </w:rPr>
              <w:t>South Africa</w:t>
            </w:r>
          </w:p>
        </w:tc>
        <w:tc>
          <w:tcPr>
            <w:tcW w:w="2388" w:type="dxa"/>
          </w:tcPr>
          <w:p w14:paraId="029FAD8F" w14:textId="77777777" w:rsidR="00862EF7" w:rsidRPr="005B6727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727">
              <w:rPr>
                <w:rFonts w:ascii="Times New Roman" w:hAnsi="Times New Roman" w:cs="Times New Roman"/>
                <w:sz w:val="20"/>
                <w:szCs w:val="20"/>
              </w:rPr>
              <w:t>South Africa</w:t>
            </w:r>
          </w:p>
        </w:tc>
        <w:tc>
          <w:tcPr>
            <w:tcW w:w="3150" w:type="dxa"/>
          </w:tcPr>
          <w:p w14:paraId="42D1EB11" w14:textId="77777777" w:rsidR="00862EF7" w:rsidRPr="005B6727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727">
              <w:rPr>
                <w:rFonts w:ascii="Times New Roman" w:hAnsi="Times New Roman" w:cs="Times New Roman"/>
                <w:sz w:val="20"/>
                <w:szCs w:val="20"/>
              </w:rPr>
              <w:t>South Africa</w:t>
            </w:r>
          </w:p>
        </w:tc>
        <w:tc>
          <w:tcPr>
            <w:tcW w:w="2425" w:type="dxa"/>
          </w:tcPr>
          <w:p w14:paraId="0A33B3CA" w14:textId="77777777" w:rsidR="00862EF7" w:rsidRPr="005B6727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727">
              <w:rPr>
                <w:rFonts w:ascii="Times New Roman" w:hAnsi="Times New Roman" w:cs="Times New Roman"/>
                <w:sz w:val="20"/>
                <w:szCs w:val="20"/>
              </w:rPr>
              <w:t>South Africa</w:t>
            </w:r>
          </w:p>
        </w:tc>
      </w:tr>
      <w:tr w:rsidR="00862EF7" w:rsidRPr="000718C3" w14:paraId="0DCF25EB" w14:textId="77777777" w:rsidTr="000F0669">
        <w:trPr>
          <w:trHeight w:val="355"/>
        </w:trPr>
        <w:tc>
          <w:tcPr>
            <w:tcW w:w="2160" w:type="dxa"/>
          </w:tcPr>
          <w:p w14:paraId="13198676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Aim/Objectives</w:t>
            </w:r>
          </w:p>
        </w:tc>
        <w:tc>
          <w:tcPr>
            <w:tcW w:w="2335" w:type="dxa"/>
          </w:tcPr>
          <w:p w14:paraId="554822A0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Review South African housing policies and their alignment with socio-economic realities.</w:t>
            </w:r>
          </w:p>
          <w:p w14:paraId="4B653216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Evaluate the effectiveness of existing legislative frameworks in ensuring equitable housing.</w:t>
            </w:r>
          </w:p>
          <w:p w14:paraId="043F474B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Propose policy revisions and planning strategies for sustainable housing.</w:t>
            </w:r>
          </w:p>
        </w:tc>
        <w:tc>
          <w:tcPr>
            <w:tcW w:w="2747" w:type="dxa"/>
          </w:tcPr>
          <w:p w14:paraId="0A9EBECC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Assess the effectiveness of post-1994 housing policies in addressing access to adequate housing.</w:t>
            </w:r>
          </w:p>
          <w:p w14:paraId="070A5495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Identify policy gaps and recommend improvements.</w:t>
            </w:r>
          </w:p>
          <w:p w14:paraId="325B7BA5" w14:textId="77777777" w:rsidR="00862EF7" w:rsidRPr="000718C3" w:rsidRDefault="00862EF7" w:rsidP="000F06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Examine the role of government coordination in housing delivery.</w:t>
            </w:r>
          </w:p>
        </w:tc>
        <w:tc>
          <w:tcPr>
            <w:tcW w:w="2388" w:type="dxa"/>
          </w:tcPr>
          <w:p w14:paraId="7AA34686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Investigate the role of financial markets in shaping South African housing dynamics.</w:t>
            </w:r>
          </w:p>
          <w:p w14:paraId="64D57DDC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Examine how housing commodification impacts affordability and accessibility.</w:t>
            </w:r>
          </w:p>
          <w:p w14:paraId="6D4A5270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Identify policy measures to regulate financial speculation in housing.</w:t>
            </w:r>
          </w:p>
        </w:tc>
        <w:tc>
          <w:tcPr>
            <w:tcW w:w="3150" w:type="dxa"/>
          </w:tcPr>
          <w:p w14:paraId="574973A5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Analyze how inclusionary housing policies contribute to spatial transformation.</w:t>
            </w:r>
          </w:p>
          <w:p w14:paraId="37E65C94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Assess private sector involvement and incentives in affordable housing provision.</w:t>
            </w:r>
          </w:p>
          <w:p w14:paraId="1B7A793A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Investigate the effectiveness of mixed-income housing policies.</w:t>
            </w:r>
          </w:p>
        </w:tc>
        <w:tc>
          <w:tcPr>
            <w:tcW w:w="2425" w:type="dxa"/>
          </w:tcPr>
          <w:p w14:paraId="44896948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Assess the effectiveness of social housing in promoting upward economic mobility.</w:t>
            </w:r>
          </w:p>
          <w:p w14:paraId="6698C65F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Examine the socio-economic outcomes of households living in social housing projects.</w:t>
            </w:r>
          </w:p>
          <w:p w14:paraId="0DFF14D7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Identify policy interventions to improve long-term affordability and support mechanisms.</w:t>
            </w:r>
          </w:p>
        </w:tc>
      </w:tr>
      <w:tr w:rsidR="00862EF7" w:rsidRPr="000718C3" w14:paraId="46F6B50C" w14:textId="77777777" w:rsidTr="000F0669">
        <w:trPr>
          <w:trHeight w:val="345"/>
        </w:trPr>
        <w:tc>
          <w:tcPr>
            <w:tcW w:w="2160" w:type="dxa"/>
          </w:tcPr>
          <w:p w14:paraId="5EEE697B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Research approach</w:t>
            </w:r>
          </w:p>
        </w:tc>
        <w:tc>
          <w:tcPr>
            <w:tcW w:w="2335" w:type="dxa"/>
          </w:tcPr>
          <w:p w14:paraId="7B518DF7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</w:p>
        </w:tc>
        <w:tc>
          <w:tcPr>
            <w:tcW w:w="2747" w:type="dxa"/>
          </w:tcPr>
          <w:p w14:paraId="02C0275C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</w:p>
        </w:tc>
        <w:tc>
          <w:tcPr>
            <w:tcW w:w="2388" w:type="dxa"/>
          </w:tcPr>
          <w:p w14:paraId="20B293D2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</w:p>
        </w:tc>
        <w:tc>
          <w:tcPr>
            <w:tcW w:w="3150" w:type="dxa"/>
          </w:tcPr>
          <w:p w14:paraId="7DDD96E2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Mixed-methods</w:t>
            </w:r>
          </w:p>
        </w:tc>
        <w:tc>
          <w:tcPr>
            <w:tcW w:w="2425" w:type="dxa"/>
          </w:tcPr>
          <w:p w14:paraId="38F26AC4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Mixed-methods (Quantitative &amp; Qualitative)</w:t>
            </w:r>
          </w:p>
        </w:tc>
      </w:tr>
      <w:tr w:rsidR="00862EF7" w:rsidRPr="000718C3" w14:paraId="60DFFEB7" w14:textId="77777777" w:rsidTr="000F0669">
        <w:trPr>
          <w:trHeight w:val="355"/>
        </w:trPr>
        <w:tc>
          <w:tcPr>
            <w:tcW w:w="2160" w:type="dxa"/>
          </w:tcPr>
          <w:p w14:paraId="018C7105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Population/Context Studied</w:t>
            </w:r>
          </w:p>
        </w:tc>
        <w:tc>
          <w:tcPr>
            <w:tcW w:w="2335" w:type="dxa"/>
          </w:tcPr>
          <w:p w14:paraId="03D87043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sz w:val="20"/>
                <w:szCs w:val="20"/>
              </w:rPr>
              <w:t>Policy analysts, legislators, urban planners, municipal authorities</w:t>
            </w:r>
          </w:p>
        </w:tc>
        <w:tc>
          <w:tcPr>
            <w:tcW w:w="2747" w:type="dxa"/>
          </w:tcPr>
          <w:p w14:paraId="21576A99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Policymakers, housing authorities, local government officials</w:t>
            </w:r>
          </w:p>
        </w:tc>
        <w:tc>
          <w:tcPr>
            <w:tcW w:w="2388" w:type="dxa"/>
          </w:tcPr>
          <w:p w14:paraId="31A12DA8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Housing developers, financial institutions, urban residents</w:t>
            </w:r>
          </w:p>
        </w:tc>
        <w:tc>
          <w:tcPr>
            <w:tcW w:w="3150" w:type="dxa"/>
          </w:tcPr>
          <w:p w14:paraId="0F6157D2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Urban planners, private developers, municipal officials, and residents in South African cities</w:t>
            </w:r>
          </w:p>
        </w:tc>
        <w:tc>
          <w:tcPr>
            <w:tcW w:w="2425" w:type="dxa"/>
          </w:tcPr>
          <w:p w14:paraId="2472BD97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Households residing in social housing developments in South Africa</w:t>
            </w:r>
          </w:p>
        </w:tc>
      </w:tr>
      <w:tr w:rsidR="00862EF7" w:rsidRPr="000718C3" w14:paraId="605F24B0" w14:textId="77777777" w:rsidTr="000F0669">
        <w:trPr>
          <w:trHeight w:val="345"/>
        </w:trPr>
        <w:tc>
          <w:tcPr>
            <w:tcW w:w="2160" w:type="dxa"/>
          </w:tcPr>
          <w:p w14:paraId="0C3BA529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Sampling Method</w:t>
            </w:r>
          </w:p>
        </w:tc>
        <w:tc>
          <w:tcPr>
            <w:tcW w:w="2335" w:type="dxa"/>
          </w:tcPr>
          <w:p w14:paraId="673BDCA0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sz w:val="20"/>
                <w:szCs w:val="20"/>
              </w:rPr>
              <w:t>Purposive sampling (experts involved in housing policy formulation and implementation)</w:t>
            </w:r>
          </w:p>
        </w:tc>
        <w:tc>
          <w:tcPr>
            <w:tcW w:w="2747" w:type="dxa"/>
          </w:tcPr>
          <w:p w14:paraId="7E8BD1F1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Purposive sampling (key decision-makers in housing policy)</w:t>
            </w:r>
          </w:p>
        </w:tc>
        <w:tc>
          <w:tcPr>
            <w:tcW w:w="2388" w:type="dxa"/>
          </w:tcPr>
          <w:p w14:paraId="5502195D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Snowball sampling (starting with key financial stakeholders and expanding through networks)</w:t>
            </w:r>
          </w:p>
        </w:tc>
        <w:tc>
          <w:tcPr>
            <w:tcW w:w="3150" w:type="dxa"/>
          </w:tcPr>
          <w:p w14:paraId="4C93E6B7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Purposeful sampling (stakeholders directly involved in housing policies)</w:t>
            </w:r>
          </w:p>
        </w:tc>
        <w:tc>
          <w:tcPr>
            <w:tcW w:w="2425" w:type="dxa"/>
          </w:tcPr>
          <w:p w14:paraId="6106E3D4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Stratified sampling (based on income levels and housing tenure)</w:t>
            </w:r>
          </w:p>
        </w:tc>
      </w:tr>
      <w:tr w:rsidR="00862EF7" w:rsidRPr="000718C3" w14:paraId="281B4C26" w14:textId="77777777" w:rsidTr="000F0669">
        <w:trPr>
          <w:trHeight w:val="355"/>
        </w:trPr>
        <w:tc>
          <w:tcPr>
            <w:tcW w:w="2160" w:type="dxa"/>
          </w:tcPr>
          <w:p w14:paraId="3D0F6AA0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 Collection Method</w:t>
            </w:r>
          </w:p>
        </w:tc>
        <w:tc>
          <w:tcPr>
            <w:tcW w:w="2335" w:type="dxa"/>
          </w:tcPr>
          <w:p w14:paraId="137A4B2D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sz w:val="20"/>
                <w:szCs w:val="20"/>
              </w:rPr>
              <w:t>Document analysis, expert interviews</w:t>
            </w:r>
          </w:p>
        </w:tc>
        <w:tc>
          <w:tcPr>
            <w:tcW w:w="2747" w:type="dxa"/>
          </w:tcPr>
          <w:p w14:paraId="55A2C906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Policy document review, expert interviews</w:t>
            </w:r>
          </w:p>
        </w:tc>
        <w:tc>
          <w:tcPr>
            <w:tcW w:w="2388" w:type="dxa"/>
          </w:tcPr>
          <w:p w14:paraId="6106D68D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In-depth interviews, case studies, document analysis</w:t>
            </w:r>
          </w:p>
        </w:tc>
        <w:tc>
          <w:tcPr>
            <w:tcW w:w="3150" w:type="dxa"/>
          </w:tcPr>
          <w:p w14:paraId="5E61C439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Policy document analysis, semi-structured interviews, case studies of inclusionary housing projects</w:t>
            </w:r>
          </w:p>
        </w:tc>
        <w:tc>
          <w:tcPr>
            <w:tcW w:w="2425" w:type="dxa"/>
          </w:tcPr>
          <w:p w14:paraId="67B1B936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Surveys, semi-structured interviews with tenants and policymakers</w:t>
            </w:r>
          </w:p>
        </w:tc>
      </w:tr>
      <w:tr w:rsidR="00862EF7" w:rsidRPr="000718C3" w14:paraId="54E2081B" w14:textId="77777777" w:rsidTr="000F0669">
        <w:trPr>
          <w:trHeight w:val="345"/>
        </w:trPr>
        <w:tc>
          <w:tcPr>
            <w:tcW w:w="2160" w:type="dxa"/>
          </w:tcPr>
          <w:p w14:paraId="3A450720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 Analysis Techniques</w:t>
            </w:r>
          </w:p>
        </w:tc>
        <w:tc>
          <w:tcPr>
            <w:tcW w:w="2335" w:type="dxa"/>
          </w:tcPr>
          <w:p w14:paraId="052F2EBF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sz w:val="20"/>
                <w:szCs w:val="20"/>
              </w:rPr>
              <w:t>Policy analysis, comparative framework analysis</w:t>
            </w:r>
          </w:p>
        </w:tc>
        <w:tc>
          <w:tcPr>
            <w:tcW w:w="2747" w:type="dxa"/>
          </w:tcPr>
          <w:p w14:paraId="7E20F9E0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Thematic analysis, content analysis</w:t>
            </w:r>
          </w:p>
        </w:tc>
        <w:tc>
          <w:tcPr>
            <w:tcW w:w="2388" w:type="dxa"/>
          </w:tcPr>
          <w:p w14:paraId="521EF1D2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Critical discourse analysis, thematic coding</w:t>
            </w:r>
          </w:p>
        </w:tc>
        <w:tc>
          <w:tcPr>
            <w:tcW w:w="3150" w:type="dxa"/>
          </w:tcPr>
          <w:p w14:paraId="082FF16A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Comparative analysis, policy evaluation, spatial mapping</w:t>
            </w:r>
          </w:p>
        </w:tc>
        <w:tc>
          <w:tcPr>
            <w:tcW w:w="2425" w:type="dxa"/>
          </w:tcPr>
          <w:p w14:paraId="324D271B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Statistical analysis (descriptive and inferential), thematic analysis for qualitative data</w:t>
            </w:r>
          </w:p>
        </w:tc>
      </w:tr>
      <w:tr w:rsidR="00862EF7" w:rsidRPr="000718C3" w14:paraId="1990EB5D" w14:textId="77777777" w:rsidTr="000F0669">
        <w:trPr>
          <w:trHeight w:val="700"/>
        </w:trPr>
        <w:tc>
          <w:tcPr>
            <w:tcW w:w="2160" w:type="dxa"/>
          </w:tcPr>
          <w:p w14:paraId="7E5DD0B7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Theoretical or Conceptual Framework</w:t>
            </w:r>
          </w:p>
        </w:tc>
        <w:tc>
          <w:tcPr>
            <w:tcW w:w="2335" w:type="dxa"/>
          </w:tcPr>
          <w:p w14:paraId="701D05AC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sz w:val="20"/>
                <w:szCs w:val="20"/>
              </w:rPr>
              <w:t>Housing Policy Analysis</w:t>
            </w:r>
          </w:p>
        </w:tc>
        <w:tc>
          <w:tcPr>
            <w:tcW w:w="2747" w:type="dxa"/>
          </w:tcPr>
          <w:p w14:paraId="246F87CE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Rights-based Framework</w:t>
            </w:r>
          </w:p>
        </w:tc>
        <w:tc>
          <w:tcPr>
            <w:tcW w:w="2388" w:type="dxa"/>
          </w:tcPr>
          <w:p w14:paraId="65B9A819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Political Economy of Housing</w:t>
            </w:r>
          </w:p>
        </w:tc>
        <w:tc>
          <w:tcPr>
            <w:tcW w:w="3150" w:type="dxa"/>
          </w:tcPr>
          <w:p w14:paraId="1E72C51D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Spatial Transformation Theory</w:t>
            </w:r>
          </w:p>
        </w:tc>
        <w:tc>
          <w:tcPr>
            <w:tcW w:w="2425" w:type="dxa"/>
          </w:tcPr>
          <w:p w14:paraId="3400B0F1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Policy Analysis Framework</w:t>
            </w:r>
          </w:p>
        </w:tc>
      </w:tr>
      <w:tr w:rsidR="00862EF7" w:rsidRPr="000718C3" w14:paraId="3CEBF9E9" w14:textId="77777777" w:rsidTr="000F0669">
        <w:trPr>
          <w:trHeight w:val="355"/>
        </w:trPr>
        <w:tc>
          <w:tcPr>
            <w:tcW w:w="2160" w:type="dxa"/>
          </w:tcPr>
          <w:p w14:paraId="67A21225" w14:textId="77777777" w:rsidR="00862EF7" w:rsidRPr="008F48BF" w:rsidRDefault="00862EF7" w:rsidP="000F066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Key findings of the study</w:t>
            </w:r>
          </w:p>
        </w:tc>
        <w:tc>
          <w:tcPr>
            <w:tcW w:w="2335" w:type="dxa"/>
          </w:tcPr>
          <w:p w14:paraId="4F9EFA98" w14:textId="77777777" w:rsidR="00862EF7" w:rsidRPr="008F48BF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sz w:val="20"/>
                <w:szCs w:val="20"/>
              </w:rPr>
              <w:t>South Africa’s housing legislation requires updates to reflect current socio-economic challenges.</w:t>
            </w:r>
          </w:p>
          <w:p w14:paraId="21007B4D" w14:textId="77777777" w:rsidR="00862EF7" w:rsidRPr="008F48BF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sz w:val="20"/>
                <w:szCs w:val="20"/>
              </w:rPr>
              <w:t>Increased budget allocations for affordable housing can improve access and sustainability.</w:t>
            </w:r>
          </w:p>
          <w:p w14:paraId="2A8709E6" w14:textId="77777777" w:rsidR="00862EF7" w:rsidRPr="008F48BF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sz w:val="20"/>
                <w:szCs w:val="20"/>
              </w:rPr>
              <w:t>Integrated housing policies should combine economic, social, and environmental factors.</w:t>
            </w:r>
          </w:p>
          <w:p w14:paraId="199376A0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48BF">
              <w:rPr>
                <w:rFonts w:ascii="Times New Roman" w:hAnsi="Times New Roman" w:cs="Times New Roman"/>
                <w:sz w:val="20"/>
                <w:szCs w:val="20"/>
              </w:rPr>
              <w:t>Improved urban planning strategies can ensure equitable land distribution and infrastructure development.</w:t>
            </w:r>
          </w:p>
        </w:tc>
        <w:tc>
          <w:tcPr>
            <w:tcW w:w="2747" w:type="dxa"/>
          </w:tcPr>
          <w:p w14:paraId="493AA932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Existing policies require revision to align with contemporary housing challenges.</w:t>
            </w:r>
          </w:p>
          <w:p w14:paraId="6A79D188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Poor government coordination between national and local levels hampers efficient housing delivery.</w:t>
            </w:r>
          </w:p>
          <w:p w14:paraId="5E683D99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Land redistribution should prioritize well-located urban areas for affordable housing.</w:t>
            </w:r>
          </w:p>
          <w:p w14:paraId="601005B3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Community participation in policy decisions ensures more responsive housing strategies.</w:t>
            </w:r>
          </w:p>
        </w:tc>
        <w:tc>
          <w:tcPr>
            <w:tcW w:w="2388" w:type="dxa"/>
          </w:tcPr>
          <w:p w14:paraId="61B78C2D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Financial speculation in real estate inflates housing prices and reduces affordability.</w:t>
            </w:r>
          </w:p>
          <w:p w14:paraId="5989869E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Stronger financial regulations are necessary to curb speculative investments.</w:t>
            </w:r>
          </w:p>
          <w:p w14:paraId="0BFE474C" w14:textId="77777777" w:rsidR="00862EF7" w:rsidRPr="00413AD1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Alternative financing models (e.g., cooperatives) can support affordable housing.</w:t>
            </w:r>
          </w:p>
          <w:p w14:paraId="3501F7AA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AD1">
              <w:rPr>
                <w:rFonts w:ascii="Times New Roman" w:hAnsi="Times New Roman" w:cs="Times New Roman"/>
                <w:sz w:val="20"/>
                <w:szCs w:val="20"/>
              </w:rPr>
              <w:t>Rental controls and targeted housing subsidies can prevent displacement of low-income residents.</w:t>
            </w:r>
          </w:p>
        </w:tc>
        <w:tc>
          <w:tcPr>
            <w:tcW w:w="3150" w:type="dxa"/>
          </w:tcPr>
          <w:p w14:paraId="2787126C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Mandating inclusionary zoning ensures private developers allocate units for affordable housing.</w:t>
            </w:r>
          </w:p>
          <w:p w14:paraId="03DA6EAA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Financial incentives (tax breaks, subsidies) encourage private sector participation.</w:t>
            </w:r>
          </w:p>
          <w:p w14:paraId="6DD4106D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Mixed-income housing policies promote social integration and reduce segregation.</w:t>
            </w:r>
          </w:p>
          <w:p w14:paraId="7B8706ED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Strengthening land-use planning helps prevent further urban sprawl and segregation.</w:t>
            </w:r>
          </w:p>
        </w:tc>
        <w:tc>
          <w:tcPr>
            <w:tcW w:w="2425" w:type="dxa"/>
          </w:tcPr>
          <w:p w14:paraId="0621B081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Expanding social housing programs is crucial for long-term affordability.</w:t>
            </w:r>
          </w:p>
          <w:p w14:paraId="557D08D2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Strengthening tenant support services can facilitate economic mobility.</w:t>
            </w:r>
          </w:p>
          <w:p w14:paraId="38C856D4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Locating social housing in well-connected urban areas with job opportunities enhances social inclusion.</w:t>
            </w:r>
          </w:p>
          <w:p w14:paraId="78B7C420" w14:textId="77777777" w:rsidR="00862EF7" w:rsidRPr="00D267F2" w:rsidRDefault="00862EF7" w:rsidP="000F06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67F2">
              <w:rPr>
                <w:rFonts w:ascii="Times New Roman" w:hAnsi="Times New Roman" w:cs="Times New Roman"/>
                <w:sz w:val="20"/>
                <w:szCs w:val="20"/>
              </w:rPr>
              <w:t>Improved public transport and infrastructure are necessary to bridge housing-job market gaps.</w:t>
            </w:r>
          </w:p>
        </w:tc>
      </w:tr>
    </w:tbl>
    <w:p w14:paraId="7460416B" w14:textId="77777777" w:rsidR="00A43CF3" w:rsidRDefault="00A43CF3"/>
    <w:sectPr w:rsidR="00A43CF3" w:rsidSect="00862EF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774E0"/>
    <w:multiLevelType w:val="hybridMultilevel"/>
    <w:tmpl w:val="369C5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74F48"/>
    <w:multiLevelType w:val="hybridMultilevel"/>
    <w:tmpl w:val="74C2994A"/>
    <w:lvl w:ilvl="0" w:tplc="E32A604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2813064">
    <w:abstractNumId w:val="1"/>
  </w:num>
  <w:num w:numId="2" w16cid:durableId="1544714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EF7"/>
    <w:rsid w:val="000C6AFD"/>
    <w:rsid w:val="00207516"/>
    <w:rsid w:val="0029487F"/>
    <w:rsid w:val="00575E53"/>
    <w:rsid w:val="005F511F"/>
    <w:rsid w:val="0071189B"/>
    <w:rsid w:val="007F019E"/>
    <w:rsid w:val="00862EF7"/>
    <w:rsid w:val="00A43CF3"/>
    <w:rsid w:val="00A672D7"/>
    <w:rsid w:val="00C52107"/>
    <w:rsid w:val="00C72929"/>
    <w:rsid w:val="00D44DB2"/>
    <w:rsid w:val="00DB73C0"/>
    <w:rsid w:val="00F95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D32F8B"/>
  <w15:chartTrackingRefBased/>
  <w15:docId w15:val="{16241799-620A-4807-82FB-944CBCEBB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2EF7"/>
  </w:style>
  <w:style w:type="paragraph" w:styleId="Heading1">
    <w:name w:val="heading 1"/>
    <w:basedOn w:val="Normal"/>
    <w:next w:val="Normal"/>
    <w:link w:val="Heading1Char"/>
    <w:uiPriority w:val="9"/>
    <w:qFormat/>
    <w:rsid w:val="00862E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2E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2EF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2E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2EF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2E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2E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2E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2E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2EF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2EF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2EF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2EF7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2EF7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2E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2E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2E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2E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2E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2E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2E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2E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2E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2E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2E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2EF7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2EF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2EF7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2EF7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862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62EF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s10901-024-10149-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80/10511482.2019.168433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31920/2516-3132/2023/v7n2a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oi.org/10.1108/978-1-83753-814-020231007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07/s12132-023-09504-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990</Words>
  <Characters>5649</Characters>
  <Application>Microsoft Office Word</Application>
  <DocSecurity>0</DocSecurity>
  <Lines>47</Lines>
  <Paragraphs>13</Paragraphs>
  <ScaleCrop>false</ScaleCrop>
  <Company/>
  <LinksUpToDate>false</LinksUpToDate>
  <CharactersWithSpaces>6626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Monwabisi Xegwana</dc:creator>
  <cp:keywords/>
  <dc:description/>
  <cp:lastModifiedBy>Nilesh Nawale</cp:lastModifiedBy>
  <cp:revision>2</cp:revision>
  <dcterms:created xsi:type="dcterms:W3CDTF">2025-05-14T05:21:00Z</dcterms:created>
  <dcterms:modified xsi:type="dcterms:W3CDTF">2025-05-14T05:21:00Z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f50f93a3-3169-4cc7-8e52-5cfd6e0a4275</vt:lpwstr>
  </property>
</Properties>
</file>