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97E03" w14:textId="77777777" w:rsidR="000D65FD" w:rsidRDefault="000D65FD" w:rsidP="000D65FD">
      <w:pPr>
        <w:pStyle w:val="NormalWeb"/>
        <w:spacing w:line="360" w:lineRule="auto"/>
        <w:rPr>
          <w:rFonts w:ascii="Times New Roman" w:hAnsi="Times New Roman" w:cs="Times New Roman"/>
          <w:b/>
          <w:bCs/>
        </w:rPr>
      </w:pPr>
      <w:r>
        <w:rPr>
          <w:rFonts w:ascii="Times New Roman" w:hAnsi="Times New Roman" w:cs="Times New Roman" w:hint="eastAsia"/>
          <w:b/>
          <w:bCs/>
        </w:rPr>
        <w:t>S</w:t>
      </w:r>
      <w:r>
        <w:rPr>
          <w:rFonts w:ascii="Times New Roman" w:hAnsi="Times New Roman" w:cs="Times New Roman"/>
          <w:b/>
          <w:bCs/>
        </w:rPr>
        <w:t>upplementary</w:t>
      </w:r>
      <w:r>
        <w:rPr>
          <w:rFonts w:ascii="Times New Roman" w:hAnsi="Times New Roman" w:cs="Times New Roman" w:hint="eastAsia"/>
          <w:b/>
          <w:bCs/>
        </w:rPr>
        <w:t xml:space="preserve"> material</w:t>
      </w:r>
    </w:p>
    <w:p w14:paraId="4C14061E" w14:textId="77777777" w:rsidR="000D65FD" w:rsidRDefault="000D65FD" w:rsidP="000D65FD">
      <w:pPr>
        <w:pStyle w:val="NormalWeb"/>
        <w:spacing w:line="360" w:lineRule="auto"/>
        <w:rPr>
          <w:rFonts w:ascii="Times New Roman" w:hAnsi="Times New Roman" w:cs="Times New Roman"/>
          <w:b/>
          <w:bCs/>
        </w:rPr>
      </w:pPr>
      <w:r>
        <w:rPr>
          <w:rFonts w:ascii="Times New Roman" w:hAnsi="Times New Roman" w:cs="Times New Roman" w:hint="eastAsia"/>
          <w:b/>
          <w:bCs/>
          <w:noProof/>
        </w:rPr>
        <w:drawing>
          <wp:inline distT="0" distB="0" distL="114300" distR="114300" wp14:anchorId="6A4635C3" wp14:editId="22896BF5">
            <wp:extent cx="4102735" cy="3393440"/>
            <wp:effectExtent l="0" t="0" r="12065" b="16510"/>
            <wp:docPr id="3" name="图片 3" descr="Fig.2 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2 tif"/>
                    <pic:cNvPicPr>
                      <a:picLocks noChangeAspect="1"/>
                    </pic:cNvPicPr>
                  </pic:nvPicPr>
                  <pic:blipFill>
                    <a:blip r:embed="rId4"/>
                    <a:stretch>
                      <a:fillRect/>
                    </a:stretch>
                  </pic:blipFill>
                  <pic:spPr>
                    <a:xfrm>
                      <a:off x="0" y="0"/>
                      <a:ext cx="4102735" cy="3393440"/>
                    </a:xfrm>
                    <a:prstGeom prst="rect">
                      <a:avLst/>
                    </a:prstGeom>
                  </pic:spPr>
                </pic:pic>
              </a:graphicData>
            </a:graphic>
          </wp:inline>
        </w:drawing>
      </w:r>
    </w:p>
    <w:p w14:paraId="373B7C40" w14:textId="77777777" w:rsidR="000D65FD" w:rsidRDefault="000D65FD" w:rsidP="000D65FD">
      <w:pPr>
        <w:spacing w:line="360" w:lineRule="auto"/>
        <w:rPr>
          <w:rFonts w:ascii="Times New Roman" w:hAnsi="Times New Roman" w:cs="Times New Roman"/>
        </w:rPr>
      </w:pPr>
      <w:r>
        <w:rPr>
          <w:rFonts w:ascii="Times New Roman" w:hAnsi="Times New Roman" w:cs="Times New Roman"/>
          <w:b/>
          <w:bCs/>
        </w:rPr>
        <w:t xml:space="preserve">Fig. S1 </w:t>
      </w:r>
      <w:r>
        <w:rPr>
          <w:rFonts w:ascii="Times New Roman" w:hAnsi="Times New Roman" w:cs="Times New Roman"/>
        </w:rPr>
        <w:t xml:space="preserve">Performance of XGBoost model in the test set. </w:t>
      </w:r>
      <w:r>
        <w:rPr>
          <w:rFonts w:ascii="Times New Roman" w:hAnsi="Times New Roman" w:cs="Times New Roman" w:hint="eastAsia"/>
        </w:rPr>
        <w:t>(</w:t>
      </w:r>
      <w:r>
        <w:rPr>
          <w:rStyle w:val="Strong"/>
          <w:rFonts w:ascii="Times New Roman" w:hAnsi="Times New Roman" w:cs="Times New Roman"/>
        </w:rPr>
        <w:t>A</w:t>
      </w:r>
      <w:r>
        <w:rPr>
          <w:rStyle w:val="Strong"/>
          <w:rFonts w:ascii="Times New Roman" w:hAnsi="Times New Roman" w:cs="Times New Roman" w:hint="eastAsia"/>
        </w:rPr>
        <w:t>)</w:t>
      </w:r>
      <w:r>
        <w:rPr>
          <w:rFonts w:ascii="Times New Roman" w:hAnsi="Times New Roman" w:cs="Times New Roman"/>
        </w:rPr>
        <w:t xml:space="preserve"> The confusion matrix of the test set. </w:t>
      </w:r>
      <w:r>
        <w:rPr>
          <w:rFonts w:ascii="Times New Roman" w:hAnsi="Times New Roman" w:cs="Times New Roman" w:hint="eastAsia"/>
        </w:rPr>
        <w:t>(</w:t>
      </w:r>
      <w:r>
        <w:rPr>
          <w:rStyle w:val="Strong"/>
          <w:rFonts w:ascii="Times New Roman" w:hAnsi="Times New Roman" w:cs="Times New Roman"/>
        </w:rPr>
        <w:t>B</w:t>
      </w:r>
      <w:r>
        <w:rPr>
          <w:rStyle w:val="Strong"/>
          <w:rFonts w:ascii="Times New Roman" w:hAnsi="Times New Roman" w:cs="Times New Roman" w:hint="eastAsia"/>
        </w:rPr>
        <w:t>)</w:t>
      </w:r>
      <w:r>
        <w:rPr>
          <w:rFonts w:ascii="Times New Roman" w:hAnsi="Times New Roman" w:cs="Times New Roman"/>
        </w:rPr>
        <w:t xml:space="preserve"> The ROC curve of the test set. Colors are used to validate the cutoff value. The yellow color along the diagonal indicates that the optimal cutoff value lies in the middle. Given that the dataset has an equal proportion of positive and negative samples, the default cutoff value of 0.5 is appropriate. Thus, the colors primarily serve to verify the cutoff value. </w:t>
      </w:r>
      <w:r>
        <w:rPr>
          <w:rFonts w:ascii="Times New Roman" w:hAnsi="Times New Roman" w:cs="Times New Roman" w:hint="eastAsia"/>
        </w:rPr>
        <w:t>(</w:t>
      </w:r>
      <w:r>
        <w:rPr>
          <w:rStyle w:val="Strong"/>
          <w:rFonts w:ascii="Times New Roman" w:hAnsi="Times New Roman" w:cs="Times New Roman"/>
        </w:rPr>
        <w:t>C</w:t>
      </w:r>
      <w:r>
        <w:rPr>
          <w:rStyle w:val="Strong"/>
          <w:rFonts w:ascii="Times New Roman" w:hAnsi="Times New Roman" w:cs="Times New Roman" w:hint="eastAsia"/>
        </w:rPr>
        <w:t>)</w:t>
      </w:r>
      <w:r>
        <w:rPr>
          <w:rFonts w:ascii="Times New Roman" w:hAnsi="Times New Roman" w:cs="Times New Roman"/>
        </w:rPr>
        <w:t xml:space="preserve"> The Gini importance of variables in the XGBoost model. </w:t>
      </w:r>
      <w:r>
        <w:rPr>
          <w:rFonts w:ascii="Times New Roman" w:hAnsi="Times New Roman" w:cs="Times New Roman" w:hint="eastAsia"/>
        </w:rPr>
        <w:t>(</w:t>
      </w:r>
      <w:r>
        <w:rPr>
          <w:rStyle w:val="Strong"/>
          <w:rFonts w:ascii="Times New Roman" w:hAnsi="Times New Roman" w:cs="Times New Roman"/>
        </w:rPr>
        <w:t>D</w:t>
      </w:r>
      <w:r>
        <w:rPr>
          <w:rStyle w:val="Strong"/>
          <w:rFonts w:ascii="Times New Roman" w:hAnsi="Times New Roman" w:cs="Times New Roman" w:hint="eastAsia"/>
        </w:rPr>
        <w:t>)</w:t>
      </w:r>
      <w:r>
        <w:rPr>
          <w:rFonts w:ascii="Times New Roman" w:hAnsi="Times New Roman" w:cs="Times New Roman"/>
        </w:rPr>
        <w:t xml:space="preserve"> The density plot of scores for each sample in the test set. Most scores in the PCR group are greater than 0.5, while the majority of scores in the NPCR group are less than 0.5. The red dashed line represents the cutoff value. </w:t>
      </w:r>
      <w:r>
        <w:rPr>
          <w:rFonts w:ascii="Times New Roman" w:hAnsi="Times New Roman" w:cs="Times New Roman" w:hint="eastAsia"/>
        </w:rPr>
        <w:t>(</w:t>
      </w:r>
      <w:r>
        <w:rPr>
          <w:rStyle w:val="Strong"/>
          <w:rFonts w:ascii="Times New Roman" w:hAnsi="Times New Roman" w:cs="Times New Roman"/>
        </w:rPr>
        <w:t>E</w:t>
      </w:r>
      <w:r>
        <w:rPr>
          <w:rStyle w:val="Strong"/>
          <w:rFonts w:ascii="Times New Roman" w:hAnsi="Times New Roman" w:cs="Times New Roman" w:hint="eastAsia"/>
        </w:rPr>
        <w:t>)</w:t>
      </w:r>
      <w:r>
        <w:rPr>
          <w:rFonts w:ascii="Times New Roman" w:hAnsi="Times New Roman" w:cs="Times New Roman"/>
        </w:rPr>
        <w:t xml:space="preserve"> Feature importance calculated using the SHAP method. More important features deviate further from the central line at </w:t>
      </w:r>
      <w:r>
        <w:rPr>
          <w:rStyle w:val="katex-mathml"/>
          <w:rFonts w:ascii="Times New Roman" w:hAnsi="Times New Roman" w:cs="Times New Roman"/>
        </w:rPr>
        <w:t>x=0x = 0</w:t>
      </w:r>
      <w:r>
        <w:rPr>
          <w:rStyle w:val="mord"/>
          <w:rFonts w:ascii="Times New Roman" w:hAnsi="Times New Roman" w:cs="Times New Roman"/>
        </w:rPr>
        <w:t>x</w:t>
      </w:r>
      <w:r>
        <w:rPr>
          <w:rStyle w:val="mrel"/>
          <w:rFonts w:ascii="Times New Roman" w:hAnsi="Times New Roman" w:cs="Times New Roman"/>
        </w:rPr>
        <w:t>=</w:t>
      </w:r>
      <w:r>
        <w:rPr>
          <w:rStyle w:val="mord"/>
          <w:rFonts w:ascii="Times New Roman" w:hAnsi="Times New Roman" w:cs="Times New Roman"/>
        </w:rPr>
        <w:t>0</w:t>
      </w:r>
      <w:r>
        <w:rPr>
          <w:rFonts w:ascii="Times New Roman" w:hAnsi="Times New Roman" w:cs="Times New Roman"/>
        </w:rPr>
        <w:t>, indicating that invasion, diameter, and AFP are highly important factors. This functionality is similar to Gini importance. (The left panel represents the training set, and the right panel represents the test set.)</w:t>
      </w:r>
    </w:p>
    <w:p w14:paraId="001A6471" w14:textId="77777777" w:rsidR="000D65FD" w:rsidRDefault="000D65FD" w:rsidP="000D65FD">
      <w:pPr>
        <w:spacing w:line="360" w:lineRule="auto"/>
        <w:rPr>
          <w:rFonts w:ascii="Times New Roman" w:hAnsi="Times New Roman" w:cs="Times New Roman"/>
        </w:rPr>
      </w:pPr>
    </w:p>
    <w:p w14:paraId="0F8BF794" w14:textId="77777777" w:rsidR="000D65FD" w:rsidRDefault="000D65FD" w:rsidP="000D65FD">
      <w:pPr>
        <w:spacing w:line="360" w:lineRule="auto"/>
        <w:rPr>
          <w:rFonts w:ascii="Times New Roman" w:hAnsi="Times New Roman" w:cs="Times New Roman"/>
        </w:rPr>
      </w:pPr>
      <w:r>
        <w:rPr>
          <w:rFonts w:ascii="Times New Roman" w:hAnsi="Times New Roman" w:cs="Times New Roman" w:hint="eastAsia"/>
          <w:noProof/>
        </w:rPr>
        <w:lastRenderedPageBreak/>
        <w:drawing>
          <wp:inline distT="0" distB="0" distL="114300" distR="114300" wp14:anchorId="0CFF61FC" wp14:editId="3C5EBB11">
            <wp:extent cx="4460875" cy="3575050"/>
            <wp:effectExtent l="0" t="0" r="15875" b="6350"/>
            <wp:docPr id="4" name="图片 4"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2"/>
                    <pic:cNvPicPr>
                      <a:picLocks noChangeAspect="1"/>
                    </pic:cNvPicPr>
                  </pic:nvPicPr>
                  <pic:blipFill>
                    <a:blip r:embed="rId5"/>
                    <a:stretch>
                      <a:fillRect/>
                    </a:stretch>
                  </pic:blipFill>
                  <pic:spPr>
                    <a:xfrm>
                      <a:off x="0" y="0"/>
                      <a:ext cx="4460875" cy="3575050"/>
                    </a:xfrm>
                    <a:prstGeom prst="rect">
                      <a:avLst/>
                    </a:prstGeom>
                  </pic:spPr>
                </pic:pic>
              </a:graphicData>
            </a:graphic>
          </wp:inline>
        </w:drawing>
      </w:r>
    </w:p>
    <w:p w14:paraId="07A5A8E9" w14:textId="77777777" w:rsidR="000D65FD" w:rsidRDefault="000D65FD" w:rsidP="000D65FD">
      <w:pPr>
        <w:spacing w:line="360" w:lineRule="auto"/>
        <w:rPr>
          <w:rFonts w:ascii="Times New Roman" w:hAnsi="Times New Roman" w:cs="Times New Roman"/>
        </w:rPr>
      </w:pPr>
      <w:r>
        <w:rPr>
          <w:rFonts w:ascii="Times New Roman" w:hAnsi="Times New Roman" w:cs="Times New Roman"/>
          <w:b/>
          <w:bCs/>
        </w:rPr>
        <w:t>Fig. S2</w:t>
      </w:r>
      <w:r>
        <w:rPr>
          <w:rFonts w:ascii="Times New Roman" w:hAnsi="Times New Roman" w:cs="Times New Roman"/>
        </w:rPr>
        <w:t xml:space="preserve"> Performance of LASSO model in the test set. </w:t>
      </w:r>
      <w:r>
        <w:rPr>
          <w:rStyle w:val="Strong"/>
          <w:rFonts w:ascii="Times New Roman" w:hAnsi="Times New Roman" w:cs="Times New Roman" w:hint="eastAsia"/>
        </w:rPr>
        <w:t>(</w:t>
      </w:r>
      <w:r>
        <w:rPr>
          <w:rStyle w:val="Strong"/>
          <w:rFonts w:ascii="Times New Roman" w:hAnsi="Times New Roman" w:cs="Times New Roman"/>
        </w:rPr>
        <w:t>A</w:t>
      </w:r>
      <w:r>
        <w:rPr>
          <w:rStyle w:val="Strong"/>
          <w:rFonts w:ascii="Times New Roman" w:hAnsi="Times New Roman" w:cs="Times New Roman" w:hint="eastAsia"/>
        </w:rPr>
        <w:t>)</w:t>
      </w:r>
      <w:r>
        <w:rPr>
          <w:rFonts w:ascii="Times New Roman" w:hAnsi="Times New Roman" w:cs="Times New Roman"/>
        </w:rPr>
        <w:t xml:space="preserve"> The confusion matrix of the test set. </w:t>
      </w:r>
      <w:r>
        <w:rPr>
          <w:rFonts w:ascii="Times New Roman" w:hAnsi="Times New Roman" w:cs="Times New Roman" w:hint="eastAsia"/>
        </w:rPr>
        <w:t>(</w:t>
      </w:r>
      <w:r>
        <w:rPr>
          <w:rStyle w:val="Strong"/>
          <w:rFonts w:ascii="Times New Roman" w:hAnsi="Times New Roman" w:cs="Times New Roman"/>
        </w:rPr>
        <w:t>B</w:t>
      </w:r>
      <w:r>
        <w:rPr>
          <w:rStyle w:val="Strong"/>
          <w:rFonts w:ascii="Times New Roman" w:hAnsi="Times New Roman" w:cs="Times New Roman" w:hint="eastAsia"/>
        </w:rPr>
        <w:t>)</w:t>
      </w:r>
      <w:r>
        <w:rPr>
          <w:rFonts w:ascii="Times New Roman" w:hAnsi="Times New Roman" w:cs="Times New Roman"/>
        </w:rPr>
        <w:t xml:space="preserve"> The ROC curve of the test set. Colors are used to validate the cutoff value. A yellow color appearing along the diagonal indicates that the optimal cutoff value lies in the middle. Since our dataset has an equal proportion of positive and negative samples, the default cutoff value, which is 0, is appropriate. Thus, the colors primarily serve to verify the cutoff value. </w:t>
      </w:r>
      <w:r>
        <w:rPr>
          <w:rFonts w:ascii="Times New Roman" w:hAnsi="Times New Roman" w:cs="Times New Roman" w:hint="eastAsia"/>
        </w:rPr>
        <w:t>(</w:t>
      </w:r>
      <w:r>
        <w:rPr>
          <w:rStyle w:val="Strong"/>
          <w:rFonts w:ascii="Times New Roman" w:hAnsi="Times New Roman" w:cs="Times New Roman"/>
        </w:rPr>
        <w:t>C</w:t>
      </w:r>
      <w:r>
        <w:rPr>
          <w:rStyle w:val="Strong"/>
          <w:rFonts w:ascii="Times New Roman" w:hAnsi="Times New Roman" w:cs="Times New Roman" w:hint="eastAsia"/>
        </w:rPr>
        <w:t>)</w:t>
      </w:r>
      <w:r>
        <w:rPr>
          <w:rFonts w:ascii="Times New Roman" w:hAnsi="Times New Roman" w:cs="Times New Roman"/>
        </w:rPr>
        <w:t xml:space="preserve"> The coefficients of the variables used in the LASSO model. </w:t>
      </w:r>
      <w:r>
        <w:rPr>
          <w:rFonts w:ascii="Times New Roman" w:hAnsi="Times New Roman" w:cs="Times New Roman" w:hint="eastAsia"/>
        </w:rPr>
        <w:t>(</w:t>
      </w:r>
      <w:r>
        <w:rPr>
          <w:rStyle w:val="Strong"/>
          <w:rFonts w:ascii="Times New Roman" w:hAnsi="Times New Roman" w:cs="Times New Roman"/>
        </w:rPr>
        <w:t>D</w:t>
      </w:r>
      <w:r>
        <w:rPr>
          <w:rStyle w:val="Strong"/>
          <w:rFonts w:ascii="Times New Roman" w:hAnsi="Times New Roman" w:cs="Times New Roman" w:hint="eastAsia"/>
        </w:rPr>
        <w:t>)</w:t>
      </w:r>
      <w:r>
        <w:rPr>
          <w:rFonts w:ascii="Times New Roman" w:hAnsi="Times New Roman" w:cs="Times New Roman"/>
        </w:rPr>
        <w:t xml:space="preserve"> The density plot of scores for each sample in the test set. The majority of scores for the PCR group are greater than 0, while most scores for the NPCR group are less than 0. The red dashed line represents the cutoff value.</w:t>
      </w:r>
    </w:p>
    <w:p w14:paraId="794DA0B4" w14:textId="77777777" w:rsidR="000D65FD" w:rsidRDefault="000D65FD" w:rsidP="000D65FD">
      <w:pPr>
        <w:spacing w:line="360" w:lineRule="auto"/>
        <w:rPr>
          <w:rFonts w:ascii="Times New Roman" w:hAnsi="Times New Roman" w:cs="Times New Roman"/>
        </w:rPr>
      </w:pPr>
    </w:p>
    <w:p w14:paraId="321B1647" w14:textId="77777777" w:rsidR="000D65FD" w:rsidRDefault="000D65FD" w:rsidP="000D65FD">
      <w:pPr>
        <w:spacing w:line="360" w:lineRule="auto"/>
        <w:rPr>
          <w:rFonts w:ascii="Times New Roman" w:hAnsi="Times New Roman" w:cs="Times New Roman"/>
        </w:rPr>
      </w:pPr>
      <w:r>
        <w:rPr>
          <w:rFonts w:ascii="Times New Roman" w:hAnsi="Times New Roman" w:cs="Times New Roman" w:hint="eastAsia"/>
          <w:noProof/>
        </w:rPr>
        <w:drawing>
          <wp:inline distT="0" distB="0" distL="114300" distR="114300" wp14:anchorId="193B4FB3" wp14:editId="136D354F">
            <wp:extent cx="4960620" cy="2179320"/>
            <wp:effectExtent l="0" t="0" r="11430" b="11430"/>
            <wp:docPr id="5" name="图片 5" descr="Fig S3. 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3. tif"/>
                    <pic:cNvPicPr>
                      <a:picLocks noChangeAspect="1"/>
                    </pic:cNvPicPr>
                  </pic:nvPicPr>
                  <pic:blipFill>
                    <a:blip r:embed="rId6"/>
                    <a:stretch>
                      <a:fillRect/>
                    </a:stretch>
                  </pic:blipFill>
                  <pic:spPr>
                    <a:xfrm>
                      <a:off x="0" y="0"/>
                      <a:ext cx="4960620" cy="2179320"/>
                    </a:xfrm>
                    <a:prstGeom prst="rect">
                      <a:avLst/>
                    </a:prstGeom>
                  </pic:spPr>
                </pic:pic>
              </a:graphicData>
            </a:graphic>
          </wp:inline>
        </w:drawing>
      </w:r>
    </w:p>
    <w:p w14:paraId="54327BA2" w14:textId="77777777" w:rsidR="000D65FD" w:rsidRDefault="000D65FD" w:rsidP="000D65FD">
      <w:pPr>
        <w:spacing w:line="360" w:lineRule="auto"/>
        <w:rPr>
          <w:rFonts w:ascii="Times New Roman" w:hAnsi="Times New Roman" w:cs="Times New Roman"/>
        </w:rPr>
      </w:pPr>
      <w:r>
        <w:rPr>
          <w:rFonts w:ascii="Times New Roman" w:hAnsi="Times New Roman" w:cs="Times New Roman"/>
          <w:b/>
          <w:bCs/>
        </w:rPr>
        <w:lastRenderedPageBreak/>
        <w:t xml:space="preserve">Fig. S3 </w:t>
      </w:r>
      <w:r>
        <w:rPr>
          <w:rFonts w:ascii="Times New Roman" w:hAnsi="Times New Roman" w:cs="Times New Roman"/>
        </w:rPr>
        <w:t xml:space="preserve">Selection of significant parameters in LASSO model with the training set.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rPr>
        <w:t xml:space="preserve">Ten time cross-validation for tuning parameter selection in the LASSO model. </w:t>
      </w:r>
      <w:r>
        <w:rPr>
          <w:rFonts w:ascii="Times New Roman" w:hAnsi="Times New Roman" w:cs="Times New Roman" w:hint="eastAsia"/>
        </w:rPr>
        <w:t>(</w:t>
      </w:r>
      <w:r>
        <w:rPr>
          <w:rFonts w:ascii="Times New Roman" w:hAnsi="Times New Roman" w:cs="Times New Roman"/>
          <w:b/>
          <w:bCs/>
        </w:rPr>
        <w:t>B</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rPr>
        <w:t>LASSO coefficient profiles.</w:t>
      </w:r>
    </w:p>
    <w:p w14:paraId="2FBDC786" w14:textId="77777777" w:rsidR="000D65FD" w:rsidRDefault="000D65FD" w:rsidP="000D65FD">
      <w:pPr>
        <w:spacing w:line="360" w:lineRule="auto"/>
        <w:rPr>
          <w:rFonts w:ascii="Times New Roman" w:hAnsi="Times New Roman" w:cs="Times New Roman"/>
        </w:rPr>
      </w:pPr>
      <w:r>
        <w:rPr>
          <w:rFonts w:ascii="Times New Roman" w:hAnsi="Times New Roman" w:cs="Times New Roman" w:hint="eastAsia"/>
          <w:noProof/>
        </w:rPr>
        <w:drawing>
          <wp:inline distT="0" distB="0" distL="114300" distR="114300" wp14:anchorId="5FA2E2C7" wp14:editId="06E2C649">
            <wp:extent cx="4653280" cy="3952240"/>
            <wp:effectExtent l="0" t="0" r="13970" b="10160"/>
            <wp:docPr id="6" name="图片 6"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4"/>
                    <pic:cNvPicPr>
                      <a:picLocks noChangeAspect="1"/>
                    </pic:cNvPicPr>
                  </pic:nvPicPr>
                  <pic:blipFill>
                    <a:blip r:embed="rId7"/>
                    <a:stretch>
                      <a:fillRect/>
                    </a:stretch>
                  </pic:blipFill>
                  <pic:spPr>
                    <a:xfrm>
                      <a:off x="0" y="0"/>
                      <a:ext cx="4653280" cy="3952240"/>
                    </a:xfrm>
                    <a:prstGeom prst="rect">
                      <a:avLst/>
                    </a:prstGeom>
                  </pic:spPr>
                </pic:pic>
              </a:graphicData>
            </a:graphic>
          </wp:inline>
        </w:drawing>
      </w:r>
    </w:p>
    <w:p w14:paraId="1E9C3912" w14:textId="77777777" w:rsidR="000D65FD" w:rsidRDefault="000D65FD" w:rsidP="000D65FD">
      <w:pPr>
        <w:pStyle w:val="NormalWeb"/>
        <w:spacing w:line="360" w:lineRule="auto"/>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ig. S4</w:t>
      </w:r>
      <w:r>
        <w:rPr>
          <w:rFonts w:ascii="Times New Roman" w:hAnsi="Times New Roman" w:cs="Times New Roman"/>
        </w:rPr>
        <w:t xml:space="preserve"> Performance of Decision Tree in test set.</w:t>
      </w:r>
      <w:r>
        <w:t xml:space="preserve"> </w:t>
      </w:r>
      <w:r>
        <w:rPr>
          <w:rFonts w:hint="eastAsia"/>
        </w:rPr>
        <w:t>(</w:t>
      </w:r>
      <w:r>
        <w:rPr>
          <w:rFonts w:ascii="Times New Roman" w:hAnsi="Times New Roman" w:cs="Times New Roman"/>
          <w:b/>
          <w:bCs/>
        </w:rPr>
        <w:t>A</w:t>
      </w:r>
      <w:r>
        <w:rPr>
          <w:rFonts w:ascii="Times New Roman" w:hAnsi="Times New Roman" w:cs="Times New Roman" w:hint="eastAsia"/>
          <w:b/>
          <w:bCs/>
        </w:rPr>
        <w:t>)</w:t>
      </w:r>
      <w:r>
        <w:rPr>
          <w:rFonts w:ascii="Times New Roman" w:hAnsi="Times New Roman" w:cs="Times New Roman"/>
        </w:rPr>
        <w:t xml:space="preserve"> Confusion matrix of the test set </w:t>
      </w:r>
      <w:r>
        <w:rPr>
          <w:rFonts w:ascii="Times New Roman" w:hAnsi="Times New Roman" w:cs="Times New Roman" w:hint="eastAsia"/>
        </w:rPr>
        <w:t>(</w:t>
      </w:r>
      <w:r>
        <w:rPr>
          <w:rFonts w:ascii="Times New Roman" w:hAnsi="Times New Roman" w:cs="Times New Roman"/>
          <w:b/>
          <w:bCs/>
        </w:rPr>
        <w:t>B</w:t>
      </w:r>
      <w:r>
        <w:rPr>
          <w:rFonts w:ascii="Times New Roman" w:hAnsi="Times New Roman" w:cs="Times New Roman" w:hint="eastAsia"/>
          <w:b/>
          <w:bCs/>
        </w:rPr>
        <w:t>)</w:t>
      </w:r>
      <w:r>
        <w:rPr>
          <w:rFonts w:ascii="Times New Roman" w:hAnsi="Times New Roman" w:cs="Times New Roman"/>
        </w:rPr>
        <w:t xml:space="preserve"> ROC curve of the test set, where the color can be used to verify the cutoff value. The color on the diagonal is yellow, which indicates that the cutoff value is optimal when it is around the middle. In this case, we have an equal number of positive and negative samples, which corresponds to using the default cutoff value of 0.5. Therefore, the color primarily helps to validate the cutoff value. </w:t>
      </w:r>
      <w:r>
        <w:rPr>
          <w:rFonts w:ascii="Times New Roman" w:hAnsi="Times New Roman" w:cs="Times New Roman" w:hint="eastAsia"/>
        </w:rPr>
        <w:t>(</w:t>
      </w:r>
      <w:r>
        <w:rPr>
          <w:rFonts w:ascii="Times New Roman" w:hAnsi="Times New Roman" w:cs="Times New Roman"/>
          <w:b/>
          <w:bCs/>
        </w:rPr>
        <w:t>C</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rPr>
        <w:t>Internal structure of the decision tree</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b/>
          <w:bCs/>
        </w:rPr>
        <w:t>D</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rPr>
        <w:t xml:space="preserve">Feature importance in the decision tree model. </w:t>
      </w:r>
      <w:r>
        <w:rPr>
          <w:rFonts w:ascii="Times New Roman" w:hAnsi="Times New Roman" w:cs="Times New Roman" w:hint="eastAsia"/>
        </w:rPr>
        <w:t>(</w:t>
      </w:r>
      <w:r>
        <w:rPr>
          <w:rFonts w:ascii="Times New Roman" w:hAnsi="Times New Roman" w:cs="Times New Roman"/>
          <w:b/>
          <w:bCs/>
        </w:rPr>
        <w:t>E</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rPr>
        <w:t>Density plot of the scores for each sample in the test set. Most scores in the PCR group are greater than 0.5, while scores in the NPCR group are mostly below 0.5. The red dashed line represents the cutoff value.</w:t>
      </w:r>
    </w:p>
    <w:p w14:paraId="5F31F410" w14:textId="77777777" w:rsidR="0061272A" w:rsidRDefault="0061272A" w:rsidP="0061272A">
      <w:pPr>
        <w:rPr>
          <w:rFonts w:ascii="Times New Roman" w:hAnsi="Times New Roman" w:cs="Times New Roman"/>
        </w:rPr>
      </w:pPr>
      <w:r>
        <w:rPr>
          <w:rFonts w:ascii="Times New Roman" w:hAnsi="Times New Roman" w:cs="Times New Roman"/>
          <w:b/>
          <w:bCs/>
        </w:rPr>
        <w:t>Table S1</w:t>
      </w:r>
      <w:r>
        <w:rPr>
          <w:rFonts w:ascii="Times New Roman" w:hAnsi="Times New Roman" w:cs="Times New Roman"/>
        </w:rPr>
        <w:t xml:space="preserve"> Baseline characteristics between NPCR and PCR groups after matching. </w:t>
      </w:r>
    </w:p>
    <w:p w14:paraId="1A6CEB26" w14:textId="77777777" w:rsidR="0061272A" w:rsidRDefault="0061272A" w:rsidP="0061272A">
      <w:pPr>
        <w:rPr>
          <w:rFonts w:ascii="Times New Roman" w:hAnsi="Times New Roman" w:cs="Times New Roman"/>
        </w:rPr>
      </w:pPr>
    </w:p>
    <w:tbl>
      <w:tblPr>
        <w:tblStyle w:val="PlainTable21"/>
        <w:tblW w:w="6989" w:type="dxa"/>
        <w:tblBorders>
          <w:top w:val="single" w:sz="4" w:space="0" w:color="auto"/>
          <w:bottom w:val="single" w:sz="4" w:space="0" w:color="auto"/>
        </w:tblBorders>
        <w:tblLook w:val="04A0" w:firstRow="1" w:lastRow="0" w:firstColumn="1" w:lastColumn="0" w:noHBand="0" w:noVBand="1"/>
      </w:tblPr>
      <w:tblGrid>
        <w:gridCol w:w="2410"/>
        <w:gridCol w:w="1843"/>
        <w:gridCol w:w="1505"/>
        <w:gridCol w:w="1231"/>
      </w:tblGrid>
      <w:tr w:rsidR="0061272A" w14:paraId="03BEEF6B" w14:textId="77777777" w:rsidTr="00FE4120">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410" w:type="dxa"/>
            <w:tcBorders>
              <w:bottom w:val="single" w:sz="4" w:space="0" w:color="auto"/>
            </w:tcBorders>
            <w:noWrap/>
          </w:tcPr>
          <w:p w14:paraId="5F85C268" w14:textId="77777777" w:rsidR="0061272A" w:rsidRDefault="0061272A" w:rsidP="00FE4120">
            <w:pPr>
              <w:rPr>
                <w:rFonts w:ascii="Times New Roman" w:eastAsia="Times New Roman" w:hAnsi="Times New Roman" w:cs="Times New Roman"/>
                <w:b w:val="0"/>
                <w:bCs w:val="0"/>
                <w:sz w:val="21"/>
                <w:szCs w:val="21"/>
              </w:rPr>
            </w:pPr>
          </w:p>
        </w:tc>
        <w:tc>
          <w:tcPr>
            <w:tcW w:w="1843" w:type="dxa"/>
            <w:tcBorders>
              <w:bottom w:val="single" w:sz="4" w:space="0" w:color="auto"/>
            </w:tcBorders>
            <w:noWrap/>
          </w:tcPr>
          <w:p w14:paraId="297FF310" w14:textId="77777777" w:rsidR="0061272A" w:rsidRDefault="0061272A" w:rsidP="00FE4120">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NPCR</w:t>
            </w:r>
          </w:p>
          <w:p w14:paraId="2C9C7A24" w14:textId="77777777" w:rsidR="0061272A" w:rsidRDefault="0061272A" w:rsidP="00FE4120">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lastRenderedPageBreak/>
              <w:t>(n=55)</w:t>
            </w:r>
          </w:p>
        </w:tc>
        <w:tc>
          <w:tcPr>
            <w:tcW w:w="1505" w:type="dxa"/>
            <w:tcBorders>
              <w:bottom w:val="single" w:sz="4" w:space="0" w:color="auto"/>
            </w:tcBorders>
            <w:noWrap/>
          </w:tcPr>
          <w:p w14:paraId="0A067BF1" w14:textId="77777777" w:rsidR="0061272A" w:rsidRDefault="0061272A" w:rsidP="00FE4120">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lastRenderedPageBreak/>
              <w:t>PCR</w:t>
            </w:r>
          </w:p>
          <w:p w14:paraId="35CD7D41" w14:textId="77777777" w:rsidR="0061272A" w:rsidRDefault="0061272A" w:rsidP="00FE4120">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lastRenderedPageBreak/>
              <w:t>(n=55)</w:t>
            </w:r>
          </w:p>
        </w:tc>
        <w:tc>
          <w:tcPr>
            <w:tcW w:w="1231" w:type="dxa"/>
            <w:tcBorders>
              <w:bottom w:val="single" w:sz="4" w:space="0" w:color="auto"/>
            </w:tcBorders>
            <w:noWrap/>
          </w:tcPr>
          <w:p w14:paraId="274B0300" w14:textId="77777777" w:rsidR="0061272A" w:rsidRDefault="0061272A" w:rsidP="00FE4120">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sz w:val="21"/>
                <w:szCs w:val="21"/>
              </w:rPr>
            </w:pPr>
            <w:r>
              <w:rPr>
                <w:rFonts w:ascii="Times New Roman" w:eastAsia="DengXian" w:hAnsi="Times New Roman" w:cs="Times New Roman"/>
                <w:i/>
                <w:iCs/>
                <w:color w:val="000000"/>
                <w:sz w:val="21"/>
                <w:szCs w:val="21"/>
              </w:rPr>
              <w:lastRenderedPageBreak/>
              <w:t xml:space="preserve">P </w:t>
            </w:r>
            <w:r>
              <w:rPr>
                <w:rFonts w:ascii="Times New Roman" w:eastAsia="DengXian" w:hAnsi="Times New Roman" w:cs="Times New Roman"/>
                <w:color w:val="000000"/>
                <w:sz w:val="21"/>
                <w:szCs w:val="21"/>
              </w:rPr>
              <w:t>value</w:t>
            </w:r>
          </w:p>
        </w:tc>
      </w:tr>
      <w:tr w:rsidR="0061272A" w14:paraId="778CB8C5"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nil"/>
            </w:tcBorders>
            <w:noWrap/>
          </w:tcPr>
          <w:p w14:paraId="4EF39C3C" w14:textId="77777777" w:rsidR="0061272A" w:rsidRDefault="0061272A" w:rsidP="00FE4120">
            <w:pPr>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Age (mean±SD), years</w:t>
            </w:r>
          </w:p>
        </w:tc>
        <w:tc>
          <w:tcPr>
            <w:tcW w:w="1843" w:type="dxa"/>
            <w:tcBorders>
              <w:top w:val="single" w:sz="4" w:space="0" w:color="auto"/>
              <w:bottom w:val="nil"/>
            </w:tcBorders>
            <w:noWrap/>
          </w:tcPr>
          <w:p w14:paraId="72BD84C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54.56±12.80</w:t>
            </w:r>
          </w:p>
        </w:tc>
        <w:tc>
          <w:tcPr>
            <w:tcW w:w="1505" w:type="dxa"/>
            <w:tcBorders>
              <w:top w:val="single" w:sz="4" w:space="0" w:color="auto"/>
              <w:bottom w:val="nil"/>
            </w:tcBorders>
            <w:noWrap/>
          </w:tcPr>
          <w:p w14:paraId="6B9AF3F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56.55±9.96</w:t>
            </w:r>
          </w:p>
        </w:tc>
        <w:tc>
          <w:tcPr>
            <w:tcW w:w="1231" w:type="dxa"/>
            <w:tcBorders>
              <w:top w:val="single" w:sz="4" w:space="0" w:color="auto"/>
              <w:bottom w:val="nil"/>
            </w:tcBorders>
            <w:noWrap/>
          </w:tcPr>
          <w:p w14:paraId="328D734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0.367</w:t>
            </w:r>
          </w:p>
        </w:tc>
      </w:tr>
      <w:tr w:rsidR="0061272A" w14:paraId="1E29F9DB"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6C994411"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t>Gender (%)</w:t>
            </w:r>
          </w:p>
        </w:tc>
        <w:tc>
          <w:tcPr>
            <w:tcW w:w="1843" w:type="dxa"/>
            <w:noWrap/>
          </w:tcPr>
          <w:p w14:paraId="4ED52C9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noWrap/>
          </w:tcPr>
          <w:p w14:paraId="631CBD2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noWrap/>
          </w:tcPr>
          <w:p w14:paraId="609062C5"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3C75CBBA"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4B631BAD" w14:textId="77777777" w:rsidR="0061272A" w:rsidRDefault="0061272A" w:rsidP="00FE4120">
            <w:pPr>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 xml:space="preserve">  Male</w:t>
            </w:r>
          </w:p>
        </w:tc>
        <w:tc>
          <w:tcPr>
            <w:tcW w:w="1843" w:type="dxa"/>
            <w:tcBorders>
              <w:top w:val="nil"/>
              <w:bottom w:val="nil"/>
            </w:tcBorders>
            <w:noWrap/>
          </w:tcPr>
          <w:p w14:paraId="3429A2E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48 (87.3)</w:t>
            </w:r>
          </w:p>
        </w:tc>
        <w:tc>
          <w:tcPr>
            <w:tcW w:w="1505" w:type="dxa"/>
            <w:tcBorders>
              <w:top w:val="nil"/>
              <w:bottom w:val="nil"/>
            </w:tcBorders>
            <w:noWrap/>
          </w:tcPr>
          <w:p w14:paraId="3C5A3BD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48 (87.3)</w:t>
            </w:r>
          </w:p>
        </w:tc>
        <w:tc>
          <w:tcPr>
            <w:tcW w:w="1231" w:type="dxa"/>
            <w:tcBorders>
              <w:top w:val="nil"/>
              <w:bottom w:val="nil"/>
            </w:tcBorders>
            <w:noWrap/>
          </w:tcPr>
          <w:p w14:paraId="6CB6D0D1"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w:t>
            </w:r>
          </w:p>
        </w:tc>
      </w:tr>
      <w:tr w:rsidR="0061272A" w14:paraId="6C8C6487"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0E156455" w14:textId="77777777" w:rsidR="0061272A" w:rsidRDefault="0061272A" w:rsidP="00FE4120">
            <w:pPr>
              <w:rPr>
                <w:rFonts w:ascii="Times New Roman" w:eastAsia="Times New Roman" w:hAnsi="Times New Roman" w:cs="Times New Roman"/>
                <w:sz w:val="21"/>
                <w:szCs w:val="21"/>
              </w:rPr>
            </w:pPr>
            <w:r>
              <w:rPr>
                <w:rFonts w:ascii="Times New Roman" w:eastAsia="Times New Roman" w:hAnsi="Times New Roman" w:cs="Times New Roman"/>
                <w:b w:val="0"/>
                <w:bCs w:val="0"/>
                <w:sz w:val="21"/>
                <w:szCs w:val="21"/>
              </w:rPr>
              <w:t xml:space="preserve">  Female</w:t>
            </w:r>
          </w:p>
        </w:tc>
        <w:tc>
          <w:tcPr>
            <w:tcW w:w="1843" w:type="dxa"/>
            <w:noWrap/>
          </w:tcPr>
          <w:p w14:paraId="65B6C87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7 (12.7)</w:t>
            </w:r>
          </w:p>
        </w:tc>
        <w:tc>
          <w:tcPr>
            <w:tcW w:w="1505" w:type="dxa"/>
            <w:noWrap/>
          </w:tcPr>
          <w:p w14:paraId="3035C19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7 (12.7)</w:t>
            </w:r>
          </w:p>
        </w:tc>
        <w:tc>
          <w:tcPr>
            <w:tcW w:w="1231" w:type="dxa"/>
            <w:noWrap/>
          </w:tcPr>
          <w:p w14:paraId="1951A75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26DA08F1"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60F97F49"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t>Number of T</w:t>
            </w:r>
            <w:r>
              <w:rPr>
                <w:rFonts w:ascii="Times New Roman" w:eastAsia="DengXian" w:hAnsi="Times New Roman" w:cs="Times New Roman" w:hint="eastAsia"/>
                <w:color w:val="000000"/>
                <w:sz w:val="21"/>
                <w:szCs w:val="21"/>
              </w:rPr>
              <w:t>umors</w:t>
            </w:r>
            <w:r>
              <w:rPr>
                <w:rFonts w:ascii="Times New Roman" w:eastAsia="DengXian" w:hAnsi="Times New Roman" w:cs="Times New Roman"/>
                <w:color w:val="000000"/>
                <w:sz w:val="21"/>
                <w:szCs w:val="21"/>
              </w:rPr>
              <w:t xml:space="preserve"> </w:t>
            </w:r>
            <w:r>
              <w:rPr>
                <w:rFonts w:ascii="Times New Roman" w:eastAsia="DengXian" w:hAnsi="Times New Roman" w:cs="Times New Roman" w:hint="eastAsia"/>
                <w:color w:val="000000"/>
                <w:sz w:val="21"/>
                <w:szCs w:val="21"/>
              </w:rPr>
              <w:t>(</w:t>
            </w:r>
            <w:r>
              <w:rPr>
                <w:rFonts w:ascii="Times New Roman" w:eastAsia="DengXian" w:hAnsi="Times New Roman" w:cs="Times New Roman"/>
                <w:color w:val="000000"/>
                <w:sz w:val="21"/>
                <w:szCs w:val="21"/>
              </w:rPr>
              <w:t>%)</w:t>
            </w:r>
          </w:p>
        </w:tc>
        <w:tc>
          <w:tcPr>
            <w:tcW w:w="1843" w:type="dxa"/>
            <w:tcBorders>
              <w:top w:val="nil"/>
              <w:bottom w:val="nil"/>
            </w:tcBorders>
            <w:noWrap/>
          </w:tcPr>
          <w:p w14:paraId="5E94F141"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tcBorders>
              <w:top w:val="nil"/>
              <w:bottom w:val="nil"/>
            </w:tcBorders>
            <w:noWrap/>
          </w:tcPr>
          <w:p w14:paraId="12F82D5F"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tcBorders>
              <w:top w:val="nil"/>
              <w:bottom w:val="nil"/>
            </w:tcBorders>
            <w:noWrap/>
          </w:tcPr>
          <w:p w14:paraId="55F1586C"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2DD458C6"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1595D9FF" w14:textId="77777777" w:rsidR="0061272A" w:rsidRDefault="0061272A" w:rsidP="00FE4120">
            <w:pPr>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 xml:space="preserve">  S</w:t>
            </w:r>
            <w:r>
              <w:rPr>
                <w:rFonts w:ascii="Times New Roman" w:eastAsia="DengXian" w:hAnsi="Times New Roman" w:cs="Times New Roman" w:hint="eastAsia"/>
                <w:b w:val="0"/>
                <w:bCs w:val="0"/>
                <w:color w:val="000000"/>
                <w:sz w:val="21"/>
                <w:szCs w:val="21"/>
              </w:rPr>
              <w:t>olita</w:t>
            </w:r>
            <w:r>
              <w:rPr>
                <w:rFonts w:ascii="Times New Roman" w:eastAsia="DengXian" w:hAnsi="Times New Roman" w:cs="Times New Roman"/>
                <w:b w:val="0"/>
                <w:bCs w:val="0"/>
                <w:color w:val="000000"/>
                <w:sz w:val="21"/>
                <w:szCs w:val="21"/>
              </w:rPr>
              <w:t>ry</w:t>
            </w:r>
          </w:p>
        </w:tc>
        <w:tc>
          <w:tcPr>
            <w:tcW w:w="1843" w:type="dxa"/>
            <w:noWrap/>
          </w:tcPr>
          <w:p w14:paraId="30D8DA5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48 (87.3)</w:t>
            </w:r>
          </w:p>
        </w:tc>
        <w:tc>
          <w:tcPr>
            <w:tcW w:w="1505" w:type="dxa"/>
            <w:noWrap/>
          </w:tcPr>
          <w:p w14:paraId="0A3BFE4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38 (69.1)</w:t>
            </w:r>
          </w:p>
        </w:tc>
        <w:tc>
          <w:tcPr>
            <w:tcW w:w="1231" w:type="dxa"/>
            <w:noWrap/>
          </w:tcPr>
          <w:p w14:paraId="3A9629F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0.038</w:t>
            </w:r>
          </w:p>
        </w:tc>
      </w:tr>
      <w:tr w:rsidR="0061272A" w14:paraId="076A465A"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465E6352" w14:textId="77777777" w:rsidR="0061272A" w:rsidRDefault="0061272A" w:rsidP="00FE4120">
            <w:pPr>
              <w:rPr>
                <w:rFonts w:ascii="Times New Roman" w:eastAsia="Times New Roman" w:hAnsi="Times New Roman" w:cs="Times New Roman"/>
                <w:sz w:val="21"/>
                <w:szCs w:val="21"/>
              </w:rPr>
            </w:pPr>
            <w:r>
              <w:rPr>
                <w:rFonts w:ascii="Times New Roman" w:eastAsia="Times New Roman" w:hAnsi="Times New Roman" w:cs="Times New Roman"/>
                <w:b w:val="0"/>
                <w:bCs w:val="0"/>
                <w:sz w:val="21"/>
                <w:szCs w:val="21"/>
              </w:rPr>
              <w:t xml:space="preserve">  Multiple</w:t>
            </w:r>
          </w:p>
        </w:tc>
        <w:tc>
          <w:tcPr>
            <w:tcW w:w="1843" w:type="dxa"/>
            <w:tcBorders>
              <w:top w:val="nil"/>
              <w:bottom w:val="nil"/>
            </w:tcBorders>
            <w:noWrap/>
          </w:tcPr>
          <w:p w14:paraId="2E150DE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7 (12.7)</w:t>
            </w:r>
          </w:p>
        </w:tc>
        <w:tc>
          <w:tcPr>
            <w:tcW w:w="1505" w:type="dxa"/>
            <w:tcBorders>
              <w:top w:val="nil"/>
              <w:bottom w:val="nil"/>
            </w:tcBorders>
            <w:noWrap/>
          </w:tcPr>
          <w:p w14:paraId="78C2BA2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17 (30.9)</w:t>
            </w:r>
          </w:p>
        </w:tc>
        <w:tc>
          <w:tcPr>
            <w:tcW w:w="1231" w:type="dxa"/>
            <w:tcBorders>
              <w:top w:val="nil"/>
              <w:bottom w:val="nil"/>
            </w:tcBorders>
            <w:noWrap/>
          </w:tcPr>
          <w:p w14:paraId="616C00DF"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137704F5"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1319AE49"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t>Diameter (%)</w:t>
            </w:r>
          </w:p>
        </w:tc>
        <w:tc>
          <w:tcPr>
            <w:tcW w:w="1843" w:type="dxa"/>
            <w:noWrap/>
          </w:tcPr>
          <w:p w14:paraId="5B3FD3D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noWrap/>
          </w:tcPr>
          <w:p w14:paraId="3AAF27E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noWrap/>
          </w:tcPr>
          <w:p w14:paraId="6C9B0E0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1B4BF8FC"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5805E4C6" w14:textId="77777777" w:rsidR="0061272A" w:rsidRDefault="0061272A" w:rsidP="00FE4120">
            <w:pPr>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 xml:space="preserve">  </w:t>
            </w:r>
            <w:r>
              <w:rPr>
                <w:rFonts w:ascii="Times New Roman" w:eastAsia="DengXian" w:hAnsi="Times New Roman" w:cs="Times New Roman"/>
                <w:b w:val="0"/>
                <w:bCs w:val="0"/>
                <w:color w:val="000000"/>
                <w:sz w:val="21"/>
                <w:szCs w:val="21"/>
              </w:rPr>
              <w:t>＜</w:t>
            </w:r>
            <w:r>
              <w:rPr>
                <w:rFonts w:ascii="Times New Roman" w:eastAsia="DengXian" w:hAnsi="Times New Roman" w:cs="Times New Roman"/>
                <w:b w:val="0"/>
                <w:bCs w:val="0"/>
                <w:color w:val="000000"/>
                <w:sz w:val="21"/>
                <w:szCs w:val="21"/>
              </w:rPr>
              <w:t>5cm</w:t>
            </w:r>
          </w:p>
        </w:tc>
        <w:tc>
          <w:tcPr>
            <w:tcW w:w="1843" w:type="dxa"/>
            <w:tcBorders>
              <w:top w:val="nil"/>
              <w:bottom w:val="nil"/>
            </w:tcBorders>
            <w:noWrap/>
          </w:tcPr>
          <w:p w14:paraId="75265B7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12 (21.8)</w:t>
            </w:r>
          </w:p>
        </w:tc>
        <w:tc>
          <w:tcPr>
            <w:tcW w:w="1505" w:type="dxa"/>
            <w:tcBorders>
              <w:top w:val="nil"/>
              <w:bottom w:val="nil"/>
            </w:tcBorders>
            <w:noWrap/>
          </w:tcPr>
          <w:p w14:paraId="5B90C94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28 (50.9)</w:t>
            </w:r>
          </w:p>
        </w:tc>
        <w:tc>
          <w:tcPr>
            <w:tcW w:w="1231" w:type="dxa"/>
            <w:tcBorders>
              <w:top w:val="nil"/>
              <w:bottom w:val="nil"/>
            </w:tcBorders>
            <w:noWrap/>
          </w:tcPr>
          <w:p w14:paraId="5C85FD1C"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&lt;0.001</w:t>
            </w:r>
          </w:p>
        </w:tc>
      </w:tr>
      <w:tr w:rsidR="0061272A" w14:paraId="32D1D6D3"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4C9B9EE8" w14:textId="77777777" w:rsidR="0061272A" w:rsidRDefault="0061272A" w:rsidP="00FE4120">
            <w:pPr>
              <w:rPr>
                <w:rFonts w:ascii="Times New Roman" w:hAnsi="Times New Roman" w:cs="Times New Roman"/>
                <w:sz w:val="21"/>
                <w:szCs w:val="21"/>
              </w:rPr>
            </w:pPr>
            <w:r>
              <w:rPr>
                <w:rFonts w:ascii="Times New Roman" w:eastAsia="Times New Roman" w:hAnsi="Times New Roman" w:cs="Times New Roman"/>
                <w:b w:val="0"/>
                <w:bCs w:val="0"/>
                <w:sz w:val="21"/>
                <w:szCs w:val="21"/>
              </w:rPr>
              <w:t xml:space="preserve">  </w:t>
            </w:r>
            <w:r>
              <w:rPr>
                <w:rFonts w:ascii="Times New Roman" w:eastAsia="DengXian" w:hAnsi="Times New Roman" w:cs="Times New Roman" w:hint="eastAsia"/>
                <w:b w:val="0"/>
                <w:bCs w:val="0"/>
                <w:color w:val="000000"/>
              </w:rPr>
              <w:t>≥</w:t>
            </w:r>
            <w:r>
              <w:rPr>
                <w:rFonts w:ascii="Times New Roman" w:eastAsia="DengXian" w:hAnsi="Times New Roman" w:cs="Times New Roman"/>
                <w:b w:val="0"/>
                <w:bCs w:val="0"/>
                <w:color w:val="000000"/>
              </w:rPr>
              <w:t>5cm,</w:t>
            </w:r>
            <w:r>
              <w:rPr>
                <w:rFonts w:ascii="Times New Roman" w:eastAsia="DengXian" w:hAnsi="Times New Roman" w:cs="Times New Roman" w:hint="eastAsia"/>
                <w:b w:val="0"/>
                <w:bCs w:val="0"/>
                <w:color w:val="000000"/>
              </w:rPr>
              <w:t>≤</w:t>
            </w:r>
            <w:r>
              <w:rPr>
                <w:rFonts w:ascii="Times New Roman" w:eastAsia="DengXian" w:hAnsi="Times New Roman" w:cs="Times New Roman"/>
                <w:b w:val="0"/>
                <w:bCs w:val="0"/>
                <w:color w:val="000000"/>
              </w:rPr>
              <w:t>10cm</w:t>
            </w:r>
          </w:p>
        </w:tc>
        <w:tc>
          <w:tcPr>
            <w:tcW w:w="1843" w:type="dxa"/>
            <w:noWrap/>
          </w:tcPr>
          <w:p w14:paraId="092C0F7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34 (61.8)</w:t>
            </w:r>
          </w:p>
        </w:tc>
        <w:tc>
          <w:tcPr>
            <w:tcW w:w="1505" w:type="dxa"/>
            <w:noWrap/>
          </w:tcPr>
          <w:p w14:paraId="7A58F767"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 (0.0)</w:t>
            </w:r>
          </w:p>
        </w:tc>
        <w:tc>
          <w:tcPr>
            <w:tcW w:w="1231" w:type="dxa"/>
            <w:noWrap/>
          </w:tcPr>
          <w:p w14:paraId="421821B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64C60F64"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372B2DBA" w14:textId="77777777" w:rsidR="0061272A" w:rsidRDefault="0061272A" w:rsidP="00FE4120">
            <w:pPr>
              <w:rPr>
                <w:rFonts w:ascii="Times New Roman" w:eastAsia="Times New Roman" w:hAnsi="Times New Roman" w:cs="Times New Roman"/>
                <w:sz w:val="21"/>
                <w:szCs w:val="21"/>
              </w:rPr>
            </w:pPr>
            <w:r>
              <w:rPr>
                <w:rFonts w:ascii="Times New Roman" w:eastAsia="Times New Roman" w:hAnsi="Times New Roman" w:cs="Times New Roman"/>
                <w:b w:val="0"/>
                <w:bCs w:val="0"/>
                <w:sz w:val="21"/>
                <w:szCs w:val="21"/>
              </w:rPr>
              <w:t xml:space="preserve">  </w:t>
            </w:r>
            <w:r>
              <w:rPr>
                <w:rFonts w:ascii="Times New Roman" w:hAnsi="Times New Roman" w:cs="Times New Roman"/>
                <w:b w:val="0"/>
                <w:bCs w:val="0"/>
                <w:sz w:val="21"/>
                <w:szCs w:val="21"/>
              </w:rPr>
              <w:t>＞</w:t>
            </w:r>
            <w:r>
              <w:rPr>
                <w:rFonts w:ascii="Times New Roman" w:hAnsi="Times New Roman" w:cs="Times New Roman"/>
                <w:b w:val="0"/>
                <w:bCs w:val="0"/>
                <w:sz w:val="21"/>
                <w:szCs w:val="21"/>
              </w:rPr>
              <w:t>10cm</w:t>
            </w:r>
          </w:p>
        </w:tc>
        <w:tc>
          <w:tcPr>
            <w:tcW w:w="1843" w:type="dxa"/>
            <w:tcBorders>
              <w:top w:val="nil"/>
              <w:bottom w:val="nil"/>
            </w:tcBorders>
            <w:noWrap/>
          </w:tcPr>
          <w:p w14:paraId="0E86009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9 (16.4)</w:t>
            </w:r>
          </w:p>
        </w:tc>
        <w:tc>
          <w:tcPr>
            <w:tcW w:w="1505" w:type="dxa"/>
            <w:tcBorders>
              <w:top w:val="nil"/>
              <w:bottom w:val="nil"/>
            </w:tcBorders>
            <w:noWrap/>
          </w:tcPr>
          <w:p w14:paraId="45D0F69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27 (49.1)</w:t>
            </w:r>
          </w:p>
        </w:tc>
        <w:tc>
          <w:tcPr>
            <w:tcW w:w="1231" w:type="dxa"/>
            <w:tcBorders>
              <w:top w:val="nil"/>
              <w:bottom w:val="nil"/>
            </w:tcBorders>
            <w:noWrap/>
          </w:tcPr>
          <w:p w14:paraId="7C911456"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3449FB51"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1D495BC0" w14:textId="77777777" w:rsidR="0061272A" w:rsidRDefault="0061272A" w:rsidP="00FE4120">
            <w:pPr>
              <w:rPr>
                <w:rFonts w:ascii="Times New Roman" w:eastAsia="DengXian" w:hAnsi="Times New Roman" w:cs="Times New Roman"/>
                <w:b w:val="0"/>
                <w:bCs w:val="0"/>
                <w:color w:val="000000"/>
                <w:sz w:val="21"/>
                <w:szCs w:val="21"/>
                <w:vertAlign w:val="superscript"/>
              </w:rPr>
            </w:pPr>
            <w:r>
              <w:rPr>
                <w:rFonts w:ascii="Times New Roman" w:eastAsia="DengXian" w:hAnsi="Times New Roman" w:cs="Times New Roman"/>
                <w:color w:val="000000"/>
                <w:sz w:val="21"/>
                <w:szCs w:val="21"/>
              </w:rPr>
              <w:t>Portal Vein Invasion (%)</w:t>
            </w:r>
          </w:p>
        </w:tc>
        <w:tc>
          <w:tcPr>
            <w:tcW w:w="1843" w:type="dxa"/>
            <w:noWrap/>
          </w:tcPr>
          <w:p w14:paraId="2251A83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noWrap/>
          </w:tcPr>
          <w:p w14:paraId="31AF5385"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noWrap/>
          </w:tcPr>
          <w:p w14:paraId="2E23F3B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535FAC93"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153B169D" w14:textId="77777777" w:rsidR="0061272A" w:rsidRDefault="0061272A" w:rsidP="00FE4120">
            <w:pPr>
              <w:ind w:firstLineChars="100" w:firstLine="210"/>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Absent</w:t>
            </w:r>
          </w:p>
        </w:tc>
        <w:tc>
          <w:tcPr>
            <w:tcW w:w="1843" w:type="dxa"/>
            <w:tcBorders>
              <w:top w:val="nil"/>
              <w:bottom w:val="nil"/>
            </w:tcBorders>
            <w:noWrap/>
          </w:tcPr>
          <w:p w14:paraId="16DF43C1"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44 (80.0)</w:t>
            </w:r>
          </w:p>
        </w:tc>
        <w:tc>
          <w:tcPr>
            <w:tcW w:w="1505" w:type="dxa"/>
            <w:tcBorders>
              <w:top w:val="nil"/>
              <w:bottom w:val="nil"/>
            </w:tcBorders>
            <w:noWrap/>
          </w:tcPr>
          <w:p w14:paraId="0E36F7D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13 (23.6)</w:t>
            </w:r>
          </w:p>
        </w:tc>
        <w:tc>
          <w:tcPr>
            <w:tcW w:w="1231" w:type="dxa"/>
            <w:tcBorders>
              <w:top w:val="nil"/>
              <w:bottom w:val="nil"/>
            </w:tcBorders>
            <w:noWrap/>
          </w:tcPr>
          <w:p w14:paraId="6DCFAE5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&lt;0.001</w:t>
            </w:r>
          </w:p>
        </w:tc>
      </w:tr>
      <w:tr w:rsidR="0061272A" w14:paraId="7E572B39"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186C5826"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DengXian" w:hAnsi="Times New Roman" w:cs="Times New Roman"/>
                <w:b w:val="0"/>
                <w:bCs w:val="0"/>
                <w:color w:val="000000"/>
                <w:sz w:val="21"/>
                <w:szCs w:val="21"/>
              </w:rPr>
              <w:t>Present</w:t>
            </w:r>
          </w:p>
        </w:tc>
        <w:tc>
          <w:tcPr>
            <w:tcW w:w="1843" w:type="dxa"/>
            <w:noWrap/>
          </w:tcPr>
          <w:p w14:paraId="0F7E6DF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11 (20.0)</w:t>
            </w:r>
          </w:p>
        </w:tc>
        <w:tc>
          <w:tcPr>
            <w:tcW w:w="1505" w:type="dxa"/>
            <w:noWrap/>
          </w:tcPr>
          <w:p w14:paraId="004E67F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42 (76.4)</w:t>
            </w:r>
          </w:p>
        </w:tc>
        <w:tc>
          <w:tcPr>
            <w:tcW w:w="1231" w:type="dxa"/>
            <w:noWrap/>
          </w:tcPr>
          <w:p w14:paraId="5AF83006"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17ACECC4"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71221826" w14:textId="77777777" w:rsidR="0061272A" w:rsidRDefault="0061272A" w:rsidP="00FE4120">
            <w:pPr>
              <w:rPr>
                <w:rFonts w:ascii="Times New Roman" w:eastAsia="DengXian" w:hAnsi="Times New Roman" w:cs="Times New Roman"/>
                <w:b w:val="0"/>
                <w:bCs w:val="0"/>
                <w:color w:val="000000"/>
                <w:sz w:val="21"/>
                <w:szCs w:val="21"/>
                <w:vertAlign w:val="superscript"/>
              </w:rPr>
            </w:pPr>
            <w:r>
              <w:rPr>
                <w:rFonts w:ascii="Times New Roman" w:eastAsia="DengXian" w:hAnsi="Times New Roman" w:cs="Times New Roman"/>
                <w:color w:val="000000"/>
                <w:sz w:val="21"/>
                <w:szCs w:val="21"/>
              </w:rPr>
              <w:t>Grade (%)</w:t>
            </w:r>
          </w:p>
        </w:tc>
        <w:tc>
          <w:tcPr>
            <w:tcW w:w="1843" w:type="dxa"/>
            <w:tcBorders>
              <w:top w:val="nil"/>
              <w:bottom w:val="nil"/>
            </w:tcBorders>
            <w:noWrap/>
          </w:tcPr>
          <w:p w14:paraId="4405601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tcBorders>
              <w:top w:val="nil"/>
              <w:bottom w:val="nil"/>
            </w:tcBorders>
            <w:noWrap/>
          </w:tcPr>
          <w:p w14:paraId="1D45318C"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tcBorders>
              <w:top w:val="nil"/>
              <w:bottom w:val="nil"/>
            </w:tcBorders>
            <w:noWrap/>
          </w:tcPr>
          <w:p w14:paraId="028A88C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0F437D8B"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6003EBD4" w14:textId="77777777" w:rsidR="0061272A" w:rsidRDefault="0061272A" w:rsidP="00FE4120">
            <w:pPr>
              <w:ind w:firstLineChars="100" w:firstLine="210"/>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I</w:t>
            </w:r>
          </w:p>
        </w:tc>
        <w:tc>
          <w:tcPr>
            <w:tcW w:w="1843" w:type="dxa"/>
            <w:noWrap/>
          </w:tcPr>
          <w:p w14:paraId="117AFF95"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37 (67.3)</w:t>
            </w:r>
          </w:p>
        </w:tc>
        <w:tc>
          <w:tcPr>
            <w:tcW w:w="1505" w:type="dxa"/>
            <w:noWrap/>
          </w:tcPr>
          <w:p w14:paraId="36ABA94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28 (50.9)</w:t>
            </w:r>
          </w:p>
        </w:tc>
        <w:tc>
          <w:tcPr>
            <w:tcW w:w="1231" w:type="dxa"/>
            <w:noWrap/>
          </w:tcPr>
          <w:p w14:paraId="7289104E"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0.001</w:t>
            </w:r>
          </w:p>
        </w:tc>
      </w:tr>
      <w:tr w:rsidR="0061272A" w14:paraId="2FB1AFE0"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2B34050E"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DengXian" w:hAnsi="Times New Roman" w:cs="Times New Roman"/>
                <w:b w:val="0"/>
                <w:bCs w:val="0"/>
                <w:color w:val="000000"/>
                <w:sz w:val="21"/>
                <w:szCs w:val="21"/>
              </w:rPr>
              <w:t>II</w:t>
            </w:r>
          </w:p>
        </w:tc>
        <w:tc>
          <w:tcPr>
            <w:tcW w:w="1843" w:type="dxa"/>
            <w:tcBorders>
              <w:top w:val="nil"/>
              <w:bottom w:val="nil"/>
            </w:tcBorders>
            <w:noWrap/>
          </w:tcPr>
          <w:p w14:paraId="05B2AF7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13 (23.6)</w:t>
            </w:r>
          </w:p>
        </w:tc>
        <w:tc>
          <w:tcPr>
            <w:tcW w:w="1505" w:type="dxa"/>
            <w:tcBorders>
              <w:top w:val="nil"/>
              <w:bottom w:val="nil"/>
            </w:tcBorders>
            <w:noWrap/>
          </w:tcPr>
          <w:p w14:paraId="33027014"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6 (10.9)</w:t>
            </w:r>
          </w:p>
        </w:tc>
        <w:tc>
          <w:tcPr>
            <w:tcW w:w="1231" w:type="dxa"/>
            <w:tcBorders>
              <w:top w:val="nil"/>
              <w:bottom w:val="nil"/>
            </w:tcBorders>
            <w:noWrap/>
          </w:tcPr>
          <w:p w14:paraId="7F926EC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34BCBD0A"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4EB4F286"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Times New Roman" w:hAnsi="Times New Roman" w:cs="Times New Roman" w:hint="eastAsia"/>
                <w:b w:val="0"/>
                <w:bCs w:val="0"/>
                <w:sz w:val="21"/>
                <w:szCs w:val="21"/>
              </w:rPr>
              <w:t>I</w:t>
            </w:r>
            <w:r>
              <w:rPr>
                <w:rFonts w:ascii="Times New Roman" w:eastAsia="Times New Roman" w:hAnsi="Times New Roman" w:cs="Times New Roman"/>
                <w:b w:val="0"/>
                <w:bCs w:val="0"/>
                <w:sz w:val="21"/>
                <w:szCs w:val="21"/>
              </w:rPr>
              <w:t>II</w:t>
            </w:r>
          </w:p>
        </w:tc>
        <w:tc>
          <w:tcPr>
            <w:tcW w:w="1843" w:type="dxa"/>
            <w:noWrap/>
          </w:tcPr>
          <w:p w14:paraId="0EC8E9D5"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 (7.3)</w:t>
            </w:r>
          </w:p>
        </w:tc>
        <w:tc>
          <w:tcPr>
            <w:tcW w:w="1505" w:type="dxa"/>
            <w:noWrap/>
          </w:tcPr>
          <w:p w14:paraId="4CBF3A1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21 (38.2)</w:t>
            </w:r>
          </w:p>
        </w:tc>
        <w:tc>
          <w:tcPr>
            <w:tcW w:w="1231" w:type="dxa"/>
            <w:noWrap/>
          </w:tcPr>
          <w:p w14:paraId="5F254B0B"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0E1B835F"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47ACEC85"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Times New Roman" w:hAnsi="Times New Roman" w:cs="Times New Roman" w:hint="eastAsia"/>
                <w:b w:val="0"/>
                <w:bCs w:val="0"/>
                <w:sz w:val="21"/>
                <w:szCs w:val="21"/>
              </w:rPr>
              <w:t>I</w:t>
            </w:r>
            <w:r>
              <w:rPr>
                <w:rFonts w:ascii="Times New Roman" w:eastAsia="Times New Roman" w:hAnsi="Times New Roman" w:cs="Times New Roman"/>
                <w:b w:val="0"/>
                <w:bCs w:val="0"/>
                <w:sz w:val="21"/>
                <w:szCs w:val="21"/>
              </w:rPr>
              <w:t>V</w:t>
            </w:r>
          </w:p>
        </w:tc>
        <w:tc>
          <w:tcPr>
            <w:tcW w:w="1843" w:type="dxa"/>
            <w:tcBorders>
              <w:top w:val="nil"/>
              <w:bottom w:val="nil"/>
            </w:tcBorders>
            <w:noWrap/>
          </w:tcPr>
          <w:p w14:paraId="4FFA7385"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1 (1.8)</w:t>
            </w:r>
          </w:p>
        </w:tc>
        <w:tc>
          <w:tcPr>
            <w:tcW w:w="1505" w:type="dxa"/>
            <w:tcBorders>
              <w:top w:val="nil"/>
              <w:bottom w:val="nil"/>
            </w:tcBorders>
            <w:noWrap/>
          </w:tcPr>
          <w:p w14:paraId="562EA0E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 (0.0)</w:t>
            </w:r>
          </w:p>
        </w:tc>
        <w:tc>
          <w:tcPr>
            <w:tcW w:w="1231" w:type="dxa"/>
            <w:tcBorders>
              <w:top w:val="nil"/>
              <w:bottom w:val="nil"/>
            </w:tcBorders>
            <w:noWrap/>
          </w:tcPr>
          <w:p w14:paraId="55E0048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43725A76"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508B8770"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t>HBV status (%)</w:t>
            </w:r>
          </w:p>
        </w:tc>
        <w:tc>
          <w:tcPr>
            <w:tcW w:w="1843" w:type="dxa"/>
            <w:noWrap/>
          </w:tcPr>
          <w:p w14:paraId="13D7A8CF"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noWrap/>
          </w:tcPr>
          <w:p w14:paraId="5373CDDD"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noWrap/>
          </w:tcPr>
          <w:p w14:paraId="1CAD67C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112B4111"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15054AAB" w14:textId="77777777" w:rsidR="0061272A" w:rsidRDefault="0061272A" w:rsidP="00FE4120">
            <w:pPr>
              <w:ind w:firstLineChars="100" w:firstLine="210"/>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Negative</w:t>
            </w:r>
          </w:p>
        </w:tc>
        <w:tc>
          <w:tcPr>
            <w:tcW w:w="1843" w:type="dxa"/>
            <w:tcBorders>
              <w:top w:val="nil"/>
              <w:bottom w:val="nil"/>
            </w:tcBorders>
            <w:noWrap/>
          </w:tcPr>
          <w:p w14:paraId="070E47E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7 (12.7)</w:t>
            </w:r>
          </w:p>
        </w:tc>
        <w:tc>
          <w:tcPr>
            <w:tcW w:w="1505" w:type="dxa"/>
            <w:tcBorders>
              <w:top w:val="nil"/>
              <w:bottom w:val="nil"/>
            </w:tcBorders>
            <w:noWrap/>
          </w:tcPr>
          <w:p w14:paraId="49E860B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9 (16.4)</w:t>
            </w:r>
          </w:p>
        </w:tc>
        <w:tc>
          <w:tcPr>
            <w:tcW w:w="1231" w:type="dxa"/>
            <w:tcBorders>
              <w:top w:val="nil"/>
              <w:bottom w:val="nil"/>
            </w:tcBorders>
            <w:noWrap/>
          </w:tcPr>
          <w:p w14:paraId="72D2845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0.787</w:t>
            </w:r>
          </w:p>
        </w:tc>
      </w:tr>
      <w:tr w:rsidR="0061272A" w14:paraId="3CEF9851"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436BE5A5"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DengXian" w:hAnsi="Times New Roman" w:cs="Times New Roman"/>
                <w:b w:val="0"/>
                <w:bCs w:val="0"/>
                <w:color w:val="000000"/>
                <w:sz w:val="21"/>
                <w:szCs w:val="21"/>
              </w:rPr>
              <w:t>Positive</w:t>
            </w:r>
          </w:p>
        </w:tc>
        <w:tc>
          <w:tcPr>
            <w:tcW w:w="1843" w:type="dxa"/>
            <w:noWrap/>
          </w:tcPr>
          <w:p w14:paraId="1D55B4D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48 (87.3)</w:t>
            </w:r>
          </w:p>
        </w:tc>
        <w:tc>
          <w:tcPr>
            <w:tcW w:w="1505" w:type="dxa"/>
            <w:noWrap/>
          </w:tcPr>
          <w:p w14:paraId="7C06B9DF"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46 (83.6)</w:t>
            </w:r>
          </w:p>
        </w:tc>
        <w:tc>
          <w:tcPr>
            <w:tcW w:w="1231" w:type="dxa"/>
            <w:noWrap/>
          </w:tcPr>
          <w:p w14:paraId="29159B32"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1B411358"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4EB33C62"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color w:val="000000"/>
                <w:sz w:val="21"/>
                <w:szCs w:val="21"/>
              </w:rPr>
              <w:t>HBV-DNA status (%)</w:t>
            </w:r>
          </w:p>
        </w:tc>
        <w:tc>
          <w:tcPr>
            <w:tcW w:w="1843" w:type="dxa"/>
            <w:tcBorders>
              <w:top w:val="nil"/>
              <w:bottom w:val="nil"/>
            </w:tcBorders>
            <w:noWrap/>
          </w:tcPr>
          <w:p w14:paraId="4D205717"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505" w:type="dxa"/>
            <w:tcBorders>
              <w:top w:val="nil"/>
              <w:bottom w:val="nil"/>
            </w:tcBorders>
            <w:noWrap/>
          </w:tcPr>
          <w:p w14:paraId="6CB9DEE0"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c>
          <w:tcPr>
            <w:tcW w:w="1231" w:type="dxa"/>
            <w:tcBorders>
              <w:top w:val="nil"/>
              <w:bottom w:val="nil"/>
            </w:tcBorders>
            <w:noWrap/>
          </w:tcPr>
          <w:p w14:paraId="31A82931"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7B22DAF3"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2A8FE8F1" w14:textId="77777777" w:rsidR="0061272A" w:rsidRDefault="0061272A" w:rsidP="00FE4120">
            <w:pPr>
              <w:ind w:firstLineChars="100" w:firstLine="210"/>
              <w:rPr>
                <w:rFonts w:ascii="Times New Roman" w:eastAsia="DengXian" w:hAnsi="Times New Roman" w:cs="Times New Roman"/>
                <w:color w:val="000000"/>
                <w:sz w:val="21"/>
                <w:szCs w:val="21"/>
              </w:rPr>
            </w:pPr>
            <w:r>
              <w:rPr>
                <w:rFonts w:ascii="Times New Roman" w:eastAsia="DengXian" w:hAnsi="Times New Roman" w:cs="Times New Roman"/>
                <w:b w:val="0"/>
                <w:bCs w:val="0"/>
                <w:color w:val="000000"/>
                <w:sz w:val="21"/>
                <w:szCs w:val="21"/>
              </w:rPr>
              <w:t>Negative</w:t>
            </w:r>
          </w:p>
        </w:tc>
        <w:tc>
          <w:tcPr>
            <w:tcW w:w="1843" w:type="dxa"/>
            <w:noWrap/>
          </w:tcPr>
          <w:p w14:paraId="6DE8347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32 (58.2)</w:t>
            </w:r>
          </w:p>
        </w:tc>
        <w:tc>
          <w:tcPr>
            <w:tcW w:w="1505" w:type="dxa"/>
            <w:noWrap/>
          </w:tcPr>
          <w:p w14:paraId="003103E3"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23 (41.8)</w:t>
            </w:r>
          </w:p>
        </w:tc>
        <w:tc>
          <w:tcPr>
            <w:tcW w:w="1231" w:type="dxa"/>
            <w:noWrap/>
          </w:tcPr>
          <w:p w14:paraId="736EC25A"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0.127</w:t>
            </w:r>
          </w:p>
        </w:tc>
      </w:tr>
      <w:tr w:rsidR="0061272A" w14:paraId="42C0432E"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tcBorders>
            <w:noWrap/>
          </w:tcPr>
          <w:p w14:paraId="033685DB" w14:textId="77777777" w:rsidR="0061272A" w:rsidRDefault="0061272A" w:rsidP="00FE4120">
            <w:pPr>
              <w:ind w:firstLineChars="100" w:firstLine="210"/>
              <w:rPr>
                <w:rFonts w:ascii="Times New Roman" w:eastAsia="Times New Roman" w:hAnsi="Times New Roman" w:cs="Times New Roman"/>
                <w:sz w:val="21"/>
                <w:szCs w:val="21"/>
              </w:rPr>
            </w:pPr>
            <w:r>
              <w:rPr>
                <w:rFonts w:ascii="Times New Roman" w:eastAsia="DengXian" w:hAnsi="Times New Roman" w:cs="Times New Roman"/>
                <w:b w:val="0"/>
                <w:bCs w:val="0"/>
                <w:color w:val="000000"/>
                <w:sz w:val="21"/>
                <w:szCs w:val="21"/>
              </w:rPr>
              <w:t>Positive</w:t>
            </w:r>
          </w:p>
        </w:tc>
        <w:tc>
          <w:tcPr>
            <w:tcW w:w="1843" w:type="dxa"/>
            <w:tcBorders>
              <w:top w:val="nil"/>
              <w:bottom w:val="nil"/>
            </w:tcBorders>
            <w:noWrap/>
          </w:tcPr>
          <w:p w14:paraId="5DB9D37C"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23 (41.8)</w:t>
            </w:r>
          </w:p>
        </w:tc>
        <w:tc>
          <w:tcPr>
            <w:tcW w:w="1505" w:type="dxa"/>
            <w:tcBorders>
              <w:top w:val="nil"/>
              <w:bottom w:val="nil"/>
            </w:tcBorders>
            <w:noWrap/>
          </w:tcPr>
          <w:p w14:paraId="3CF32D57"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32 (58.2)</w:t>
            </w:r>
          </w:p>
        </w:tc>
        <w:tc>
          <w:tcPr>
            <w:tcW w:w="1231" w:type="dxa"/>
            <w:tcBorders>
              <w:top w:val="nil"/>
              <w:bottom w:val="nil"/>
            </w:tcBorders>
            <w:noWrap/>
          </w:tcPr>
          <w:p w14:paraId="581F45A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p>
        </w:tc>
      </w:tr>
      <w:tr w:rsidR="0061272A" w14:paraId="43AF664D" w14:textId="77777777" w:rsidTr="00FE4120">
        <w:trPr>
          <w:trHeight w:val="320"/>
        </w:trPr>
        <w:tc>
          <w:tcPr>
            <w:cnfStyle w:val="001000000000" w:firstRow="0" w:lastRow="0" w:firstColumn="1" w:lastColumn="0" w:oddVBand="0" w:evenVBand="0" w:oddHBand="0" w:evenHBand="0" w:firstRowFirstColumn="0" w:firstRowLastColumn="0" w:lastRowFirstColumn="0" w:lastRowLastColumn="0"/>
            <w:tcW w:w="2410" w:type="dxa"/>
            <w:noWrap/>
          </w:tcPr>
          <w:p w14:paraId="64DE0CEE" w14:textId="77777777" w:rsidR="0061272A" w:rsidRDefault="0061272A" w:rsidP="00FE4120">
            <w:pPr>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AFP level (IQR)</w:t>
            </w:r>
          </w:p>
          <w:p w14:paraId="35A302C5" w14:textId="77777777" w:rsidR="0061272A" w:rsidRDefault="0061272A" w:rsidP="00FE4120">
            <w:pPr>
              <w:rPr>
                <w:rFonts w:ascii="Times New Roman" w:eastAsia="DengXian" w:hAnsi="Times New Roman" w:cs="Times New Roman"/>
                <w:b w:val="0"/>
                <w:bCs w:val="0"/>
                <w:color w:val="000000"/>
                <w:sz w:val="21"/>
                <w:szCs w:val="21"/>
              </w:rPr>
            </w:pPr>
            <w:r>
              <w:rPr>
                <w:rFonts w:ascii="Times New Roman" w:eastAsia="DengXian" w:hAnsi="Times New Roman" w:cs="Times New Roman" w:hint="eastAsia"/>
                <w:color w:val="000000"/>
                <w:sz w:val="21"/>
                <w:szCs w:val="21"/>
              </w:rPr>
              <w:t>(</w:t>
            </w:r>
            <w:r>
              <w:rPr>
                <w:rFonts w:ascii="Times New Roman" w:eastAsia="DengXian" w:hAnsi="Times New Roman" w:cs="Times New Roman"/>
                <w:color w:val="000000"/>
                <w:sz w:val="21"/>
                <w:szCs w:val="21"/>
              </w:rPr>
              <w:t>ng/mL)</w:t>
            </w:r>
          </w:p>
        </w:tc>
        <w:tc>
          <w:tcPr>
            <w:tcW w:w="1843" w:type="dxa"/>
            <w:noWrap/>
          </w:tcPr>
          <w:p w14:paraId="49AE0028"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2,854.11 (11,959.81)</w:t>
            </w:r>
          </w:p>
        </w:tc>
        <w:tc>
          <w:tcPr>
            <w:tcW w:w="1505" w:type="dxa"/>
            <w:noWrap/>
          </w:tcPr>
          <w:p w14:paraId="3348C809"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85.97 (271.54)</w:t>
            </w:r>
          </w:p>
        </w:tc>
        <w:tc>
          <w:tcPr>
            <w:tcW w:w="1231" w:type="dxa"/>
            <w:noWrap/>
          </w:tcPr>
          <w:p w14:paraId="0A2EE261" w14:textId="77777777" w:rsidR="0061272A" w:rsidRDefault="0061272A" w:rsidP="00FE4120">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21"/>
                <w:szCs w:val="21"/>
              </w:rPr>
            </w:pPr>
            <w:r>
              <w:rPr>
                <w:rFonts w:ascii="Times New Roman" w:eastAsia="DengXian" w:hAnsi="Times New Roman" w:cs="Times New Roman"/>
                <w:color w:val="000000"/>
                <w:sz w:val="21"/>
                <w:szCs w:val="21"/>
              </w:rPr>
              <w:t>&lt;0.001</w:t>
            </w:r>
          </w:p>
        </w:tc>
      </w:tr>
    </w:tbl>
    <w:p w14:paraId="3AF46141" w14:textId="77777777" w:rsidR="0061272A" w:rsidRDefault="0061272A" w:rsidP="0061272A">
      <w:pPr>
        <w:pStyle w:val="NormalWeb"/>
        <w:spacing w:line="360" w:lineRule="auto"/>
        <w:rPr>
          <w:rFonts w:ascii="Times New Roman" w:hAnsi="Times New Roman" w:cs="Times New Roman"/>
        </w:rPr>
      </w:pPr>
    </w:p>
    <w:p w14:paraId="154FCB09"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5FD"/>
    <w:rsid w:val="000D65FD"/>
    <w:rsid w:val="002978F5"/>
    <w:rsid w:val="003852CF"/>
    <w:rsid w:val="004B5DDD"/>
    <w:rsid w:val="004E780C"/>
    <w:rsid w:val="0061272A"/>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FF7C5"/>
  <w15:chartTrackingRefBased/>
  <w15:docId w15:val="{56C21368-AB9A-4241-8A55-DD5D95101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5FD"/>
    <w:pPr>
      <w:spacing w:after="0" w:line="240" w:lineRule="auto"/>
    </w:pPr>
    <w:rPr>
      <w:rFonts w:ascii="SimSun" w:eastAsia="SimSun" w:hAnsi="SimSun" w:cs="SimSun"/>
      <w:kern w:val="0"/>
      <w:lang w:eastAsia="zh-CN"/>
      <w14:ligatures w14:val="none"/>
    </w:rPr>
  </w:style>
  <w:style w:type="paragraph" w:styleId="Heading1">
    <w:name w:val="heading 1"/>
    <w:basedOn w:val="Normal"/>
    <w:next w:val="Normal"/>
    <w:link w:val="Heading1Char"/>
    <w:uiPriority w:val="9"/>
    <w:qFormat/>
    <w:rsid w:val="000D65F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D65F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D65F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D65F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0D65FD"/>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0D65FD"/>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0D65FD"/>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0D65FD"/>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0D65FD"/>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5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65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65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65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65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6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5FD"/>
    <w:rPr>
      <w:rFonts w:eastAsiaTheme="majorEastAsia" w:cstheme="majorBidi"/>
      <w:color w:val="272727" w:themeColor="text1" w:themeTint="D8"/>
    </w:rPr>
  </w:style>
  <w:style w:type="paragraph" w:styleId="Title">
    <w:name w:val="Title"/>
    <w:basedOn w:val="Normal"/>
    <w:next w:val="Normal"/>
    <w:link w:val="TitleChar"/>
    <w:uiPriority w:val="10"/>
    <w:qFormat/>
    <w:rsid w:val="000D65FD"/>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D6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5F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0D6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5FD"/>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0D65FD"/>
    <w:rPr>
      <w:i/>
      <w:iCs/>
      <w:color w:val="404040" w:themeColor="text1" w:themeTint="BF"/>
    </w:rPr>
  </w:style>
  <w:style w:type="paragraph" w:styleId="ListParagraph">
    <w:name w:val="List Paragraph"/>
    <w:basedOn w:val="Normal"/>
    <w:uiPriority w:val="34"/>
    <w:qFormat/>
    <w:rsid w:val="000D65FD"/>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0D65FD"/>
    <w:rPr>
      <w:i/>
      <w:iCs/>
      <w:color w:val="0F4761" w:themeColor="accent1" w:themeShade="BF"/>
    </w:rPr>
  </w:style>
  <w:style w:type="paragraph" w:styleId="IntenseQuote">
    <w:name w:val="Intense Quote"/>
    <w:basedOn w:val="Normal"/>
    <w:next w:val="Normal"/>
    <w:link w:val="IntenseQuoteChar"/>
    <w:uiPriority w:val="30"/>
    <w:qFormat/>
    <w:rsid w:val="000D65F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0D65FD"/>
    <w:rPr>
      <w:i/>
      <w:iCs/>
      <w:color w:val="0F4761" w:themeColor="accent1" w:themeShade="BF"/>
    </w:rPr>
  </w:style>
  <w:style w:type="character" w:styleId="IntenseReference">
    <w:name w:val="Intense Reference"/>
    <w:basedOn w:val="DefaultParagraphFont"/>
    <w:uiPriority w:val="32"/>
    <w:qFormat/>
    <w:rsid w:val="000D65FD"/>
    <w:rPr>
      <w:b/>
      <w:bCs/>
      <w:smallCaps/>
      <w:color w:val="0F4761" w:themeColor="accent1" w:themeShade="BF"/>
      <w:spacing w:val="5"/>
    </w:rPr>
  </w:style>
  <w:style w:type="paragraph" w:styleId="NormalWeb">
    <w:name w:val="Normal (Web)"/>
    <w:basedOn w:val="Normal"/>
    <w:link w:val="NormalWebChar"/>
    <w:autoRedefine/>
    <w:uiPriority w:val="99"/>
    <w:unhideWhenUsed/>
    <w:qFormat/>
    <w:rsid w:val="000D65FD"/>
    <w:pPr>
      <w:spacing w:before="100" w:beforeAutospacing="1" w:after="100" w:afterAutospacing="1"/>
    </w:pPr>
  </w:style>
  <w:style w:type="character" w:styleId="Strong">
    <w:name w:val="Strong"/>
    <w:basedOn w:val="DefaultParagraphFont"/>
    <w:autoRedefine/>
    <w:uiPriority w:val="22"/>
    <w:qFormat/>
    <w:rsid w:val="000D65FD"/>
    <w:rPr>
      <w:b/>
      <w:bCs/>
    </w:rPr>
  </w:style>
  <w:style w:type="character" w:customStyle="1" w:styleId="NormalWebChar">
    <w:name w:val="Normal (Web) Char"/>
    <w:basedOn w:val="DefaultParagraphFont"/>
    <w:link w:val="NormalWeb"/>
    <w:autoRedefine/>
    <w:uiPriority w:val="99"/>
    <w:qFormat/>
    <w:rsid w:val="000D65FD"/>
    <w:rPr>
      <w:rFonts w:ascii="SimSun" w:eastAsia="SimSun" w:hAnsi="SimSun" w:cs="SimSun"/>
      <w:kern w:val="0"/>
      <w:lang w:eastAsia="zh-CN"/>
      <w14:ligatures w14:val="none"/>
    </w:rPr>
  </w:style>
  <w:style w:type="character" w:customStyle="1" w:styleId="katex-mathml">
    <w:name w:val="katex-mathml"/>
    <w:basedOn w:val="DefaultParagraphFont"/>
    <w:autoRedefine/>
    <w:qFormat/>
    <w:rsid w:val="000D65FD"/>
  </w:style>
  <w:style w:type="character" w:customStyle="1" w:styleId="mord">
    <w:name w:val="mord"/>
    <w:basedOn w:val="DefaultParagraphFont"/>
    <w:autoRedefine/>
    <w:qFormat/>
    <w:rsid w:val="000D65FD"/>
  </w:style>
  <w:style w:type="character" w:customStyle="1" w:styleId="mrel">
    <w:name w:val="mrel"/>
    <w:basedOn w:val="DefaultParagraphFont"/>
    <w:autoRedefine/>
    <w:qFormat/>
    <w:rsid w:val="000D65FD"/>
  </w:style>
  <w:style w:type="table" w:customStyle="1" w:styleId="PlainTable21">
    <w:name w:val="Plain Table 21"/>
    <w:basedOn w:val="TableNormal"/>
    <w:autoRedefine/>
    <w:uiPriority w:val="42"/>
    <w:qFormat/>
    <w:rsid w:val="0061272A"/>
    <w:pPr>
      <w:spacing w:after="0" w:line="240" w:lineRule="auto"/>
    </w:pPr>
    <w:rPr>
      <w:rFonts w:ascii="Times New Roman" w:eastAsia="SimSun" w:hAnsi="Times New Roman" w:cs="Times New Roman"/>
      <w:kern w:val="0"/>
      <w:sz w:val="20"/>
      <w:szCs w:val="20"/>
      <w14:ligatures w14:val="none"/>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565</Words>
  <Characters>3225</Characters>
  <Application>Microsoft Office Word</Application>
  <DocSecurity>0</DocSecurity>
  <Lines>26</Lines>
  <Paragraphs>7</Paragraphs>
  <ScaleCrop>false</ScaleCrop>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2025-06-25T12:08:00Z</dcterms:created>
  <dcterms:modified xsi:type="dcterms:W3CDTF">2025-06-25T12:10:00Z</dcterms:modified>
</cp:coreProperties>
</file>