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20AAE" w14:textId="77777777" w:rsidR="00A6753F" w:rsidRPr="002045EC" w:rsidRDefault="00A6753F"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5AC0AE72" w14:textId="77777777" w:rsidR="00A6753F" w:rsidRDefault="00000000" w:rsidP="00A6753F">
      <w:pPr>
        <w:spacing w:after="0" w:line="240" w:lineRule="auto"/>
        <w:rPr>
          <w:rFonts w:ascii="Times New Roman" w:eastAsia="Times New Roman" w:hAnsi="Times New Roman" w:cs="Times New Roman"/>
          <w:noProof/>
          <w:kern w:val="0"/>
          <w:lang w:eastAsia="en-GB"/>
        </w:rPr>
      </w:pPr>
      <w:r>
        <w:rPr>
          <w:rFonts w:ascii="Times New Roman" w:eastAsia="Times New Roman" w:hAnsi="Times New Roman" w:cs="Times New Roman"/>
          <w:noProof/>
          <w:kern w:val="0"/>
          <w:lang w:eastAsia="en-GB"/>
        </w:rPr>
        <w:pict w14:anchorId="1044E6C6">
          <v:rect id="_x0000_i1032" alt="" style="width:450.85pt;height:.05pt;mso-width-percent:0;mso-height-percent:0;mso-width-percent:0;mso-height-percent:0" o:hrpct="999" o:hralign="center" o:hrstd="t" o:hr="t" fillcolor="#a0a0a0" stroked="f"/>
        </w:pict>
      </w:r>
    </w:p>
    <w:p w14:paraId="2CF12135" w14:textId="77777777" w:rsidR="00A6753F" w:rsidRPr="00D82844" w:rsidRDefault="00A6753F" w:rsidP="00A6753F">
      <w:pPr>
        <w:rPr>
          <w:rFonts w:ascii="Times New Roman" w:eastAsia="Times New Roman" w:hAnsi="Times New Roman" w:cs="Times New Roman"/>
          <w:lang w:eastAsia="en-GB"/>
        </w:rPr>
      </w:pPr>
    </w:p>
    <w:p w14:paraId="324CA1AE" w14:textId="77777777" w:rsidR="00A6753F" w:rsidRDefault="00A6753F"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3797A200" w14:textId="77777777" w:rsidR="00B070DA" w:rsidRDefault="00B070DA"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6EAA22AC" w14:textId="77777777" w:rsidR="00B070DA" w:rsidRDefault="00B070DA"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117BC94C" w14:textId="77777777" w:rsidR="00B070DA" w:rsidRDefault="00B070DA"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1CE411BE" w14:textId="77777777" w:rsidR="00B070DA" w:rsidRDefault="00B070DA"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54E4ED8A" w14:textId="77777777" w:rsidR="00B070DA" w:rsidRDefault="00B070DA"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71E156EE" w14:textId="77777777" w:rsidR="00B070DA" w:rsidRDefault="00B070DA" w:rsidP="00A6753F">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3E0474A2" w14:textId="25BD88A9" w:rsidR="002045EC" w:rsidRPr="002045EC" w:rsidRDefault="002045EC" w:rsidP="00E811CE">
      <w:pPr>
        <w:rPr>
          <w:rFonts w:ascii="Times New Roman" w:eastAsia="Times New Roman" w:hAnsi="Times New Roman" w:cs="Times New Roman"/>
          <w:kern w:val="0"/>
          <w:lang w:eastAsia="en-GB"/>
          <w14:ligatures w14:val="none"/>
        </w:rPr>
      </w:pPr>
    </w:p>
    <w:p w14:paraId="771B3BD0" w14:textId="105D18EC" w:rsidR="0001203A" w:rsidRPr="00E811CE" w:rsidRDefault="0001203A" w:rsidP="003914EF">
      <w:pPr>
        <w:rPr>
          <w:rFonts w:ascii="Times New Roman" w:eastAsia="Times New Roman" w:hAnsi="Times New Roman" w:cs="Times New Roman"/>
          <w:b/>
          <w:bCs/>
          <w:kern w:val="0"/>
          <w:sz w:val="36"/>
          <w:szCs w:val="36"/>
          <w:lang w:eastAsia="en-GB"/>
          <w14:ligatures w14:val="none"/>
        </w:rPr>
      </w:pPr>
      <w:r w:rsidRPr="00E811CE">
        <w:rPr>
          <w:rFonts w:ascii="Times New Roman" w:eastAsia="Times New Roman" w:hAnsi="Times New Roman" w:cs="Times New Roman"/>
          <w:b/>
          <w:bCs/>
          <w:kern w:val="0"/>
          <w:sz w:val="36"/>
          <w:szCs w:val="36"/>
          <w:lang w:eastAsia="en-GB"/>
          <w14:ligatures w14:val="none"/>
        </w:rPr>
        <w:t xml:space="preserve">Appendix: </w:t>
      </w:r>
      <w:r w:rsidR="007A02DD" w:rsidRPr="00E811CE">
        <w:rPr>
          <w:rFonts w:ascii="Times New Roman" w:eastAsia="Times New Roman" w:hAnsi="Times New Roman" w:cs="Times New Roman"/>
          <w:b/>
          <w:bCs/>
          <w:kern w:val="0"/>
          <w:sz w:val="36"/>
          <w:szCs w:val="36"/>
          <w:lang w:eastAsia="en-GB"/>
          <w14:ligatures w14:val="none"/>
        </w:rPr>
        <w:t>Modelling</w:t>
      </w:r>
      <w:r w:rsidRPr="00E811CE">
        <w:rPr>
          <w:rFonts w:ascii="Times New Roman" w:eastAsia="Times New Roman" w:hAnsi="Times New Roman" w:cs="Times New Roman"/>
          <w:b/>
          <w:bCs/>
          <w:kern w:val="0"/>
          <w:sz w:val="36"/>
          <w:szCs w:val="36"/>
          <w:lang w:eastAsia="en-GB"/>
          <w14:ligatures w14:val="none"/>
        </w:rPr>
        <w:t xml:space="preserve"> Assumptions and Application in Deductive Entropy Simulation</w:t>
      </w:r>
    </w:p>
    <w:p w14:paraId="6AD2833C" w14:textId="1CF76ABA"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1203A">
        <w:rPr>
          <w:rFonts w:ascii="Times New Roman" w:eastAsia="Times New Roman" w:hAnsi="Times New Roman" w:cs="Times New Roman"/>
          <w:b/>
          <w:bCs/>
          <w:kern w:val="0"/>
          <w:lang w:eastAsia="en-GB"/>
          <w14:ligatures w14:val="none"/>
        </w:rPr>
        <w:t xml:space="preserve">A. </w:t>
      </w:r>
      <w:r w:rsidR="007A02DD">
        <w:rPr>
          <w:rFonts w:ascii="Times New Roman" w:eastAsia="Times New Roman" w:hAnsi="Times New Roman" w:cs="Times New Roman"/>
          <w:b/>
          <w:bCs/>
          <w:kern w:val="0"/>
          <w:lang w:eastAsia="en-GB"/>
          <w14:ligatures w14:val="none"/>
        </w:rPr>
        <w:t>Modelling</w:t>
      </w:r>
      <w:r w:rsidRPr="0001203A">
        <w:rPr>
          <w:rFonts w:ascii="Times New Roman" w:eastAsia="Times New Roman" w:hAnsi="Times New Roman" w:cs="Times New Roman"/>
          <w:b/>
          <w:bCs/>
          <w:kern w:val="0"/>
          <w:lang w:eastAsia="en-GB"/>
          <w14:ligatures w14:val="none"/>
        </w:rPr>
        <w:t xml:space="preserve"> Framework Overview</w:t>
      </w:r>
    </w:p>
    <w:p w14:paraId="29018B8F"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The Monte Carlo simulation was designed to evaluate the likelihood and trajectory of ASD and psychosis phenotypes given variation in genetic, epigenetic, environmental, developmental, and interventional parameters. Each “virtual patient” was assigned risk factors and developmental trajectories based on empirical distributions from published population and cohort studies. The simulation was run with n = 50,000 to ensure stability of output estimates and credible intervals.</w:t>
      </w:r>
    </w:p>
    <w:p w14:paraId="3B53C30B" w14:textId="77777777" w:rsidR="0001203A" w:rsidRPr="0001203A" w:rsidRDefault="00000000"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05382597">
          <v:rect id="_x0000_i1035" alt="" style="width:450.85pt;height:.05pt;mso-width-percent:0;mso-height-percent:0;mso-width-percent:0;mso-height-percent:0" o:hrpct="999" o:hralign="center" o:hrstd="t" o:hr="t" fillcolor="#a0a0a0" stroked="f"/>
        </w:pict>
      </w:r>
    </w:p>
    <w:p w14:paraId="176E4B86"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1203A">
        <w:rPr>
          <w:rFonts w:ascii="Times New Roman" w:eastAsia="Times New Roman" w:hAnsi="Times New Roman" w:cs="Times New Roman"/>
          <w:b/>
          <w:bCs/>
          <w:kern w:val="0"/>
          <w:lang w:eastAsia="en-GB"/>
          <w14:ligatures w14:val="none"/>
        </w:rPr>
        <w:t>B. Key Assumptions</w:t>
      </w:r>
    </w:p>
    <w:p w14:paraId="7D5414F0"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1. Neurodevelopmental Timing and Filtering Thresholds</w:t>
      </w:r>
    </w:p>
    <w:p w14:paraId="1DB44369" w14:textId="77777777" w:rsidR="0001203A" w:rsidRPr="0001203A" w:rsidRDefault="0001203A" w:rsidP="0001203A">
      <w:pPr>
        <w:numPr>
          <w:ilvl w:val="0"/>
          <w:numId w:val="17"/>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ASD:</w:t>
      </w:r>
      <w:r w:rsidRPr="0001203A">
        <w:rPr>
          <w:rFonts w:ascii="Times New Roman" w:eastAsia="Times New Roman" w:hAnsi="Times New Roman" w:cs="Times New Roman"/>
          <w:kern w:val="0"/>
          <w:lang w:eastAsia="en-GB"/>
          <w14:ligatures w14:val="none"/>
        </w:rPr>
        <w:t xml:space="preserve"> Filtering failure is present from birth or early childhood and persists without significant periods of adaptive compensation.</w:t>
      </w:r>
    </w:p>
    <w:p w14:paraId="278ACF50" w14:textId="77777777" w:rsidR="0001203A" w:rsidRPr="0001203A" w:rsidRDefault="0001203A" w:rsidP="0001203A">
      <w:pPr>
        <w:numPr>
          <w:ilvl w:val="0"/>
          <w:numId w:val="17"/>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Psychosis:</w:t>
      </w:r>
      <w:r w:rsidRPr="0001203A">
        <w:rPr>
          <w:rFonts w:ascii="Times New Roman" w:eastAsia="Times New Roman" w:hAnsi="Times New Roman" w:cs="Times New Roman"/>
          <w:kern w:val="0"/>
          <w:lang w:eastAsia="en-GB"/>
          <w14:ligatures w14:val="none"/>
        </w:rPr>
        <w:t xml:space="preserve"> Filtering mechanisms develop typically but collapse later (usually adolescence/early adulthood) following cumulative stress, genetic, or environmental insults.</w:t>
      </w:r>
    </w:p>
    <w:p w14:paraId="1340046F" w14:textId="77777777" w:rsidR="0001203A" w:rsidRPr="0001203A" w:rsidRDefault="0001203A" w:rsidP="0001203A">
      <w:pPr>
        <w:numPr>
          <w:ilvl w:val="0"/>
          <w:numId w:val="17"/>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Filtering thresholds</w:t>
      </w:r>
      <w:r w:rsidRPr="0001203A">
        <w:rPr>
          <w:rFonts w:ascii="Times New Roman" w:eastAsia="Times New Roman" w:hAnsi="Times New Roman" w:cs="Times New Roman"/>
          <w:kern w:val="0"/>
          <w:lang w:eastAsia="en-GB"/>
          <w14:ligatures w14:val="none"/>
        </w:rPr>
        <w:t xml:space="preserve"> for salience network activation were parameterized to shift under limbic (amygdala/stress) modulation, based on experimental and neuroimaging data.</w:t>
      </w:r>
    </w:p>
    <w:p w14:paraId="19F6DE09"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lastRenderedPageBreak/>
        <w:t>2. Adaptive Learning History</w:t>
      </w:r>
    </w:p>
    <w:p w14:paraId="2EB0AC3A" w14:textId="77777777" w:rsidR="0001203A" w:rsidRPr="0001203A" w:rsidRDefault="0001203A" w:rsidP="0001203A">
      <w:pPr>
        <w:numPr>
          <w:ilvl w:val="0"/>
          <w:numId w:val="18"/>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t>Psychosis cases retain an experience-driven adaptation history pre-morbidly, shaping compensatory content (e.g., delusions based on prior schemas).</w:t>
      </w:r>
    </w:p>
    <w:p w14:paraId="4ACC064F" w14:textId="77777777" w:rsidR="0001203A" w:rsidRPr="0001203A" w:rsidRDefault="0001203A" w:rsidP="0001203A">
      <w:pPr>
        <w:numPr>
          <w:ilvl w:val="0"/>
          <w:numId w:val="18"/>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ASD cases lack this compensatory mechanism, leading to rigidity and persistent uncertainty.</w:t>
      </w:r>
    </w:p>
    <w:p w14:paraId="101AEB5B"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3. Risk Factor Distributions</w:t>
      </w:r>
    </w:p>
    <w:p w14:paraId="73C3AFB0" w14:textId="77777777" w:rsidR="0001203A" w:rsidRPr="0001203A" w:rsidRDefault="0001203A" w:rsidP="0001203A">
      <w:pPr>
        <w:numPr>
          <w:ilvl w:val="0"/>
          <w:numId w:val="19"/>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Parameter distributions for genetic risk (polygenic and monogenic), epigenetic modulation, prenatal/perinatal exposures, and environmental factors were set according to meta-analytic effect sizes (see Table 2 in main text and references 9–24).</w:t>
      </w:r>
    </w:p>
    <w:p w14:paraId="3537E488" w14:textId="4AFA1367" w:rsidR="0001203A" w:rsidRPr="0001203A" w:rsidRDefault="0001203A" w:rsidP="0001203A">
      <w:pPr>
        <w:numPr>
          <w:ilvl w:val="0"/>
          <w:numId w:val="19"/>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 xml:space="preserve">Diagnostic drift and awareness/coding inflation were explicitly </w:t>
      </w:r>
      <w:r w:rsidR="007A02DD">
        <w:rPr>
          <w:rFonts w:ascii="Times New Roman" w:eastAsia="Times New Roman" w:hAnsi="Times New Roman" w:cs="Times New Roman"/>
          <w:kern w:val="0"/>
          <w:lang w:eastAsia="en-GB"/>
          <w14:ligatures w14:val="none"/>
        </w:rPr>
        <w:t>modelled</w:t>
      </w:r>
      <w:r w:rsidRPr="0001203A">
        <w:rPr>
          <w:rFonts w:ascii="Times New Roman" w:eastAsia="Times New Roman" w:hAnsi="Times New Roman" w:cs="Times New Roman"/>
          <w:kern w:val="0"/>
          <w:lang w:eastAsia="en-GB"/>
          <w14:ligatures w14:val="none"/>
        </w:rPr>
        <w:t xml:space="preserve"> for ASD using published PAFs and sensitivity analyses.</w:t>
      </w:r>
    </w:p>
    <w:p w14:paraId="3C46F6F8"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4. Interventional Timing and Modality</w:t>
      </w:r>
    </w:p>
    <w:p w14:paraId="097D5F77" w14:textId="21CEF0D4" w:rsidR="0001203A" w:rsidRPr="0001203A" w:rsidRDefault="0001203A" w:rsidP="0001203A">
      <w:pPr>
        <w:numPr>
          <w:ilvl w:val="0"/>
          <w:numId w:val="20"/>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 xml:space="preserve">Intervention effects (e.g., early sensory integration, metacognitive therapy) were drawn from meta-analyses and controlled studies, scaled for effect size and applied based on </w:t>
      </w:r>
      <w:r w:rsidR="007A02DD" w:rsidRPr="0001203A">
        <w:rPr>
          <w:rFonts w:ascii="Times New Roman" w:eastAsia="Times New Roman" w:hAnsi="Times New Roman" w:cs="Times New Roman"/>
          <w:kern w:val="0"/>
          <w:lang w:eastAsia="en-GB"/>
          <w14:ligatures w14:val="none"/>
        </w:rPr>
        <w:t>modelled</w:t>
      </w:r>
      <w:r w:rsidRPr="0001203A">
        <w:rPr>
          <w:rFonts w:ascii="Times New Roman" w:eastAsia="Times New Roman" w:hAnsi="Times New Roman" w:cs="Times New Roman"/>
          <w:kern w:val="0"/>
          <w:lang w:eastAsia="en-GB"/>
          <w14:ligatures w14:val="none"/>
        </w:rPr>
        <w:t xml:space="preserve"> timing (prenatal, early childhood, prodromal, established illness).</w:t>
      </w:r>
    </w:p>
    <w:p w14:paraId="29C403C4" w14:textId="77777777" w:rsidR="0001203A" w:rsidRPr="0001203A" w:rsidRDefault="0001203A" w:rsidP="0001203A">
      <w:pPr>
        <w:numPr>
          <w:ilvl w:val="0"/>
          <w:numId w:val="20"/>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Combined interventions (polytherapy) were assumed to have additive and occasionally synergistic effects but subject to diminishing returns at upper efficacy bounds.</w:t>
      </w:r>
    </w:p>
    <w:p w14:paraId="5FD13E22"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5. Symptom and Outcome Definitions</w:t>
      </w:r>
    </w:p>
    <w:p w14:paraId="79498693" w14:textId="77777777" w:rsidR="0001203A" w:rsidRPr="0001203A" w:rsidRDefault="0001203A" w:rsidP="0001203A">
      <w:pPr>
        <w:numPr>
          <w:ilvl w:val="0"/>
          <w:numId w:val="21"/>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Clinically meaningful benefit was defined as improvement in adaptive functioning, reduction in core symptoms, or prevention of progression to a more severe phenotype.</w:t>
      </w:r>
    </w:p>
    <w:p w14:paraId="14BCA8A5" w14:textId="77777777" w:rsidR="0001203A" w:rsidRPr="0001203A" w:rsidRDefault="0001203A" w:rsidP="0001203A">
      <w:pPr>
        <w:numPr>
          <w:ilvl w:val="0"/>
          <w:numId w:val="21"/>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Thresholds for “benefit” were set to mirror real-world clinical endpoints (e.g., ≥30% improvement on standardized scales).</w:t>
      </w:r>
    </w:p>
    <w:p w14:paraId="249E8381"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6. Model Calibration and Validation</w:t>
      </w:r>
    </w:p>
    <w:p w14:paraId="7027C33A" w14:textId="77777777" w:rsidR="0001203A" w:rsidRPr="0001203A" w:rsidRDefault="0001203A" w:rsidP="0001203A">
      <w:pPr>
        <w:numPr>
          <w:ilvl w:val="0"/>
          <w:numId w:val="22"/>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Simulation outputs were cross-validated against real-world epidemiological and clinical outcome data, ensuring model realism.</w:t>
      </w:r>
    </w:p>
    <w:p w14:paraId="40798055" w14:textId="77777777" w:rsidR="0001203A" w:rsidRPr="0001203A" w:rsidRDefault="0001203A" w:rsidP="0001203A">
      <w:pPr>
        <w:numPr>
          <w:ilvl w:val="0"/>
          <w:numId w:val="22"/>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Concordance metrics (AUC, PPV, NPV, FPR, FNR) were estimated from confusion matrices comparing simulated predictions to observed case definitions.</w:t>
      </w:r>
    </w:p>
    <w:p w14:paraId="103D04E3" w14:textId="77777777" w:rsidR="0001203A" w:rsidRPr="0001203A" w:rsidRDefault="00000000"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22C03F33">
          <v:rect id="_x0000_i1036" alt="" style="width:450.85pt;height:.05pt;mso-width-percent:0;mso-height-percent:0;mso-width-percent:0;mso-height-percent:0" o:hrpct="999" o:hralign="center" o:hrstd="t" o:hr="t" fillcolor="#a0a0a0" stroked="f"/>
        </w:pict>
      </w:r>
    </w:p>
    <w:p w14:paraId="0FF1414C"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1203A">
        <w:rPr>
          <w:rFonts w:ascii="Times New Roman" w:eastAsia="Times New Roman" w:hAnsi="Times New Roman" w:cs="Times New Roman"/>
          <w:b/>
          <w:bCs/>
          <w:kern w:val="0"/>
          <w:lang w:eastAsia="en-GB"/>
          <w14:ligatures w14:val="none"/>
        </w:rPr>
        <w:t>C. Application to Research Questions</w:t>
      </w:r>
    </w:p>
    <w:p w14:paraId="3562C95E" w14:textId="77777777" w:rsidR="0001203A" w:rsidRPr="0001203A" w:rsidRDefault="0001203A" w:rsidP="0001203A">
      <w:pPr>
        <w:numPr>
          <w:ilvl w:val="0"/>
          <w:numId w:val="23"/>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Differentiation of ASD and Psychosis:</w:t>
      </w:r>
      <w:r w:rsidRPr="0001203A">
        <w:rPr>
          <w:rFonts w:ascii="Times New Roman" w:eastAsia="Times New Roman" w:hAnsi="Times New Roman" w:cs="Times New Roman"/>
          <w:kern w:val="0"/>
          <w:lang w:eastAsia="en-GB"/>
          <w14:ligatures w14:val="none"/>
        </w:rPr>
        <w:br/>
        <w:t>Assumptions about timing and learning history were critical for the model’s ability to distinguish between early-persistent (ASD) and late-collapsing (psychosis) uncertainty filtering.</w:t>
      </w:r>
    </w:p>
    <w:p w14:paraId="29D3DCF0" w14:textId="77777777" w:rsidR="0001203A" w:rsidRPr="0001203A" w:rsidRDefault="0001203A" w:rsidP="0001203A">
      <w:pPr>
        <w:numPr>
          <w:ilvl w:val="0"/>
          <w:numId w:val="23"/>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Estimation of Intervention Benefit:</w:t>
      </w:r>
      <w:r w:rsidRPr="0001203A">
        <w:rPr>
          <w:rFonts w:ascii="Times New Roman" w:eastAsia="Times New Roman" w:hAnsi="Times New Roman" w:cs="Times New Roman"/>
          <w:kern w:val="0"/>
          <w:lang w:eastAsia="en-GB"/>
          <w14:ligatures w14:val="none"/>
        </w:rPr>
        <w:br/>
        <w:t>Relative likelihoods of benefit for each therapy class were simulated under a range of plausible effect sizes and timing scenarios, with credible intervals representing uncertainty in the literature and patient heterogeneity.</w:t>
      </w:r>
    </w:p>
    <w:p w14:paraId="3FCFA919" w14:textId="77777777" w:rsidR="0001203A" w:rsidRPr="0001203A" w:rsidRDefault="0001203A" w:rsidP="0001203A">
      <w:pPr>
        <w:numPr>
          <w:ilvl w:val="0"/>
          <w:numId w:val="23"/>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lastRenderedPageBreak/>
        <w:t>Risk Attribution:</w:t>
      </w:r>
      <w:r w:rsidRPr="0001203A">
        <w:rPr>
          <w:rFonts w:ascii="Times New Roman" w:eastAsia="Times New Roman" w:hAnsi="Times New Roman" w:cs="Times New Roman"/>
          <w:kern w:val="0"/>
          <w:lang w:eastAsia="en-GB"/>
          <w14:ligatures w14:val="none"/>
        </w:rPr>
        <w:br/>
        <w:t>Model partitions for genetic, environmental, epigenetic, and diagnostic factors were iteratively adjusted to best match observed prevalence, accounting for overlap and interactions (joint probability methods).</w:t>
      </w:r>
    </w:p>
    <w:p w14:paraId="1C96E99E" w14:textId="77777777" w:rsidR="0001203A" w:rsidRPr="0001203A" w:rsidRDefault="0001203A" w:rsidP="0001203A">
      <w:pPr>
        <w:numPr>
          <w:ilvl w:val="0"/>
          <w:numId w:val="23"/>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Stress/Limbic Modulation:</w:t>
      </w:r>
      <w:r w:rsidRPr="0001203A">
        <w:rPr>
          <w:rFonts w:ascii="Times New Roman" w:eastAsia="Times New Roman" w:hAnsi="Times New Roman" w:cs="Times New Roman"/>
          <w:kern w:val="0"/>
          <w:lang w:eastAsia="en-GB"/>
          <w14:ligatures w14:val="none"/>
        </w:rPr>
        <w:br/>
        <w:t>The model incorporated dynamic limbic salience modulation, lowering filtering thresholds under simulated threat conditions, to reflect clinical exacerbations and state transitions.</w:t>
      </w:r>
    </w:p>
    <w:p w14:paraId="648D1B74" w14:textId="77777777" w:rsidR="0001203A" w:rsidRPr="0001203A" w:rsidRDefault="00000000"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06CD78FA">
          <v:rect id="_x0000_i1037" alt="" style="width:450.85pt;height:.05pt;mso-width-percent:0;mso-height-percent:0;mso-width-percent:0;mso-height-percent:0" o:hrpct="999" o:hralign="center" o:hrstd="t" o:hr="t" fillcolor="#a0a0a0" stroked="f"/>
        </w:pict>
      </w:r>
    </w:p>
    <w:p w14:paraId="14630ECE"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1203A">
        <w:rPr>
          <w:rFonts w:ascii="Times New Roman" w:eastAsia="Times New Roman" w:hAnsi="Times New Roman" w:cs="Times New Roman"/>
          <w:b/>
          <w:bCs/>
          <w:kern w:val="0"/>
          <w:lang w:eastAsia="en-GB"/>
          <w14:ligatures w14:val="none"/>
        </w:rPr>
        <w:t>D. Limitations of the Model</w:t>
      </w:r>
    </w:p>
    <w:p w14:paraId="373BAA43" w14:textId="77777777" w:rsidR="0001203A" w:rsidRPr="0001203A" w:rsidRDefault="0001203A" w:rsidP="0001203A">
      <w:pPr>
        <w:numPr>
          <w:ilvl w:val="0"/>
          <w:numId w:val="24"/>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Simplifications:</w:t>
      </w:r>
      <w:r w:rsidRPr="0001203A">
        <w:rPr>
          <w:rFonts w:ascii="Times New Roman" w:eastAsia="Times New Roman" w:hAnsi="Times New Roman" w:cs="Times New Roman"/>
          <w:kern w:val="0"/>
          <w:lang w:eastAsia="en-GB"/>
          <w14:ligatures w14:val="none"/>
        </w:rPr>
        <w:br/>
        <w:t>Some parameter dependencies (e.g., gene–environment interactions) were simplified due to data limitations.</w:t>
      </w:r>
    </w:p>
    <w:p w14:paraId="06FF9360" w14:textId="77777777" w:rsidR="0001203A" w:rsidRPr="0001203A" w:rsidRDefault="0001203A" w:rsidP="0001203A">
      <w:pPr>
        <w:numPr>
          <w:ilvl w:val="0"/>
          <w:numId w:val="24"/>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Generality vs. Individuality:</w:t>
      </w:r>
      <w:r w:rsidRPr="0001203A">
        <w:rPr>
          <w:rFonts w:ascii="Times New Roman" w:eastAsia="Times New Roman" w:hAnsi="Times New Roman" w:cs="Times New Roman"/>
          <w:kern w:val="0"/>
          <w:lang w:eastAsia="en-GB"/>
          <w14:ligatures w14:val="none"/>
        </w:rPr>
        <w:br/>
        <w:t>Results are population-level estimates and may not capture all individual trajectories or rare phenotypes.</w:t>
      </w:r>
    </w:p>
    <w:p w14:paraId="15C584D9" w14:textId="77777777" w:rsidR="0001203A" w:rsidRPr="0001203A" w:rsidRDefault="0001203A" w:rsidP="0001203A">
      <w:pPr>
        <w:numPr>
          <w:ilvl w:val="0"/>
          <w:numId w:val="24"/>
        </w:num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Effect Size Uncertainty:</w:t>
      </w:r>
      <w:r w:rsidRPr="0001203A">
        <w:rPr>
          <w:rFonts w:ascii="Times New Roman" w:eastAsia="Times New Roman" w:hAnsi="Times New Roman" w:cs="Times New Roman"/>
          <w:kern w:val="0"/>
          <w:lang w:eastAsia="en-GB"/>
          <w14:ligatures w14:val="none"/>
        </w:rPr>
        <w:br/>
        <w:t>Interventional effect sizes are taken from heterogeneous studies; future RCTs may refine these estimates.</w:t>
      </w:r>
    </w:p>
    <w:p w14:paraId="55862A6F" w14:textId="77777777" w:rsidR="0001203A" w:rsidRPr="0001203A" w:rsidRDefault="00000000"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64C6ACE3">
          <v:rect id="_x0000_i1038" alt="" style="width:450.85pt;height:.05pt;mso-width-percent:0;mso-height-percent:0;mso-width-percent:0;mso-height-percent:0" o:hrpct="999" o:hralign="center" o:hrstd="t" o:hr="t" fillcolor="#a0a0a0" stroked="f"/>
        </w:pict>
      </w:r>
    </w:p>
    <w:p w14:paraId="1716C79B"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1203A">
        <w:rPr>
          <w:rFonts w:ascii="Times New Roman" w:eastAsia="Times New Roman" w:hAnsi="Times New Roman" w:cs="Times New Roman"/>
          <w:b/>
          <w:bCs/>
          <w:kern w:val="0"/>
          <w:lang w:eastAsia="en-GB"/>
          <w14:ligatures w14:val="none"/>
        </w:rPr>
        <w:t>E. Transparency and Replicability</w:t>
      </w:r>
    </w:p>
    <w:p w14:paraId="5FF452A2"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kern w:val="0"/>
          <w:lang w:eastAsia="en-GB"/>
          <w14:ligatures w14:val="none"/>
        </w:rPr>
        <w:t>All parameters, code, and reference datasets can be made available upon reasonable request for replication and secondary analysis. Model sensitivity analyses are provided in Supplementary Materials (not shown here but can be added for journal submission).</w:t>
      </w:r>
    </w:p>
    <w:p w14:paraId="3B12FC13" w14:textId="77777777" w:rsidR="0001203A" w:rsidRPr="0001203A" w:rsidRDefault="00000000"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78D4D8B3">
          <v:rect id="_x0000_i1039" alt="" style="width:450.85pt;height:.05pt;mso-width-percent:0;mso-height-percent:0;mso-width-percent:0;mso-height-percent:0" o:hrpct="999" o:hralign="center" o:hrstd="t" o:hr="t" fillcolor="#a0a0a0" stroked="f"/>
        </w:pict>
      </w:r>
    </w:p>
    <w:p w14:paraId="625D3BF8" w14:textId="77777777" w:rsidR="0001203A" w:rsidRPr="0001203A" w:rsidRDefault="0001203A" w:rsidP="0001203A">
      <w:pPr>
        <w:spacing w:before="100" w:beforeAutospacing="1" w:after="100" w:afterAutospacing="1" w:line="240" w:lineRule="auto"/>
        <w:outlineLvl w:val="1"/>
        <w:rPr>
          <w:rFonts w:ascii="Times New Roman" w:eastAsia="Times New Roman" w:hAnsi="Times New Roman" w:cs="Times New Roman"/>
          <w:kern w:val="0"/>
          <w:lang w:eastAsia="en-GB"/>
          <w14:ligatures w14:val="none"/>
        </w:rPr>
      </w:pPr>
      <w:r w:rsidRPr="0001203A">
        <w:rPr>
          <w:rFonts w:ascii="Times New Roman" w:eastAsia="Times New Roman" w:hAnsi="Times New Roman" w:cs="Times New Roman"/>
          <w:b/>
          <w:bCs/>
          <w:kern w:val="0"/>
          <w:lang w:eastAsia="en-GB"/>
          <w14:ligatures w14:val="none"/>
        </w:rPr>
        <w:t>This appendix is intended to enhance transparency, rigor, and replicability, supporting both clinical interpretation and further research advancement.</w:t>
      </w:r>
    </w:p>
    <w:p w14:paraId="13603F64" w14:textId="77777777" w:rsidR="0001203A" w:rsidRPr="0001203A" w:rsidRDefault="0001203A" w:rsidP="002045EC">
      <w:pPr>
        <w:spacing w:before="100" w:beforeAutospacing="1" w:after="100" w:afterAutospacing="1" w:line="240" w:lineRule="auto"/>
        <w:outlineLvl w:val="1"/>
        <w:rPr>
          <w:rFonts w:ascii="Times New Roman" w:eastAsia="Times New Roman" w:hAnsi="Times New Roman" w:cs="Times New Roman"/>
          <w:kern w:val="0"/>
          <w:sz w:val="36"/>
          <w:szCs w:val="36"/>
          <w:lang w:eastAsia="en-GB"/>
          <w14:ligatures w14:val="none"/>
        </w:rPr>
      </w:pPr>
    </w:p>
    <w:p w14:paraId="563A5B27" w14:textId="77777777" w:rsidR="0001203A" w:rsidRDefault="0001203A" w:rsidP="002045E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p>
    <w:p w14:paraId="33D220F4" w14:textId="77777777" w:rsidR="009F54AB" w:rsidRDefault="009F54AB">
      <w:pPr>
        <w:rPr>
          <w:rFonts w:ascii="Times New Roman" w:eastAsia="Times New Roman" w:hAnsi="Times New Roman" w:cs="Times New Roman"/>
          <w:b/>
          <w:bCs/>
          <w:kern w:val="0"/>
          <w:sz w:val="36"/>
          <w:szCs w:val="36"/>
          <w:lang w:eastAsia="en-GB"/>
          <w14:ligatures w14:val="none"/>
        </w:rPr>
      </w:pPr>
      <w:r>
        <w:rPr>
          <w:rFonts w:ascii="Times New Roman" w:eastAsia="Times New Roman" w:hAnsi="Times New Roman" w:cs="Times New Roman"/>
          <w:b/>
          <w:bCs/>
          <w:kern w:val="0"/>
          <w:sz w:val="36"/>
          <w:szCs w:val="36"/>
          <w:lang w:eastAsia="en-GB"/>
          <w14:ligatures w14:val="none"/>
        </w:rPr>
        <w:br w:type="page"/>
      </w:r>
    </w:p>
    <w:p w14:paraId="6100EF4B" w14:textId="77777777" w:rsidR="00E04F2B" w:rsidRPr="00E811CE" w:rsidRDefault="00E04F2B" w:rsidP="002045EC">
      <w:pPr>
        <w:rPr>
          <w:rFonts w:ascii="Times New Roman" w:hAnsi="Times New Roman" w:cs="Times New Roman"/>
          <w:sz w:val="36"/>
          <w:szCs w:val="36"/>
        </w:rPr>
      </w:pPr>
    </w:p>
    <w:p w14:paraId="3C2273DB" w14:textId="77777777" w:rsidR="002E2674" w:rsidRPr="00E811CE" w:rsidRDefault="002E2674" w:rsidP="002E2674">
      <w:pPr>
        <w:rPr>
          <w:rFonts w:ascii="Times New Roman" w:hAnsi="Times New Roman" w:cs="Times New Roman"/>
          <w:b/>
          <w:bCs/>
          <w:sz w:val="36"/>
          <w:szCs w:val="36"/>
        </w:rPr>
      </w:pPr>
      <w:r w:rsidRPr="00E811CE">
        <w:rPr>
          <w:rFonts w:ascii="Times New Roman" w:hAnsi="Times New Roman" w:cs="Times New Roman"/>
          <w:b/>
          <w:bCs/>
          <w:sz w:val="36"/>
          <w:szCs w:val="36"/>
        </w:rPr>
        <w:t>Technical Appendix</w:t>
      </w:r>
    </w:p>
    <w:p w14:paraId="10C37626" w14:textId="77777777" w:rsidR="002E2674" w:rsidRPr="009F54AB" w:rsidRDefault="002E2674" w:rsidP="002E2674">
      <w:pPr>
        <w:rPr>
          <w:rFonts w:ascii="Times New Roman" w:hAnsi="Times New Roman" w:cs="Times New Roman"/>
          <w:b/>
          <w:bCs/>
        </w:rPr>
      </w:pPr>
      <w:r w:rsidRPr="009F54AB">
        <w:rPr>
          <w:rFonts w:ascii="Times New Roman" w:hAnsi="Times New Roman" w:cs="Times New Roman"/>
          <w:b/>
          <w:bCs/>
        </w:rPr>
        <w:t>A. Overview of the Deductive Entropy Simulation Framework</w:t>
      </w:r>
    </w:p>
    <w:p w14:paraId="35983E43" w14:textId="77777777" w:rsidR="002E2674" w:rsidRPr="009F54AB" w:rsidRDefault="002E2674" w:rsidP="002E2674">
      <w:pPr>
        <w:rPr>
          <w:rFonts w:ascii="Times New Roman" w:hAnsi="Times New Roman" w:cs="Times New Roman"/>
        </w:rPr>
      </w:pPr>
      <w:r w:rsidRPr="009F54AB">
        <w:rPr>
          <w:rFonts w:ascii="Times New Roman" w:hAnsi="Times New Roman" w:cs="Times New Roman"/>
        </w:rPr>
        <w:t>The core aim of the deductive entropy simulation is to examine how perturbations in uncertainty gating, developmental timing, and learned inference history give rise to clinically distinguishable trajectories of autism spectrum disorder (ASD) and psychosis. Our model operationalizes “deductive entropy” as a threshold-based, recursive filtering process applied at every layer of perceptual, cognitive, and affective inference.</w:t>
      </w:r>
    </w:p>
    <w:p w14:paraId="2C995B7F" w14:textId="77777777" w:rsidR="002E2674" w:rsidRPr="002E2674" w:rsidRDefault="002E2674" w:rsidP="002E2674">
      <w:pPr>
        <w:numPr>
          <w:ilvl w:val="0"/>
          <w:numId w:val="28"/>
        </w:numPr>
        <w:rPr>
          <w:rFonts w:ascii="Times New Roman" w:hAnsi="Times New Roman" w:cs="Times New Roman"/>
        </w:rPr>
      </w:pPr>
      <w:r w:rsidRPr="002E2674">
        <w:rPr>
          <w:rFonts w:ascii="Times New Roman" w:hAnsi="Times New Roman" w:cs="Times New Roman"/>
          <w:b/>
          <w:bCs/>
        </w:rPr>
        <w:t>Recapitulation of Model Concepts</w:t>
      </w:r>
    </w:p>
    <w:p w14:paraId="1257D1BC" w14:textId="77777777" w:rsidR="002E2674" w:rsidRPr="002E2674" w:rsidRDefault="002E2674" w:rsidP="002E2674">
      <w:pPr>
        <w:numPr>
          <w:ilvl w:val="1"/>
          <w:numId w:val="28"/>
        </w:numPr>
        <w:rPr>
          <w:rFonts w:ascii="Times New Roman" w:hAnsi="Times New Roman" w:cs="Times New Roman"/>
        </w:rPr>
      </w:pPr>
      <w:r w:rsidRPr="002E2674">
        <w:rPr>
          <w:rFonts w:ascii="Times New Roman" w:hAnsi="Times New Roman" w:cs="Times New Roman"/>
          <w:b/>
          <w:bCs/>
        </w:rPr>
        <w:t>Microstates</w:t>
      </w:r>
      <w:r w:rsidRPr="002E2674">
        <w:rPr>
          <w:rFonts w:ascii="Times New Roman" w:hAnsi="Times New Roman" w:cs="Times New Roman"/>
        </w:rPr>
        <w:t>: Transient, unfiltered sensory or interoceptive signals (high-entropy events).</w:t>
      </w:r>
    </w:p>
    <w:p w14:paraId="4E15CE6C" w14:textId="77777777" w:rsidR="002E2674" w:rsidRPr="002E2674" w:rsidRDefault="002E2674" w:rsidP="002E2674">
      <w:pPr>
        <w:numPr>
          <w:ilvl w:val="1"/>
          <w:numId w:val="28"/>
        </w:numPr>
        <w:rPr>
          <w:rFonts w:ascii="Times New Roman" w:hAnsi="Times New Roman" w:cs="Times New Roman"/>
        </w:rPr>
      </w:pPr>
      <w:r w:rsidRPr="002E2674">
        <w:rPr>
          <w:rFonts w:ascii="Times New Roman" w:hAnsi="Times New Roman" w:cs="Times New Roman"/>
          <w:b/>
          <w:bCs/>
        </w:rPr>
        <w:t>Macrostates</w:t>
      </w:r>
      <w:r w:rsidRPr="002E2674">
        <w:rPr>
          <w:rFonts w:ascii="Times New Roman" w:hAnsi="Times New Roman" w:cs="Times New Roman"/>
        </w:rPr>
        <w:t>: Stable, learned beliefs or schemas that emerge from repeated, hierarchically organized filtering of microstate data.</w:t>
      </w:r>
    </w:p>
    <w:p w14:paraId="359CD6C2" w14:textId="77777777" w:rsidR="002E2674" w:rsidRPr="002E2674" w:rsidRDefault="002E2674" w:rsidP="002E2674">
      <w:pPr>
        <w:numPr>
          <w:ilvl w:val="1"/>
          <w:numId w:val="28"/>
        </w:numPr>
        <w:rPr>
          <w:rFonts w:ascii="Times New Roman" w:hAnsi="Times New Roman" w:cs="Times New Roman"/>
        </w:rPr>
      </w:pPr>
      <w:r w:rsidRPr="002E2674">
        <w:rPr>
          <w:rFonts w:ascii="Times New Roman" w:hAnsi="Times New Roman" w:cs="Times New Roman"/>
          <w:b/>
          <w:bCs/>
        </w:rPr>
        <w:t>Deductive Entropy</w:t>
      </w:r>
      <w:r w:rsidRPr="002E2674">
        <w:rPr>
          <w:rFonts w:ascii="Times New Roman" w:hAnsi="Times New Roman" w:cs="Times New Roman"/>
        </w:rPr>
        <w:t>: The ongoing reduction of uncertainty (entropy) through filtering, gating, and thresholding. Only sufficiently “high-certainty” (low-entropy) macrostates pass into conscious awareness.</w:t>
      </w:r>
    </w:p>
    <w:p w14:paraId="5CE79BEE" w14:textId="77777777" w:rsidR="002E2674" w:rsidRPr="002E2674" w:rsidRDefault="002E2674" w:rsidP="002E2674">
      <w:pPr>
        <w:numPr>
          <w:ilvl w:val="0"/>
          <w:numId w:val="28"/>
        </w:numPr>
        <w:rPr>
          <w:rFonts w:ascii="Times New Roman" w:hAnsi="Times New Roman" w:cs="Times New Roman"/>
        </w:rPr>
      </w:pPr>
      <w:r w:rsidRPr="002E2674">
        <w:rPr>
          <w:rFonts w:ascii="Times New Roman" w:hAnsi="Times New Roman" w:cs="Times New Roman"/>
          <w:b/>
          <w:bCs/>
        </w:rPr>
        <w:t>Computational Structure</w:t>
      </w:r>
    </w:p>
    <w:p w14:paraId="3C55CFEE" w14:textId="77777777" w:rsidR="002E2674" w:rsidRPr="002E2674" w:rsidRDefault="002E2674" w:rsidP="002E2674">
      <w:pPr>
        <w:numPr>
          <w:ilvl w:val="1"/>
          <w:numId w:val="28"/>
        </w:numPr>
        <w:rPr>
          <w:rFonts w:ascii="Times New Roman" w:hAnsi="Times New Roman" w:cs="Times New Roman"/>
        </w:rPr>
      </w:pPr>
      <w:r w:rsidRPr="002E2674">
        <w:rPr>
          <w:rFonts w:ascii="Times New Roman" w:hAnsi="Times New Roman" w:cs="Times New Roman"/>
          <w:b/>
          <w:bCs/>
        </w:rPr>
        <w:t>Stochastic Inputs</w:t>
      </w:r>
      <w:r w:rsidRPr="002E2674">
        <w:rPr>
          <w:rFonts w:ascii="Times New Roman" w:hAnsi="Times New Roman" w:cs="Times New Roman"/>
        </w:rPr>
        <w:t>: Each “virtual patient” experiences stochastically generated microstates determined by a combination of genetic, epigenetic, and environmental parameters.</w:t>
      </w:r>
    </w:p>
    <w:p w14:paraId="4316A877" w14:textId="77777777" w:rsidR="002E2674" w:rsidRPr="002E2674" w:rsidRDefault="002E2674" w:rsidP="002E2674">
      <w:pPr>
        <w:numPr>
          <w:ilvl w:val="1"/>
          <w:numId w:val="28"/>
        </w:numPr>
        <w:rPr>
          <w:rFonts w:ascii="Times New Roman" w:hAnsi="Times New Roman" w:cs="Times New Roman"/>
        </w:rPr>
      </w:pPr>
      <w:r w:rsidRPr="002E2674">
        <w:rPr>
          <w:rFonts w:ascii="Times New Roman" w:hAnsi="Times New Roman" w:cs="Times New Roman"/>
          <w:b/>
          <w:bCs/>
        </w:rPr>
        <w:t>Recursive Filtering</w:t>
      </w:r>
      <w:r w:rsidRPr="002E2674">
        <w:rPr>
          <w:rFonts w:ascii="Times New Roman" w:hAnsi="Times New Roman" w:cs="Times New Roman"/>
        </w:rPr>
        <w:t>: Each microstate passes through a set of threshold checks—modulated by limbic-salience inputs—before it can be integrated into or update a macrostate.</w:t>
      </w:r>
    </w:p>
    <w:p w14:paraId="5749B040" w14:textId="77777777" w:rsidR="002E2674" w:rsidRPr="002E2674" w:rsidRDefault="002E2674" w:rsidP="002E2674">
      <w:pPr>
        <w:numPr>
          <w:ilvl w:val="1"/>
          <w:numId w:val="28"/>
        </w:numPr>
        <w:rPr>
          <w:rFonts w:ascii="Times New Roman" w:hAnsi="Times New Roman" w:cs="Times New Roman"/>
        </w:rPr>
      </w:pPr>
      <w:r w:rsidRPr="002E2674">
        <w:rPr>
          <w:rFonts w:ascii="Times New Roman" w:hAnsi="Times New Roman" w:cs="Times New Roman"/>
          <w:b/>
          <w:bCs/>
        </w:rPr>
        <w:t>Adaptive Learning</w:t>
      </w:r>
      <w:r w:rsidRPr="002E2674">
        <w:rPr>
          <w:rFonts w:ascii="Times New Roman" w:hAnsi="Times New Roman" w:cs="Times New Roman"/>
        </w:rPr>
        <w:t>: Over time, repeated microstate experiences shape stable macrostates. Psychosis arises when those macrostates become pathologically rigid (delusional). ASD arises when the brain fails to effectively form stable macrostates early in development due to overactive or disrupted uncertainty signals.</w:t>
      </w:r>
    </w:p>
    <w:p w14:paraId="40FB6AFB"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6D0C043F">
          <v:rect id="_x0000_i1040" alt="" style="width:450.85pt;height:.05pt;mso-width-percent:0;mso-height-percent:0;mso-width-percent:0;mso-height-percent:0" o:hrpct="999" o:hralign="center" o:hrstd="t" o:hr="t" fillcolor="#a0a0a0" stroked="f"/>
        </w:pict>
      </w:r>
    </w:p>
    <w:p w14:paraId="0843EFF6"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B. Simulation Implementation Details</w:t>
      </w:r>
    </w:p>
    <w:p w14:paraId="31595C80" w14:textId="77777777" w:rsidR="002E2674" w:rsidRPr="002E2674" w:rsidRDefault="002E2674" w:rsidP="002E2674">
      <w:pPr>
        <w:numPr>
          <w:ilvl w:val="0"/>
          <w:numId w:val="29"/>
        </w:numPr>
        <w:rPr>
          <w:rFonts w:ascii="Times New Roman" w:hAnsi="Times New Roman" w:cs="Times New Roman"/>
        </w:rPr>
      </w:pPr>
      <w:r w:rsidRPr="002E2674">
        <w:rPr>
          <w:rFonts w:ascii="Times New Roman" w:hAnsi="Times New Roman" w:cs="Times New Roman"/>
          <w:b/>
          <w:bCs/>
        </w:rPr>
        <w:t>Programming Environment and Software</w:t>
      </w:r>
    </w:p>
    <w:p w14:paraId="4C3E73D0"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Language</w:t>
      </w:r>
      <w:r w:rsidRPr="002E2674">
        <w:rPr>
          <w:rFonts w:ascii="Times New Roman" w:hAnsi="Times New Roman" w:cs="Times New Roman"/>
        </w:rPr>
        <w:t>: The core simulation was written in Python 3.9, though R 4.1.2 was used for statistical analysis and plotting.</w:t>
      </w:r>
    </w:p>
    <w:p w14:paraId="12EDE030"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Libraries</w:t>
      </w:r>
      <w:r w:rsidRPr="002E2674">
        <w:rPr>
          <w:rFonts w:ascii="Times New Roman" w:hAnsi="Times New Roman" w:cs="Times New Roman"/>
        </w:rPr>
        <w:t>:</w:t>
      </w:r>
    </w:p>
    <w:p w14:paraId="4ABE3AF3" w14:textId="77777777" w:rsidR="002E2674" w:rsidRPr="002E2674" w:rsidRDefault="002E2674" w:rsidP="002E2674">
      <w:pPr>
        <w:numPr>
          <w:ilvl w:val="2"/>
          <w:numId w:val="29"/>
        </w:numPr>
        <w:rPr>
          <w:rFonts w:ascii="Times New Roman" w:hAnsi="Times New Roman" w:cs="Times New Roman"/>
        </w:rPr>
      </w:pPr>
      <w:r w:rsidRPr="002E2674">
        <w:rPr>
          <w:rFonts w:ascii="Times New Roman" w:hAnsi="Times New Roman" w:cs="Times New Roman"/>
          <w:i/>
          <w:iCs/>
        </w:rPr>
        <w:lastRenderedPageBreak/>
        <w:t>Python:</w:t>
      </w:r>
      <w:r w:rsidRPr="002E2674">
        <w:rPr>
          <w:rFonts w:ascii="Times New Roman" w:hAnsi="Times New Roman" w:cs="Times New Roman"/>
        </w:rPr>
        <w:t xml:space="preserve"> NumPy (for random number generation, vectorized operations), Pandas (data handling), SciPy (distribution fitting), Joblib (parallelization).</w:t>
      </w:r>
    </w:p>
    <w:p w14:paraId="7EE847E0" w14:textId="77777777" w:rsidR="002E2674" w:rsidRPr="002E2674" w:rsidRDefault="002E2674" w:rsidP="002E2674">
      <w:pPr>
        <w:numPr>
          <w:ilvl w:val="2"/>
          <w:numId w:val="29"/>
        </w:numPr>
        <w:rPr>
          <w:rFonts w:ascii="Times New Roman" w:hAnsi="Times New Roman" w:cs="Times New Roman"/>
        </w:rPr>
      </w:pPr>
      <w:r w:rsidRPr="002E2674">
        <w:rPr>
          <w:rFonts w:ascii="Times New Roman" w:hAnsi="Times New Roman" w:cs="Times New Roman"/>
          <w:i/>
          <w:iCs/>
        </w:rPr>
        <w:t>R:</w:t>
      </w:r>
      <w:r w:rsidRPr="002E2674">
        <w:rPr>
          <w:rFonts w:ascii="Times New Roman" w:hAnsi="Times New Roman" w:cs="Times New Roman"/>
        </w:rPr>
        <w:t xml:space="preserve"> tidyverse (data wrangling, visualization), pROC (ROC curve analysis), metafor (for meta-analytic effect size calculations).</w:t>
      </w:r>
    </w:p>
    <w:p w14:paraId="301A6725" w14:textId="77777777" w:rsidR="002E2674" w:rsidRPr="002E2674" w:rsidRDefault="002E2674" w:rsidP="002E2674">
      <w:pPr>
        <w:numPr>
          <w:ilvl w:val="0"/>
          <w:numId w:val="29"/>
        </w:numPr>
        <w:rPr>
          <w:rFonts w:ascii="Times New Roman" w:hAnsi="Times New Roman" w:cs="Times New Roman"/>
        </w:rPr>
      </w:pPr>
      <w:r w:rsidRPr="002E2674">
        <w:rPr>
          <w:rFonts w:ascii="Times New Roman" w:hAnsi="Times New Roman" w:cs="Times New Roman"/>
          <w:b/>
          <w:bCs/>
        </w:rPr>
        <w:t>Monte Carlo Design</w:t>
      </w:r>
    </w:p>
    <w:p w14:paraId="7FF3B933"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Number of Runs</w:t>
      </w:r>
      <w:r w:rsidRPr="002E2674">
        <w:rPr>
          <w:rFonts w:ascii="Times New Roman" w:hAnsi="Times New Roman" w:cs="Times New Roman"/>
        </w:rPr>
        <w:t>: n=50,000n = 50{,}000n=50,000 virtual individuals to ensure stable estimates of small-probability events.</w:t>
      </w:r>
    </w:p>
    <w:p w14:paraId="4414D3A9"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Random Seeding</w:t>
      </w:r>
      <w:r w:rsidRPr="002E2674">
        <w:rPr>
          <w:rFonts w:ascii="Times New Roman" w:hAnsi="Times New Roman" w:cs="Times New Roman"/>
        </w:rPr>
        <w:t>: All random draws were seeded (e.g., np.random.seed(12345)) for reproducibility, though repeated runs with different seeds did not substantially change results.</w:t>
      </w:r>
    </w:p>
    <w:p w14:paraId="6E08D73A"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Parameter Sampling</w:t>
      </w:r>
      <w:r w:rsidRPr="002E2674">
        <w:rPr>
          <w:rFonts w:ascii="Times New Roman" w:hAnsi="Times New Roman" w:cs="Times New Roman"/>
        </w:rPr>
        <w:t>: Key risk factors (genetics, environment, epigenetics, etc.) are drawn from distributions informed by meta-analyses. Each virtual individual receives a unique parameter set.</w:t>
      </w:r>
    </w:p>
    <w:p w14:paraId="6435CE4B" w14:textId="2E12E334" w:rsidR="002E2674" w:rsidRPr="002E2674" w:rsidRDefault="002E2674" w:rsidP="002E2674">
      <w:pPr>
        <w:numPr>
          <w:ilvl w:val="0"/>
          <w:numId w:val="29"/>
        </w:numPr>
        <w:rPr>
          <w:rFonts w:ascii="Times New Roman" w:hAnsi="Times New Roman" w:cs="Times New Roman"/>
        </w:rPr>
      </w:pPr>
      <w:r w:rsidRPr="002E2674">
        <w:rPr>
          <w:rFonts w:ascii="Times New Roman" w:hAnsi="Times New Roman" w:cs="Times New Roman"/>
          <w:b/>
          <w:bCs/>
        </w:rPr>
        <w:t>Key Variables and Probability Distributions</w:t>
      </w:r>
      <w:r w:rsidRPr="002E2674">
        <w:rPr>
          <w:rFonts w:ascii="Times New Roman" w:hAnsi="Times New Roman" w:cs="Times New Roman"/>
        </w:rPr>
        <w:br/>
        <w:t xml:space="preserve">The table below summarizes the main parameters. Distributions were selected to mirror empirical data (e.g., from meta-analyses of ASD, psychosis, and known effect sizes). Unless indicated, </w:t>
      </w:r>
      <w:r w:rsidR="00B070DA">
        <w:rPr>
          <w:rFonts w:ascii="Times New Roman" w:hAnsi="Times New Roman" w:cs="Times New Roman"/>
        </w:rPr>
        <w:t>I</w:t>
      </w:r>
      <w:r w:rsidRPr="002E2674">
        <w:rPr>
          <w:rFonts w:ascii="Times New Roman" w:hAnsi="Times New Roman" w:cs="Times New Roman"/>
        </w:rPr>
        <w:t xml:space="preserve"> used continuous distributions (beta, normal, gamma) trimmed to plausible ranges.</w:t>
      </w:r>
    </w:p>
    <w:tbl>
      <w:tblPr>
        <w:tblW w:w="0" w:type="auto"/>
        <w:tblCellSpacing w:w="15" w:type="dxa"/>
        <w:tblInd w:w="720" w:type="dxa"/>
        <w:tblCellMar>
          <w:top w:w="15" w:type="dxa"/>
          <w:left w:w="15" w:type="dxa"/>
          <w:bottom w:w="15" w:type="dxa"/>
          <w:right w:w="15" w:type="dxa"/>
        </w:tblCellMar>
        <w:tblLook w:val="04A0" w:firstRow="1" w:lastRow="0" w:firstColumn="1" w:lastColumn="0" w:noHBand="0" w:noVBand="1"/>
      </w:tblPr>
      <w:tblGrid>
        <w:gridCol w:w="2033"/>
        <w:gridCol w:w="3590"/>
        <w:gridCol w:w="2677"/>
      </w:tblGrid>
      <w:tr w:rsidR="002E2674" w:rsidRPr="002E2674" w14:paraId="0AC554F6" w14:textId="77777777" w:rsidTr="002E2674">
        <w:trPr>
          <w:tblHeader/>
          <w:tblCellSpacing w:w="15" w:type="dxa"/>
        </w:trPr>
        <w:tc>
          <w:tcPr>
            <w:tcW w:w="0" w:type="auto"/>
            <w:vAlign w:val="center"/>
            <w:hideMark/>
          </w:tcPr>
          <w:p w14:paraId="7F3807C2"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Parameter</w:t>
            </w:r>
          </w:p>
        </w:tc>
        <w:tc>
          <w:tcPr>
            <w:tcW w:w="0" w:type="auto"/>
            <w:vAlign w:val="center"/>
            <w:hideMark/>
          </w:tcPr>
          <w:p w14:paraId="238E88A0"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Distribution / Range</w:t>
            </w:r>
          </w:p>
        </w:tc>
        <w:tc>
          <w:tcPr>
            <w:tcW w:w="0" w:type="auto"/>
            <w:vAlign w:val="center"/>
            <w:hideMark/>
          </w:tcPr>
          <w:p w14:paraId="2E1C3260"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Source / Rationale</w:t>
            </w:r>
          </w:p>
        </w:tc>
      </w:tr>
      <w:tr w:rsidR="002E2674" w:rsidRPr="002E2674" w14:paraId="0F4968A7" w14:textId="77777777" w:rsidTr="002E2674">
        <w:trPr>
          <w:tblCellSpacing w:w="15" w:type="dxa"/>
        </w:trPr>
        <w:tc>
          <w:tcPr>
            <w:tcW w:w="0" w:type="auto"/>
            <w:vAlign w:val="center"/>
            <w:hideMark/>
          </w:tcPr>
          <w:p w14:paraId="4F590ACD"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Polygenic risk (ASD)</w:t>
            </w:r>
          </w:p>
        </w:tc>
        <w:tc>
          <w:tcPr>
            <w:tcW w:w="0" w:type="auto"/>
            <w:vAlign w:val="center"/>
            <w:hideMark/>
          </w:tcPr>
          <w:p w14:paraId="26004579"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Normal(μ=0\mu=0μ=0, σ=1\sigma=1σ=1) mapped to 0–1 quantile</w:t>
            </w:r>
          </w:p>
        </w:tc>
        <w:tc>
          <w:tcPr>
            <w:tcW w:w="0" w:type="auto"/>
            <w:vAlign w:val="center"/>
            <w:hideMark/>
          </w:tcPr>
          <w:p w14:paraId="7375F51E"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Large-scale GWAS data (Refs. 9, 23)</w:t>
            </w:r>
          </w:p>
        </w:tc>
      </w:tr>
      <w:tr w:rsidR="002E2674" w:rsidRPr="002E2674" w14:paraId="1A11A7D6" w14:textId="77777777" w:rsidTr="002E2674">
        <w:trPr>
          <w:tblCellSpacing w:w="15" w:type="dxa"/>
        </w:trPr>
        <w:tc>
          <w:tcPr>
            <w:tcW w:w="0" w:type="auto"/>
            <w:vAlign w:val="center"/>
            <w:hideMark/>
          </w:tcPr>
          <w:p w14:paraId="0E407FC0"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Polygenic risk (psychosis)</w:t>
            </w:r>
          </w:p>
        </w:tc>
        <w:tc>
          <w:tcPr>
            <w:tcW w:w="0" w:type="auto"/>
            <w:vAlign w:val="center"/>
            <w:hideMark/>
          </w:tcPr>
          <w:p w14:paraId="5B719B40"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Normal(μ=0\mu=0μ=0, σ=1\sigma=1σ=1) mapped to 0–1 quantile</w:t>
            </w:r>
          </w:p>
        </w:tc>
        <w:tc>
          <w:tcPr>
            <w:tcW w:w="0" w:type="auto"/>
            <w:vAlign w:val="center"/>
            <w:hideMark/>
          </w:tcPr>
          <w:p w14:paraId="305DD06D"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Schizophrenia GWAS (Refs. 3, 23)</w:t>
            </w:r>
          </w:p>
        </w:tc>
      </w:tr>
      <w:tr w:rsidR="002E2674" w:rsidRPr="002E2674" w14:paraId="0AEEA7E8" w14:textId="77777777" w:rsidTr="002E2674">
        <w:trPr>
          <w:tblCellSpacing w:w="15" w:type="dxa"/>
        </w:trPr>
        <w:tc>
          <w:tcPr>
            <w:tcW w:w="0" w:type="auto"/>
            <w:vAlign w:val="center"/>
            <w:hideMark/>
          </w:tcPr>
          <w:p w14:paraId="32608619"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Epigenetic modulation</w:t>
            </w:r>
          </w:p>
        </w:tc>
        <w:tc>
          <w:tcPr>
            <w:tcW w:w="0" w:type="auto"/>
            <w:vAlign w:val="center"/>
            <w:hideMark/>
          </w:tcPr>
          <w:p w14:paraId="3C054041"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Uniform(0,1) scaled to effect sizes</w:t>
            </w:r>
          </w:p>
        </w:tc>
        <w:tc>
          <w:tcPr>
            <w:tcW w:w="0" w:type="auto"/>
            <w:vAlign w:val="center"/>
            <w:hideMark/>
          </w:tcPr>
          <w:p w14:paraId="307EC8EB"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Empirical estimates of maternal/fetal environment</w:t>
            </w:r>
          </w:p>
        </w:tc>
      </w:tr>
      <w:tr w:rsidR="002E2674" w:rsidRPr="002E2674" w14:paraId="705BF302" w14:textId="77777777" w:rsidTr="002E2674">
        <w:trPr>
          <w:tblCellSpacing w:w="15" w:type="dxa"/>
        </w:trPr>
        <w:tc>
          <w:tcPr>
            <w:tcW w:w="0" w:type="auto"/>
            <w:vAlign w:val="center"/>
            <w:hideMark/>
          </w:tcPr>
          <w:p w14:paraId="00AC1C2B"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Maternal immune activation</w:t>
            </w:r>
          </w:p>
        </w:tc>
        <w:tc>
          <w:tcPr>
            <w:tcW w:w="0" w:type="auto"/>
            <w:vAlign w:val="center"/>
            <w:hideMark/>
          </w:tcPr>
          <w:p w14:paraId="65C14987"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Bernoulli(p=0.08–0.16)</w:t>
            </w:r>
          </w:p>
        </w:tc>
        <w:tc>
          <w:tcPr>
            <w:tcW w:w="0" w:type="auto"/>
            <w:vAlign w:val="center"/>
            <w:hideMark/>
          </w:tcPr>
          <w:p w14:paraId="432EAAD1"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Observed range in epidemiological data</w:t>
            </w:r>
          </w:p>
        </w:tc>
      </w:tr>
      <w:tr w:rsidR="002E2674" w:rsidRPr="002E2674" w14:paraId="22862B8C" w14:textId="77777777" w:rsidTr="002E2674">
        <w:trPr>
          <w:tblCellSpacing w:w="15" w:type="dxa"/>
        </w:trPr>
        <w:tc>
          <w:tcPr>
            <w:tcW w:w="0" w:type="auto"/>
            <w:vAlign w:val="center"/>
            <w:hideMark/>
          </w:tcPr>
          <w:p w14:paraId="128680D3"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Prenatal toxins</w:t>
            </w:r>
          </w:p>
        </w:tc>
        <w:tc>
          <w:tcPr>
            <w:tcW w:w="0" w:type="auto"/>
            <w:vAlign w:val="center"/>
            <w:hideMark/>
          </w:tcPr>
          <w:p w14:paraId="4D08E41C"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Bernoulli(p=0.06–0.11)</w:t>
            </w:r>
          </w:p>
        </w:tc>
        <w:tc>
          <w:tcPr>
            <w:tcW w:w="0" w:type="auto"/>
            <w:vAlign w:val="center"/>
            <w:hideMark/>
          </w:tcPr>
          <w:p w14:paraId="6923EE9F"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Meta-analyses (Refs. 12, 13)</w:t>
            </w:r>
          </w:p>
        </w:tc>
      </w:tr>
      <w:tr w:rsidR="002E2674" w:rsidRPr="002E2674" w14:paraId="3703828A" w14:textId="77777777" w:rsidTr="002E2674">
        <w:trPr>
          <w:tblCellSpacing w:w="15" w:type="dxa"/>
        </w:trPr>
        <w:tc>
          <w:tcPr>
            <w:tcW w:w="0" w:type="auto"/>
            <w:vAlign w:val="center"/>
            <w:hideMark/>
          </w:tcPr>
          <w:p w14:paraId="10414EE9"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Environmental adversity</w:t>
            </w:r>
          </w:p>
        </w:tc>
        <w:tc>
          <w:tcPr>
            <w:tcW w:w="0" w:type="auto"/>
            <w:vAlign w:val="center"/>
            <w:hideMark/>
          </w:tcPr>
          <w:p w14:paraId="347D0B33"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Ordinal(0–3) categories, weighted by socioeconomic data</w:t>
            </w:r>
          </w:p>
        </w:tc>
        <w:tc>
          <w:tcPr>
            <w:tcW w:w="0" w:type="auto"/>
            <w:vAlign w:val="center"/>
            <w:hideMark/>
          </w:tcPr>
          <w:p w14:paraId="3C23731A"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Large global cohorts (Ref. 19, 21)</w:t>
            </w:r>
          </w:p>
        </w:tc>
      </w:tr>
      <w:tr w:rsidR="002E2674" w:rsidRPr="002E2674" w14:paraId="6F723ED8" w14:textId="77777777" w:rsidTr="002E2674">
        <w:trPr>
          <w:tblCellSpacing w:w="15" w:type="dxa"/>
        </w:trPr>
        <w:tc>
          <w:tcPr>
            <w:tcW w:w="0" w:type="auto"/>
            <w:vAlign w:val="center"/>
            <w:hideMark/>
          </w:tcPr>
          <w:p w14:paraId="1CB3B6A9"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lastRenderedPageBreak/>
              <w:t>Filtering threshold (baseline)</w:t>
            </w:r>
          </w:p>
        </w:tc>
        <w:tc>
          <w:tcPr>
            <w:tcW w:w="0" w:type="auto"/>
            <w:vAlign w:val="center"/>
            <w:hideMark/>
          </w:tcPr>
          <w:p w14:paraId="357332A8"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Beta(α=2\alpha=2α=2, β=5\beta=5β=5) shifted to typical adult range</w:t>
            </w:r>
          </w:p>
        </w:tc>
        <w:tc>
          <w:tcPr>
            <w:tcW w:w="0" w:type="auto"/>
            <w:vAlign w:val="center"/>
            <w:hideMark/>
          </w:tcPr>
          <w:p w14:paraId="1F6B38E4"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See next sub-section for threshold structure</w:t>
            </w:r>
          </w:p>
        </w:tc>
      </w:tr>
      <w:tr w:rsidR="002E2674" w:rsidRPr="002E2674" w14:paraId="44CBEE71" w14:textId="77777777" w:rsidTr="002E2674">
        <w:trPr>
          <w:tblCellSpacing w:w="15" w:type="dxa"/>
        </w:trPr>
        <w:tc>
          <w:tcPr>
            <w:tcW w:w="0" w:type="auto"/>
            <w:vAlign w:val="center"/>
            <w:hideMark/>
          </w:tcPr>
          <w:p w14:paraId="0CE1D145" w14:textId="77777777" w:rsidR="002E2674" w:rsidRPr="002E2674" w:rsidRDefault="002E2674" w:rsidP="002E2674">
            <w:pPr>
              <w:rPr>
                <w:rFonts w:ascii="Times New Roman" w:hAnsi="Times New Roman" w:cs="Times New Roman"/>
              </w:rPr>
            </w:pPr>
            <w:r w:rsidRPr="002E2674">
              <w:rPr>
                <w:rFonts w:ascii="Times New Roman" w:hAnsi="Times New Roman" w:cs="Times New Roman"/>
                <w:b/>
                <w:bCs/>
              </w:rPr>
              <w:t>Limbic reactivity</w:t>
            </w:r>
          </w:p>
        </w:tc>
        <w:tc>
          <w:tcPr>
            <w:tcW w:w="0" w:type="auto"/>
            <w:vAlign w:val="center"/>
            <w:hideMark/>
          </w:tcPr>
          <w:p w14:paraId="4E25EDA7"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Beta(α=5\alpha=5α=5, β=2\beta=2β=2) for stress reactivity</w:t>
            </w:r>
          </w:p>
        </w:tc>
        <w:tc>
          <w:tcPr>
            <w:tcW w:w="0" w:type="auto"/>
            <w:vAlign w:val="center"/>
            <w:hideMark/>
          </w:tcPr>
          <w:p w14:paraId="201AF23E"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Mapped from standardized stress scales, imaging data</w:t>
            </w:r>
          </w:p>
        </w:tc>
      </w:tr>
    </w:tbl>
    <w:p w14:paraId="5E874E8C" w14:textId="77777777" w:rsidR="002E2674" w:rsidRPr="002E2674" w:rsidRDefault="002E2674" w:rsidP="002E2674">
      <w:pPr>
        <w:numPr>
          <w:ilvl w:val="0"/>
          <w:numId w:val="29"/>
        </w:numPr>
        <w:rPr>
          <w:rFonts w:ascii="Times New Roman" w:hAnsi="Times New Roman" w:cs="Times New Roman"/>
        </w:rPr>
      </w:pPr>
      <w:r w:rsidRPr="002E2674">
        <w:rPr>
          <w:rFonts w:ascii="Times New Roman" w:hAnsi="Times New Roman" w:cs="Times New Roman"/>
          <w:b/>
          <w:bCs/>
        </w:rPr>
        <w:t>Filtering Threshold Dynamics</w:t>
      </w:r>
    </w:p>
    <w:p w14:paraId="07DD477A"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Baseline Threshold (θ0\theta_0θ0​)</w:t>
      </w:r>
      <w:r w:rsidRPr="002E2674">
        <w:rPr>
          <w:rFonts w:ascii="Times New Roman" w:hAnsi="Times New Roman" w:cs="Times New Roman"/>
        </w:rPr>
        <w:t>: Each virtual individual starts with a default threshold drawn from a Beta distribution.</w:t>
      </w:r>
    </w:p>
    <w:p w14:paraId="4F0BB50A"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Age-Dependent Adjustments</w:t>
      </w:r>
      <w:r w:rsidRPr="002E2674">
        <w:rPr>
          <w:rFonts w:ascii="Times New Roman" w:hAnsi="Times New Roman" w:cs="Times New Roman"/>
        </w:rPr>
        <w:t>: θ\thetaθ is dynamically updated in discrete epochs (early childhood, adolescence, adulthood) to reflect typical neurodevelopment.</w:t>
      </w:r>
    </w:p>
    <w:p w14:paraId="0F2D106F"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Limbic Modulation</w:t>
      </w:r>
      <w:r w:rsidRPr="002E2674">
        <w:rPr>
          <w:rFonts w:ascii="Times New Roman" w:hAnsi="Times New Roman" w:cs="Times New Roman"/>
        </w:rPr>
        <w:t>: Under stress or threat contexts, θ\thetaθ decreases by a factor Δ(stress)\Delta(\text{stress})Δ(stress), allowing more low-certainty predictions to rise to conscious awareness. This captures the well-documented “aberrant salience” phenomenon in psychosis.</w:t>
      </w:r>
    </w:p>
    <w:p w14:paraId="4EDC36F5" w14:textId="77777777" w:rsidR="002E2674" w:rsidRPr="002E2674" w:rsidRDefault="002E2674" w:rsidP="002E2674">
      <w:pPr>
        <w:numPr>
          <w:ilvl w:val="0"/>
          <w:numId w:val="29"/>
        </w:numPr>
        <w:rPr>
          <w:rFonts w:ascii="Times New Roman" w:hAnsi="Times New Roman" w:cs="Times New Roman"/>
        </w:rPr>
      </w:pPr>
      <w:r w:rsidRPr="002E2674">
        <w:rPr>
          <w:rFonts w:ascii="Times New Roman" w:hAnsi="Times New Roman" w:cs="Times New Roman"/>
          <w:b/>
          <w:bCs/>
        </w:rPr>
        <w:t>Differentiation of ASD vs. Psychosis</w:t>
      </w:r>
    </w:p>
    <w:p w14:paraId="71353D87" w14:textId="77777777"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ASD</w:t>
      </w:r>
      <w:r w:rsidRPr="002E2674">
        <w:rPr>
          <w:rFonts w:ascii="Times New Roman" w:hAnsi="Times New Roman" w:cs="Times New Roman"/>
        </w:rPr>
        <w:t>: Filtering threshold θ\thetaθ is disrupted or fails to develop appropriately from birth or early infancy, leading to:</w:t>
      </w:r>
    </w:p>
    <w:p w14:paraId="22864CCB" w14:textId="77777777" w:rsidR="002E2674" w:rsidRPr="002E2674" w:rsidRDefault="002E2674" w:rsidP="002E2674">
      <w:pPr>
        <w:numPr>
          <w:ilvl w:val="2"/>
          <w:numId w:val="30"/>
        </w:numPr>
        <w:rPr>
          <w:rFonts w:ascii="Times New Roman" w:hAnsi="Times New Roman" w:cs="Times New Roman"/>
        </w:rPr>
      </w:pPr>
      <w:r w:rsidRPr="002E2674">
        <w:rPr>
          <w:rFonts w:ascii="Times New Roman" w:hAnsi="Times New Roman" w:cs="Times New Roman"/>
        </w:rPr>
        <w:t>Chronic microstate overload (excess sensory detail).</w:t>
      </w:r>
    </w:p>
    <w:p w14:paraId="153CDF31" w14:textId="77777777" w:rsidR="002E2674" w:rsidRPr="002E2674" w:rsidRDefault="002E2674" w:rsidP="002E2674">
      <w:pPr>
        <w:numPr>
          <w:ilvl w:val="2"/>
          <w:numId w:val="30"/>
        </w:numPr>
        <w:rPr>
          <w:rFonts w:ascii="Times New Roman" w:hAnsi="Times New Roman" w:cs="Times New Roman"/>
        </w:rPr>
      </w:pPr>
      <w:r w:rsidRPr="002E2674">
        <w:rPr>
          <w:rFonts w:ascii="Times New Roman" w:hAnsi="Times New Roman" w:cs="Times New Roman"/>
        </w:rPr>
        <w:t>Limited adaptive macrostate formation (rigidity, narrow interests).</w:t>
      </w:r>
    </w:p>
    <w:p w14:paraId="5B4B0D4D" w14:textId="77777777" w:rsidR="002E2674" w:rsidRPr="002E2674" w:rsidRDefault="002E2674" w:rsidP="002E2674">
      <w:pPr>
        <w:numPr>
          <w:ilvl w:val="2"/>
          <w:numId w:val="30"/>
        </w:numPr>
        <w:rPr>
          <w:rFonts w:ascii="Times New Roman" w:hAnsi="Times New Roman" w:cs="Times New Roman"/>
        </w:rPr>
      </w:pPr>
      <w:r w:rsidRPr="002E2674">
        <w:rPr>
          <w:rFonts w:ascii="Times New Roman" w:hAnsi="Times New Roman" w:cs="Times New Roman"/>
        </w:rPr>
        <w:t>Persistent vulnerability to high-entropy stimuli (resulting in meltdown/shutdown).</w:t>
      </w:r>
    </w:p>
    <w:p w14:paraId="694A2D25" w14:textId="0835D910" w:rsidR="002E2674" w:rsidRPr="002E2674" w:rsidRDefault="002E2674" w:rsidP="002E2674">
      <w:pPr>
        <w:numPr>
          <w:ilvl w:val="1"/>
          <w:numId w:val="29"/>
        </w:numPr>
        <w:rPr>
          <w:rFonts w:ascii="Times New Roman" w:hAnsi="Times New Roman" w:cs="Times New Roman"/>
        </w:rPr>
      </w:pPr>
      <w:r w:rsidRPr="002E2674">
        <w:rPr>
          <w:rFonts w:ascii="Times New Roman" w:hAnsi="Times New Roman" w:cs="Times New Roman"/>
          <w:b/>
          <w:bCs/>
        </w:rPr>
        <w:t>Psychosis</w:t>
      </w:r>
      <w:r w:rsidRPr="002E2674">
        <w:rPr>
          <w:rFonts w:ascii="Times New Roman" w:hAnsi="Times New Roman" w:cs="Times New Roman"/>
        </w:rPr>
        <w:t>: Normal or near-normal threshold in infancy/childhood. A “late breakdown” occurs—</w:t>
      </w:r>
      <w:r w:rsidR="007A02DD" w:rsidRPr="002E2674">
        <w:rPr>
          <w:rFonts w:ascii="Times New Roman" w:hAnsi="Times New Roman" w:cs="Times New Roman"/>
        </w:rPr>
        <w:t>modelled</w:t>
      </w:r>
      <w:r w:rsidRPr="002E2674">
        <w:rPr>
          <w:rFonts w:ascii="Times New Roman" w:hAnsi="Times New Roman" w:cs="Times New Roman"/>
        </w:rPr>
        <w:t xml:space="preserve"> as a sudden or progressive lowering of θ\thetaθ during adolescence or early adulthood—potentially triggered by stress, epigenetic changes, or cumulative environment/genetic risk.</w:t>
      </w:r>
    </w:p>
    <w:p w14:paraId="5DB2CD0A"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3A52221D">
          <v:rect id="_x0000_i1041" alt="" style="width:450.85pt;height:.05pt;mso-width-percent:0;mso-height-percent:0;mso-width-percent:0;mso-height-percent:0" o:hrpct="999" o:hralign="center" o:hrstd="t" o:hr="t" fillcolor="#a0a0a0" stroked="f"/>
        </w:pict>
      </w:r>
    </w:p>
    <w:p w14:paraId="2F70E85A" w14:textId="7EB48169"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 xml:space="preserve">C. </w:t>
      </w:r>
      <w:r w:rsidR="007A02DD">
        <w:rPr>
          <w:rFonts w:ascii="Times New Roman" w:hAnsi="Times New Roman" w:cs="Times New Roman"/>
          <w:b/>
          <w:bCs/>
        </w:rPr>
        <w:t>Modelling</w:t>
      </w:r>
      <w:r w:rsidRPr="002E2674">
        <w:rPr>
          <w:rFonts w:ascii="Times New Roman" w:hAnsi="Times New Roman" w:cs="Times New Roman"/>
          <w:b/>
          <w:bCs/>
        </w:rPr>
        <w:t xml:space="preserve"> of Clinical Phenotypes and Outcomes</w:t>
      </w:r>
    </w:p>
    <w:p w14:paraId="198E97DE" w14:textId="77777777" w:rsidR="002E2674" w:rsidRPr="002E2674" w:rsidRDefault="002E2674" w:rsidP="002E2674">
      <w:pPr>
        <w:numPr>
          <w:ilvl w:val="0"/>
          <w:numId w:val="31"/>
        </w:numPr>
        <w:rPr>
          <w:rFonts w:ascii="Times New Roman" w:hAnsi="Times New Roman" w:cs="Times New Roman"/>
        </w:rPr>
      </w:pPr>
      <w:r w:rsidRPr="002E2674">
        <w:rPr>
          <w:rFonts w:ascii="Times New Roman" w:hAnsi="Times New Roman" w:cs="Times New Roman"/>
          <w:b/>
          <w:bCs/>
        </w:rPr>
        <w:t>Phenotypic Classification</w:t>
      </w:r>
    </w:p>
    <w:p w14:paraId="0E64EAF4"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ASD-Like Profile</w:t>
      </w:r>
      <w:r w:rsidRPr="002E2674">
        <w:rPr>
          <w:rFonts w:ascii="Times New Roman" w:hAnsi="Times New Roman" w:cs="Times New Roman"/>
        </w:rPr>
        <w:t>: If significant microstate overload occurs before age 5, with no return to normal filtering for at least 5 consecutive annual cycles, the virtual individual is classified as ASD-like.</w:t>
      </w:r>
    </w:p>
    <w:p w14:paraId="50965B2C"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lastRenderedPageBreak/>
        <w:t>Psychosis-Like Profile</w:t>
      </w:r>
      <w:r w:rsidRPr="002E2674">
        <w:rPr>
          <w:rFonts w:ascii="Times New Roman" w:hAnsi="Times New Roman" w:cs="Times New Roman"/>
        </w:rPr>
        <w:t>: If normal filtering occurs up to mid-teens or early adulthood, followed by a marked drop in θ\thetaθ, leading to delusional or hallucinatory macrostates.</w:t>
      </w:r>
    </w:p>
    <w:p w14:paraId="33347A3B"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Other Phenotypes</w:t>
      </w:r>
      <w:r w:rsidRPr="002E2674">
        <w:rPr>
          <w:rFonts w:ascii="Times New Roman" w:hAnsi="Times New Roman" w:cs="Times New Roman"/>
        </w:rPr>
        <w:t>: Some simulations yield borderline or mixed results (e.g., partial filtering disruptions). These do not meet strict ASD/psychosis criteria but help validate the continuum model.</w:t>
      </w:r>
    </w:p>
    <w:p w14:paraId="7F41FBB4" w14:textId="7896465D" w:rsidR="002E2674" w:rsidRPr="002E2674" w:rsidRDefault="002E2674" w:rsidP="002E2674">
      <w:pPr>
        <w:numPr>
          <w:ilvl w:val="0"/>
          <w:numId w:val="31"/>
        </w:numPr>
        <w:rPr>
          <w:rFonts w:ascii="Times New Roman" w:hAnsi="Times New Roman" w:cs="Times New Roman"/>
        </w:rPr>
      </w:pPr>
      <w:r w:rsidRPr="002E2674">
        <w:rPr>
          <w:rFonts w:ascii="Times New Roman" w:hAnsi="Times New Roman" w:cs="Times New Roman"/>
          <w:b/>
          <w:bCs/>
        </w:rPr>
        <w:t>Therapeutic Interventions</w:t>
      </w:r>
      <w:r w:rsidRPr="002E2674">
        <w:rPr>
          <w:rFonts w:ascii="Times New Roman" w:hAnsi="Times New Roman" w:cs="Times New Roman"/>
        </w:rPr>
        <w:br/>
      </w:r>
      <w:r w:rsidR="00B070DA">
        <w:rPr>
          <w:rFonts w:ascii="Times New Roman" w:hAnsi="Times New Roman" w:cs="Times New Roman"/>
        </w:rPr>
        <w:t>I</w:t>
      </w:r>
      <w:r w:rsidRPr="002E2674">
        <w:rPr>
          <w:rFonts w:ascii="Times New Roman" w:hAnsi="Times New Roman" w:cs="Times New Roman"/>
        </w:rPr>
        <w:t xml:space="preserve"> </w:t>
      </w:r>
      <w:r w:rsidR="007A02DD">
        <w:rPr>
          <w:rFonts w:ascii="Times New Roman" w:hAnsi="Times New Roman" w:cs="Times New Roman"/>
        </w:rPr>
        <w:t>modelled</w:t>
      </w:r>
      <w:r w:rsidRPr="002E2674">
        <w:rPr>
          <w:rFonts w:ascii="Times New Roman" w:hAnsi="Times New Roman" w:cs="Times New Roman"/>
        </w:rPr>
        <w:t xml:space="preserve"> interventions as shifts in either the baseline threshold (θ0\theta_0θ0​), the limbic reactivity curve, or the capacity for adaptive compensation (macrostates). Each therapy has an effect size distribution, typically drawn from normal or log-normal distributions centered on meta-analytic means.</w:t>
      </w:r>
    </w:p>
    <w:p w14:paraId="2162132A"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Early Sensory Integration/Precision</w:t>
      </w:r>
      <w:r w:rsidRPr="002E2674">
        <w:rPr>
          <w:rFonts w:ascii="Times New Roman" w:hAnsi="Times New Roman" w:cs="Times New Roman"/>
        </w:rPr>
        <w:t>: Improves microstate compression by slightly raising θ\thetaθ in early life (0–5 years).</w:t>
      </w:r>
    </w:p>
    <w:p w14:paraId="4A8605F4" w14:textId="77777777" w:rsidR="002E2674" w:rsidRPr="002E2674" w:rsidRDefault="002E2674" w:rsidP="002E2674">
      <w:pPr>
        <w:numPr>
          <w:ilvl w:val="1"/>
          <w:numId w:val="31"/>
        </w:numPr>
        <w:rPr>
          <w:rFonts w:ascii="Times New Roman" w:hAnsi="Times New Roman" w:cs="Times New Roman"/>
        </w:rPr>
      </w:pPr>
      <w:r>
        <w:t>Metacognitive/Executive Function Therapy: Enhances the stability and flexibility of macrostates, especially effective in psychosis cohorts with existing adaptive inference history.</w:t>
      </w:r>
    </w:p>
    <w:p w14:paraId="129F375D"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Pharmacologic Salience Modulation</w:t>
      </w:r>
      <w:r w:rsidRPr="002E2674">
        <w:rPr>
          <w:rFonts w:ascii="Times New Roman" w:hAnsi="Times New Roman" w:cs="Times New Roman"/>
        </w:rPr>
        <w:t>: Directly modulates limbic–salience coupling, thus shifting Δ(stress)\Delta(\text{stress})Δ(stress).</w:t>
      </w:r>
    </w:p>
    <w:p w14:paraId="011B9679"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Polytherapy</w:t>
      </w:r>
      <w:r w:rsidRPr="002E2674">
        <w:rPr>
          <w:rFonts w:ascii="Times New Roman" w:hAnsi="Times New Roman" w:cs="Times New Roman"/>
        </w:rPr>
        <w:t>: Superimposes multiple therapy effects, with diminishing returns beyond the sum of effect sizes if an upper threshold on θ\thetaθ is reached.</w:t>
      </w:r>
    </w:p>
    <w:p w14:paraId="1A684F77" w14:textId="77777777" w:rsidR="002E2674" w:rsidRPr="002E2674" w:rsidRDefault="002E2674" w:rsidP="002E2674">
      <w:pPr>
        <w:numPr>
          <w:ilvl w:val="0"/>
          <w:numId w:val="31"/>
        </w:numPr>
        <w:rPr>
          <w:rFonts w:ascii="Times New Roman" w:hAnsi="Times New Roman" w:cs="Times New Roman"/>
        </w:rPr>
      </w:pPr>
      <w:r w:rsidRPr="002E2674">
        <w:rPr>
          <w:rFonts w:ascii="Times New Roman" w:hAnsi="Times New Roman" w:cs="Times New Roman"/>
          <w:b/>
          <w:bCs/>
        </w:rPr>
        <w:t>Outcome Criteria</w:t>
      </w:r>
    </w:p>
    <w:p w14:paraId="2EBD41DA"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Clinically Meaningful Benefit</w:t>
      </w:r>
      <w:r w:rsidRPr="002E2674">
        <w:rPr>
          <w:rFonts w:ascii="Times New Roman" w:hAnsi="Times New Roman" w:cs="Times New Roman"/>
        </w:rPr>
        <w:t>: Defined as ≥30% improvement on standardized symptom or functioning scales. For ASD, these scales emphasize social-communication and adaptive functioning; for psychosis, reduction in positive symptoms (delusions, hallucinations) and improved functional outcomes.</w:t>
      </w:r>
    </w:p>
    <w:p w14:paraId="2D942153" w14:textId="77777777" w:rsidR="002E2674" w:rsidRPr="002E2674" w:rsidRDefault="002E2674" w:rsidP="002E2674">
      <w:pPr>
        <w:numPr>
          <w:ilvl w:val="1"/>
          <w:numId w:val="31"/>
        </w:numPr>
        <w:rPr>
          <w:rFonts w:ascii="Times New Roman" w:hAnsi="Times New Roman" w:cs="Times New Roman"/>
        </w:rPr>
      </w:pPr>
      <w:r w:rsidRPr="002E2674">
        <w:rPr>
          <w:rFonts w:ascii="Times New Roman" w:hAnsi="Times New Roman" w:cs="Times New Roman"/>
          <w:b/>
          <w:bCs/>
        </w:rPr>
        <w:t>Relapse/Progression Prevention</w:t>
      </w:r>
      <w:r w:rsidRPr="002E2674">
        <w:rPr>
          <w:rFonts w:ascii="Times New Roman" w:hAnsi="Times New Roman" w:cs="Times New Roman"/>
        </w:rPr>
        <w:t>: In the psychosis arm, attenuation of transition from prodromal to full-blown psychosis or from first episode to chronic relapsing illness.</w:t>
      </w:r>
    </w:p>
    <w:p w14:paraId="26CF362C"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1B0C6EB1">
          <v:rect id="_x0000_i1042" alt="" style="width:450.85pt;height:.05pt;mso-width-percent:0;mso-height-percent:0;mso-width-percent:0;mso-height-percent:0" o:hrpct="999" o:hralign="center" o:hrstd="t" o:hr="t" fillcolor="#a0a0a0" stroked="f"/>
        </w:pict>
      </w:r>
    </w:p>
    <w:p w14:paraId="765DFCFA"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D. Statistical Analysis and Model Validation</w:t>
      </w:r>
    </w:p>
    <w:p w14:paraId="0EBEF3DA" w14:textId="77777777" w:rsidR="002E2674" w:rsidRPr="002E2674" w:rsidRDefault="002E2674" w:rsidP="002E2674">
      <w:pPr>
        <w:numPr>
          <w:ilvl w:val="0"/>
          <w:numId w:val="32"/>
        </w:numPr>
        <w:rPr>
          <w:rFonts w:ascii="Times New Roman" w:hAnsi="Times New Roman" w:cs="Times New Roman"/>
        </w:rPr>
      </w:pPr>
      <w:r w:rsidRPr="002E2674">
        <w:rPr>
          <w:rFonts w:ascii="Times New Roman" w:hAnsi="Times New Roman" w:cs="Times New Roman"/>
          <w:b/>
          <w:bCs/>
        </w:rPr>
        <w:t>Model Calibration</w:t>
      </w:r>
    </w:p>
    <w:p w14:paraId="4E9DB927" w14:textId="558402E0" w:rsidR="002E2674" w:rsidRPr="002E2674" w:rsidRDefault="007A02DD" w:rsidP="002E2674">
      <w:pPr>
        <w:numPr>
          <w:ilvl w:val="1"/>
          <w:numId w:val="32"/>
        </w:numPr>
        <w:rPr>
          <w:rFonts w:ascii="Times New Roman" w:hAnsi="Times New Roman" w:cs="Times New Roman"/>
        </w:rPr>
      </w:pPr>
      <w:r>
        <w:rPr>
          <w:rFonts w:ascii="Times New Roman" w:hAnsi="Times New Roman" w:cs="Times New Roman"/>
        </w:rPr>
        <w:t xml:space="preserve">I </w:t>
      </w:r>
      <w:r w:rsidR="002E2674" w:rsidRPr="002E2674">
        <w:rPr>
          <w:rFonts w:ascii="Times New Roman" w:hAnsi="Times New Roman" w:cs="Times New Roman"/>
        </w:rPr>
        <w:t>performed an initial calibration with smaller samples (n=5,000n = 5{,}000n=5,000) to tune parameter ranges, ensuring that the proportion of ASD- vs. psychosis-like outcomes aligned roughly with known prevalence (~1–2% for ASD, ~1% for schizophrenia spectrum across populations, acknowledging partial overlap and underdiagnosis).</w:t>
      </w:r>
    </w:p>
    <w:p w14:paraId="13D4E789" w14:textId="77777777"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rPr>
        <w:lastRenderedPageBreak/>
        <w:t>A final run (n=50,000n = 50{,}000n=50,000) was then used to generate the primary estimates (AUC, PPV, NPV, etc.).</w:t>
      </w:r>
    </w:p>
    <w:p w14:paraId="69C3287E" w14:textId="77777777" w:rsidR="002E2674" w:rsidRPr="002E2674" w:rsidRDefault="002E2674" w:rsidP="002E2674">
      <w:pPr>
        <w:numPr>
          <w:ilvl w:val="0"/>
          <w:numId w:val="32"/>
        </w:numPr>
        <w:rPr>
          <w:rFonts w:ascii="Times New Roman" w:hAnsi="Times New Roman" w:cs="Times New Roman"/>
        </w:rPr>
      </w:pPr>
      <w:r w:rsidRPr="002E2674">
        <w:rPr>
          <w:rFonts w:ascii="Times New Roman" w:hAnsi="Times New Roman" w:cs="Times New Roman"/>
          <w:b/>
          <w:bCs/>
        </w:rPr>
        <w:t>Fit Metrics</w:t>
      </w:r>
    </w:p>
    <w:p w14:paraId="7EF54CAD" w14:textId="6DAF2B5C"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b/>
          <w:bCs/>
        </w:rPr>
        <w:t>ROC Analysis</w:t>
      </w:r>
      <w:r w:rsidRPr="002E2674">
        <w:rPr>
          <w:rFonts w:ascii="Times New Roman" w:hAnsi="Times New Roman" w:cs="Times New Roman"/>
        </w:rPr>
        <w:t xml:space="preserve">: </w:t>
      </w:r>
      <w:r w:rsidR="00B070DA">
        <w:rPr>
          <w:rFonts w:ascii="Times New Roman" w:hAnsi="Times New Roman" w:cs="Times New Roman"/>
        </w:rPr>
        <w:t>I</w:t>
      </w:r>
      <w:r w:rsidRPr="002E2674">
        <w:rPr>
          <w:rFonts w:ascii="Times New Roman" w:hAnsi="Times New Roman" w:cs="Times New Roman"/>
        </w:rPr>
        <w:t xml:space="preserve"> mapped the simulated probability of “ASD-like” vs. “psychosis-like” outcomes onto actual real-world data to derive an ROC curve.</w:t>
      </w:r>
    </w:p>
    <w:p w14:paraId="238B8010" w14:textId="6E8DEB2D"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b/>
          <w:bCs/>
        </w:rPr>
        <w:t>Positive/Negative Predictive Values</w:t>
      </w:r>
      <w:r w:rsidRPr="002E2674">
        <w:rPr>
          <w:rFonts w:ascii="Times New Roman" w:hAnsi="Times New Roman" w:cs="Times New Roman"/>
        </w:rPr>
        <w:t>: Calculated for each condition by comparing model-</w:t>
      </w:r>
      <w:r w:rsidR="007A02DD" w:rsidRPr="002E2674">
        <w:rPr>
          <w:rFonts w:ascii="Times New Roman" w:hAnsi="Times New Roman" w:cs="Times New Roman"/>
        </w:rPr>
        <w:t>labelled</w:t>
      </w:r>
      <w:r w:rsidRPr="002E2674">
        <w:rPr>
          <w:rFonts w:ascii="Times New Roman" w:hAnsi="Times New Roman" w:cs="Times New Roman"/>
        </w:rPr>
        <w:t xml:space="preserve"> “cases” to known epidemiological estimates.</w:t>
      </w:r>
    </w:p>
    <w:p w14:paraId="39BC98FD" w14:textId="77777777"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b/>
          <w:bCs/>
        </w:rPr>
        <w:t>Credible Intervals (95% CI)</w:t>
      </w:r>
      <w:r w:rsidRPr="002E2674">
        <w:rPr>
          <w:rFonts w:ascii="Times New Roman" w:hAnsi="Times New Roman" w:cs="Times New Roman"/>
        </w:rPr>
        <w:t>: Derived from 2.5th and 97.5th percentiles of 10,000 bootstrap re-samples from the main simulation output.</w:t>
      </w:r>
    </w:p>
    <w:p w14:paraId="1345FE13" w14:textId="77777777" w:rsidR="002E2674" w:rsidRPr="002E2674" w:rsidRDefault="002E2674" w:rsidP="002E2674">
      <w:pPr>
        <w:numPr>
          <w:ilvl w:val="0"/>
          <w:numId w:val="32"/>
        </w:numPr>
        <w:rPr>
          <w:rFonts w:ascii="Times New Roman" w:hAnsi="Times New Roman" w:cs="Times New Roman"/>
        </w:rPr>
      </w:pPr>
      <w:r w:rsidRPr="002E2674">
        <w:rPr>
          <w:rFonts w:ascii="Times New Roman" w:hAnsi="Times New Roman" w:cs="Times New Roman"/>
          <w:b/>
          <w:bCs/>
        </w:rPr>
        <w:t>Sensitivity Analyses</w:t>
      </w:r>
    </w:p>
    <w:p w14:paraId="7F30E269" w14:textId="77777777"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b/>
          <w:bCs/>
        </w:rPr>
        <w:t>Parameter Perturbation</w:t>
      </w:r>
      <w:r w:rsidRPr="002E2674">
        <w:rPr>
          <w:rFonts w:ascii="Times New Roman" w:hAnsi="Times New Roman" w:cs="Times New Roman"/>
        </w:rPr>
        <w:t>: Each major parameter (e.g., maternal age effect, polygenic risk weighting) was varied ±20% from baseline to assess stability of model outputs.</w:t>
      </w:r>
    </w:p>
    <w:p w14:paraId="116AC93D" w14:textId="2C2854F1"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b/>
          <w:bCs/>
        </w:rPr>
        <w:t>Diagnostic Drift</w:t>
      </w:r>
      <w:r w:rsidRPr="002E2674">
        <w:rPr>
          <w:rFonts w:ascii="Times New Roman" w:hAnsi="Times New Roman" w:cs="Times New Roman"/>
        </w:rPr>
        <w:t xml:space="preserve">: </w:t>
      </w:r>
      <w:r w:rsidR="007A02DD">
        <w:rPr>
          <w:rFonts w:ascii="Times New Roman" w:hAnsi="Times New Roman" w:cs="Times New Roman"/>
        </w:rPr>
        <w:t xml:space="preserve">I </w:t>
      </w:r>
      <w:r w:rsidRPr="002E2674">
        <w:rPr>
          <w:rFonts w:ascii="Times New Roman" w:hAnsi="Times New Roman" w:cs="Times New Roman"/>
        </w:rPr>
        <w:t>manipulated the fraction of “true” ASD prevalence increases vs. changes in diagnostic criteria or awareness (range 35–65% true rise) to confirm consistent model classification.</w:t>
      </w:r>
    </w:p>
    <w:p w14:paraId="48B6DCA3" w14:textId="77777777" w:rsidR="002E2674" w:rsidRPr="002E2674" w:rsidRDefault="002E2674" w:rsidP="002E2674">
      <w:pPr>
        <w:numPr>
          <w:ilvl w:val="0"/>
          <w:numId w:val="32"/>
        </w:numPr>
        <w:rPr>
          <w:rFonts w:ascii="Times New Roman" w:hAnsi="Times New Roman" w:cs="Times New Roman"/>
        </w:rPr>
      </w:pPr>
      <w:r w:rsidRPr="002E2674">
        <w:rPr>
          <w:rFonts w:ascii="Times New Roman" w:hAnsi="Times New Roman" w:cs="Times New Roman"/>
          <w:b/>
          <w:bCs/>
        </w:rPr>
        <w:t>Comparison to External Datasets</w:t>
      </w:r>
    </w:p>
    <w:p w14:paraId="2A3B2AE3" w14:textId="77777777"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rPr>
        <w:t>External data sources included large-scale epidemiological studies for ASD (Refs. 7, 8, 19, 21) and psychosis or schizophrenia (Refs. 3, 4).</w:t>
      </w:r>
    </w:p>
    <w:p w14:paraId="3AE91FDB" w14:textId="77777777" w:rsidR="002E2674" w:rsidRPr="002E2674" w:rsidRDefault="002E2674" w:rsidP="002E2674">
      <w:pPr>
        <w:numPr>
          <w:ilvl w:val="1"/>
          <w:numId w:val="32"/>
        </w:numPr>
        <w:rPr>
          <w:rFonts w:ascii="Times New Roman" w:hAnsi="Times New Roman" w:cs="Times New Roman"/>
        </w:rPr>
      </w:pPr>
      <w:r w:rsidRPr="002E2674">
        <w:rPr>
          <w:rFonts w:ascii="Times New Roman" w:hAnsi="Times New Roman" w:cs="Times New Roman"/>
        </w:rPr>
        <w:t>Concordance for onset age distributions, male-to-female ratios, and comorbidity patterns was also assessed qualitatively.</w:t>
      </w:r>
    </w:p>
    <w:p w14:paraId="1C77E2C9"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5C43D9D7">
          <v:rect id="_x0000_i1043" alt="" style="width:450.85pt;height:.05pt;mso-width-percent:0;mso-height-percent:0;mso-width-percent:0;mso-height-percent:0" o:hrpct="999" o:hralign="center" o:hrstd="t" o:hr="t" fillcolor="#a0a0a0" stroked="f"/>
        </w:pict>
      </w:r>
    </w:p>
    <w:p w14:paraId="3E4404C6"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E. Code and Data Availability</w:t>
      </w:r>
    </w:p>
    <w:p w14:paraId="5277EBE8" w14:textId="77777777" w:rsidR="002E2674" w:rsidRPr="002E2674" w:rsidRDefault="002E2674" w:rsidP="002E2674">
      <w:pPr>
        <w:numPr>
          <w:ilvl w:val="0"/>
          <w:numId w:val="33"/>
        </w:numPr>
        <w:rPr>
          <w:rFonts w:ascii="Times New Roman" w:hAnsi="Times New Roman" w:cs="Times New Roman"/>
        </w:rPr>
      </w:pPr>
      <w:r w:rsidRPr="002E2674">
        <w:rPr>
          <w:rFonts w:ascii="Times New Roman" w:hAnsi="Times New Roman" w:cs="Times New Roman"/>
          <w:b/>
          <w:bCs/>
        </w:rPr>
        <w:t>Code Repository</w:t>
      </w:r>
    </w:p>
    <w:p w14:paraId="5DA20429" w14:textId="0A2442EE" w:rsidR="002E2674" w:rsidRPr="002E2674" w:rsidRDefault="007A02DD" w:rsidP="002E2674">
      <w:pPr>
        <w:numPr>
          <w:ilvl w:val="1"/>
          <w:numId w:val="33"/>
        </w:numPr>
        <w:rPr>
          <w:rFonts w:ascii="Times New Roman" w:hAnsi="Times New Roman" w:cs="Times New Roman"/>
        </w:rPr>
      </w:pPr>
      <w:r>
        <w:rPr>
          <w:rFonts w:ascii="Times New Roman" w:hAnsi="Times New Roman" w:cs="Times New Roman"/>
        </w:rPr>
        <w:t xml:space="preserve">I </w:t>
      </w:r>
      <w:r w:rsidR="002E2674" w:rsidRPr="002E2674">
        <w:rPr>
          <w:rFonts w:ascii="Times New Roman" w:hAnsi="Times New Roman" w:cs="Times New Roman"/>
        </w:rPr>
        <w:t>maintain a private GitHub repository (hosted by the corresponding author’s institution) containing Python scripts for running the simulation and R Markdown notebooks for analyzing outputs. Access can be granted to qualified researchers upon request, subject to ethical and data-sharing constraints.</w:t>
      </w:r>
    </w:p>
    <w:p w14:paraId="2B8693C7" w14:textId="77777777" w:rsidR="002E2674" w:rsidRPr="002E2674" w:rsidRDefault="002E2674" w:rsidP="002E2674">
      <w:pPr>
        <w:numPr>
          <w:ilvl w:val="0"/>
          <w:numId w:val="33"/>
        </w:numPr>
        <w:rPr>
          <w:rFonts w:ascii="Times New Roman" w:hAnsi="Times New Roman" w:cs="Times New Roman"/>
        </w:rPr>
      </w:pPr>
      <w:r w:rsidRPr="002E2674">
        <w:rPr>
          <w:rFonts w:ascii="Times New Roman" w:hAnsi="Times New Roman" w:cs="Times New Roman"/>
          <w:b/>
          <w:bCs/>
        </w:rPr>
        <w:t>Data Sources</w:t>
      </w:r>
    </w:p>
    <w:p w14:paraId="64E00EEF" w14:textId="77777777" w:rsidR="002E2674" w:rsidRPr="002E2674" w:rsidRDefault="002E2674" w:rsidP="002E2674">
      <w:pPr>
        <w:numPr>
          <w:ilvl w:val="1"/>
          <w:numId w:val="33"/>
        </w:numPr>
        <w:rPr>
          <w:rFonts w:ascii="Times New Roman" w:hAnsi="Times New Roman" w:cs="Times New Roman"/>
        </w:rPr>
      </w:pPr>
      <w:r w:rsidRPr="002E2674">
        <w:rPr>
          <w:rFonts w:ascii="Times New Roman" w:hAnsi="Times New Roman" w:cs="Times New Roman"/>
        </w:rPr>
        <w:t>Publicly available summary statistics from meta-analyses and GWAS consortia (e.g., PGC data for schizophrenia) were used to define prior distributions for genetic risks. Detailed references are listed in the main text (Refs. 9, 23).</w:t>
      </w:r>
    </w:p>
    <w:p w14:paraId="02A9D845" w14:textId="77777777" w:rsidR="002E2674" w:rsidRPr="002E2674" w:rsidRDefault="00000000" w:rsidP="002E2674">
      <w:pPr>
        <w:rPr>
          <w:rFonts w:ascii="Times New Roman" w:hAnsi="Times New Roman" w:cs="Times New Roman"/>
        </w:rPr>
      </w:pPr>
      <w:r>
        <w:rPr>
          <w:rFonts w:ascii="Times New Roman" w:hAnsi="Times New Roman" w:cs="Times New Roman"/>
          <w:noProof/>
        </w:rPr>
        <w:lastRenderedPageBreak/>
        <w:pict w14:anchorId="0D7947AF">
          <v:rect id="_x0000_i1044" alt="" style="width:450.85pt;height:.05pt;mso-width-percent:0;mso-height-percent:0;mso-width-percent:0;mso-height-percent:0" o:hrpct="999" o:hralign="center" o:hrstd="t" o:hr="t" fillcolor="#a0a0a0" stroked="f"/>
        </w:pict>
      </w:r>
    </w:p>
    <w:p w14:paraId="48DA82B1"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F. Additional Notes on Mechanistic Interpretation</w:t>
      </w:r>
    </w:p>
    <w:p w14:paraId="01D49FEA" w14:textId="77777777" w:rsidR="002E2674" w:rsidRPr="002E2674" w:rsidRDefault="002E2674" w:rsidP="002E2674">
      <w:pPr>
        <w:numPr>
          <w:ilvl w:val="0"/>
          <w:numId w:val="34"/>
        </w:numPr>
        <w:rPr>
          <w:rFonts w:ascii="Times New Roman" w:hAnsi="Times New Roman" w:cs="Times New Roman"/>
        </w:rPr>
      </w:pPr>
      <w:r w:rsidRPr="002E2674">
        <w:rPr>
          <w:rFonts w:ascii="Times New Roman" w:hAnsi="Times New Roman" w:cs="Times New Roman"/>
          <w:b/>
          <w:bCs/>
        </w:rPr>
        <w:t>Hierarchical Bayesian Updating</w:t>
      </w:r>
    </w:p>
    <w:p w14:paraId="550795CB" w14:textId="77777777" w:rsidR="002E2674" w:rsidRPr="002E2674" w:rsidRDefault="002E2674" w:rsidP="002E2674">
      <w:pPr>
        <w:numPr>
          <w:ilvl w:val="1"/>
          <w:numId w:val="34"/>
        </w:numPr>
        <w:rPr>
          <w:rFonts w:ascii="Times New Roman" w:hAnsi="Times New Roman" w:cs="Times New Roman"/>
        </w:rPr>
      </w:pPr>
      <w:r w:rsidRPr="002E2674">
        <w:rPr>
          <w:rFonts w:ascii="Times New Roman" w:hAnsi="Times New Roman" w:cs="Times New Roman"/>
        </w:rPr>
        <w:t>Although not fully implemented as a formal hierarchical Bayesian model (e.g., in Stan or PyMC), the simulation conceptually mirrors repeated Bayesian updating at each level of recursion. The “deductive entropy” filter is akin to a hyper-parameter controlling how much posterior variance is tolerated before a hypothesis is discarded.</w:t>
      </w:r>
    </w:p>
    <w:p w14:paraId="1F0A7906" w14:textId="77777777" w:rsidR="002E2674" w:rsidRPr="002E2674" w:rsidRDefault="002E2674" w:rsidP="002E2674">
      <w:pPr>
        <w:numPr>
          <w:ilvl w:val="0"/>
          <w:numId w:val="34"/>
        </w:numPr>
        <w:rPr>
          <w:rFonts w:ascii="Times New Roman" w:hAnsi="Times New Roman" w:cs="Times New Roman"/>
        </w:rPr>
      </w:pPr>
      <w:r w:rsidRPr="002E2674">
        <w:rPr>
          <w:rFonts w:ascii="Times New Roman" w:hAnsi="Times New Roman" w:cs="Times New Roman"/>
          <w:b/>
          <w:bCs/>
        </w:rPr>
        <w:t>Alignment with Predictive Coding Theory</w:t>
      </w:r>
    </w:p>
    <w:p w14:paraId="6FD1915A" w14:textId="77777777" w:rsidR="002E2674" w:rsidRPr="002E2674" w:rsidRDefault="002E2674" w:rsidP="002E2674">
      <w:pPr>
        <w:numPr>
          <w:ilvl w:val="1"/>
          <w:numId w:val="34"/>
        </w:numPr>
        <w:rPr>
          <w:rFonts w:ascii="Times New Roman" w:hAnsi="Times New Roman" w:cs="Times New Roman"/>
        </w:rPr>
      </w:pPr>
      <w:r w:rsidRPr="002E2674">
        <w:rPr>
          <w:rFonts w:ascii="Times New Roman" w:hAnsi="Times New Roman" w:cs="Times New Roman"/>
        </w:rPr>
        <w:t>This model is not intended to supersede established predictive coding frameworks; rather, it provides an explicit operationalization for the threshold (or gating) function that decides which prediction errors are salient enough to revise macrostates.</w:t>
      </w:r>
    </w:p>
    <w:p w14:paraId="55C2100C" w14:textId="77777777" w:rsidR="002E2674" w:rsidRPr="002E2674" w:rsidRDefault="002E2674" w:rsidP="002E2674">
      <w:pPr>
        <w:numPr>
          <w:ilvl w:val="0"/>
          <w:numId w:val="34"/>
        </w:numPr>
        <w:rPr>
          <w:rFonts w:ascii="Times New Roman" w:hAnsi="Times New Roman" w:cs="Times New Roman"/>
        </w:rPr>
      </w:pPr>
      <w:r w:rsidRPr="002E2674">
        <w:rPr>
          <w:rFonts w:ascii="Times New Roman" w:hAnsi="Times New Roman" w:cs="Times New Roman"/>
          <w:b/>
          <w:bCs/>
        </w:rPr>
        <w:t>Model Granularity vs. Parsimony</w:t>
      </w:r>
    </w:p>
    <w:p w14:paraId="10EE7AFF" w14:textId="5863CE57" w:rsidR="002E2674" w:rsidRPr="002E2674" w:rsidRDefault="002E2674" w:rsidP="002E2674">
      <w:pPr>
        <w:numPr>
          <w:ilvl w:val="1"/>
          <w:numId w:val="34"/>
        </w:numPr>
        <w:rPr>
          <w:rFonts w:ascii="Times New Roman" w:hAnsi="Times New Roman" w:cs="Times New Roman"/>
        </w:rPr>
      </w:pPr>
      <w:r>
        <w:t xml:space="preserve">The current approach prioritizes </w:t>
      </w:r>
      <w:r w:rsidR="007A02DD">
        <w:t>modelling</w:t>
      </w:r>
      <w:r>
        <w:t xml:space="preserve"> clarity to ensure the model can be applied to large populations. More complex neuron-level or circuit-level simulations (e.g., spiking networks or dynamical systems </w:t>
      </w:r>
      <w:r w:rsidR="007A02DD">
        <w:t>modelling</w:t>
      </w:r>
      <w:r>
        <w:t>) would be complementary but are not strictly necessary to capture population-level phenomena such as diagnostic classification rates and broad intervention efficacy.</w:t>
      </w:r>
    </w:p>
    <w:p w14:paraId="27F14BED"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213462A4">
          <v:rect id="_x0000_i1045" alt="" style="width:450.85pt;height:.05pt;mso-width-percent:0;mso-height-percent:0;mso-width-percent:0;mso-height-percent:0" o:hrpct="999" o:hralign="center" o:hrstd="t" o:hr="t" fillcolor="#a0a0a0" stroked="f"/>
        </w:pict>
      </w:r>
    </w:p>
    <w:p w14:paraId="6EFA7AEB"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G. Future Directions for Empirical Testing</w:t>
      </w:r>
    </w:p>
    <w:p w14:paraId="1A4A6F93" w14:textId="77777777" w:rsidR="002E2674" w:rsidRPr="002E2674" w:rsidRDefault="002E2674" w:rsidP="002E2674">
      <w:pPr>
        <w:numPr>
          <w:ilvl w:val="0"/>
          <w:numId w:val="35"/>
        </w:numPr>
        <w:rPr>
          <w:rFonts w:ascii="Times New Roman" w:hAnsi="Times New Roman" w:cs="Times New Roman"/>
        </w:rPr>
      </w:pPr>
      <w:r w:rsidRPr="002E2674">
        <w:rPr>
          <w:rFonts w:ascii="Times New Roman" w:hAnsi="Times New Roman" w:cs="Times New Roman"/>
          <w:b/>
          <w:bCs/>
        </w:rPr>
        <w:t>Neuroimaging Studies</w:t>
      </w:r>
    </w:p>
    <w:p w14:paraId="34A72AF4" w14:textId="77777777" w:rsidR="002E2674" w:rsidRPr="002E2674" w:rsidRDefault="002E2674" w:rsidP="002E2674">
      <w:pPr>
        <w:numPr>
          <w:ilvl w:val="1"/>
          <w:numId w:val="35"/>
        </w:numPr>
        <w:rPr>
          <w:rFonts w:ascii="Times New Roman" w:hAnsi="Times New Roman" w:cs="Times New Roman"/>
        </w:rPr>
      </w:pPr>
      <w:r w:rsidRPr="002E2674">
        <w:rPr>
          <w:rFonts w:ascii="Times New Roman" w:hAnsi="Times New Roman" w:cs="Times New Roman"/>
          <w:i/>
          <w:iCs/>
        </w:rPr>
        <w:t>fMRI/EEG-based Measures of Salience Thresholds:</w:t>
      </w:r>
      <w:r w:rsidRPr="002E2674">
        <w:rPr>
          <w:rFonts w:ascii="Times New Roman" w:hAnsi="Times New Roman" w:cs="Times New Roman"/>
        </w:rPr>
        <w:t xml:space="preserve"> Designing tasks that induce controlled uncertainty—e.g., oddball paradigms with variable predictability—and measuring salience network activation.</w:t>
      </w:r>
    </w:p>
    <w:p w14:paraId="0C27903C" w14:textId="77777777" w:rsidR="002E2674" w:rsidRPr="002E2674" w:rsidRDefault="002E2674" w:rsidP="002E2674">
      <w:pPr>
        <w:numPr>
          <w:ilvl w:val="1"/>
          <w:numId w:val="35"/>
        </w:numPr>
        <w:rPr>
          <w:rFonts w:ascii="Times New Roman" w:hAnsi="Times New Roman" w:cs="Times New Roman"/>
        </w:rPr>
      </w:pPr>
      <w:r w:rsidRPr="002E2674">
        <w:rPr>
          <w:rFonts w:ascii="Times New Roman" w:hAnsi="Times New Roman" w:cs="Times New Roman"/>
          <w:i/>
          <w:iCs/>
        </w:rPr>
        <w:t>Stress-Induction Protocols:</w:t>
      </w:r>
      <w:r w:rsidRPr="002E2674">
        <w:rPr>
          <w:rFonts w:ascii="Times New Roman" w:hAnsi="Times New Roman" w:cs="Times New Roman"/>
        </w:rPr>
        <w:t xml:space="preserve"> Tracking how amygdala and insula activation alter gating thresholds in real time.</w:t>
      </w:r>
    </w:p>
    <w:p w14:paraId="64D50D1C" w14:textId="77777777" w:rsidR="002E2674" w:rsidRPr="002E2674" w:rsidRDefault="002E2674" w:rsidP="002E2674">
      <w:pPr>
        <w:numPr>
          <w:ilvl w:val="0"/>
          <w:numId w:val="35"/>
        </w:numPr>
        <w:rPr>
          <w:rFonts w:ascii="Times New Roman" w:hAnsi="Times New Roman" w:cs="Times New Roman"/>
        </w:rPr>
      </w:pPr>
      <w:r w:rsidRPr="002E2674">
        <w:rPr>
          <w:rFonts w:ascii="Times New Roman" w:hAnsi="Times New Roman" w:cs="Times New Roman"/>
          <w:b/>
          <w:bCs/>
        </w:rPr>
        <w:t>Longitudinal Cohorts</w:t>
      </w:r>
    </w:p>
    <w:p w14:paraId="5C64D7AB" w14:textId="77777777" w:rsidR="002E2674" w:rsidRPr="002E2674" w:rsidRDefault="002E2674" w:rsidP="002E2674">
      <w:pPr>
        <w:numPr>
          <w:ilvl w:val="1"/>
          <w:numId w:val="35"/>
        </w:numPr>
        <w:rPr>
          <w:rFonts w:ascii="Times New Roman" w:hAnsi="Times New Roman" w:cs="Times New Roman"/>
        </w:rPr>
      </w:pPr>
      <w:r w:rsidRPr="002E2674">
        <w:rPr>
          <w:rFonts w:ascii="Times New Roman" w:hAnsi="Times New Roman" w:cs="Times New Roman"/>
        </w:rPr>
        <w:t>Repeated measures of sensory overload (in infancy) and delusional proneness (in adolescence) to see if these truly lie on a continuum of gating disruption, as the model predicts.</w:t>
      </w:r>
    </w:p>
    <w:p w14:paraId="23B29590" w14:textId="77777777" w:rsidR="002E2674" w:rsidRPr="002E2674" w:rsidRDefault="002E2674" w:rsidP="002E2674">
      <w:pPr>
        <w:numPr>
          <w:ilvl w:val="0"/>
          <w:numId w:val="35"/>
        </w:numPr>
        <w:rPr>
          <w:rFonts w:ascii="Times New Roman" w:hAnsi="Times New Roman" w:cs="Times New Roman"/>
        </w:rPr>
      </w:pPr>
      <w:r w:rsidRPr="002E2674">
        <w:rPr>
          <w:rFonts w:ascii="Times New Roman" w:hAnsi="Times New Roman" w:cs="Times New Roman"/>
          <w:b/>
          <w:bCs/>
        </w:rPr>
        <w:t>Intervention Trials</w:t>
      </w:r>
    </w:p>
    <w:p w14:paraId="15207202" w14:textId="77777777" w:rsidR="002E2674" w:rsidRPr="002E2674" w:rsidRDefault="002E2674" w:rsidP="002E2674">
      <w:pPr>
        <w:numPr>
          <w:ilvl w:val="1"/>
          <w:numId w:val="35"/>
        </w:numPr>
        <w:rPr>
          <w:rFonts w:ascii="Times New Roman" w:hAnsi="Times New Roman" w:cs="Times New Roman"/>
        </w:rPr>
      </w:pPr>
      <w:r w:rsidRPr="002E2674">
        <w:rPr>
          <w:rFonts w:ascii="Times New Roman" w:hAnsi="Times New Roman" w:cs="Times New Roman"/>
          <w:i/>
          <w:iCs/>
        </w:rPr>
        <w:t>Targeting Limbic–Salience Coupling:</w:t>
      </w:r>
      <w:r w:rsidRPr="002E2674">
        <w:rPr>
          <w:rFonts w:ascii="Times New Roman" w:hAnsi="Times New Roman" w:cs="Times New Roman"/>
        </w:rPr>
        <w:t xml:space="preserve"> Testing whether therapies that reduce stress-induced threshold drops (e.g., targeted CBT, neuromodulation of the </w:t>
      </w:r>
      <w:r w:rsidRPr="002E2674">
        <w:rPr>
          <w:rFonts w:ascii="Times New Roman" w:hAnsi="Times New Roman" w:cs="Times New Roman"/>
        </w:rPr>
        <w:lastRenderedPageBreak/>
        <w:t>anterior insula) can mitigate or delay onset of psychosis in high-risk individuals.</w:t>
      </w:r>
    </w:p>
    <w:p w14:paraId="18C26F26"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31D24A99">
          <v:rect id="_x0000_i1046" alt="" style="width:450.85pt;height:.05pt;mso-width-percent:0;mso-height-percent:0;mso-width-percent:0;mso-height-percent:0" o:hrpct="999" o:hralign="center" o:hrstd="t" o:hr="t" fillcolor="#a0a0a0" stroked="f"/>
        </w:pict>
      </w:r>
    </w:p>
    <w:p w14:paraId="762ED606"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References for the Technical Appendix</w:t>
      </w:r>
    </w:p>
    <w:p w14:paraId="7DD5A07B" w14:textId="77777777" w:rsidR="002E2674" w:rsidRPr="002E2674" w:rsidRDefault="002E2674" w:rsidP="002E2674">
      <w:pPr>
        <w:rPr>
          <w:rFonts w:ascii="Times New Roman" w:hAnsi="Times New Roman" w:cs="Times New Roman"/>
        </w:rPr>
      </w:pPr>
      <w:r w:rsidRPr="002E2674">
        <w:rPr>
          <w:rFonts w:ascii="Times New Roman" w:hAnsi="Times New Roman" w:cs="Times New Roman"/>
        </w:rPr>
        <w:t>In addition to the references provided in the main text, the following specific sources informed code structure, parameter distributions, and methodological choices:</w:t>
      </w:r>
    </w:p>
    <w:p w14:paraId="077A9C14" w14:textId="77777777" w:rsidR="002E2674" w:rsidRPr="002E2674" w:rsidRDefault="002E2674" w:rsidP="002E2674">
      <w:pPr>
        <w:numPr>
          <w:ilvl w:val="0"/>
          <w:numId w:val="36"/>
        </w:numPr>
        <w:rPr>
          <w:rFonts w:ascii="Times New Roman" w:hAnsi="Times New Roman" w:cs="Times New Roman"/>
        </w:rPr>
      </w:pPr>
      <w:r w:rsidRPr="002E2674">
        <w:rPr>
          <w:rFonts w:ascii="Times New Roman" w:hAnsi="Times New Roman" w:cs="Times New Roman"/>
          <w:i/>
          <w:iCs/>
        </w:rPr>
        <w:t>Gelman A, Carlin JB, Stern HS, Dunson DB, Vehtari A, Rubin DB.</w:t>
      </w:r>
      <w:r w:rsidRPr="002E2674">
        <w:rPr>
          <w:rFonts w:ascii="Times New Roman" w:hAnsi="Times New Roman" w:cs="Times New Roman"/>
        </w:rPr>
        <w:t xml:space="preserve"> Bayesian Data Analysis. 3rd ed. Boca Raton, FL: CRC Press; 2013.</w:t>
      </w:r>
    </w:p>
    <w:p w14:paraId="05C25574" w14:textId="77777777" w:rsidR="002E2674" w:rsidRPr="002E2674" w:rsidRDefault="002E2674" w:rsidP="002E2674">
      <w:pPr>
        <w:numPr>
          <w:ilvl w:val="0"/>
          <w:numId w:val="36"/>
        </w:numPr>
        <w:rPr>
          <w:rFonts w:ascii="Times New Roman" w:hAnsi="Times New Roman" w:cs="Times New Roman"/>
        </w:rPr>
      </w:pPr>
      <w:r w:rsidRPr="002E2674">
        <w:rPr>
          <w:rFonts w:ascii="Times New Roman" w:hAnsi="Times New Roman" w:cs="Times New Roman"/>
          <w:i/>
          <w:iCs/>
        </w:rPr>
        <w:t>Kruschke JK.</w:t>
      </w:r>
      <w:r w:rsidRPr="002E2674">
        <w:rPr>
          <w:rFonts w:ascii="Times New Roman" w:hAnsi="Times New Roman" w:cs="Times New Roman"/>
        </w:rPr>
        <w:t xml:space="preserve"> Doing Bayesian Data Analysis: A Tutorial with R, JAGS, and Stan. 2nd ed. Academic Press; 2015.</w:t>
      </w:r>
    </w:p>
    <w:p w14:paraId="0B5500BC" w14:textId="77777777" w:rsidR="002E2674" w:rsidRPr="002E2674" w:rsidRDefault="002E2674" w:rsidP="002E2674">
      <w:pPr>
        <w:numPr>
          <w:ilvl w:val="0"/>
          <w:numId w:val="36"/>
        </w:numPr>
        <w:rPr>
          <w:rFonts w:ascii="Times New Roman" w:hAnsi="Times New Roman" w:cs="Times New Roman"/>
        </w:rPr>
      </w:pPr>
      <w:r w:rsidRPr="002E2674">
        <w:rPr>
          <w:rFonts w:ascii="Times New Roman" w:hAnsi="Times New Roman" w:cs="Times New Roman"/>
          <w:i/>
          <w:iCs/>
        </w:rPr>
        <w:t>Goodfellow I, Bengio Y, Courville A.</w:t>
      </w:r>
      <w:r w:rsidRPr="002E2674">
        <w:rPr>
          <w:rFonts w:ascii="Times New Roman" w:hAnsi="Times New Roman" w:cs="Times New Roman"/>
        </w:rPr>
        <w:t xml:space="preserve"> Deep Learning. MIT Press; 2016. (For hierarchical learning analogies, not direct architecture.)</w:t>
      </w:r>
    </w:p>
    <w:p w14:paraId="5709EB9C" w14:textId="77777777" w:rsidR="002E2674" w:rsidRPr="002E2674" w:rsidRDefault="00000000" w:rsidP="002E2674">
      <w:pPr>
        <w:rPr>
          <w:rFonts w:ascii="Times New Roman" w:hAnsi="Times New Roman" w:cs="Times New Roman"/>
        </w:rPr>
      </w:pPr>
      <w:r>
        <w:rPr>
          <w:rFonts w:ascii="Times New Roman" w:hAnsi="Times New Roman" w:cs="Times New Roman"/>
          <w:noProof/>
        </w:rPr>
        <w:pict w14:anchorId="06FC799D">
          <v:rect id="_x0000_i1047" alt="" style="width:450.85pt;height:.05pt;mso-width-percent:0;mso-height-percent:0;mso-width-percent:0;mso-height-percent:0" o:hrpct="999" o:hralign="center" o:hrstd="t" o:hr="t" fillcolor="#a0a0a0" stroked="f"/>
        </w:pict>
      </w:r>
    </w:p>
    <w:p w14:paraId="32A0AC2B" w14:textId="77777777" w:rsidR="002E2674" w:rsidRPr="002E2674" w:rsidRDefault="002E2674" w:rsidP="002E2674">
      <w:pPr>
        <w:rPr>
          <w:rFonts w:ascii="Times New Roman" w:hAnsi="Times New Roman" w:cs="Times New Roman"/>
          <w:b/>
          <w:bCs/>
        </w:rPr>
      </w:pPr>
      <w:r w:rsidRPr="002E2674">
        <w:rPr>
          <w:rFonts w:ascii="Times New Roman" w:hAnsi="Times New Roman" w:cs="Times New Roman"/>
          <w:b/>
          <w:bCs/>
        </w:rPr>
        <w:t>Concluding Remarks</w:t>
      </w:r>
    </w:p>
    <w:p w14:paraId="58F9C80F" w14:textId="53C725C2" w:rsidR="002E2674" w:rsidRPr="002E2674" w:rsidRDefault="002E2674" w:rsidP="002E2674">
      <w:pPr>
        <w:rPr>
          <w:rFonts w:ascii="Times New Roman" w:hAnsi="Times New Roman" w:cs="Times New Roman"/>
        </w:rPr>
      </w:pPr>
      <w:r w:rsidRPr="002E2674">
        <w:rPr>
          <w:rFonts w:ascii="Times New Roman" w:hAnsi="Times New Roman" w:cs="Times New Roman"/>
        </w:rPr>
        <w:t xml:space="preserve">By clearly describing the underlying assumptions, parameter distributions, computational details, and validation strategy, this </w:t>
      </w:r>
      <w:r w:rsidRPr="002E2674">
        <w:rPr>
          <w:rFonts w:ascii="Times New Roman" w:hAnsi="Times New Roman" w:cs="Times New Roman"/>
          <w:i/>
          <w:iCs/>
        </w:rPr>
        <w:t>Technical Appendix</w:t>
      </w:r>
      <w:r w:rsidRPr="002E2674">
        <w:rPr>
          <w:rFonts w:ascii="Times New Roman" w:hAnsi="Times New Roman" w:cs="Times New Roman"/>
        </w:rPr>
        <w:t xml:space="preserve"> aims to maximize transparency, replicability, and cross-validation potential. </w:t>
      </w:r>
      <w:r>
        <w:rPr>
          <w:rFonts w:ascii="Times New Roman" w:hAnsi="Times New Roman" w:cs="Times New Roman"/>
        </w:rPr>
        <w:t>I</w:t>
      </w:r>
      <w:r w:rsidRPr="002E2674">
        <w:rPr>
          <w:rFonts w:ascii="Times New Roman" w:hAnsi="Times New Roman" w:cs="Times New Roman"/>
        </w:rPr>
        <w:t xml:space="preserve"> hope it facilitates constructive peer review and encourages further refinements, empirical testing, and application to broader neuropsychiatric phenomena.</w:t>
      </w:r>
    </w:p>
    <w:p w14:paraId="6FAC92E1" w14:textId="77777777" w:rsidR="002045EC" w:rsidRPr="002045EC" w:rsidRDefault="002045EC">
      <w:pPr>
        <w:rPr>
          <w:rFonts w:ascii="Times New Roman" w:hAnsi="Times New Roman" w:cs="Times New Roman"/>
        </w:rPr>
      </w:pPr>
    </w:p>
    <w:sectPr w:rsidR="002045EC" w:rsidRPr="002045EC" w:rsidSect="00AB5B5D">
      <w:pgSz w:w="11900" w:h="1682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D3E00" w14:textId="77777777" w:rsidR="00025820" w:rsidRDefault="00025820" w:rsidP="00A6753F">
      <w:pPr>
        <w:spacing w:after="0" w:line="240" w:lineRule="auto"/>
      </w:pPr>
      <w:r>
        <w:separator/>
      </w:r>
    </w:p>
  </w:endnote>
  <w:endnote w:type="continuationSeparator" w:id="0">
    <w:p w14:paraId="7139F459" w14:textId="77777777" w:rsidR="00025820" w:rsidRDefault="00025820" w:rsidP="00A675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35496" w14:textId="77777777" w:rsidR="00025820" w:rsidRDefault="00025820" w:rsidP="00A6753F">
      <w:pPr>
        <w:spacing w:after="0" w:line="240" w:lineRule="auto"/>
      </w:pPr>
      <w:r>
        <w:separator/>
      </w:r>
    </w:p>
  </w:footnote>
  <w:footnote w:type="continuationSeparator" w:id="0">
    <w:p w14:paraId="220CC763" w14:textId="77777777" w:rsidR="00025820" w:rsidRDefault="00025820" w:rsidP="00A675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08D2"/>
    <w:multiLevelType w:val="multilevel"/>
    <w:tmpl w:val="07B64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82FE1"/>
    <w:multiLevelType w:val="multilevel"/>
    <w:tmpl w:val="21E83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01FF7"/>
    <w:multiLevelType w:val="multilevel"/>
    <w:tmpl w:val="1988E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D132B1"/>
    <w:multiLevelType w:val="multilevel"/>
    <w:tmpl w:val="EA240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E706B9"/>
    <w:multiLevelType w:val="multilevel"/>
    <w:tmpl w:val="2E68D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B82B3E"/>
    <w:multiLevelType w:val="multilevel"/>
    <w:tmpl w:val="3736A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CC0CD2"/>
    <w:multiLevelType w:val="multilevel"/>
    <w:tmpl w:val="0F0A5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2141D0"/>
    <w:multiLevelType w:val="multilevel"/>
    <w:tmpl w:val="33A846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6F37E6"/>
    <w:multiLevelType w:val="multilevel"/>
    <w:tmpl w:val="50786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1652B4"/>
    <w:multiLevelType w:val="multilevel"/>
    <w:tmpl w:val="07A83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117477"/>
    <w:multiLevelType w:val="multilevel"/>
    <w:tmpl w:val="977618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825CE1"/>
    <w:multiLevelType w:val="multilevel"/>
    <w:tmpl w:val="0032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403028"/>
    <w:multiLevelType w:val="multilevel"/>
    <w:tmpl w:val="4C42F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60091E"/>
    <w:multiLevelType w:val="multilevel"/>
    <w:tmpl w:val="DDA47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1317D9"/>
    <w:multiLevelType w:val="multilevel"/>
    <w:tmpl w:val="2F842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2C5C47"/>
    <w:multiLevelType w:val="multilevel"/>
    <w:tmpl w:val="9956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FD6A5C"/>
    <w:multiLevelType w:val="multilevel"/>
    <w:tmpl w:val="0D1689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192485"/>
    <w:multiLevelType w:val="multilevel"/>
    <w:tmpl w:val="53DEF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4650B4"/>
    <w:multiLevelType w:val="multilevel"/>
    <w:tmpl w:val="B900B9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6BC3248"/>
    <w:multiLevelType w:val="multilevel"/>
    <w:tmpl w:val="817C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3E3DAE"/>
    <w:multiLevelType w:val="multilevel"/>
    <w:tmpl w:val="18361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B23029"/>
    <w:multiLevelType w:val="multilevel"/>
    <w:tmpl w:val="AD28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231F7C"/>
    <w:multiLevelType w:val="multilevel"/>
    <w:tmpl w:val="14F69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B247AA"/>
    <w:multiLevelType w:val="multilevel"/>
    <w:tmpl w:val="1C58DD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A302EB"/>
    <w:multiLevelType w:val="multilevel"/>
    <w:tmpl w:val="1BBE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2517BF"/>
    <w:multiLevelType w:val="multilevel"/>
    <w:tmpl w:val="6F14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4A57E8"/>
    <w:multiLevelType w:val="multilevel"/>
    <w:tmpl w:val="4F6A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D450C1"/>
    <w:multiLevelType w:val="multilevel"/>
    <w:tmpl w:val="6092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C72082"/>
    <w:multiLevelType w:val="multilevel"/>
    <w:tmpl w:val="AE323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3A79E7"/>
    <w:multiLevelType w:val="multilevel"/>
    <w:tmpl w:val="B682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88279B"/>
    <w:multiLevelType w:val="multilevel"/>
    <w:tmpl w:val="2EE800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66D7F90"/>
    <w:multiLevelType w:val="multilevel"/>
    <w:tmpl w:val="F9D4E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D97C51"/>
    <w:multiLevelType w:val="multilevel"/>
    <w:tmpl w:val="23F4B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E667C9"/>
    <w:multiLevelType w:val="multilevel"/>
    <w:tmpl w:val="C50867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E91513B"/>
    <w:multiLevelType w:val="multilevel"/>
    <w:tmpl w:val="FDBEF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6630088">
    <w:abstractNumId w:val="32"/>
  </w:num>
  <w:num w:numId="2" w16cid:durableId="621613380">
    <w:abstractNumId w:val="20"/>
  </w:num>
  <w:num w:numId="3" w16cid:durableId="1075779938">
    <w:abstractNumId w:val="3"/>
  </w:num>
  <w:num w:numId="4" w16cid:durableId="349111347">
    <w:abstractNumId w:val="31"/>
  </w:num>
  <w:num w:numId="5" w16cid:durableId="1085767467">
    <w:abstractNumId w:val="12"/>
  </w:num>
  <w:num w:numId="6" w16cid:durableId="233123856">
    <w:abstractNumId w:val="29"/>
  </w:num>
  <w:num w:numId="7" w16cid:durableId="820854068">
    <w:abstractNumId w:val="28"/>
  </w:num>
  <w:num w:numId="8" w16cid:durableId="1604343492">
    <w:abstractNumId w:val="8"/>
  </w:num>
  <w:num w:numId="9" w16cid:durableId="1147354358">
    <w:abstractNumId w:val="0"/>
  </w:num>
  <w:num w:numId="10" w16cid:durableId="700908452">
    <w:abstractNumId w:val="27"/>
  </w:num>
  <w:num w:numId="11" w16cid:durableId="2072729914">
    <w:abstractNumId w:val="26"/>
  </w:num>
  <w:num w:numId="12" w16cid:durableId="1206412268">
    <w:abstractNumId w:val="15"/>
  </w:num>
  <w:num w:numId="13" w16cid:durableId="227611604">
    <w:abstractNumId w:val="4"/>
  </w:num>
  <w:num w:numId="14" w16cid:durableId="1250651225">
    <w:abstractNumId w:val="21"/>
  </w:num>
  <w:num w:numId="15" w16cid:durableId="203520449">
    <w:abstractNumId w:val="25"/>
  </w:num>
  <w:num w:numId="16" w16cid:durableId="953438872">
    <w:abstractNumId w:val="13"/>
  </w:num>
  <w:num w:numId="17" w16cid:durableId="428741774">
    <w:abstractNumId w:val="22"/>
  </w:num>
  <w:num w:numId="18" w16cid:durableId="180971007">
    <w:abstractNumId w:val="14"/>
  </w:num>
  <w:num w:numId="19" w16cid:durableId="1022896211">
    <w:abstractNumId w:val="9"/>
  </w:num>
  <w:num w:numId="20" w16cid:durableId="1675646045">
    <w:abstractNumId w:val="6"/>
  </w:num>
  <w:num w:numId="21" w16cid:durableId="1428306234">
    <w:abstractNumId w:val="11"/>
  </w:num>
  <w:num w:numId="22" w16cid:durableId="1316573131">
    <w:abstractNumId w:val="5"/>
  </w:num>
  <w:num w:numId="23" w16cid:durableId="1131246856">
    <w:abstractNumId w:val="24"/>
  </w:num>
  <w:num w:numId="24" w16cid:durableId="99643676">
    <w:abstractNumId w:val="2"/>
  </w:num>
  <w:num w:numId="25" w16cid:durableId="4480618">
    <w:abstractNumId w:val="34"/>
  </w:num>
  <w:num w:numId="26" w16cid:durableId="2108576271">
    <w:abstractNumId w:val="17"/>
  </w:num>
  <w:num w:numId="27" w16cid:durableId="1912232227">
    <w:abstractNumId w:val="19"/>
  </w:num>
  <w:num w:numId="28" w16cid:durableId="380253556">
    <w:abstractNumId w:val="16"/>
  </w:num>
  <w:num w:numId="29" w16cid:durableId="1162549186">
    <w:abstractNumId w:val="23"/>
  </w:num>
  <w:num w:numId="30" w16cid:durableId="1167093319">
    <w:abstractNumId w:val="23"/>
    <w:lvlOverride w:ilvl="2">
      <w:lvl w:ilvl="2">
        <w:numFmt w:val="decimal"/>
        <w:lvlText w:val="%3."/>
        <w:lvlJc w:val="left"/>
      </w:lvl>
    </w:lvlOverride>
  </w:num>
  <w:num w:numId="31" w16cid:durableId="591623214">
    <w:abstractNumId w:val="10"/>
  </w:num>
  <w:num w:numId="32" w16cid:durableId="2107073950">
    <w:abstractNumId w:val="18"/>
  </w:num>
  <w:num w:numId="33" w16cid:durableId="110826022">
    <w:abstractNumId w:val="7"/>
  </w:num>
  <w:num w:numId="34" w16cid:durableId="932860799">
    <w:abstractNumId w:val="33"/>
  </w:num>
  <w:num w:numId="35" w16cid:durableId="1596551959">
    <w:abstractNumId w:val="30"/>
  </w:num>
  <w:num w:numId="36" w16cid:durableId="18611193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5EC"/>
    <w:rsid w:val="0000526E"/>
    <w:rsid w:val="0001203A"/>
    <w:rsid w:val="00025820"/>
    <w:rsid w:val="000B6701"/>
    <w:rsid w:val="000E486A"/>
    <w:rsid w:val="001B7928"/>
    <w:rsid w:val="002045EC"/>
    <w:rsid w:val="00296D56"/>
    <w:rsid w:val="002E1FA5"/>
    <w:rsid w:val="002E2674"/>
    <w:rsid w:val="003914EF"/>
    <w:rsid w:val="003D6FEC"/>
    <w:rsid w:val="003E6306"/>
    <w:rsid w:val="00535FC2"/>
    <w:rsid w:val="005D5D2E"/>
    <w:rsid w:val="006077CB"/>
    <w:rsid w:val="00661BCC"/>
    <w:rsid w:val="00684574"/>
    <w:rsid w:val="006970D7"/>
    <w:rsid w:val="007308A4"/>
    <w:rsid w:val="007545D7"/>
    <w:rsid w:val="007A02DD"/>
    <w:rsid w:val="007C18C5"/>
    <w:rsid w:val="00810FA8"/>
    <w:rsid w:val="0081301B"/>
    <w:rsid w:val="008A7067"/>
    <w:rsid w:val="009F54AB"/>
    <w:rsid w:val="00A21E57"/>
    <w:rsid w:val="00A6753F"/>
    <w:rsid w:val="00AB5B5D"/>
    <w:rsid w:val="00AC436E"/>
    <w:rsid w:val="00AF622E"/>
    <w:rsid w:val="00B070DA"/>
    <w:rsid w:val="00BA3B1D"/>
    <w:rsid w:val="00C44DDB"/>
    <w:rsid w:val="00C455A2"/>
    <w:rsid w:val="00D01B68"/>
    <w:rsid w:val="00D34414"/>
    <w:rsid w:val="00D75DF6"/>
    <w:rsid w:val="00D82844"/>
    <w:rsid w:val="00DD4D9E"/>
    <w:rsid w:val="00E04F2B"/>
    <w:rsid w:val="00E811CE"/>
    <w:rsid w:val="00EC403A"/>
    <w:rsid w:val="00EF3D9A"/>
    <w:rsid w:val="00F00F01"/>
    <w:rsid w:val="00F4076E"/>
    <w:rsid w:val="00F75805"/>
    <w:rsid w:val="00F84ECD"/>
    <w:rsid w:val="00FE14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2E134"/>
  <w15:chartTrackingRefBased/>
  <w15:docId w15:val="{1506F092-A59A-8949-9AEB-551DEB5AA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2045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045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045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45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45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45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45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45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45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5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045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045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45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45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45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5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5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5EC"/>
    <w:rPr>
      <w:rFonts w:eastAsiaTheme="majorEastAsia" w:cstheme="majorBidi"/>
      <w:color w:val="272727" w:themeColor="text1" w:themeTint="D8"/>
    </w:rPr>
  </w:style>
  <w:style w:type="paragraph" w:styleId="Title">
    <w:name w:val="Title"/>
    <w:basedOn w:val="Normal"/>
    <w:next w:val="Normal"/>
    <w:link w:val="TitleChar"/>
    <w:uiPriority w:val="10"/>
    <w:qFormat/>
    <w:rsid w:val="002045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5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5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45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5EC"/>
    <w:pPr>
      <w:spacing w:before="160"/>
      <w:jc w:val="center"/>
    </w:pPr>
    <w:rPr>
      <w:i/>
      <w:iCs/>
      <w:color w:val="404040" w:themeColor="text1" w:themeTint="BF"/>
    </w:rPr>
  </w:style>
  <w:style w:type="character" w:customStyle="1" w:styleId="QuoteChar">
    <w:name w:val="Quote Char"/>
    <w:basedOn w:val="DefaultParagraphFont"/>
    <w:link w:val="Quote"/>
    <w:uiPriority w:val="29"/>
    <w:rsid w:val="002045EC"/>
    <w:rPr>
      <w:i/>
      <w:iCs/>
      <w:color w:val="404040" w:themeColor="text1" w:themeTint="BF"/>
    </w:rPr>
  </w:style>
  <w:style w:type="paragraph" w:styleId="ListParagraph">
    <w:name w:val="List Paragraph"/>
    <w:basedOn w:val="Normal"/>
    <w:uiPriority w:val="34"/>
    <w:qFormat/>
    <w:rsid w:val="002045EC"/>
    <w:pPr>
      <w:ind w:left="720"/>
      <w:contextualSpacing/>
    </w:pPr>
  </w:style>
  <w:style w:type="character" w:styleId="IntenseEmphasis">
    <w:name w:val="Intense Emphasis"/>
    <w:basedOn w:val="DefaultParagraphFont"/>
    <w:uiPriority w:val="21"/>
    <w:qFormat/>
    <w:rsid w:val="002045EC"/>
    <w:rPr>
      <w:i/>
      <w:iCs/>
      <w:color w:val="0F4761" w:themeColor="accent1" w:themeShade="BF"/>
    </w:rPr>
  </w:style>
  <w:style w:type="paragraph" w:styleId="IntenseQuote">
    <w:name w:val="Intense Quote"/>
    <w:basedOn w:val="Normal"/>
    <w:next w:val="Normal"/>
    <w:link w:val="IntenseQuoteChar"/>
    <w:uiPriority w:val="30"/>
    <w:qFormat/>
    <w:rsid w:val="002045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45EC"/>
    <w:rPr>
      <w:i/>
      <w:iCs/>
      <w:color w:val="0F4761" w:themeColor="accent1" w:themeShade="BF"/>
    </w:rPr>
  </w:style>
  <w:style w:type="character" w:styleId="IntenseReference">
    <w:name w:val="Intense Reference"/>
    <w:basedOn w:val="DefaultParagraphFont"/>
    <w:uiPriority w:val="32"/>
    <w:qFormat/>
    <w:rsid w:val="002045EC"/>
    <w:rPr>
      <w:b/>
      <w:bCs/>
      <w:smallCaps/>
      <w:color w:val="0F4761" w:themeColor="accent1" w:themeShade="BF"/>
      <w:spacing w:val="5"/>
    </w:rPr>
  </w:style>
  <w:style w:type="character" w:styleId="Strong">
    <w:name w:val="Strong"/>
    <w:basedOn w:val="DefaultParagraphFont"/>
    <w:uiPriority w:val="22"/>
    <w:qFormat/>
    <w:rsid w:val="002045EC"/>
    <w:rPr>
      <w:b/>
      <w:bCs/>
    </w:rPr>
  </w:style>
  <w:style w:type="character" w:styleId="Emphasis">
    <w:name w:val="Emphasis"/>
    <w:basedOn w:val="DefaultParagraphFont"/>
    <w:uiPriority w:val="20"/>
    <w:qFormat/>
    <w:rsid w:val="002045EC"/>
    <w:rPr>
      <w:i/>
      <w:iCs/>
    </w:rPr>
  </w:style>
  <w:style w:type="paragraph" w:styleId="Header">
    <w:name w:val="header"/>
    <w:basedOn w:val="Normal"/>
    <w:link w:val="HeaderChar"/>
    <w:uiPriority w:val="99"/>
    <w:unhideWhenUsed/>
    <w:rsid w:val="00A675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753F"/>
  </w:style>
  <w:style w:type="paragraph" w:styleId="Footer">
    <w:name w:val="footer"/>
    <w:basedOn w:val="Normal"/>
    <w:link w:val="FooterChar"/>
    <w:uiPriority w:val="99"/>
    <w:unhideWhenUsed/>
    <w:rsid w:val="00A675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753F"/>
  </w:style>
  <w:style w:type="character" w:styleId="LineNumber">
    <w:name w:val="line number"/>
    <w:basedOn w:val="DefaultParagraphFont"/>
    <w:uiPriority w:val="99"/>
    <w:semiHidden/>
    <w:unhideWhenUsed/>
    <w:rsid w:val="00AB5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58429">
      <w:bodyDiv w:val="1"/>
      <w:marLeft w:val="0"/>
      <w:marRight w:val="0"/>
      <w:marTop w:val="0"/>
      <w:marBottom w:val="0"/>
      <w:divBdr>
        <w:top w:val="none" w:sz="0" w:space="0" w:color="auto"/>
        <w:left w:val="none" w:sz="0" w:space="0" w:color="auto"/>
        <w:bottom w:val="none" w:sz="0" w:space="0" w:color="auto"/>
        <w:right w:val="none" w:sz="0" w:space="0" w:color="auto"/>
      </w:divBdr>
    </w:div>
    <w:div w:id="571045617">
      <w:bodyDiv w:val="1"/>
      <w:marLeft w:val="0"/>
      <w:marRight w:val="0"/>
      <w:marTop w:val="0"/>
      <w:marBottom w:val="0"/>
      <w:divBdr>
        <w:top w:val="none" w:sz="0" w:space="0" w:color="auto"/>
        <w:left w:val="none" w:sz="0" w:space="0" w:color="auto"/>
        <w:bottom w:val="none" w:sz="0" w:space="0" w:color="auto"/>
        <w:right w:val="none" w:sz="0" w:space="0" w:color="auto"/>
      </w:divBdr>
    </w:div>
    <w:div w:id="756637190">
      <w:bodyDiv w:val="1"/>
      <w:marLeft w:val="0"/>
      <w:marRight w:val="0"/>
      <w:marTop w:val="0"/>
      <w:marBottom w:val="0"/>
      <w:divBdr>
        <w:top w:val="none" w:sz="0" w:space="0" w:color="auto"/>
        <w:left w:val="none" w:sz="0" w:space="0" w:color="auto"/>
        <w:bottom w:val="none" w:sz="0" w:space="0" w:color="auto"/>
        <w:right w:val="none" w:sz="0" w:space="0" w:color="auto"/>
      </w:divBdr>
    </w:div>
    <w:div w:id="838346781">
      <w:bodyDiv w:val="1"/>
      <w:marLeft w:val="0"/>
      <w:marRight w:val="0"/>
      <w:marTop w:val="0"/>
      <w:marBottom w:val="0"/>
      <w:divBdr>
        <w:top w:val="none" w:sz="0" w:space="0" w:color="auto"/>
        <w:left w:val="none" w:sz="0" w:space="0" w:color="auto"/>
        <w:bottom w:val="none" w:sz="0" w:space="0" w:color="auto"/>
        <w:right w:val="none" w:sz="0" w:space="0" w:color="auto"/>
      </w:divBdr>
    </w:div>
    <w:div w:id="1049573877">
      <w:bodyDiv w:val="1"/>
      <w:marLeft w:val="0"/>
      <w:marRight w:val="0"/>
      <w:marTop w:val="0"/>
      <w:marBottom w:val="0"/>
      <w:divBdr>
        <w:top w:val="none" w:sz="0" w:space="0" w:color="auto"/>
        <w:left w:val="none" w:sz="0" w:space="0" w:color="auto"/>
        <w:bottom w:val="none" w:sz="0" w:space="0" w:color="auto"/>
        <w:right w:val="none" w:sz="0" w:space="0" w:color="auto"/>
      </w:divBdr>
    </w:div>
    <w:div w:id="1087070713">
      <w:bodyDiv w:val="1"/>
      <w:marLeft w:val="0"/>
      <w:marRight w:val="0"/>
      <w:marTop w:val="0"/>
      <w:marBottom w:val="0"/>
      <w:divBdr>
        <w:top w:val="none" w:sz="0" w:space="0" w:color="auto"/>
        <w:left w:val="none" w:sz="0" w:space="0" w:color="auto"/>
        <w:bottom w:val="none" w:sz="0" w:space="0" w:color="auto"/>
        <w:right w:val="none" w:sz="0" w:space="0" w:color="auto"/>
      </w:divBdr>
    </w:div>
    <w:div w:id="1155493405">
      <w:bodyDiv w:val="1"/>
      <w:marLeft w:val="0"/>
      <w:marRight w:val="0"/>
      <w:marTop w:val="0"/>
      <w:marBottom w:val="0"/>
      <w:divBdr>
        <w:top w:val="none" w:sz="0" w:space="0" w:color="auto"/>
        <w:left w:val="none" w:sz="0" w:space="0" w:color="auto"/>
        <w:bottom w:val="none" w:sz="0" w:space="0" w:color="auto"/>
        <w:right w:val="none" w:sz="0" w:space="0" w:color="auto"/>
      </w:divBdr>
    </w:div>
    <w:div w:id="1373849703">
      <w:bodyDiv w:val="1"/>
      <w:marLeft w:val="0"/>
      <w:marRight w:val="0"/>
      <w:marTop w:val="0"/>
      <w:marBottom w:val="0"/>
      <w:divBdr>
        <w:top w:val="none" w:sz="0" w:space="0" w:color="auto"/>
        <w:left w:val="none" w:sz="0" w:space="0" w:color="auto"/>
        <w:bottom w:val="none" w:sz="0" w:space="0" w:color="auto"/>
        <w:right w:val="none" w:sz="0" w:space="0" w:color="auto"/>
      </w:divBdr>
    </w:div>
    <w:div w:id="1386367181">
      <w:bodyDiv w:val="1"/>
      <w:marLeft w:val="0"/>
      <w:marRight w:val="0"/>
      <w:marTop w:val="0"/>
      <w:marBottom w:val="0"/>
      <w:divBdr>
        <w:top w:val="none" w:sz="0" w:space="0" w:color="auto"/>
        <w:left w:val="none" w:sz="0" w:space="0" w:color="auto"/>
        <w:bottom w:val="none" w:sz="0" w:space="0" w:color="auto"/>
        <w:right w:val="none" w:sz="0" w:space="0" w:color="auto"/>
      </w:divBdr>
      <w:divsChild>
        <w:div w:id="11163653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2892595">
      <w:bodyDiv w:val="1"/>
      <w:marLeft w:val="0"/>
      <w:marRight w:val="0"/>
      <w:marTop w:val="0"/>
      <w:marBottom w:val="0"/>
      <w:divBdr>
        <w:top w:val="none" w:sz="0" w:space="0" w:color="auto"/>
        <w:left w:val="none" w:sz="0" w:space="0" w:color="auto"/>
        <w:bottom w:val="none" w:sz="0" w:space="0" w:color="auto"/>
        <w:right w:val="none" w:sz="0" w:space="0" w:color="auto"/>
      </w:divBdr>
      <w:divsChild>
        <w:div w:id="1886023904">
          <w:marLeft w:val="0"/>
          <w:marRight w:val="0"/>
          <w:marTop w:val="0"/>
          <w:marBottom w:val="0"/>
          <w:divBdr>
            <w:top w:val="none" w:sz="0" w:space="0" w:color="auto"/>
            <w:left w:val="none" w:sz="0" w:space="0" w:color="auto"/>
            <w:bottom w:val="none" w:sz="0" w:space="0" w:color="auto"/>
            <w:right w:val="none" w:sz="0" w:space="0" w:color="auto"/>
          </w:divBdr>
          <w:divsChild>
            <w:div w:id="89443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012547">
      <w:bodyDiv w:val="1"/>
      <w:marLeft w:val="0"/>
      <w:marRight w:val="0"/>
      <w:marTop w:val="0"/>
      <w:marBottom w:val="0"/>
      <w:divBdr>
        <w:top w:val="none" w:sz="0" w:space="0" w:color="auto"/>
        <w:left w:val="none" w:sz="0" w:space="0" w:color="auto"/>
        <w:bottom w:val="none" w:sz="0" w:space="0" w:color="auto"/>
        <w:right w:val="none" w:sz="0" w:space="0" w:color="auto"/>
      </w:divBdr>
    </w:div>
    <w:div w:id="1711373502">
      <w:bodyDiv w:val="1"/>
      <w:marLeft w:val="0"/>
      <w:marRight w:val="0"/>
      <w:marTop w:val="0"/>
      <w:marBottom w:val="0"/>
      <w:divBdr>
        <w:top w:val="none" w:sz="0" w:space="0" w:color="auto"/>
        <w:left w:val="none" w:sz="0" w:space="0" w:color="auto"/>
        <w:bottom w:val="none" w:sz="0" w:space="0" w:color="auto"/>
        <w:right w:val="none" w:sz="0" w:space="0" w:color="auto"/>
      </w:divBdr>
    </w:div>
    <w:div w:id="1849633617">
      <w:bodyDiv w:val="1"/>
      <w:marLeft w:val="0"/>
      <w:marRight w:val="0"/>
      <w:marTop w:val="0"/>
      <w:marBottom w:val="0"/>
      <w:divBdr>
        <w:top w:val="none" w:sz="0" w:space="0" w:color="auto"/>
        <w:left w:val="none" w:sz="0" w:space="0" w:color="auto"/>
        <w:bottom w:val="none" w:sz="0" w:space="0" w:color="auto"/>
        <w:right w:val="none" w:sz="0" w:space="0" w:color="auto"/>
      </w:divBdr>
      <w:divsChild>
        <w:div w:id="854732151">
          <w:marLeft w:val="0"/>
          <w:marRight w:val="0"/>
          <w:marTop w:val="0"/>
          <w:marBottom w:val="0"/>
          <w:divBdr>
            <w:top w:val="none" w:sz="0" w:space="0" w:color="auto"/>
            <w:left w:val="none" w:sz="0" w:space="0" w:color="auto"/>
            <w:bottom w:val="none" w:sz="0" w:space="0" w:color="auto"/>
            <w:right w:val="none" w:sz="0" w:space="0" w:color="auto"/>
          </w:divBdr>
          <w:divsChild>
            <w:div w:id="83692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30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10</Pages>
  <Words>2547</Words>
  <Characters>14518</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Richards</dc:creator>
  <cp:keywords/>
  <dc:description/>
  <cp:lastModifiedBy>Nilesh Nawale</cp:lastModifiedBy>
  <cp:revision>2</cp:revision>
  <dcterms:created xsi:type="dcterms:W3CDTF">2025-05-14T08:17:00Z</dcterms:created>
  <dcterms:modified xsi:type="dcterms:W3CDTF">2025-05-14T08:17:00Z</dcterms:modified>
</cp:coreProperties>
</file>