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21B2E" w14:textId="77777777" w:rsidR="008D31CB" w:rsidRDefault="008D31CB" w:rsidP="008D31CB">
      <w:pPr>
        <w:pStyle w:val="a7"/>
        <w:jc w:val="center"/>
        <w:rPr>
          <w:sz w:val="20"/>
          <w:szCs w:val="21"/>
        </w:rPr>
      </w:pPr>
      <w:r>
        <w:rPr>
          <w:rFonts w:hint="eastAsia"/>
          <w:sz w:val="20"/>
          <w:szCs w:val="21"/>
        </w:rPr>
        <w:t>Table</w:t>
      </w:r>
      <w:r>
        <w:rPr>
          <w:sz w:val="20"/>
          <w:szCs w:val="21"/>
        </w:rPr>
        <w:t xml:space="preserve"> </w:t>
      </w:r>
      <w:r>
        <w:rPr>
          <w:rFonts w:hint="eastAsia"/>
          <w:sz w:val="20"/>
          <w:szCs w:val="21"/>
        </w:rPr>
        <w:t>2</w:t>
      </w:r>
      <w:r>
        <w:rPr>
          <w:sz w:val="20"/>
          <w:szCs w:val="21"/>
        </w:rPr>
        <w:t xml:space="preserve"> Prognostic predictive power of Univariate and multivariate Cox analyses for OSRS based on TCGA</w:t>
      </w:r>
    </w:p>
    <w:p w14:paraId="70395D72" w14:textId="77777777" w:rsidR="008D31CB" w:rsidRDefault="008D31CB" w:rsidP="008D31CB">
      <w:pPr>
        <w:pStyle w:val="a7"/>
        <w:rPr>
          <w:sz w:val="20"/>
          <w:szCs w:val="21"/>
        </w:rPr>
      </w:pP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440"/>
        <w:gridCol w:w="2151"/>
        <w:gridCol w:w="1016"/>
        <w:gridCol w:w="461"/>
        <w:gridCol w:w="2192"/>
        <w:gridCol w:w="1016"/>
      </w:tblGrid>
      <w:tr w:rsidR="008D31CB" w:rsidRPr="00D36EAF" w14:paraId="78F9C2AD" w14:textId="77777777" w:rsidTr="00506312">
        <w:trPr>
          <w:tblHeader/>
          <w:jc w:val="center"/>
        </w:trPr>
        <w:tc>
          <w:tcPr>
            <w:tcW w:w="144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2BEEB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Characteristics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33BC6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Univariate analysis</w:t>
            </w:r>
          </w:p>
        </w:tc>
        <w:tc>
          <w:tcPr>
            <w:tcW w:w="461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9052D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08" w:type="dxa"/>
            <w:gridSpan w:val="2"/>
            <w:tcBorders>
              <w:top w:val="single" w:sz="6" w:space="0" w:color="000000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87EEA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Multivariate analysis</w:t>
            </w:r>
          </w:p>
        </w:tc>
      </w:tr>
      <w:tr w:rsidR="008D31CB" w:rsidRPr="00D36EAF" w14:paraId="0D8C6CF8" w14:textId="77777777" w:rsidTr="00506312">
        <w:trPr>
          <w:tblHeader/>
          <w:jc w:val="center"/>
        </w:trPr>
        <w:tc>
          <w:tcPr>
            <w:tcW w:w="1440" w:type="dxa"/>
            <w:vMerge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E67CD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tcBorders>
              <w:top w:val="single" w:sz="8" w:space="0" w:color="666666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0EE2D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Hazard ratio (95% CI)</w:t>
            </w:r>
          </w:p>
        </w:tc>
        <w:tc>
          <w:tcPr>
            <w:tcW w:w="1016" w:type="dxa"/>
            <w:tcBorders>
              <w:top w:val="single" w:sz="8" w:space="0" w:color="666666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E11DC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461" w:type="dxa"/>
            <w:vMerge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FF2C5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8" w:space="0" w:color="666666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16534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Hazard ratio (95% CI)</w:t>
            </w:r>
          </w:p>
        </w:tc>
        <w:tc>
          <w:tcPr>
            <w:tcW w:w="1016" w:type="dxa"/>
            <w:tcBorders>
              <w:top w:val="single" w:sz="8" w:space="0" w:color="666666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45C79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 value</w:t>
            </w:r>
          </w:p>
        </w:tc>
      </w:tr>
      <w:tr w:rsidR="008D31CB" w:rsidRPr="00D36EAF" w14:paraId="17B920B5" w14:textId="77777777" w:rsidTr="00506312">
        <w:trPr>
          <w:jc w:val="center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25DB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23280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84093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22CB4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9E568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2B5E7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1CB" w:rsidRPr="00D36EAF" w14:paraId="48FDDF01" w14:textId="77777777" w:rsidTr="00506312">
        <w:trPr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885AA" w14:textId="77777777" w:rsidR="008D31CB" w:rsidRPr="003C35C8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&lt;= 6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C904B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8564D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3A5A2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613A3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C419C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1CB" w:rsidRPr="00D36EAF" w14:paraId="3AE3D477" w14:textId="77777777" w:rsidTr="00506312">
        <w:trPr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10154" w14:textId="77777777" w:rsidR="008D31CB" w:rsidRPr="003C35C8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&gt; 6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CD6CB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75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(1.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09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- 2.8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91D70" w14:textId="77777777" w:rsidR="008D31CB" w:rsidRPr="003C35C8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168B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CFED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2.21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1.35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–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3.61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1937B" w14:textId="77777777" w:rsidR="008D31CB" w:rsidRPr="003C35C8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0.002</w:t>
            </w:r>
          </w:p>
        </w:tc>
      </w:tr>
      <w:tr w:rsidR="008D31CB" w:rsidRPr="00D36EAF" w14:paraId="37F7F07D" w14:textId="77777777" w:rsidTr="00506312">
        <w:trPr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A9998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3372F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8CD2F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44603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EB4EF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0187A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1CB" w:rsidRPr="00D36EAF" w14:paraId="735704DA" w14:textId="77777777" w:rsidTr="00506312">
        <w:trPr>
          <w:jc w:val="center"/>
        </w:trPr>
        <w:tc>
          <w:tcPr>
            <w:tcW w:w="1440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1C207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2151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D5F7C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4E2D4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E9D21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EEB15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D5447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1CB" w:rsidRPr="00D36EAF" w14:paraId="573D73AA" w14:textId="77777777" w:rsidTr="00506312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20FF6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21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B3872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00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67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- 1.4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7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12C6F" w14:textId="77777777" w:rsidR="008D31CB" w:rsidRPr="003C35C8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985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24896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7670D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0.89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60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- 1.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33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93F47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576</w:t>
            </w:r>
          </w:p>
        </w:tc>
      </w:tr>
      <w:tr w:rsidR="008D31CB" w:rsidRPr="00D36EAF" w14:paraId="37B2BEA5" w14:textId="77777777" w:rsidTr="00506312">
        <w:trPr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B17AC" w14:textId="77777777" w:rsidR="008D31CB" w:rsidRPr="003C35C8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OSRSgroup</w:t>
            </w:r>
            <w:proofErr w:type="spellEnd"/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8164C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C4259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9F08D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E2F1C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21B00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1CB" w:rsidRPr="00D36EAF" w14:paraId="3479C12E" w14:textId="77777777" w:rsidTr="00506312">
        <w:trPr>
          <w:jc w:val="center"/>
        </w:trPr>
        <w:tc>
          <w:tcPr>
            <w:tcW w:w="1440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88C4B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151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AF69A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37E96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C1816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4C46E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091E5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1CB" w:rsidRPr="00D36EAF" w14:paraId="2338A8B8" w14:textId="77777777" w:rsidTr="00506312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4C406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21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0EA80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92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(1.2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- 2.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88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125EA" w14:textId="77777777" w:rsidR="008D31CB" w:rsidRPr="003C35C8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0.00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84DC2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BFDD2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69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(1.1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- 2.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15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51BCF" w14:textId="77777777" w:rsidR="008D31CB" w:rsidRPr="003C35C8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15</w:t>
            </w:r>
          </w:p>
        </w:tc>
      </w:tr>
      <w:tr w:rsidR="008D31CB" w:rsidRPr="00D36EAF" w14:paraId="08F294B1" w14:textId="77777777" w:rsidTr="00506312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D707C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Pathologic stage</w:t>
            </w:r>
          </w:p>
        </w:tc>
        <w:tc>
          <w:tcPr>
            <w:tcW w:w="21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1367D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43366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4AFAB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3DDE7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DC41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1CB" w:rsidRPr="00D36EAF" w14:paraId="2A7B1E3D" w14:textId="77777777" w:rsidTr="00506312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EED11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Stage I</w:t>
            </w:r>
          </w:p>
        </w:tc>
        <w:tc>
          <w:tcPr>
            <w:tcW w:w="21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989CE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87B81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6CB44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0F3E1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8C219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1CB" w:rsidRPr="00D36EAF" w14:paraId="35AB61F0" w14:textId="77777777" w:rsidTr="00506312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3C5E1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Stage II</w:t>
            </w:r>
          </w:p>
        </w:tc>
        <w:tc>
          <w:tcPr>
            <w:tcW w:w="21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B19A9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3.20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0.96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–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10.59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448D3" w14:textId="77777777" w:rsidR="008D31CB" w:rsidRPr="00BD0F28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Cs/>
              </w:rPr>
            </w:pPr>
            <w:r w:rsidRPr="00BD0F28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</w:rPr>
              <w:t>0.0</w:t>
            </w:r>
            <w:r w:rsidRPr="00BD0F28"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ABE17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B4084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3.06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0.48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–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19.62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6B85B" w14:textId="77777777" w:rsidR="008D31CB" w:rsidRPr="00BD0F28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Cs/>
              </w:rPr>
            </w:pPr>
            <w:r w:rsidRPr="00BD0F28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BD0F28"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237</w:t>
            </w:r>
          </w:p>
        </w:tc>
      </w:tr>
      <w:tr w:rsidR="008D31CB" w:rsidRPr="00D36EAF" w14:paraId="6DD8B264" w14:textId="77777777" w:rsidTr="00506312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8F6BA" w14:textId="77777777" w:rsidR="008D31CB" w:rsidRPr="003C35C8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Stage </w:t>
            </w:r>
            <w:r w:rsidRPr="003C35C8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Ⅲ</w:t>
            </w:r>
          </w:p>
        </w:tc>
        <w:tc>
          <w:tcPr>
            <w:tcW w:w="21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DFC6F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6.20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(1.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89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–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0.29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A1760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0.00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F8AAE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EFA8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4.52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2.11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–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99.77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1CD96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0.00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8D31CB" w:rsidRPr="00D36EAF" w14:paraId="4FAC4EE2" w14:textId="77777777" w:rsidTr="00506312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0A60B" w14:textId="77777777" w:rsidR="008D31CB" w:rsidRPr="003C35C8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</w:t>
            </w:r>
            <w:r w:rsidRPr="003C35C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tage </w:t>
            </w:r>
            <w:r w:rsidRPr="003C35C8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Ⅳ</w:t>
            </w:r>
          </w:p>
        </w:tc>
        <w:tc>
          <w:tcPr>
            <w:tcW w:w="21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ED208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7.35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5.37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–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56.12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552C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D0F28"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  <w:t>＜</w:t>
            </w:r>
            <w:r w:rsidRPr="00BD0F28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0.</w:t>
            </w:r>
            <w:r w:rsidRPr="00D36EAF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C51C7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9FC24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A9113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1CB" w:rsidRPr="00D36EAF" w14:paraId="45658213" w14:textId="77777777" w:rsidTr="00506312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B0ACC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Pathologic T stage</w:t>
            </w:r>
          </w:p>
        </w:tc>
        <w:tc>
          <w:tcPr>
            <w:tcW w:w="21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9EDA7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0CAF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6A0CA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3521A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19EC9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1CB" w:rsidRPr="00D36EAF" w14:paraId="47631377" w14:textId="77777777" w:rsidTr="00506312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BF2E2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T1</w:t>
            </w:r>
          </w:p>
        </w:tc>
        <w:tc>
          <w:tcPr>
            <w:tcW w:w="21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1BC18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99F16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8FBF1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0412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7173C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1CB" w:rsidRPr="00D36EAF" w14:paraId="44C06195" w14:textId="77777777" w:rsidTr="00506312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E9EB0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T2</w:t>
            </w:r>
          </w:p>
        </w:tc>
        <w:tc>
          <w:tcPr>
            <w:tcW w:w="21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A9356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1.23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0.14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–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10.54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33C6F" w14:textId="77777777" w:rsidR="008D31CB" w:rsidRPr="00BD0F28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D0F28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851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24144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ED0D3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0.50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0.05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–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5.29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E2A0F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D0F28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563</w:t>
            </w:r>
          </w:p>
        </w:tc>
      </w:tr>
      <w:tr w:rsidR="008D31CB" w:rsidRPr="00D36EAF" w14:paraId="751CFE2B" w14:textId="77777777" w:rsidTr="00506312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C6CC5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T3</w:t>
            </w:r>
          </w:p>
        </w:tc>
        <w:tc>
          <w:tcPr>
            <w:tcW w:w="21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57AAA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3.55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0.49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–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5.59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F8EF8" w14:textId="77777777" w:rsidR="008D31CB" w:rsidRPr="00BD0F28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Cs/>
              </w:rPr>
            </w:pPr>
            <w:r w:rsidRPr="00BD0F28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BD0F28"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208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C974F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59C05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0.52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0.04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–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7.23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F625A" w14:textId="77777777" w:rsidR="008D31CB" w:rsidRPr="00BD0F28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Cs/>
              </w:rPr>
            </w:pPr>
            <w:r w:rsidRPr="00BD0F28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BD0F28"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625</w:t>
            </w:r>
          </w:p>
        </w:tc>
      </w:tr>
      <w:tr w:rsidR="008D31CB" w:rsidRPr="00D36EAF" w14:paraId="7CCFF704" w14:textId="77777777" w:rsidTr="00506312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FB1E7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T4</w:t>
            </w:r>
          </w:p>
        </w:tc>
        <w:tc>
          <w:tcPr>
            <w:tcW w:w="21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8D58B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2.27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1.65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–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91.05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4FB41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7CA93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33AB3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1.08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0.08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–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15.52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FC1F0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D0F28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955</w:t>
            </w:r>
          </w:p>
        </w:tc>
      </w:tr>
      <w:tr w:rsidR="008D31CB" w:rsidRPr="00D36EAF" w14:paraId="24187191" w14:textId="77777777" w:rsidTr="00506312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444B2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Pathologic N stage</w:t>
            </w:r>
          </w:p>
        </w:tc>
        <w:tc>
          <w:tcPr>
            <w:tcW w:w="21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C3E66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2B1CF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C3B7A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72AA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5B834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1CB" w:rsidRPr="00D36EAF" w14:paraId="7ED07833" w14:textId="77777777" w:rsidTr="00506312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996E0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N0</w:t>
            </w:r>
          </w:p>
        </w:tc>
        <w:tc>
          <w:tcPr>
            <w:tcW w:w="21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DE8FD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0150A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40663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5D110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24F7E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1CB" w:rsidRPr="00D36EAF" w14:paraId="1F4EAF42" w14:textId="77777777" w:rsidTr="00506312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03E28" w14:textId="77777777" w:rsidR="008D31CB" w:rsidRPr="00BD0F28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N1</w:t>
            </w:r>
          </w:p>
        </w:tc>
        <w:tc>
          <w:tcPr>
            <w:tcW w:w="21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D414D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2.09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(1.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27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- 3.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45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EE65C" w14:textId="77777777" w:rsidR="008D31CB" w:rsidRPr="00BD0F28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84AE4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DBCC9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0.3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(0.1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- 0.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97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02817" w14:textId="77777777" w:rsidR="008D31CB" w:rsidRPr="00BD0F28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44</w:t>
            </w:r>
          </w:p>
        </w:tc>
      </w:tr>
      <w:tr w:rsidR="008D31CB" w:rsidRPr="00D36EAF" w14:paraId="2942B412" w14:textId="77777777" w:rsidTr="00506312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63398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lastRenderedPageBreak/>
              <w:t>N2</w:t>
            </w:r>
          </w:p>
        </w:tc>
        <w:tc>
          <w:tcPr>
            <w:tcW w:w="21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6260A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4.64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2.92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–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7.35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DFC9C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&lt; 0.001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0E89A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84692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58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21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–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1.63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14CC" w14:textId="77777777" w:rsidR="008D31CB" w:rsidRPr="00BD0F28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Cs/>
              </w:rPr>
            </w:pPr>
            <w:r w:rsidRPr="00BD0F28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</w:rPr>
              <w:t>0.</w:t>
            </w:r>
            <w:r w:rsidRPr="00BD0F28"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303</w:t>
            </w:r>
          </w:p>
        </w:tc>
      </w:tr>
      <w:tr w:rsidR="008D31CB" w:rsidRPr="00D36EAF" w14:paraId="5592C01C" w14:textId="77777777" w:rsidTr="00506312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2E7D5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Pathologic M stage</w:t>
            </w:r>
          </w:p>
        </w:tc>
        <w:tc>
          <w:tcPr>
            <w:tcW w:w="21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4D9A8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EBE7F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EFE61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1ACD2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FEF78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1CB" w:rsidRPr="00D36EAF" w14:paraId="4D6C8A95" w14:textId="77777777" w:rsidTr="00506312">
        <w:trPr>
          <w:jc w:val="center"/>
        </w:trPr>
        <w:tc>
          <w:tcPr>
            <w:tcW w:w="1440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0D320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M0</w:t>
            </w:r>
          </w:p>
        </w:tc>
        <w:tc>
          <w:tcPr>
            <w:tcW w:w="215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0747A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13DEB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132CA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66818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42C19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1CB" w:rsidRPr="00D36EAF" w14:paraId="015A0162" w14:textId="77777777" w:rsidTr="00506312">
        <w:trPr>
          <w:jc w:val="center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4541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M1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6A143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4.68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3.12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–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7.01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5483B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&lt; 0.001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0BE73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71266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31.01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4.75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–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202.63</w:t>
            </w:r>
            <w:r w:rsidRPr="00D36EAF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9BDFB" w14:textId="77777777" w:rsidR="008D31CB" w:rsidRPr="00D36EAF" w:rsidRDefault="008D31CB" w:rsidP="005063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36EAF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&lt; 0.001</w:t>
            </w:r>
          </w:p>
        </w:tc>
      </w:tr>
    </w:tbl>
    <w:p w14:paraId="0E717B34" w14:textId="77777777" w:rsidR="00007C2B" w:rsidRDefault="00007C2B">
      <w:pPr>
        <w:rPr>
          <w:rFonts w:hint="eastAsia"/>
        </w:rPr>
      </w:pPr>
    </w:p>
    <w:sectPr w:rsidR="00007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F1FC1" w14:textId="77777777" w:rsidR="00834FEF" w:rsidRDefault="00834FEF" w:rsidP="008D31CB">
      <w:pPr>
        <w:rPr>
          <w:rFonts w:hint="eastAsia"/>
        </w:rPr>
      </w:pPr>
      <w:r>
        <w:separator/>
      </w:r>
    </w:p>
  </w:endnote>
  <w:endnote w:type="continuationSeparator" w:id="0">
    <w:p w14:paraId="1B6F0D29" w14:textId="77777777" w:rsidR="00834FEF" w:rsidRDefault="00834FEF" w:rsidP="008D31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37E5E" w14:textId="77777777" w:rsidR="00834FEF" w:rsidRDefault="00834FEF" w:rsidP="008D31CB">
      <w:pPr>
        <w:rPr>
          <w:rFonts w:hint="eastAsia"/>
        </w:rPr>
      </w:pPr>
      <w:r>
        <w:separator/>
      </w:r>
    </w:p>
  </w:footnote>
  <w:footnote w:type="continuationSeparator" w:id="0">
    <w:p w14:paraId="5195C950" w14:textId="77777777" w:rsidR="00834FEF" w:rsidRDefault="00834FEF" w:rsidP="008D31C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AA"/>
    <w:rsid w:val="00007C2B"/>
    <w:rsid w:val="004D363C"/>
    <w:rsid w:val="00834FEF"/>
    <w:rsid w:val="008D31CB"/>
    <w:rsid w:val="008F5FAA"/>
    <w:rsid w:val="00E7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772F165-1C2B-490D-955D-CC456BBD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1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1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1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1CB"/>
    <w:rPr>
      <w:sz w:val="18"/>
      <w:szCs w:val="18"/>
    </w:rPr>
  </w:style>
  <w:style w:type="paragraph" w:customStyle="1" w:styleId="a7">
    <w:name w:val="文献"/>
    <w:basedOn w:val="a"/>
    <w:link w:val="a8"/>
    <w:qFormat/>
    <w:rsid w:val="008D31CB"/>
    <w:rPr>
      <w:rFonts w:ascii="Times New Roman" w:eastAsia="宋体" w:hAnsi="Times New Roman"/>
    </w:rPr>
  </w:style>
  <w:style w:type="character" w:customStyle="1" w:styleId="a8">
    <w:name w:val="文献 字符"/>
    <w:basedOn w:val="a0"/>
    <w:link w:val="a7"/>
    <w:qFormat/>
    <w:rsid w:val="008D31CB"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子晗 赵</dc:creator>
  <cp:keywords/>
  <dc:description/>
  <cp:lastModifiedBy>子晗 赵</cp:lastModifiedBy>
  <cp:revision>2</cp:revision>
  <dcterms:created xsi:type="dcterms:W3CDTF">2024-09-24T15:08:00Z</dcterms:created>
  <dcterms:modified xsi:type="dcterms:W3CDTF">2024-09-24T15:08:00Z</dcterms:modified>
</cp:coreProperties>
</file>