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rPr>
          <w:rFonts w:ascii="Times New Roman" w:hAnsi="Times New Roman"/>
          <w:sz w:val="22"/>
        </w:rPr>
      </w:pPr>
      <w:r>
        <w:rPr>
          <w:rFonts w:ascii="Times New Roman" w:hAnsi="Times New Roman"/>
          <w:sz w:val="22"/>
        </w:rPr>
        <w:t xml:space="preserve">2. Methods </w:t>
      </w:r>
    </w:p>
    <w:p>
      <w:pPr>
        <w:pStyle w:val="4"/>
        <w:rPr>
          <w:rFonts w:hint="default" w:ascii="Times New Roman" w:hAnsi="Times New Roman"/>
          <w:b/>
          <w:bCs/>
          <w:iCs/>
          <w:szCs w:val="20"/>
          <w:lang w:val="es-ES"/>
        </w:rPr>
      </w:pPr>
      <w:r>
        <w:rPr>
          <w:rFonts w:ascii="Times New Roman" w:hAnsi="Times New Roman"/>
          <w:b/>
          <w:bCs/>
          <w:iCs/>
          <w:szCs w:val="20"/>
        </w:rPr>
        <w:t>Preparation of blood samples</w:t>
      </w:r>
    </w:p>
    <w:p>
      <w:pPr>
        <w:pStyle w:val="4"/>
        <w:rPr>
          <w:rFonts w:ascii="Times New Roman" w:hAnsi="Times New Roman"/>
          <w:bCs/>
          <w:i w:val="0"/>
          <w:iCs/>
          <w:szCs w:val="20"/>
        </w:rPr>
      </w:pPr>
      <w:r>
        <w:rPr>
          <w:rFonts w:ascii="Times New Roman" w:hAnsi="Times New Roman"/>
          <w:bCs/>
          <w:i w:val="0"/>
          <w:iCs/>
          <w:szCs w:val="20"/>
        </w:rPr>
        <w:t>Peripheral blood samples 5 mL were obtained from patients from a cephalic vein in supine position after more than 8-hour rest, and collected into a Vacutainer (Becton-Dickinson, Basel, Switzerland) tube containing 1 mg/ml ethylene diamine tetra-acetic acid (EDTA) as anticoagulant. These were immediately transferred on to wet ice to the laboratory and processed promptly or within 2 h after collection.  To avoid contamination by endothelial cells from the punctured vessel wall, the first 3 mL of blood (potentially contaminated with endothelial cells from the venipuncture) were discarded. Additional aliquots were obtained for routine analyses in a hematology analyzer CELL-DYN 400 (Abbott Diagnostics, Abbott Park, IL), as well as to quantify the cytokines: TNF, IL-1β, IL-6, IL-8, IL-10 and IL-12p70. Peripheral blood mononuclear cells (PBMCs) were isolated with the use of a density gradient with Ficoll-paque PLUS (Amersham, Biosciences, USA), according to standard protocols. Recovered cells were washed (10 ml of cold 1× phosphate buffered saline (PBS) containing 0.5% (w/v) bovine serum albumin (BSA) and 1.5 mM EDTA) and the pellet was resuspended in 500µl of 1xPBS and filtered through 40µm cell strainer. The viability of the cells was determinate by dye Trypan blue (Sigma-Aldrichs, St. Louis, Mo) exclusion test (this viability was almost 100% always). Initially, isolated cells were counted manually in a Neubauer chamber (Marienfeld, Ger.) and suspended in a concentration of 2x10</w:t>
      </w:r>
      <w:r>
        <w:rPr>
          <w:rFonts w:ascii="Times New Roman" w:hAnsi="Times New Roman"/>
          <w:bCs/>
          <w:i w:val="0"/>
          <w:iCs/>
          <w:szCs w:val="20"/>
          <w:vertAlign w:val="superscript"/>
        </w:rPr>
        <w:t>7</w:t>
      </w:r>
      <w:r>
        <w:rPr>
          <w:rFonts w:ascii="Times New Roman" w:hAnsi="Times New Roman"/>
          <w:bCs/>
          <w:i w:val="0"/>
          <w:iCs/>
          <w:szCs w:val="20"/>
        </w:rPr>
        <w:t xml:space="preserve"> cells/ml. Afterwards, absolute cell counts were obtained in FC by using fluorescent-counting beads obtained by BD Biosciences, Pharmigen (San Jose CA, USA).</w:t>
      </w:r>
    </w:p>
    <w:p>
      <w:pPr>
        <w:pStyle w:val="4"/>
        <w:rPr>
          <w:rFonts w:ascii="Times New Roman" w:hAnsi="Times New Roman"/>
          <w:b/>
          <w:bCs/>
          <w:iCs/>
          <w:szCs w:val="20"/>
        </w:rPr>
      </w:pPr>
      <w:r>
        <w:rPr>
          <w:rFonts w:ascii="Times New Roman" w:hAnsi="Times New Roman"/>
          <w:b/>
          <w:bCs/>
          <w:iCs/>
          <w:szCs w:val="20"/>
        </w:rPr>
        <w:t>Antibodies and reagents</w:t>
      </w:r>
    </w:p>
    <w:p>
      <w:pPr>
        <w:pStyle w:val="4"/>
        <w:rPr>
          <w:rFonts w:ascii="Times New Roman" w:hAnsi="Times New Roman"/>
          <w:bCs/>
          <w:i w:val="0"/>
          <w:iCs/>
          <w:szCs w:val="20"/>
        </w:rPr>
      </w:pPr>
      <w:r>
        <w:rPr>
          <w:rFonts w:ascii="Times New Roman" w:hAnsi="Times New Roman"/>
          <w:bCs/>
          <w:i w:val="0"/>
          <w:iCs/>
          <w:szCs w:val="20"/>
        </w:rPr>
        <w:t>Biotinylated anti-human MCAM/CD146 antibody was obtained from R&amp;D Systems, Inc. (Minneapolis, MN, USA; Ig type: goat IgG). Streptavidin particles Plus-DM (BD™ IMag) and phycoerythrin (PE) labeled anti-CD146 monoclonal antibody, clone P1H12, mouse IgG1, κ; allophycocianin (APC) labeled anti-CD34 monoclonal antibody, clone 8G1, mouse IgG</w:t>
      </w:r>
      <w:r>
        <w:rPr>
          <w:rFonts w:ascii="Times New Roman" w:hAnsi="Times New Roman"/>
          <w:bCs/>
          <w:i w:val="0"/>
          <w:iCs/>
          <w:szCs w:val="20"/>
          <w:vertAlign w:val="subscript"/>
        </w:rPr>
        <w:t>1</w:t>
      </w:r>
      <w:r>
        <w:rPr>
          <w:rFonts w:ascii="Times New Roman" w:hAnsi="Times New Roman"/>
          <w:bCs/>
          <w:i w:val="0"/>
          <w:iCs/>
          <w:szCs w:val="20"/>
        </w:rPr>
        <w:t>, κ; Fluorescently labeled isotype-matched IgG1 antibodies and BD Mouse Fc Block™ CD16/CD32 mAb 2.4G2 were purchased from BD Biosciences, Pharmigen (San Jose CA, USA). Cyanine dye Cy5-labeled anti-CD133 was obtained by Miltenyi Biotec; Fluorescein isothiocyanate (FITC)-labeled anti-VEGFR2 monoclonal antibody, clone 89106, mouse IgG</w:t>
      </w:r>
      <w:r>
        <w:rPr>
          <w:rFonts w:ascii="Times New Roman" w:hAnsi="Times New Roman"/>
          <w:bCs/>
          <w:i w:val="0"/>
          <w:iCs/>
          <w:szCs w:val="20"/>
          <w:vertAlign w:val="subscript"/>
        </w:rPr>
        <w:t>1</w:t>
      </w:r>
      <w:r>
        <w:rPr>
          <w:rFonts w:ascii="Times New Roman" w:hAnsi="Times New Roman"/>
          <w:bCs/>
          <w:i w:val="0"/>
          <w:iCs/>
          <w:szCs w:val="20"/>
        </w:rPr>
        <w:t xml:space="preserve"> were purchased from R&amp;D Systems, Inc. This combination of fluorochromes allowed the performance of staining on each sample to measure the expression of antigens on CD146+ cells. PE-labeled mouse IgG1 and FITC-labeled mouse IgG</w:t>
      </w:r>
      <w:r>
        <w:rPr>
          <w:rFonts w:ascii="Times New Roman" w:hAnsi="Times New Roman"/>
          <w:bCs/>
          <w:i w:val="0"/>
          <w:iCs/>
          <w:szCs w:val="20"/>
          <w:vertAlign w:val="subscript"/>
        </w:rPr>
        <w:t>2a</w:t>
      </w:r>
      <w:r>
        <w:rPr>
          <w:rFonts w:ascii="Times New Roman" w:hAnsi="Times New Roman"/>
          <w:bCs/>
          <w:i w:val="0"/>
          <w:iCs/>
          <w:szCs w:val="20"/>
        </w:rPr>
        <w:t xml:space="preserve"> were used as isotype-matched controls. In order to minimize unspecific staining by antibody binding via Fc-receptors, all samples were treated with a commercially available BD Mouse Fc Block™, BD Biosciences, Pharmigen (San Jose CA, USA). Red blood cells were lysed using a commercially available reagent (lysing solution IO-Test3, Beckman Coulter, Krefeld). For all staining and washing steps, cells were kept in PBS supplemented with BSA (0.5%) and EDTA (2.0 mM).</w:t>
      </w:r>
    </w:p>
    <w:p>
      <w:pPr>
        <w:pStyle w:val="4"/>
        <w:rPr>
          <w:rFonts w:ascii="Times New Roman" w:hAnsi="Times New Roman"/>
          <w:b/>
          <w:bCs/>
          <w:iCs/>
          <w:szCs w:val="20"/>
        </w:rPr>
      </w:pPr>
      <w:r>
        <w:rPr>
          <w:rFonts w:ascii="Times New Roman" w:hAnsi="Times New Roman"/>
          <w:b/>
          <w:bCs/>
          <w:iCs/>
          <w:szCs w:val="20"/>
        </w:rPr>
        <w:t>Immunomagnetic separation</w:t>
      </w:r>
    </w:p>
    <w:p>
      <w:pPr>
        <w:pStyle w:val="4"/>
        <w:rPr>
          <w:rFonts w:ascii="Times New Roman" w:hAnsi="Times New Roman"/>
          <w:bCs/>
          <w:i w:val="0"/>
          <w:iCs/>
          <w:szCs w:val="20"/>
        </w:rPr>
      </w:pPr>
      <w:r>
        <w:rPr>
          <w:rFonts w:ascii="Times New Roman" w:hAnsi="Times New Roman"/>
          <w:bCs/>
          <w:i w:val="0"/>
          <w:iCs/>
          <w:szCs w:val="20"/>
        </w:rPr>
        <w:t>The previously counted cell, resuspended in cell-staining buffer at a concentration of 2x10</w:t>
      </w:r>
      <w:r>
        <w:rPr>
          <w:rFonts w:ascii="Times New Roman" w:hAnsi="Times New Roman"/>
          <w:bCs/>
          <w:i w:val="0"/>
          <w:iCs/>
          <w:szCs w:val="20"/>
          <w:vertAlign w:val="superscript"/>
        </w:rPr>
        <w:t>7</w:t>
      </w:r>
      <w:r>
        <w:rPr>
          <w:rFonts w:ascii="Times New Roman" w:hAnsi="Times New Roman"/>
          <w:bCs/>
          <w:i w:val="0"/>
          <w:iCs/>
          <w:szCs w:val="20"/>
        </w:rPr>
        <w:t xml:space="preserve"> cells/ml, plus BD Mouse Fc Block™, and incubated on ice for/15 min was used for Immunocapture of CECs. Immunomagnetic separation was performed at 4°C with magnetic beads (BD™ IMag) coated with S-Endo 1, Biotinylated anti-human MCAM/CD146 antibody, a monoclonal antibody raised against the endothelial antigen CD146. To avoid nonspecific binding of leukocytes to CD146-coated beads, cell suspensions were flushed vigorously through the pipette tip during the washing steps. Then the cells were isolated with BDI Magnet by positive selection with Streptavidin particles-Plus according to the manufacturer’s recommendations and were measured by FC.</w:t>
      </w:r>
    </w:p>
    <w:p>
      <w:pPr>
        <w:pStyle w:val="4"/>
        <w:rPr>
          <w:rFonts w:ascii="Times New Roman" w:hAnsi="Times New Roman"/>
          <w:bCs/>
          <w:i w:val="0"/>
          <w:iCs/>
          <w:szCs w:val="20"/>
        </w:rPr>
      </w:pPr>
    </w:p>
    <w:p>
      <w:pPr>
        <w:pStyle w:val="4"/>
        <w:rPr>
          <w:rFonts w:ascii="Times New Roman" w:hAnsi="Times New Roman"/>
          <w:bCs/>
          <w:i w:val="0"/>
          <w:iCs/>
          <w:szCs w:val="20"/>
        </w:rPr>
      </w:pPr>
    </w:p>
    <w:p>
      <w:pPr>
        <w:pStyle w:val="4"/>
        <w:rPr>
          <w:rFonts w:ascii="Times New Roman" w:hAnsi="Times New Roman"/>
          <w:b/>
          <w:bCs/>
          <w:iCs/>
          <w:szCs w:val="20"/>
        </w:rPr>
      </w:pPr>
      <w:r>
        <w:rPr>
          <w:rFonts w:ascii="Times New Roman" w:hAnsi="Times New Roman"/>
          <w:b/>
          <w:bCs/>
          <w:iCs/>
          <w:szCs w:val="20"/>
        </w:rPr>
        <w:t>Cytokine quantification</w:t>
      </w:r>
    </w:p>
    <w:p>
      <w:pPr>
        <w:pStyle w:val="4"/>
        <w:rPr>
          <w:rFonts w:ascii="Times New Roman" w:hAnsi="Times New Roman"/>
          <w:bCs/>
          <w:i w:val="0"/>
          <w:iCs/>
          <w:szCs w:val="20"/>
        </w:rPr>
      </w:pPr>
      <w:r>
        <w:rPr>
          <w:rFonts w:ascii="Times New Roman" w:hAnsi="Times New Roman"/>
          <w:bCs/>
          <w:i w:val="0"/>
          <w:iCs/>
          <w:szCs w:val="20"/>
        </w:rPr>
        <w:t>Concentrations of TNF, IL-1β, IL-6, IL-8, IL-10 and IL-12p70 were determined using the Human Inflammatory Cytokine kit (BD Biosciences, CA, US) which is a Cytometric Bead Array (CBA) system for multiple cytokine quantification. According to the manufacturer recommendations, 100 µL of plasma/serum samples or controls for standard curve, were incubated at room temperature with fluorescent beads recovered with the capture of antibodies with specificity corresponding to fluorescence intensity. After 3 hours, washing buffer (200 µL) was added and centrifuged for 5 min at 900 g. Once supernatant was discharged, the detection antibodies for cytokines conjugated with PE were added. Thirty minutes later, beads were washed twice and resuspended in PBS (100 µL) and analyzed using a FACS-Aria flow cytometer with Diva Software v 6.1 (BD, Becton Dickinson, San Jose, CA, USA). Using the software provided by the manufacturer, based on IMF values for PE, cytokine concentration (in pg/mL) was determined.</w:t>
      </w:r>
    </w:p>
    <w:p>
      <w:pPr>
        <w:pStyle w:val="4"/>
        <w:rPr>
          <w:rFonts w:ascii="Times New Roman" w:hAnsi="Times New Roman"/>
          <w:bCs/>
          <w:i w:val="0"/>
          <w:iCs/>
          <w:szCs w:val="20"/>
        </w:rPr>
      </w:pPr>
      <w:bookmarkStart w:id="0" w:name="_GoBack"/>
      <w:bookmarkEnd w:id="0"/>
    </w:p>
    <w:p/>
    <w:sectPr>
      <w:pgSz w:w="11906" w:h="16838"/>
      <w:pgMar w:top="1440" w:right="1800" w:bottom="1440" w:left="180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Palatino Linotype">
    <w:panose1 w:val="02040502050505030304"/>
    <w:charset w:val="00"/>
    <w:family w:val="roman"/>
    <w:pitch w:val="default"/>
    <w:sig w:usb0="E0000287" w:usb1="40000013" w:usb2="00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708"/>
  <w:drawingGridVerticalSpacing w:val="156"/>
  <w:displayHorizontalDrawingGridEvery w:val="0"/>
  <w:displayVerticalDrawingGridEvery w:val="2"/>
  <w:characterSpacingControl w:val="doNotCompress"/>
  <w:footnotePr>
    <w:footnote w:id="0"/>
    <w:footnote w:id="1"/>
  </w:footnotePr>
  <w:endnotePr>
    <w:endnote w:id="0"/>
    <w:endnote w:id="1"/>
  </w:endnotePr>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F02257F"/>
    <w:rsid w:val="611D73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atentStyles>
  <w:style w:type="paragraph" w:default="1" w:styleId="1">
    <w:name w:val="Normal"/>
    <w:qFormat/>
    <w:uiPriority w:val="0"/>
    <w:pPr>
      <w:spacing w:line="340" w:lineRule="atLeast"/>
      <w:jc w:val="both"/>
    </w:pPr>
    <w:rPr>
      <w:rFonts w:ascii="Times New Roman" w:hAnsi="Times New Roman" w:eastAsia="Times New Roman" w:cs="Times New Roman"/>
      <w:color w:val="000000"/>
      <w:sz w:val="24"/>
      <w:lang w:val="en-US" w:eastAsia="de-DE"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4">
    <w:name w:val="MDPI_2.2_heading2"/>
    <w:basedOn w:val="5"/>
    <w:qFormat/>
    <w:uiPriority w:val="0"/>
    <w:pPr>
      <w:spacing w:before="240" w:after="120" w:line="260" w:lineRule="atLeast"/>
      <w:ind w:left="0" w:right="0" w:firstLine="0"/>
      <w:jc w:val="left"/>
      <w:outlineLvl w:val="1"/>
    </w:pPr>
    <w:rPr>
      <w:rFonts w:ascii="Palatino Linotype" w:hAnsi="Palatino Linotype"/>
      <w:i/>
      <w:sz w:val="20"/>
    </w:rPr>
  </w:style>
  <w:style w:type="paragraph" w:customStyle="1" w:styleId="5">
    <w:name w:val="MDPI_text"/>
    <w:basedOn w:val="1"/>
    <w:qFormat/>
    <w:uiPriority w:val="0"/>
    <w:pPr>
      <w:snapToGrid w:val="0"/>
      <w:spacing w:line="320" w:lineRule="atLeast"/>
      <w:ind w:left="425" w:right="425" w:firstLine="284"/>
    </w:pPr>
    <w:rPr>
      <w:sz w:val="22"/>
      <w:szCs w:val="22"/>
      <w:lang w:bidi="en-US"/>
    </w:rPr>
  </w:style>
  <w:style w:type="paragraph" w:customStyle="1" w:styleId="6">
    <w:name w:val="MDPI_2.1_heading1"/>
    <w:basedOn w:val="7"/>
    <w:qFormat/>
    <w:uiPriority w:val="0"/>
    <w:pPr>
      <w:outlineLvl w:val="0"/>
    </w:pPr>
    <w:rPr>
      <w:b/>
    </w:rPr>
  </w:style>
  <w:style w:type="paragraph" w:customStyle="1" w:styleId="7">
    <w:name w:val="MDPI_2.3_heading3"/>
    <w:basedOn w:val="8"/>
    <w:qFormat/>
    <w:uiPriority w:val="0"/>
    <w:pPr>
      <w:spacing w:before="240" w:after="120"/>
      <w:ind w:firstLine="0"/>
      <w:jc w:val="left"/>
      <w:outlineLvl w:val="2"/>
    </w:pPr>
  </w:style>
  <w:style w:type="paragraph" w:customStyle="1" w:styleId="8">
    <w:name w:val="MDPI_3.1_text"/>
    <w:qFormat/>
    <w:uiPriority w:val="0"/>
    <w:pPr>
      <w:snapToGrid w:val="0"/>
      <w:spacing w:line="260" w:lineRule="atLeast"/>
      <w:ind w:firstLine="425"/>
      <w:jc w:val="both"/>
    </w:pPr>
    <w:rPr>
      <w:rFonts w:ascii="Palatino Linotype" w:hAnsi="Palatino Linotype" w:eastAsia="Times New Roman" w:cs="Times New Roman"/>
      <w:color w:val="000000"/>
      <w:sz w:val="24"/>
      <w:szCs w:val="22"/>
      <w:lang w:val="en-US" w:eastAsia="de-DE" w:bidi="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Office_11.2.0.10176_F1E327BC-269C-435d-A152-05C5408002CA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2021-07-02T21:52:40Z</dcterms:created>
  <dc:creator>angelica.rangell</dc:creator>
  <cp:lastModifiedBy>angelica.rangell</cp:lastModifiedBy>
  <dcterms:modified xsi:type="dcterms:W3CDTF">2021-07-02T22:33:22Z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2058-11.2.0.10176</vt:lpwstr>
  </property>
</Properties>
</file>