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9725CE" w14:textId="07B2D95C" w:rsidR="002F107C" w:rsidRPr="00890BA0" w:rsidRDefault="00862953" w:rsidP="00C52395">
      <w:pPr>
        <w:spacing w:line="480" w:lineRule="auto"/>
        <w:jc w:val="left"/>
        <w:rPr>
          <w:rFonts w:ascii="Times New Roman" w:hAnsi="Times New Roman" w:cs="Times New Roman"/>
          <w:b/>
          <w:i/>
          <w:sz w:val="24"/>
          <w:szCs w:val="24"/>
        </w:rPr>
      </w:pPr>
      <w:r>
        <w:rPr>
          <w:rFonts w:ascii="Times New Roman" w:hAnsi="Times New Roman" w:cs="Times New Roman"/>
          <w:b/>
          <w:i/>
          <w:sz w:val="24"/>
          <w:szCs w:val="24"/>
        </w:rPr>
        <w:t>Sample size estimation</w:t>
      </w:r>
    </w:p>
    <w:p w14:paraId="569725D6" w14:textId="5758BDDE" w:rsidR="002F107C" w:rsidRDefault="00862953" w:rsidP="00A801B3">
      <w:pPr>
        <w:spacing w:line="480" w:lineRule="auto"/>
        <w:ind w:firstLine="800"/>
        <w:jc w:val="left"/>
        <w:rPr>
          <w:rFonts w:ascii="Times New Roman" w:hAnsi="Times New Roman" w:cs="Times New Roman"/>
          <w:sz w:val="24"/>
          <w:szCs w:val="24"/>
        </w:rPr>
      </w:pPr>
      <w:r w:rsidRPr="000E0181">
        <w:rPr>
          <w:noProof/>
        </w:rPr>
        <w:drawing>
          <wp:anchor distT="0" distB="0" distL="114300" distR="114300" simplePos="0" relativeHeight="251658240" behindDoc="0" locked="0" layoutInCell="1" allowOverlap="1" wp14:anchorId="104B09A9" wp14:editId="70792513">
            <wp:simplePos x="0" y="0"/>
            <wp:positionH relativeFrom="margin">
              <wp:posOffset>76200</wp:posOffset>
            </wp:positionH>
            <wp:positionV relativeFrom="paragraph">
              <wp:posOffset>2819400</wp:posOffset>
            </wp:positionV>
            <wp:extent cx="1419225" cy="1981200"/>
            <wp:effectExtent l="0" t="0" r="9525" b="0"/>
            <wp:wrapTopAndBottom/>
            <wp:docPr id="6" name="그림 1" descr="DRW00003eb429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109163112" descr="DRW00003eb4295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19225" cy="1981200"/>
                    </a:xfrm>
                    <a:prstGeom prst="rect">
                      <a:avLst/>
                    </a:prstGeom>
                    <a:noFill/>
                    <a:ln>
                      <a:noFill/>
                    </a:ln>
                  </pic:spPr>
                </pic:pic>
              </a:graphicData>
            </a:graphic>
            <wp14:sizeRelH relativeFrom="page">
              <wp14:pctWidth>0</wp14:pctWidth>
            </wp14:sizeRelH>
            <wp14:sizeRelV relativeFrom="page">
              <wp14:pctHeight>0</wp14:pctHeight>
            </wp14:sizeRelV>
          </wp:anchor>
        </w:drawing>
      </w:r>
      <w:r w:rsidR="002F107C">
        <w:rPr>
          <w:rFonts w:ascii="Times New Roman" w:hAnsi="Times New Roman" w:cs="Times New Roman"/>
          <w:sz w:val="24"/>
          <w:szCs w:val="24"/>
        </w:rPr>
        <w:t xml:space="preserve">Because no previous </w:t>
      </w:r>
      <w:r w:rsidR="002F107C" w:rsidRPr="00B95617">
        <w:rPr>
          <w:rFonts w:ascii="Times New Roman" w:hAnsi="Times New Roman" w:cs="Times New Roman"/>
          <w:sz w:val="24"/>
          <w:szCs w:val="24"/>
        </w:rPr>
        <w:t>stud</w:t>
      </w:r>
      <w:r w:rsidR="002F107C">
        <w:rPr>
          <w:rFonts w:ascii="Times New Roman" w:hAnsi="Times New Roman" w:cs="Times New Roman"/>
          <w:sz w:val="24"/>
          <w:szCs w:val="24"/>
        </w:rPr>
        <w:t xml:space="preserve">ies have evaluated </w:t>
      </w:r>
      <w:r w:rsidR="002F107C" w:rsidRPr="00B95617">
        <w:rPr>
          <w:rFonts w:ascii="Times New Roman" w:hAnsi="Times New Roman" w:cs="Times New Roman"/>
          <w:sz w:val="24"/>
          <w:szCs w:val="24"/>
        </w:rPr>
        <w:t>the effect</w:t>
      </w:r>
      <w:r w:rsidR="002F107C">
        <w:rPr>
          <w:rFonts w:ascii="Times New Roman" w:hAnsi="Times New Roman" w:cs="Times New Roman"/>
          <w:sz w:val="24"/>
          <w:szCs w:val="24"/>
        </w:rPr>
        <w:t>s</w:t>
      </w:r>
      <w:r w:rsidR="002F107C" w:rsidRPr="00B95617">
        <w:rPr>
          <w:rFonts w:ascii="Times New Roman" w:hAnsi="Times New Roman" w:cs="Times New Roman"/>
          <w:sz w:val="24"/>
          <w:szCs w:val="24"/>
        </w:rPr>
        <w:t xml:space="preserve"> of stem cells in human tendinopathy, </w:t>
      </w:r>
      <w:r w:rsidR="002F107C">
        <w:rPr>
          <w:rFonts w:ascii="Times New Roman" w:hAnsi="Times New Roman" w:cs="Times New Roman"/>
          <w:sz w:val="24"/>
          <w:szCs w:val="24"/>
        </w:rPr>
        <w:t xml:space="preserve">the </w:t>
      </w:r>
      <w:r w:rsidR="002F107C" w:rsidRPr="00B95617">
        <w:rPr>
          <w:rFonts w:ascii="Times New Roman" w:hAnsi="Times New Roman" w:cs="Times New Roman"/>
          <w:sz w:val="24"/>
          <w:szCs w:val="24"/>
        </w:rPr>
        <w:t xml:space="preserve">target sample size was estimated based on a study </w:t>
      </w:r>
      <w:r w:rsidR="002F107C">
        <w:rPr>
          <w:rFonts w:ascii="Times New Roman" w:hAnsi="Times New Roman" w:cs="Times New Roman"/>
          <w:sz w:val="24"/>
          <w:szCs w:val="24"/>
        </w:rPr>
        <w:t xml:space="preserve">of </w:t>
      </w:r>
      <w:r w:rsidR="002F107C" w:rsidRPr="00B95617">
        <w:rPr>
          <w:rFonts w:ascii="Times New Roman" w:hAnsi="Times New Roman" w:cs="Times New Roman"/>
          <w:sz w:val="24"/>
          <w:szCs w:val="24"/>
        </w:rPr>
        <w:t xml:space="preserve">platelet-rich plasma in </w:t>
      </w:r>
      <w:r w:rsidR="002F107C">
        <w:rPr>
          <w:rFonts w:ascii="Times New Roman" w:hAnsi="Times New Roman" w:cs="Times New Roman"/>
          <w:sz w:val="24"/>
          <w:szCs w:val="24"/>
        </w:rPr>
        <w:t xml:space="preserve">patients with </w:t>
      </w:r>
      <w:r w:rsidR="002F107C" w:rsidRPr="00B95617">
        <w:rPr>
          <w:rFonts w:ascii="Times New Roman" w:hAnsi="Times New Roman" w:cs="Times New Roman"/>
          <w:sz w:val="24"/>
          <w:szCs w:val="24"/>
        </w:rPr>
        <w:t>elbow tendinosis</w:t>
      </w:r>
      <w:r w:rsidR="00A801B3">
        <w:rPr>
          <w:rFonts w:ascii="Times New Roman" w:hAnsi="Times New Roman" w:cs="Times New Roman"/>
          <w:sz w:val="24"/>
          <w:szCs w:val="24"/>
        </w:rPr>
        <w:t>.</w:t>
      </w:r>
      <w:r w:rsidR="002F107C" w:rsidRPr="00BE263B">
        <w:rPr>
          <w:rFonts w:ascii="Times New Roman" w:hAnsi="Times New Roman" w:cs="Times New Roman"/>
          <w:noProof/>
          <w:sz w:val="24"/>
          <w:szCs w:val="24"/>
          <w:vertAlign w:val="superscript"/>
        </w:rPr>
        <w:t>1</w:t>
      </w:r>
      <w:r w:rsidR="002F107C">
        <w:rPr>
          <w:rFonts w:ascii="Times New Roman" w:hAnsi="Times New Roman" w:cs="Times New Roman"/>
          <w:sz w:val="24"/>
          <w:szCs w:val="24"/>
        </w:rPr>
        <w:t xml:space="preserve"> </w:t>
      </w:r>
      <w:r w:rsidR="00A801B3">
        <w:rPr>
          <w:rFonts w:ascii="Times New Roman" w:hAnsi="Times New Roman" w:cs="Times New Roman"/>
          <w:sz w:val="24"/>
          <w:szCs w:val="24"/>
        </w:rPr>
        <w:t xml:space="preserve">Each group had equal number of subjects and the level of significance was set as </w:t>
      </w:r>
      <w:r w:rsidR="00A801B3">
        <w:rPr>
          <w:rFonts w:ascii="맑은 고딕" w:eastAsia="맑은 고딕" w:hAnsi="맑은 고딕" w:cs="Times New Roman" w:hint="eastAsia"/>
          <w:sz w:val="24"/>
          <w:szCs w:val="24"/>
        </w:rPr>
        <w:t>α</w:t>
      </w:r>
      <w:r w:rsidR="00A801B3" w:rsidRPr="00A801B3">
        <w:rPr>
          <w:rFonts w:ascii="Times New Roman" w:hAnsi="Times New Roman" w:cs="Times New Roman"/>
          <w:sz w:val="24"/>
          <w:szCs w:val="24"/>
        </w:rPr>
        <w:t xml:space="preserve"> = 0.05</w:t>
      </w:r>
      <w:r w:rsidR="00A801B3">
        <w:rPr>
          <w:rFonts w:ascii="Times New Roman" w:hAnsi="Times New Roman" w:cs="Times New Roman"/>
          <w:sz w:val="24"/>
          <w:szCs w:val="24"/>
        </w:rPr>
        <w:t xml:space="preserve"> while the power of test was 80%. In the previous study</w:t>
      </w:r>
      <w:r w:rsidR="00AE7B84">
        <w:rPr>
          <w:rFonts w:ascii="Times New Roman" w:hAnsi="Times New Roman" w:cs="Times New Roman"/>
          <w:sz w:val="24"/>
          <w:szCs w:val="24"/>
        </w:rPr>
        <w:t>,</w:t>
      </w:r>
      <w:r w:rsidR="00A801B3" w:rsidRPr="00A801B3">
        <w:rPr>
          <w:rFonts w:ascii="Times New Roman" w:hAnsi="Times New Roman" w:cs="Times New Roman"/>
          <w:sz w:val="24"/>
          <w:szCs w:val="24"/>
          <w:vertAlign w:val="superscript"/>
        </w:rPr>
        <w:t>1</w:t>
      </w:r>
      <w:r w:rsidR="00A801B3">
        <w:rPr>
          <w:rFonts w:ascii="Times New Roman" w:hAnsi="Times New Roman" w:cs="Times New Roman"/>
          <w:sz w:val="24"/>
          <w:szCs w:val="24"/>
        </w:rPr>
        <w:t xml:space="preserve"> </w:t>
      </w:r>
      <w:r w:rsidR="00AE7B84">
        <w:rPr>
          <w:rFonts w:ascii="Times New Roman" w:hAnsi="Times New Roman" w:cs="Times New Roman"/>
          <w:sz w:val="24"/>
          <w:szCs w:val="24"/>
        </w:rPr>
        <w:t>the intervention group (n = 15) had 48.3 points improvement in pain assessed by visual analog scale (VAS) and the control group (n = 5) had 14 points improvement. The two groups had significant difference (p = 0.001) in unpaired t-test. Based on the aforementioned information the pooled standard was calculated as follows;</w:t>
      </w:r>
    </w:p>
    <w:p w14:paraId="1154CCD7" w14:textId="7ED0C038" w:rsidR="00AE7B84" w:rsidRPr="00B95617" w:rsidRDefault="00AE7B84" w:rsidP="00AE7B84">
      <w:pPr>
        <w:spacing w:line="480" w:lineRule="auto"/>
        <w:jc w:val="left"/>
        <w:rPr>
          <w:rFonts w:ascii="Times New Roman" w:hAnsi="Times New Roman" w:cs="Times New Roman"/>
          <w:sz w:val="24"/>
          <w:szCs w:val="24"/>
        </w:rPr>
      </w:pPr>
      <w:r>
        <w:rPr>
          <w:rFonts w:ascii="Times New Roman" w:hAnsi="Times New Roman" w:cs="Times New Roman"/>
          <w:sz w:val="24"/>
          <w:szCs w:val="24"/>
        </w:rPr>
        <w:t xml:space="preserve">The estimated target number per group was calculated using </w:t>
      </w:r>
      <w:r w:rsidRPr="00AE7B84">
        <w:rPr>
          <w:rFonts w:ascii="Times New Roman" w:hAnsi="Times New Roman" w:cs="Times New Roman"/>
          <w:sz w:val="24"/>
          <w:szCs w:val="24"/>
        </w:rPr>
        <w:t>PASS</w:t>
      </w:r>
      <w:r>
        <w:rPr>
          <w:rFonts w:ascii="Times New Roman" w:hAnsi="Times New Roman" w:cs="Times New Roman"/>
          <w:sz w:val="24"/>
          <w:szCs w:val="24"/>
        </w:rPr>
        <w:t xml:space="preserve"> </w:t>
      </w:r>
      <w:r w:rsidRPr="00AE7B84">
        <w:rPr>
          <w:rFonts w:ascii="Times New Roman" w:hAnsi="Times New Roman" w:cs="Times New Roman"/>
          <w:sz w:val="24"/>
          <w:szCs w:val="24"/>
        </w:rPr>
        <w:t xml:space="preserve">(PASS Software (Power Analysis and sample size software : </w:t>
      </w:r>
      <w:hyperlink r:id="rId7" w:history="1">
        <w:r w:rsidRPr="009F423B">
          <w:rPr>
            <w:rStyle w:val="a5"/>
            <w:rFonts w:ascii="Times New Roman" w:hAnsi="Times New Roman" w:cs="Times New Roman"/>
            <w:sz w:val="24"/>
            <w:szCs w:val="24"/>
          </w:rPr>
          <w:t>http://www.ncss.com)</w:t>
        </w:r>
      </w:hyperlink>
      <w:r w:rsidRPr="00AE7B84">
        <w:rPr>
          <w:rFonts w:ascii="Times New Roman" w:hAnsi="Times New Roman" w:cs="Times New Roman"/>
          <w:sz w:val="24"/>
          <w:szCs w:val="24"/>
        </w:rPr>
        <w:t>)</w:t>
      </w:r>
      <w:r>
        <w:rPr>
          <w:rFonts w:ascii="Times New Roman" w:hAnsi="Times New Roman" w:cs="Times New Roman"/>
          <w:sz w:val="24"/>
          <w:szCs w:val="24"/>
        </w:rPr>
        <w:t>. Considering a drop-out of 10%, 8 subjects in each group, a total of 24 participants were recruited.</w:t>
      </w:r>
    </w:p>
    <w:p w14:paraId="569725D7" w14:textId="7A987FC8" w:rsidR="002F107C" w:rsidRPr="0068335A" w:rsidRDefault="002F107C" w:rsidP="00C52395">
      <w:pPr>
        <w:spacing w:line="480" w:lineRule="auto"/>
        <w:jc w:val="left"/>
        <w:rPr>
          <w:rFonts w:ascii="Times New Roman" w:hAnsi="Times New Roman" w:cs="Times New Roman"/>
          <w:b/>
          <w:i/>
          <w:sz w:val="24"/>
          <w:szCs w:val="24"/>
        </w:rPr>
      </w:pPr>
      <w:r w:rsidRPr="0068335A">
        <w:rPr>
          <w:rFonts w:ascii="Times New Roman" w:hAnsi="Times New Roman" w:cs="Times New Roman"/>
          <w:b/>
          <w:i/>
          <w:sz w:val="24"/>
          <w:szCs w:val="24"/>
        </w:rPr>
        <w:t xml:space="preserve">Stem </w:t>
      </w:r>
      <w:r>
        <w:rPr>
          <w:rFonts w:ascii="Times New Roman" w:hAnsi="Times New Roman" w:cs="Times New Roman"/>
          <w:b/>
          <w:i/>
          <w:sz w:val="24"/>
          <w:szCs w:val="24"/>
        </w:rPr>
        <w:t>c</w:t>
      </w:r>
      <w:r w:rsidRPr="0068335A">
        <w:rPr>
          <w:rFonts w:ascii="Times New Roman" w:hAnsi="Times New Roman" w:cs="Times New Roman"/>
          <w:b/>
          <w:i/>
          <w:sz w:val="24"/>
          <w:szCs w:val="24"/>
        </w:rPr>
        <w:t xml:space="preserve">ell </w:t>
      </w:r>
      <w:r>
        <w:rPr>
          <w:rFonts w:ascii="Times New Roman" w:hAnsi="Times New Roman" w:cs="Times New Roman"/>
          <w:b/>
          <w:i/>
          <w:sz w:val="24"/>
          <w:szCs w:val="24"/>
        </w:rPr>
        <w:t>p</w:t>
      </w:r>
      <w:r w:rsidRPr="0068335A">
        <w:rPr>
          <w:rFonts w:ascii="Times New Roman" w:hAnsi="Times New Roman" w:cs="Times New Roman"/>
          <w:b/>
          <w:i/>
          <w:sz w:val="24"/>
          <w:szCs w:val="24"/>
        </w:rPr>
        <w:t xml:space="preserve">reparation </w:t>
      </w:r>
    </w:p>
    <w:p w14:paraId="569725D8" w14:textId="7110BEEC" w:rsidR="002F107C" w:rsidRPr="0068335A" w:rsidRDefault="002F107C" w:rsidP="00C52395">
      <w:pPr>
        <w:spacing w:line="480" w:lineRule="auto"/>
        <w:jc w:val="left"/>
        <w:rPr>
          <w:rFonts w:ascii="Times New Roman" w:hAnsi="Times New Roman" w:cs="Times New Roman"/>
          <w:sz w:val="24"/>
          <w:szCs w:val="24"/>
        </w:rPr>
      </w:pPr>
      <w:r w:rsidRPr="0068335A">
        <w:rPr>
          <w:rFonts w:ascii="Times New Roman" w:hAnsi="Times New Roman" w:cs="Times New Roman"/>
          <w:bCs/>
          <w:sz w:val="24"/>
          <w:szCs w:val="24"/>
        </w:rPr>
        <w:t>Human subcutaneous adipose tissue was harvested from</w:t>
      </w:r>
      <w:r w:rsidR="00244A4D">
        <w:rPr>
          <w:rFonts w:ascii="Times New Roman" w:hAnsi="Times New Roman" w:cs="Times New Roman"/>
          <w:bCs/>
          <w:sz w:val="24"/>
          <w:szCs w:val="24"/>
        </w:rPr>
        <w:t xml:space="preserve"> a</w:t>
      </w:r>
      <w:r w:rsidRPr="0068335A">
        <w:rPr>
          <w:rFonts w:ascii="Times New Roman" w:hAnsi="Times New Roman" w:cs="Times New Roman"/>
          <w:bCs/>
          <w:sz w:val="24"/>
          <w:szCs w:val="24"/>
        </w:rPr>
        <w:t xml:space="preserve"> healthy</w:t>
      </w:r>
      <w:r w:rsidR="00244A4D">
        <w:rPr>
          <w:rFonts w:ascii="Times New Roman" w:hAnsi="Times New Roman" w:cs="Times New Roman"/>
          <w:bCs/>
          <w:sz w:val="24"/>
          <w:szCs w:val="24"/>
        </w:rPr>
        <w:t xml:space="preserve"> female</w:t>
      </w:r>
      <w:r w:rsidRPr="0068335A">
        <w:rPr>
          <w:rFonts w:ascii="Times New Roman" w:hAnsi="Times New Roman" w:cs="Times New Roman"/>
          <w:bCs/>
          <w:sz w:val="24"/>
          <w:szCs w:val="24"/>
        </w:rPr>
        <w:t xml:space="preserve"> donor </w:t>
      </w:r>
      <w:r>
        <w:rPr>
          <w:rFonts w:ascii="Times New Roman" w:hAnsi="Times New Roman" w:cs="Times New Roman"/>
          <w:bCs/>
          <w:sz w:val="24"/>
          <w:szCs w:val="24"/>
        </w:rPr>
        <w:t xml:space="preserve">after obtaining </w:t>
      </w:r>
      <w:r w:rsidRPr="0068335A">
        <w:rPr>
          <w:rFonts w:ascii="Times New Roman" w:hAnsi="Times New Roman" w:cs="Times New Roman"/>
          <w:bCs/>
          <w:sz w:val="24"/>
          <w:szCs w:val="24"/>
        </w:rPr>
        <w:t xml:space="preserve">informed consent. </w:t>
      </w:r>
      <w:r w:rsidR="00244A4D" w:rsidRPr="00244A4D">
        <w:rPr>
          <w:rFonts w:ascii="Times New Roman" w:hAnsi="Times New Roman" w:cs="Times New Roman"/>
          <w:bCs/>
          <w:sz w:val="24"/>
          <w:szCs w:val="24"/>
        </w:rPr>
        <w:t>As the batch size of ASC bank from one donor is at least more than 50, the ASCs at passage 3~4 obtained was used for this clinical tria</w:t>
      </w:r>
      <w:r w:rsidR="00244A4D">
        <w:rPr>
          <w:rFonts w:ascii="Times New Roman" w:hAnsi="Times New Roman" w:cs="Times New Roman"/>
          <w:bCs/>
          <w:sz w:val="24"/>
          <w:szCs w:val="24"/>
        </w:rPr>
        <w:t xml:space="preserve">l. </w:t>
      </w:r>
      <w:r w:rsidRPr="0068335A">
        <w:rPr>
          <w:rFonts w:ascii="Times New Roman" w:hAnsi="Times New Roman" w:cs="Times New Roman"/>
          <w:bCs/>
          <w:sz w:val="24"/>
          <w:szCs w:val="24"/>
        </w:rPr>
        <w:t>The lipoaspirate was immersed and gently shaken in phosphate</w:t>
      </w:r>
      <w:r>
        <w:rPr>
          <w:rFonts w:ascii="Times New Roman" w:hAnsi="Times New Roman" w:cs="Times New Roman"/>
          <w:bCs/>
          <w:sz w:val="24"/>
          <w:szCs w:val="24"/>
        </w:rPr>
        <w:t>-</w:t>
      </w:r>
      <w:r w:rsidRPr="0068335A">
        <w:rPr>
          <w:rFonts w:ascii="Times New Roman" w:hAnsi="Times New Roman" w:cs="Times New Roman"/>
          <w:bCs/>
          <w:sz w:val="24"/>
          <w:szCs w:val="24"/>
        </w:rPr>
        <w:t>buffered saline containing 1% bovine serum albumin and 0.025% collagenase type 1 for 80 min</w:t>
      </w:r>
      <w:r>
        <w:rPr>
          <w:rFonts w:ascii="Times New Roman" w:hAnsi="Times New Roman" w:cs="Times New Roman"/>
          <w:bCs/>
          <w:sz w:val="24"/>
          <w:szCs w:val="24"/>
        </w:rPr>
        <w:t xml:space="preserve"> at </w:t>
      </w:r>
      <w:r w:rsidRPr="0068335A">
        <w:rPr>
          <w:rFonts w:ascii="Times New Roman" w:hAnsi="Times New Roman" w:cs="Times New Roman"/>
          <w:bCs/>
          <w:sz w:val="24"/>
          <w:szCs w:val="24"/>
        </w:rPr>
        <w:t>37</w:t>
      </w:r>
      <w:r w:rsidRPr="0068335A">
        <w:rPr>
          <w:rFonts w:ascii="Times New Roman" w:eastAsiaTheme="minorHAnsi" w:hAnsi="Times New Roman" w:cs="Times New Roman"/>
          <w:bCs/>
          <w:sz w:val="24"/>
          <w:szCs w:val="24"/>
        </w:rPr>
        <w:t>°</w:t>
      </w:r>
      <w:r w:rsidRPr="0068335A">
        <w:rPr>
          <w:rFonts w:ascii="Times New Roman" w:hAnsi="Times New Roman" w:cs="Times New Roman"/>
          <w:bCs/>
          <w:sz w:val="24"/>
          <w:szCs w:val="24"/>
        </w:rPr>
        <w:t xml:space="preserve">C. The stromal vascular fraction </w:t>
      </w:r>
      <w:r w:rsidRPr="0068335A">
        <w:rPr>
          <w:rFonts w:ascii="Times New Roman" w:hAnsi="Times New Roman" w:cs="Times New Roman"/>
          <w:bCs/>
          <w:sz w:val="24"/>
          <w:szCs w:val="24"/>
        </w:rPr>
        <w:lastRenderedPageBreak/>
        <w:t>was extracted and cultured in Dulbec</w:t>
      </w:r>
      <w:r>
        <w:rPr>
          <w:rFonts w:ascii="Times New Roman" w:hAnsi="Times New Roman" w:cs="Times New Roman"/>
          <w:bCs/>
          <w:sz w:val="24"/>
          <w:szCs w:val="24"/>
        </w:rPr>
        <w:t>c</w:t>
      </w:r>
      <w:r w:rsidRPr="0068335A">
        <w:rPr>
          <w:rFonts w:ascii="Times New Roman" w:hAnsi="Times New Roman" w:cs="Times New Roman"/>
          <w:bCs/>
          <w:sz w:val="24"/>
          <w:szCs w:val="24"/>
        </w:rPr>
        <w:t>o’s modified Eagle’s medium (DMEM</w:t>
      </w:r>
      <w:r>
        <w:rPr>
          <w:rFonts w:ascii="Times New Roman" w:hAnsi="Times New Roman" w:cs="Times New Roman"/>
          <w:bCs/>
          <w:sz w:val="24"/>
          <w:szCs w:val="24"/>
        </w:rPr>
        <w:t xml:space="preserve">; </w:t>
      </w:r>
      <w:r w:rsidRPr="0068335A">
        <w:rPr>
          <w:rFonts w:ascii="Times New Roman" w:hAnsi="Times New Roman" w:cs="Times New Roman"/>
          <w:bCs/>
          <w:sz w:val="24"/>
          <w:szCs w:val="24"/>
        </w:rPr>
        <w:t>Invitrogen, Gaithersburg, MD</w:t>
      </w:r>
      <w:r>
        <w:rPr>
          <w:rFonts w:ascii="Times New Roman" w:hAnsi="Times New Roman" w:cs="Times New Roman"/>
          <w:bCs/>
          <w:sz w:val="24"/>
          <w:szCs w:val="24"/>
        </w:rPr>
        <w:t xml:space="preserve"> </w:t>
      </w:r>
      <w:r w:rsidRPr="0086365E">
        <w:rPr>
          <w:rFonts w:ascii="Times New Roman" w:hAnsi="Times New Roman" w:cs="Times New Roman"/>
          <w:bCs/>
          <w:sz w:val="24"/>
          <w:szCs w:val="24"/>
        </w:rPr>
        <w:t>http://</w:t>
      </w:r>
      <w:r w:rsidRPr="0068335A">
        <w:rPr>
          <w:rFonts w:ascii="Times New Roman" w:hAnsi="Times New Roman" w:cs="Times New Roman"/>
          <w:bCs/>
          <w:sz w:val="24"/>
          <w:szCs w:val="24"/>
        </w:rPr>
        <w:t>www.thermofisher.com) supplemented with 10% fetal bovine serum and 1</w:t>
      </w:r>
      <w:r>
        <w:rPr>
          <w:rFonts w:ascii="Times New Roman" w:hAnsi="Times New Roman" w:cs="Times New Roman"/>
          <w:bCs/>
          <w:sz w:val="24"/>
          <w:szCs w:val="24"/>
        </w:rPr>
        <w:t xml:space="preserve"> </w:t>
      </w:r>
      <w:r w:rsidRPr="0068335A">
        <w:rPr>
          <w:rFonts w:ascii="Times New Roman" w:hAnsi="Times New Roman" w:cs="Times New Roman"/>
          <w:bCs/>
          <w:sz w:val="24"/>
          <w:szCs w:val="24"/>
        </w:rPr>
        <w:t>ng/m</w:t>
      </w:r>
      <w:r>
        <w:rPr>
          <w:rFonts w:ascii="Times New Roman" w:hAnsi="Times New Roman" w:cs="Times New Roman"/>
          <w:bCs/>
          <w:sz w:val="24"/>
          <w:szCs w:val="24"/>
        </w:rPr>
        <w:t>L</w:t>
      </w:r>
      <w:r w:rsidRPr="0068335A">
        <w:rPr>
          <w:rFonts w:ascii="Times New Roman" w:hAnsi="Times New Roman" w:cs="Times New Roman"/>
          <w:bCs/>
          <w:sz w:val="24"/>
          <w:szCs w:val="24"/>
        </w:rPr>
        <w:t xml:space="preserve"> basic fibroblast growth factor. The cultured cells </w:t>
      </w:r>
      <w:r>
        <w:rPr>
          <w:rFonts w:ascii="Times New Roman" w:hAnsi="Times New Roman" w:cs="Times New Roman"/>
          <w:bCs/>
          <w:sz w:val="24"/>
          <w:szCs w:val="24"/>
        </w:rPr>
        <w:t>(</w:t>
      </w:r>
      <w:r w:rsidRPr="0068335A">
        <w:rPr>
          <w:rFonts w:ascii="Times New Roman" w:hAnsi="Times New Roman" w:cs="Times New Roman"/>
          <w:sz w:val="24"/>
          <w:szCs w:val="24"/>
        </w:rPr>
        <w:t>allogenic adipose-derived adult MSCs</w:t>
      </w:r>
      <w:r>
        <w:rPr>
          <w:rFonts w:ascii="Times New Roman" w:hAnsi="Times New Roman" w:cs="Times New Roman"/>
          <w:sz w:val="24"/>
          <w:szCs w:val="24"/>
        </w:rPr>
        <w:t xml:space="preserve">) were </w:t>
      </w:r>
      <w:r w:rsidRPr="0068335A">
        <w:rPr>
          <w:rFonts w:ascii="Times New Roman" w:hAnsi="Times New Roman" w:cs="Times New Roman"/>
          <w:bCs/>
          <w:sz w:val="24"/>
          <w:szCs w:val="24"/>
        </w:rPr>
        <w:t>harvested via trypsin</w:t>
      </w:r>
      <w:r>
        <w:rPr>
          <w:rFonts w:ascii="Times New Roman" w:hAnsi="Times New Roman" w:cs="Times New Roman"/>
          <w:bCs/>
          <w:sz w:val="24"/>
          <w:szCs w:val="24"/>
        </w:rPr>
        <w:t>iz</w:t>
      </w:r>
      <w:r w:rsidRPr="0068335A">
        <w:rPr>
          <w:rFonts w:ascii="Times New Roman" w:hAnsi="Times New Roman" w:cs="Times New Roman"/>
          <w:bCs/>
          <w:sz w:val="24"/>
          <w:szCs w:val="24"/>
        </w:rPr>
        <w:t>ation</w:t>
      </w:r>
      <w:r>
        <w:rPr>
          <w:rFonts w:ascii="Times New Roman" w:hAnsi="Times New Roman" w:cs="Times New Roman"/>
          <w:bCs/>
          <w:sz w:val="24"/>
          <w:szCs w:val="24"/>
        </w:rPr>
        <w:t xml:space="preserve">, </w:t>
      </w:r>
      <w:r w:rsidRPr="0068335A">
        <w:rPr>
          <w:rFonts w:ascii="Times New Roman" w:hAnsi="Times New Roman" w:cs="Times New Roman"/>
          <w:bCs/>
          <w:sz w:val="24"/>
          <w:szCs w:val="24"/>
        </w:rPr>
        <w:t xml:space="preserve">suspended in DMEM </w:t>
      </w:r>
      <w:r>
        <w:rPr>
          <w:rFonts w:ascii="Times New Roman" w:hAnsi="Times New Roman" w:cs="Times New Roman"/>
          <w:bCs/>
          <w:sz w:val="24"/>
          <w:szCs w:val="24"/>
        </w:rPr>
        <w:t xml:space="preserve">at </w:t>
      </w:r>
      <w:r w:rsidRPr="0068335A">
        <w:rPr>
          <w:rFonts w:ascii="Times New Roman" w:hAnsi="Times New Roman" w:cs="Times New Roman"/>
          <w:bCs/>
          <w:sz w:val="24"/>
          <w:szCs w:val="24"/>
        </w:rPr>
        <w:t xml:space="preserve">a concentration of 3.0 </w:t>
      </w:r>
      <w:r>
        <w:rPr>
          <w:rFonts w:ascii="Times New Roman" w:hAnsi="Times New Roman" w:cs="Times New Roman"/>
          <w:bCs/>
          <w:sz w:val="24"/>
          <w:szCs w:val="24"/>
        </w:rPr>
        <w:t>×</w:t>
      </w:r>
      <w:r w:rsidRPr="0068335A">
        <w:rPr>
          <w:rFonts w:ascii="Times New Roman" w:hAnsi="Times New Roman" w:cs="Times New Roman"/>
          <w:bCs/>
          <w:sz w:val="24"/>
          <w:szCs w:val="24"/>
        </w:rPr>
        <w:t xml:space="preserve"> </w:t>
      </w:r>
      <w:r w:rsidRPr="0068335A">
        <w:rPr>
          <w:rFonts w:ascii="Times New Roman" w:hAnsi="Times New Roman" w:cs="Times New Roman"/>
          <w:sz w:val="24"/>
          <w:szCs w:val="24"/>
        </w:rPr>
        <w:t>10</w:t>
      </w:r>
      <w:r w:rsidRPr="0068335A">
        <w:rPr>
          <w:rFonts w:ascii="Times New Roman" w:hAnsi="Times New Roman" w:cs="Times New Roman"/>
          <w:sz w:val="24"/>
          <w:szCs w:val="24"/>
          <w:vertAlign w:val="superscript"/>
        </w:rPr>
        <w:t>7</w:t>
      </w:r>
      <w:r w:rsidRPr="0068335A">
        <w:rPr>
          <w:rFonts w:ascii="Times New Roman" w:hAnsi="Times New Roman" w:cs="Times New Roman"/>
          <w:sz w:val="24"/>
          <w:szCs w:val="24"/>
        </w:rPr>
        <w:t xml:space="preserve"> cells/m</w:t>
      </w:r>
      <w:r>
        <w:rPr>
          <w:rFonts w:ascii="Times New Roman" w:hAnsi="Times New Roman" w:cs="Times New Roman"/>
          <w:sz w:val="24"/>
          <w:szCs w:val="24"/>
        </w:rPr>
        <w:t>L,</w:t>
      </w:r>
      <w:r w:rsidRPr="0068335A">
        <w:rPr>
          <w:rFonts w:ascii="Times New Roman" w:hAnsi="Times New Roman" w:cs="Times New Roman"/>
          <w:bCs/>
          <w:sz w:val="24"/>
          <w:szCs w:val="24"/>
        </w:rPr>
        <w:t xml:space="preserve"> and packaged into disposable vial</w:t>
      </w:r>
      <w:r>
        <w:rPr>
          <w:rFonts w:ascii="Times New Roman" w:hAnsi="Times New Roman" w:cs="Times New Roman"/>
          <w:bCs/>
          <w:sz w:val="24"/>
          <w:szCs w:val="24"/>
        </w:rPr>
        <w:t>s</w:t>
      </w:r>
      <w:r w:rsidRPr="0068335A">
        <w:rPr>
          <w:rFonts w:ascii="Times New Roman" w:hAnsi="Times New Roman" w:cs="Times New Roman"/>
          <w:bCs/>
          <w:sz w:val="24"/>
          <w:szCs w:val="24"/>
        </w:rPr>
        <w:t xml:space="preserve"> </w:t>
      </w:r>
      <w:r w:rsidRPr="0068335A">
        <w:rPr>
          <w:rFonts w:ascii="Times New Roman" w:hAnsi="Times New Roman" w:cs="Times New Roman"/>
          <w:sz w:val="24"/>
          <w:szCs w:val="24"/>
        </w:rPr>
        <w:t>(Anterogen, Seoul, Korea</w:t>
      </w:r>
      <w:r>
        <w:rPr>
          <w:rFonts w:ascii="Times New Roman" w:hAnsi="Times New Roman" w:cs="Times New Roman"/>
          <w:sz w:val="24"/>
          <w:szCs w:val="24"/>
        </w:rPr>
        <w:t xml:space="preserve"> </w:t>
      </w:r>
      <w:hyperlink r:id="rId8" w:history="1">
        <w:r w:rsidRPr="008D594E">
          <w:rPr>
            <w:rFonts w:ascii="Times New Roman" w:hAnsi="Times New Roman" w:cs="Times New Roman"/>
            <w:bCs/>
            <w:sz w:val="24"/>
            <w:szCs w:val="24"/>
          </w:rPr>
          <w:t>http://anterogen.com/</w:t>
        </w:r>
      </w:hyperlink>
      <w:r w:rsidRPr="0068335A">
        <w:rPr>
          <w:rFonts w:ascii="Times New Roman" w:hAnsi="Times New Roman" w:cs="Times New Roman"/>
          <w:sz w:val="24"/>
          <w:szCs w:val="24"/>
        </w:rPr>
        <w:t>)</w:t>
      </w:r>
      <w:r w:rsidRPr="0068335A">
        <w:rPr>
          <w:rFonts w:ascii="Times New Roman" w:hAnsi="Times New Roman" w:cs="Times New Roman"/>
          <w:bCs/>
          <w:sz w:val="24"/>
          <w:szCs w:val="24"/>
        </w:rPr>
        <w:t xml:space="preserve">. The products were manufactured </w:t>
      </w:r>
      <w:r>
        <w:rPr>
          <w:rFonts w:ascii="Times New Roman" w:hAnsi="Times New Roman" w:cs="Times New Roman"/>
          <w:bCs/>
          <w:sz w:val="24"/>
          <w:szCs w:val="24"/>
        </w:rPr>
        <w:t xml:space="preserve">according </w:t>
      </w:r>
      <w:r w:rsidRPr="0068335A">
        <w:rPr>
          <w:rFonts w:ascii="Times New Roman" w:hAnsi="Times New Roman" w:cs="Times New Roman"/>
          <w:bCs/>
          <w:sz w:val="24"/>
          <w:szCs w:val="24"/>
        </w:rPr>
        <w:t xml:space="preserve">to the Good Manufacturing Practices of the Korean Ministry of Food and Drug Safety. </w:t>
      </w:r>
      <w:r w:rsidRPr="0068335A">
        <w:rPr>
          <w:rFonts w:ascii="Times New Roman" w:hAnsi="Times New Roman" w:cs="Times New Roman"/>
          <w:sz w:val="24"/>
          <w:szCs w:val="24"/>
        </w:rPr>
        <w:t>The manufactured stem cells were characterized by their cluster of differentiation (CD) cell surface markers. They expressed stromal cell-associated markers (CD10, CD13, CD29, and CD 90)</w:t>
      </w:r>
      <w:r>
        <w:rPr>
          <w:rFonts w:ascii="Times New Roman" w:hAnsi="Times New Roman" w:cs="Times New Roman"/>
          <w:sz w:val="24"/>
          <w:szCs w:val="24"/>
        </w:rPr>
        <w:t xml:space="preserve">, but were </w:t>
      </w:r>
      <w:r w:rsidRPr="0068335A">
        <w:rPr>
          <w:rFonts w:ascii="Times New Roman" w:hAnsi="Times New Roman" w:cs="Times New Roman"/>
          <w:sz w:val="24"/>
          <w:szCs w:val="24"/>
        </w:rPr>
        <w:t>negative for hematopoietic/bone marrow-derived stem cell markers (CD34, CD45</w:t>
      </w:r>
      <w:r>
        <w:rPr>
          <w:rFonts w:ascii="Times New Roman" w:hAnsi="Times New Roman" w:cs="Times New Roman"/>
          <w:sz w:val="24"/>
          <w:szCs w:val="24"/>
        </w:rPr>
        <w:t>,</w:t>
      </w:r>
      <w:r w:rsidRPr="0068335A">
        <w:rPr>
          <w:rFonts w:ascii="Times New Roman" w:hAnsi="Times New Roman" w:cs="Times New Roman"/>
          <w:sz w:val="24"/>
          <w:szCs w:val="24"/>
        </w:rPr>
        <w:t xml:space="preserve"> and Stro-1). Assess</w:t>
      </w:r>
      <w:r>
        <w:rPr>
          <w:rFonts w:ascii="Times New Roman" w:hAnsi="Times New Roman" w:cs="Times New Roman"/>
          <w:sz w:val="24"/>
          <w:szCs w:val="24"/>
        </w:rPr>
        <w:t>ments of</w:t>
      </w:r>
      <w:r w:rsidRPr="0068335A">
        <w:rPr>
          <w:rFonts w:ascii="Times New Roman" w:hAnsi="Times New Roman" w:cs="Times New Roman"/>
          <w:sz w:val="24"/>
          <w:szCs w:val="24"/>
        </w:rPr>
        <w:t xml:space="preserve"> cell appearance, viability, identification, purity, content, and potency </w:t>
      </w:r>
      <w:r>
        <w:rPr>
          <w:rFonts w:ascii="Times New Roman" w:hAnsi="Times New Roman" w:cs="Times New Roman"/>
          <w:sz w:val="24"/>
          <w:szCs w:val="24"/>
        </w:rPr>
        <w:t xml:space="preserve">showed that the cells </w:t>
      </w:r>
      <w:r>
        <w:rPr>
          <w:rFonts w:ascii="Times New Roman" w:hAnsi="Times New Roman" w:cs="Times New Roman" w:hint="eastAsia"/>
          <w:sz w:val="24"/>
          <w:szCs w:val="24"/>
        </w:rPr>
        <w:t>comp</w:t>
      </w:r>
      <w:r>
        <w:rPr>
          <w:rFonts w:ascii="Times New Roman" w:hAnsi="Times New Roman" w:cs="Times New Roman"/>
          <w:sz w:val="24"/>
          <w:szCs w:val="24"/>
        </w:rPr>
        <w:t xml:space="preserve">osed the </w:t>
      </w:r>
      <w:r w:rsidRPr="0068335A">
        <w:rPr>
          <w:rFonts w:ascii="Times New Roman" w:hAnsi="Times New Roman" w:cs="Times New Roman"/>
          <w:sz w:val="24"/>
          <w:szCs w:val="24"/>
        </w:rPr>
        <w:t xml:space="preserve">lot release testing. The minimum criteria for release </w:t>
      </w:r>
      <w:r>
        <w:rPr>
          <w:rFonts w:ascii="Times New Roman" w:hAnsi="Times New Roman" w:cs="Times New Roman"/>
          <w:sz w:val="24"/>
          <w:szCs w:val="24"/>
        </w:rPr>
        <w:t xml:space="preserve">were as follows: </w:t>
      </w:r>
      <w:r w:rsidRPr="0068335A">
        <w:rPr>
          <w:rFonts w:ascii="Times New Roman" w:hAnsi="Times New Roman" w:cs="Times New Roman"/>
          <w:sz w:val="24"/>
          <w:szCs w:val="24"/>
        </w:rPr>
        <w:t>80% viability and less than 1% of cells expressing CD45. Potency and genomic stability were assessed by viable cell counting and karyotyping. No evidence of tumor formation was reported after repeated administration of cell to immune-compromised nude mice. Sterility was guaranteed after screening for adventitious agents, mycoplasma, and other bacteria, fungi, viruses</w:t>
      </w:r>
      <w:r>
        <w:rPr>
          <w:rFonts w:ascii="Times New Roman" w:hAnsi="Times New Roman" w:cs="Times New Roman"/>
          <w:sz w:val="24"/>
          <w:szCs w:val="24"/>
        </w:rPr>
        <w:t>,</w:t>
      </w:r>
      <w:r w:rsidRPr="0068335A">
        <w:rPr>
          <w:rFonts w:ascii="Times New Roman" w:hAnsi="Times New Roman" w:cs="Times New Roman"/>
          <w:sz w:val="24"/>
          <w:szCs w:val="24"/>
        </w:rPr>
        <w:t xml:space="preserve"> and endotoxins 3</w:t>
      </w:r>
      <w:r>
        <w:rPr>
          <w:rFonts w:ascii="Times New Roman" w:hAnsi="Times New Roman" w:cs="Times New Roman"/>
          <w:sz w:val="24"/>
          <w:szCs w:val="24"/>
        </w:rPr>
        <w:t xml:space="preserve"> </w:t>
      </w:r>
      <w:r w:rsidRPr="0068335A">
        <w:rPr>
          <w:rFonts w:ascii="Times New Roman" w:hAnsi="Times New Roman" w:cs="Times New Roman"/>
          <w:sz w:val="24"/>
          <w:szCs w:val="24"/>
        </w:rPr>
        <w:t xml:space="preserve">days prior </w:t>
      </w:r>
      <w:r>
        <w:rPr>
          <w:rFonts w:ascii="Times New Roman" w:hAnsi="Times New Roman" w:cs="Times New Roman"/>
          <w:sz w:val="24"/>
          <w:szCs w:val="24"/>
        </w:rPr>
        <w:t xml:space="preserve">to </w:t>
      </w:r>
      <w:r w:rsidRPr="0068335A">
        <w:rPr>
          <w:rFonts w:ascii="Times New Roman" w:hAnsi="Times New Roman" w:cs="Times New Roman"/>
          <w:sz w:val="24"/>
          <w:szCs w:val="24"/>
        </w:rPr>
        <w:t>packaging and sample test</w:t>
      </w:r>
      <w:r>
        <w:rPr>
          <w:rFonts w:ascii="Times New Roman" w:hAnsi="Times New Roman" w:cs="Times New Roman"/>
          <w:sz w:val="24"/>
          <w:szCs w:val="24"/>
        </w:rPr>
        <w:t>ing</w:t>
      </w:r>
      <w:r w:rsidRPr="0068335A">
        <w:rPr>
          <w:rFonts w:ascii="Times New Roman" w:hAnsi="Times New Roman" w:cs="Times New Roman"/>
          <w:sz w:val="24"/>
          <w:szCs w:val="24"/>
        </w:rPr>
        <w:t xml:space="preserve"> of the final product to comply with the “Guidance on specifications and test methods for cell therapy products” from </w:t>
      </w:r>
      <w:r>
        <w:rPr>
          <w:rFonts w:ascii="Times New Roman" w:hAnsi="Times New Roman" w:cs="Times New Roman"/>
          <w:sz w:val="24"/>
          <w:szCs w:val="24"/>
        </w:rPr>
        <w:t xml:space="preserve">the </w:t>
      </w:r>
      <w:r w:rsidRPr="0068335A">
        <w:rPr>
          <w:rFonts w:ascii="Times New Roman" w:hAnsi="Times New Roman" w:cs="Times New Roman"/>
          <w:sz w:val="24"/>
          <w:szCs w:val="24"/>
        </w:rPr>
        <w:t xml:space="preserve">Korean Food and Drug Administration. </w:t>
      </w:r>
    </w:p>
    <w:p w14:paraId="569725D9" w14:textId="0B4E0FBE" w:rsidR="002F107C" w:rsidRPr="0068335A" w:rsidRDefault="002F107C" w:rsidP="00C52395">
      <w:pPr>
        <w:spacing w:line="480" w:lineRule="auto"/>
        <w:ind w:firstLine="800"/>
        <w:jc w:val="left"/>
        <w:rPr>
          <w:rFonts w:ascii="Times New Roman" w:hAnsi="Times New Roman" w:cs="Times New Roman"/>
          <w:sz w:val="24"/>
          <w:szCs w:val="24"/>
        </w:rPr>
      </w:pPr>
      <w:r w:rsidRPr="0068335A">
        <w:rPr>
          <w:rFonts w:ascii="Times New Roman" w:hAnsi="Times New Roman" w:cs="Times New Roman"/>
          <w:sz w:val="24"/>
          <w:szCs w:val="24"/>
        </w:rPr>
        <w:t>A dual 1</w:t>
      </w:r>
      <w:r>
        <w:rPr>
          <w:rFonts w:ascii="Times New Roman" w:hAnsi="Times New Roman" w:cs="Times New Roman"/>
          <w:sz w:val="24"/>
          <w:szCs w:val="24"/>
        </w:rPr>
        <w:t>-</w:t>
      </w:r>
      <w:r w:rsidRPr="0068335A">
        <w:rPr>
          <w:rFonts w:ascii="Times New Roman" w:hAnsi="Times New Roman" w:cs="Times New Roman"/>
          <w:sz w:val="24"/>
          <w:szCs w:val="24"/>
        </w:rPr>
        <w:t>m</w:t>
      </w:r>
      <w:r>
        <w:rPr>
          <w:rFonts w:ascii="Times New Roman" w:hAnsi="Times New Roman" w:cs="Times New Roman"/>
          <w:sz w:val="24"/>
          <w:szCs w:val="24"/>
        </w:rPr>
        <w:t xml:space="preserve">L </w:t>
      </w:r>
      <w:r w:rsidRPr="0068335A">
        <w:rPr>
          <w:rFonts w:ascii="Times New Roman" w:hAnsi="Times New Roman" w:cs="Times New Roman"/>
          <w:sz w:val="24"/>
          <w:szCs w:val="24"/>
        </w:rPr>
        <w:t>syringe injection system (Greenplast kit; Greencross, Seoul, Korea</w:t>
      </w:r>
      <w:r>
        <w:rPr>
          <w:rFonts w:ascii="Times New Roman" w:hAnsi="Times New Roman" w:cs="Times New Roman"/>
          <w:sz w:val="24"/>
          <w:szCs w:val="24"/>
        </w:rPr>
        <w:t xml:space="preserve"> </w:t>
      </w:r>
      <w:hyperlink r:id="rId9" w:history="1">
        <w:r w:rsidRPr="002D7DEF">
          <w:rPr>
            <w:rFonts w:ascii="Times New Roman" w:hAnsi="Times New Roman" w:cs="Times New Roman"/>
            <w:bCs/>
            <w:sz w:val="24"/>
            <w:szCs w:val="24"/>
          </w:rPr>
          <w:t>http://globalgreencross.com/</w:t>
        </w:r>
      </w:hyperlink>
      <w:r w:rsidRPr="002D7DEF">
        <w:rPr>
          <w:rFonts w:ascii="Times New Roman" w:hAnsi="Times New Roman" w:cs="Times New Roman"/>
          <w:bCs/>
          <w:sz w:val="24"/>
          <w:szCs w:val="24"/>
        </w:rPr>
        <w:t xml:space="preserve">) </w:t>
      </w:r>
      <w:r w:rsidRPr="0068335A">
        <w:rPr>
          <w:rFonts w:ascii="Times New Roman" w:hAnsi="Times New Roman" w:cs="Times New Roman"/>
          <w:sz w:val="24"/>
          <w:szCs w:val="24"/>
        </w:rPr>
        <w:t>with a 22-guage spinal needle was adopted. The stem cell</w:t>
      </w:r>
      <w:r>
        <w:rPr>
          <w:rFonts w:ascii="Times New Roman" w:hAnsi="Times New Roman" w:cs="Times New Roman"/>
          <w:sz w:val="24"/>
          <w:szCs w:val="24"/>
        </w:rPr>
        <w:t>-</w:t>
      </w:r>
      <w:r w:rsidRPr="0068335A">
        <w:rPr>
          <w:rFonts w:ascii="Times New Roman" w:hAnsi="Times New Roman" w:cs="Times New Roman"/>
          <w:sz w:val="24"/>
          <w:szCs w:val="24"/>
        </w:rPr>
        <w:t>injected group received 0.5</w:t>
      </w:r>
      <w:r>
        <w:rPr>
          <w:rFonts w:ascii="Times New Roman" w:hAnsi="Times New Roman" w:cs="Times New Roman"/>
          <w:sz w:val="24"/>
          <w:szCs w:val="24"/>
        </w:rPr>
        <w:t xml:space="preserve"> </w:t>
      </w:r>
      <w:r w:rsidRPr="0068335A">
        <w:rPr>
          <w:rFonts w:ascii="Times New Roman" w:hAnsi="Times New Roman" w:cs="Times New Roman"/>
          <w:sz w:val="24"/>
          <w:szCs w:val="24"/>
        </w:rPr>
        <w:t>m</w:t>
      </w:r>
      <w:r>
        <w:rPr>
          <w:rFonts w:ascii="Times New Roman" w:hAnsi="Times New Roman" w:cs="Times New Roman"/>
          <w:sz w:val="24"/>
          <w:szCs w:val="24"/>
        </w:rPr>
        <w:t>L</w:t>
      </w:r>
      <w:r w:rsidRPr="0068335A">
        <w:rPr>
          <w:rFonts w:ascii="Times New Roman" w:hAnsi="Times New Roman" w:cs="Times New Roman"/>
          <w:sz w:val="24"/>
          <w:szCs w:val="24"/>
        </w:rPr>
        <w:t xml:space="preserve"> of </w:t>
      </w:r>
      <w:r>
        <w:rPr>
          <w:rFonts w:ascii="Times New Roman" w:hAnsi="Times New Roman" w:cs="Times New Roman"/>
          <w:sz w:val="24"/>
          <w:szCs w:val="24"/>
        </w:rPr>
        <w:t xml:space="preserve">a </w:t>
      </w:r>
      <w:r w:rsidRPr="0068335A">
        <w:rPr>
          <w:rFonts w:ascii="Times New Roman" w:hAnsi="Times New Roman" w:cs="Times New Roman"/>
          <w:sz w:val="24"/>
          <w:szCs w:val="24"/>
        </w:rPr>
        <w:t xml:space="preserve">mixture of 1.0 </w:t>
      </w:r>
      <w:r>
        <w:rPr>
          <w:rFonts w:ascii="Times New Roman" w:hAnsi="Times New Roman" w:cs="Times New Roman"/>
          <w:sz w:val="24"/>
          <w:szCs w:val="24"/>
        </w:rPr>
        <w:t>×</w:t>
      </w:r>
      <w:r w:rsidRPr="0068335A">
        <w:rPr>
          <w:rFonts w:ascii="Times New Roman" w:hAnsi="Times New Roman" w:cs="Times New Roman"/>
          <w:sz w:val="24"/>
          <w:szCs w:val="24"/>
        </w:rPr>
        <w:t xml:space="preserve"> 10</w:t>
      </w:r>
      <w:r w:rsidRPr="0068335A">
        <w:rPr>
          <w:rFonts w:ascii="Times New Roman" w:hAnsi="Times New Roman" w:cs="Times New Roman"/>
          <w:sz w:val="24"/>
          <w:szCs w:val="24"/>
          <w:vertAlign w:val="superscript"/>
        </w:rPr>
        <w:t xml:space="preserve">7 </w:t>
      </w:r>
      <w:r w:rsidRPr="0068335A">
        <w:rPr>
          <w:rFonts w:ascii="Times New Roman" w:hAnsi="Times New Roman" w:cs="Times New Roman"/>
          <w:sz w:val="24"/>
          <w:szCs w:val="24"/>
        </w:rPr>
        <w:t>MSCs</w:t>
      </w:r>
      <w:r w:rsidR="00F43177">
        <w:rPr>
          <w:rFonts w:ascii="Times New Roman" w:hAnsi="Times New Roman" w:cs="Times New Roman"/>
          <w:sz w:val="24"/>
          <w:szCs w:val="24"/>
        </w:rPr>
        <w:t xml:space="preserve"> in 0.2mL cell solvent</w:t>
      </w:r>
      <w:r w:rsidRPr="0068335A">
        <w:rPr>
          <w:rFonts w:ascii="Times New Roman" w:hAnsi="Times New Roman" w:cs="Times New Roman"/>
          <w:sz w:val="24"/>
          <w:szCs w:val="24"/>
        </w:rPr>
        <w:t xml:space="preserve"> and </w:t>
      </w:r>
      <w:r w:rsidR="00F43177">
        <w:rPr>
          <w:rFonts w:ascii="Times New Roman" w:hAnsi="Times New Roman" w:cs="Times New Roman"/>
          <w:sz w:val="24"/>
          <w:szCs w:val="24"/>
        </w:rPr>
        <w:t xml:space="preserve">0.3mL </w:t>
      </w:r>
      <w:r w:rsidRPr="0068335A">
        <w:rPr>
          <w:rFonts w:ascii="Times New Roman" w:hAnsi="Times New Roman" w:cs="Times New Roman"/>
          <w:sz w:val="24"/>
          <w:szCs w:val="24"/>
        </w:rPr>
        <w:t>thrombin and 0.5 m</w:t>
      </w:r>
      <w:r>
        <w:rPr>
          <w:rFonts w:ascii="Times New Roman" w:hAnsi="Times New Roman" w:cs="Times New Roman"/>
          <w:sz w:val="24"/>
          <w:szCs w:val="24"/>
        </w:rPr>
        <w:t>L</w:t>
      </w:r>
      <w:r w:rsidRPr="0068335A">
        <w:rPr>
          <w:rFonts w:ascii="Times New Roman" w:hAnsi="Times New Roman" w:cs="Times New Roman"/>
          <w:sz w:val="24"/>
          <w:szCs w:val="24"/>
        </w:rPr>
        <w:t xml:space="preserve"> of fibrinogen. </w:t>
      </w:r>
      <w:r w:rsidR="00201C86">
        <w:rPr>
          <w:rFonts w:ascii="Times New Roman" w:hAnsi="Times New Roman" w:cs="Times New Roman"/>
          <w:sz w:val="24"/>
          <w:szCs w:val="24"/>
        </w:rPr>
        <w:t xml:space="preserve">The number of </w:t>
      </w:r>
      <w:r w:rsidR="00C278F9">
        <w:rPr>
          <w:rFonts w:ascii="Times New Roman" w:hAnsi="Times New Roman" w:cs="Times New Roman"/>
          <w:sz w:val="24"/>
          <w:szCs w:val="24"/>
        </w:rPr>
        <w:t>MSCs was selected based on a previous study</w:t>
      </w:r>
      <w:r w:rsidR="00C278F9" w:rsidRPr="00C278F9">
        <w:rPr>
          <w:rFonts w:ascii="Times New Roman" w:hAnsi="Times New Roman" w:cs="Times New Roman"/>
          <w:sz w:val="24"/>
          <w:szCs w:val="24"/>
          <w:vertAlign w:val="superscript"/>
        </w:rPr>
        <w:t>4</w:t>
      </w:r>
      <w:r w:rsidR="00C278F9">
        <w:rPr>
          <w:rFonts w:ascii="Times New Roman" w:hAnsi="Times New Roman" w:cs="Times New Roman"/>
          <w:sz w:val="24"/>
          <w:szCs w:val="24"/>
        </w:rPr>
        <w:t xml:space="preserve"> that proved the safety of intra-tendinous injection of the same MSC product. </w:t>
      </w:r>
      <w:r w:rsidR="00201C86">
        <w:rPr>
          <w:rFonts w:ascii="Times New Roman" w:hAnsi="Times New Roman" w:cs="Times New Roman"/>
          <w:sz w:val="24"/>
          <w:szCs w:val="24"/>
        </w:rPr>
        <w:t xml:space="preserve">The </w:t>
      </w:r>
      <w:r w:rsidR="00C278F9">
        <w:rPr>
          <w:rFonts w:ascii="Times New Roman" w:hAnsi="Times New Roman" w:cs="Times New Roman"/>
          <w:sz w:val="24"/>
          <w:szCs w:val="24"/>
        </w:rPr>
        <w:t>t</w:t>
      </w:r>
      <w:r>
        <w:rPr>
          <w:rFonts w:ascii="Times New Roman" w:hAnsi="Times New Roman" w:cs="Times New Roman"/>
          <w:sz w:val="24"/>
          <w:szCs w:val="24"/>
        </w:rPr>
        <w:t xml:space="preserve">hrombin was added to the </w:t>
      </w:r>
      <w:r w:rsidRPr="0068335A">
        <w:rPr>
          <w:rFonts w:ascii="Times New Roman" w:hAnsi="Times New Roman" w:cs="Times New Roman"/>
          <w:sz w:val="24"/>
          <w:szCs w:val="24"/>
        </w:rPr>
        <w:t>MSC</w:t>
      </w:r>
      <w:r>
        <w:rPr>
          <w:rFonts w:ascii="Times New Roman" w:hAnsi="Times New Roman" w:cs="Times New Roman"/>
          <w:sz w:val="24"/>
          <w:szCs w:val="24"/>
        </w:rPr>
        <w:t xml:space="preserve"> </w:t>
      </w:r>
      <w:r w:rsidRPr="0068335A">
        <w:rPr>
          <w:rFonts w:ascii="Times New Roman" w:hAnsi="Times New Roman" w:cs="Times New Roman"/>
          <w:sz w:val="24"/>
          <w:szCs w:val="24"/>
        </w:rPr>
        <w:t>mix</w:t>
      </w:r>
      <w:r>
        <w:rPr>
          <w:rFonts w:ascii="Times New Roman" w:hAnsi="Times New Roman" w:cs="Times New Roman"/>
          <w:sz w:val="24"/>
          <w:szCs w:val="24"/>
        </w:rPr>
        <w:t xml:space="preserve">ture such that after </w:t>
      </w:r>
      <w:r w:rsidRPr="0068335A">
        <w:rPr>
          <w:rFonts w:ascii="Times New Roman" w:hAnsi="Times New Roman" w:cs="Times New Roman"/>
          <w:sz w:val="24"/>
          <w:szCs w:val="24"/>
        </w:rPr>
        <w:t>inoculat</w:t>
      </w:r>
      <w:r>
        <w:rPr>
          <w:rFonts w:ascii="Times New Roman" w:hAnsi="Times New Roman" w:cs="Times New Roman"/>
          <w:sz w:val="24"/>
          <w:szCs w:val="24"/>
        </w:rPr>
        <w:t>ion</w:t>
      </w:r>
      <w:r w:rsidRPr="0068335A">
        <w:rPr>
          <w:rFonts w:ascii="Times New Roman" w:hAnsi="Times New Roman" w:cs="Times New Roman"/>
          <w:sz w:val="24"/>
          <w:szCs w:val="24"/>
        </w:rPr>
        <w:t xml:space="preserve"> in</w:t>
      </w:r>
      <w:r>
        <w:rPr>
          <w:rFonts w:ascii="Times New Roman" w:hAnsi="Times New Roman" w:cs="Times New Roman"/>
          <w:sz w:val="24"/>
          <w:szCs w:val="24"/>
        </w:rPr>
        <w:t>to</w:t>
      </w:r>
      <w:r w:rsidRPr="0068335A">
        <w:rPr>
          <w:rFonts w:ascii="Times New Roman" w:hAnsi="Times New Roman" w:cs="Times New Roman"/>
          <w:sz w:val="24"/>
          <w:szCs w:val="24"/>
        </w:rPr>
        <w:t xml:space="preserve"> the lesion, </w:t>
      </w:r>
      <w:r w:rsidRPr="0068335A">
        <w:rPr>
          <w:rFonts w:ascii="Times New Roman" w:hAnsi="Times New Roman" w:cs="Times New Roman"/>
          <w:sz w:val="24"/>
          <w:szCs w:val="24"/>
        </w:rPr>
        <w:lastRenderedPageBreak/>
        <w:t xml:space="preserve">fibrinogen </w:t>
      </w:r>
      <w:r>
        <w:rPr>
          <w:rFonts w:ascii="Times New Roman" w:hAnsi="Times New Roman" w:cs="Times New Roman"/>
          <w:sz w:val="24"/>
          <w:szCs w:val="24"/>
        </w:rPr>
        <w:t xml:space="preserve">would be </w:t>
      </w:r>
      <w:r w:rsidRPr="0068335A">
        <w:rPr>
          <w:rFonts w:ascii="Times New Roman" w:hAnsi="Times New Roman" w:cs="Times New Roman"/>
          <w:sz w:val="24"/>
          <w:szCs w:val="24"/>
        </w:rPr>
        <w:t>convert</w:t>
      </w:r>
      <w:r>
        <w:rPr>
          <w:rFonts w:ascii="Times New Roman" w:hAnsi="Times New Roman" w:cs="Times New Roman"/>
          <w:sz w:val="24"/>
          <w:szCs w:val="24"/>
        </w:rPr>
        <w:t>ed</w:t>
      </w:r>
      <w:r w:rsidRPr="0068335A">
        <w:rPr>
          <w:rFonts w:ascii="Times New Roman" w:hAnsi="Times New Roman" w:cs="Times New Roman"/>
          <w:sz w:val="24"/>
          <w:szCs w:val="24"/>
        </w:rPr>
        <w:t xml:space="preserve"> into an insoluble fibrin matrix (fibrin glue), an excellent </w:t>
      </w:r>
      <w:r>
        <w:rPr>
          <w:rFonts w:ascii="Times New Roman" w:hAnsi="Times New Roman" w:cs="Times New Roman"/>
          <w:sz w:val="24"/>
          <w:szCs w:val="24"/>
        </w:rPr>
        <w:t>three</w:t>
      </w:r>
      <w:r w:rsidRPr="0068335A">
        <w:rPr>
          <w:rFonts w:ascii="Times New Roman" w:hAnsi="Times New Roman" w:cs="Times New Roman"/>
          <w:sz w:val="24"/>
          <w:szCs w:val="24"/>
        </w:rPr>
        <w:t>-dimensional scaffold</w:t>
      </w:r>
      <w:r w:rsidR="00201C86">
        <w:rPr>
          <w:rFonts w:ascii="Times New Roman" w:hAnsi="Times New Roman" w:cs="Times New Roman"/>
          <w:sz w:val="24"/>
          <w:szCs w:val="24"/>
          <w:vertAlign w:val="superscript"/>
        </w:rPr>
        <w:t>5</w:t>
      </w:r>
      <w:r w:rsidRPr="0068335A">
        <w:rPr>
          <w:rFonts w:ascii="Times New Roman" w:hAnsi="Times New Roman" w:cs="Times New Roman"/>
          <w:sz w:val="24"/>
          <w:szCs w:val="24"/>
        </w:rPr>
        <w:t xml:space="preserve"> and </w:t>
      </w:r>
      <w:r>
        <w:rPr>
          <w:rFonts w:ascii="Times New Roman" w:hAnsi="Times New Roman" w:cs="Times New Roman"/>
          <w:sz w:val="24"/>
          <w:szCs w:val="24"/>
        </w:rPr>
        <w:t xml:space="preserve">could </w:t>
      </w:r>
      <w:r w:rsidRPr="0068335A">
        <w:rPr>
          <w:rFonts w:ascii="Times New Roman" w:hAnsi="Times New Roman" w:cs="Times New Roman"/>
          <w:sz w:val="24"/>
          <w:szCs w:val="24"/>
        </w:rPr>
        <w:t>contain MSC</w:t>
      </w:r>
      <w:r>
        <w:rPr>
          <w:rFonts w:ascii="Times New Roman" w:hAnsi="Times New Roman" w:cs="Times New Roman"/>
          <w:sz w:val="24"/>
          <w:szCs w:val="24"/>
        </w:rPr>
        <w:t>s</w:t>
      </w:r>
      <w:r w:rsidRPr="0068335A">
        <w:rPr>
          <w:rFonts w:ascii="Times New Roman" w:hAnsi="Times New Roman" w:cs="Times New Roman"/>
          <w:sz w:val="24"/>
          <w:szCs w:val="24"/>
        </w:rPr>
        <w:t xml:space="preserve"> within the lesion. In the active control group, we substituted normal saline for MSC</w:t>
      </w:r>
      <w:r w:rsidR="00F43177">
        <w:rPr>
          <w:rFonts w:ascii="Times New Roman" w:hAnsi="Times New Roman" w:cs="Times New Roman"/>
          <w:sz w:val="24"/>
          <w:szCs w:val="24"/>
        </w:rPr>
        <w:t xml:space="preserve"> suspension</w:t>
      </w:r>
      <w:bookmarkStart w:id="0" w:name="_GoBack"/>
      <w:bookmarkEnd w:id="0"/>
      <w:r w:rsidRPr="0068335A">
        <w:rPr>
          <w:rFonts w:ascii="Times New Roman" w:hAnsi="Times New Roman" w:cs="Times New Roman"/>
          <w:sz w:val="24"/>
          <w:szCs w:val="24"/>
        </w:rPr>
        <w:t>, and the control group was injected with normal saline in both syringes.</w:t>
      </w:r>
    </w:p>
    <w:p w14:paraId="569725DA" w14:textId="77777777" w:rsidR="002F107C" w:rsidRPr="0068335A" w:rsidRDefault="002F107C" w:rsidP="00C52395">
      <w:pPr>
        <w:spacing w:line="480" w:lineRule="auto"/>
        <w:jc w:val="left"/>
        <w:rPr>
          <w:rFonts w:ascii="Times New Roman" w:hAnsi="Times New Roman" w:cs="Times New Roman"/>
          <w:sz w:val="24"/>
          <w:szCs w:val="24"/>
        </w:rPr>
      </w:pPr>
    </w:p>
    <w:p w14:paraId="569725DB" w14:textId="77777777" w:rsidR="002F107C" w:rsidRPr="0068335A" w:rsidRDefault="002F107C" w:rsidP="00C52395">
      <w:pPr>
        <w:spacing w:line="480" w:lineRule="auto"/>
        <w:jc w:val="left"/>
        <w:rPr>
          <w:rFonts w:ascii="Times New Roman" w:hAnsi="Times New Roman" w:cs="Times New Roman"/>
          <w:b/>
          <w:i/>
          <w:sz w:val="24"/>
          <w:szCs w:val="24"/>
        </w:rPr>
      </w:pPr>
      <w:r w:rsidRPr="0068335A">
        <w:rPr>
          <w:rFonts w:ascii="Times New Roman" w:hAnsi="Times New Roman" w:cs="Times New Roman"/>
          <w:b/>
          <w:i/>
          <w:sz w:val="24"/>
          <w:szCs w:val="24"/>
        </w:rPr>
        <w:t>Ultrasound-</w:t>
      </w:r>
      <w:r>
        <w:rPr>
          <w:rFonts w:ascii="Times New Roman" w:hAnsi="Times New Roman" w:cs="Times New Roman"/>
          <w:b/>
          <w:i/>
          <w:sz w:val="24"/>
          <w:szCs w:val="24"/>
        </w:rPr>
        <w:t>g</w:t>
      </w:r>
      <w:r w:rsidRPr="0068335A">
        <w:rPr>
          <w:rFonts w:ascii="Times New Roman" w:hAnsi="Times New Roman" w:cs="Times New Roman"/>
          <w:b/>
          <w:i/>
          <w:sz w:val="24"/>
          <w:szCs w:val="24"/>
        </w:rPr>
        <w:t xml:space="preserve">uided </w:t>
      </w:r>
      <w:r>
        <w:rPr>
          <w:rFonts w:ascii="Times New Roman" w:hAnsi="Times New Roman" w:cs="Times New Roman"/>
          <w:b/>
          <w:i/>
          <w:sz w:val="24"/>
          <w:szCs w:val="24"/>
        </w:rPr>
        <w:t>i</w:t>
      </w:r>
      <w:r w:rsidRPr="0068335A">
        <w:rPr>
          <w:rFonts w:ascii="Times New Roman" w:hAnsi="Times New Roman" w:cs="Times New Roman"/>
          <w:b/>
          <w:i/>
          <w:sz w:val="24"/>
          <w:szCs w:val="24"/>
        </w:rPr>
        <w:t xml:space="preserve">ntralesional </w:t>
      </w:r>
      <w:r>
        <w:rPr>
          <w:rFonts w:ascii="Times New Roman" w:hAnsi="Times New Roman" w:cs="Times New Roman"/>
          <w:b/>
          <w:i/>
          <w:sz w:val="24"/>
          <w:szCs w:val="24"/>
        </w:rPr>
        <w:t>i</w:t>
      </w:r>
      <w:r w:rsidRPr="0068335A">
        <w:rPr>
          <w:rFonts w:ascii="Times New Roman" w:hAnsi="Times New Roman" w:cs="Times New Roman"/>
          <w:b/>
          <w:i/>
          <w:sz w:val="24"/>
          <w:szCs w:val="24"/>
        </w:rPr>
        <w:t>njection</w:t>
      </w:r>
    </w:p>
    <w:p w14:paraId="569725DC" w14:textId="77777777" w:rsidR="002F107C" w:rsidRPr="0068335A" w:rsidRDefault="002F107C" w:rsidP="00C52395">
      <w:pPr>
        <w:spacing w:line="480" w:lineRule="auto"/>
        <w:jc w:val="left"/>
        <w:rPr>
          <w:rFonts w:ascii="Times New Roman" w:hAnsi="Times New Roman" w:cs="Times New Roman"/>
          <w:color w:val="000000" w:themeColor="text1"/>
          <w:sz w:val="24"/>
          <w:szCs w:val="24"/>
        </w:rPr>
      </w:pPr>
      <w:r w:rsidRPr="0068335A">
        <w:rPr>
          <w:rFonts w:ascii="Times New Roman" w:hAnsi="Times New Roman" w:cs="Times New Roman"/>
          <w:sz w:val="24"/>
          <w:szCs w:val="24"/>
        </w:rPr>
        <w:t>Intralesional injection of 1</w:t>
      </w:r>
      <w:r>
        <w:rPr>
          <w:rFonts w:ascii="Times New Roman" w:hAnsi="Times New Roman" w:cs="Times New Roman"/>
          <w:sz w:val="24"/>
          <w:szCs w:val="24"/>
        </w:rPr>
        <w:t xml:space="preserve"> </w:t>
      </w:r>
      <w:r w:rsidRPr="0068335A">
        <w:rPr>
          <w:rFonts w:ascii="Times New Roman" w:hAnsi="Times New Roman" w:cs="Times New Roman"/>
          <w:sz w:val="24"/>
          <w:szCs w:val="24"/>
        </w:rPr>
        <w:t>m</w:t>
      </w:r>
      <w:r>
        <w:rPr>
          <w:rFonts w:ascii="Times New Roman" w:hAnsi="Times New Roman" w:cs="Times New Roman"/>
          <w:sz w:val="24"/>
          <w:szCs w:val="24"/>
        </w:rPr>
        <w:t>L</w:t>
      </w:r>
      <w:r w:rsidRPr="0068335A">
        <w:rPr>
          <w:rFonts w:ascii="Times New Roman" w:hAnsi="Times New Roman" w:cs="Times New Roman"/>
          <w:sz w:val="24"/>
          <w:szCs w:val="24"/>
        </w:rPr>
        <w:t xml:space="preserve"> was performed under ultrasonographic guidance by the senior author (C.S.G.) for all participants. </w:t>
      </w:r>
      <w:r>
        <w:rPr>
          <w:rFonts w:ascii="Times New Roman" w:hAnsi="Times New Roman" w:cs="Times New Roman"/>
          <w:sz w:val="24"/>
          <w:szCs w:val="24"/>
        </w:rPr>
        <w:t xml:space="preserve">Patients were positioned in the </w:t>
      </w:r>
      <w:r w:rsidRPr="0068335A">
        <w:rPr>
          <w:rFonts w:ascii="Times New Roman" w:hAnsi="Times New Roman" w:cs="Times New Roman"/>
          <w:sz w:val="24"/>
          <w:szCs w:val="24"/>
        </w:rPr>
        <w:t xml:space="preserve">supine </w:t>
      </w:r>
      <w:r>
        <w:rPr>
          <w:rFonts w:ascii="Times New Roman" w:hAnsi="Times New Roman" w:cs="Times New Roman"/>
          <w:sz w:val="24"/>
          <w:szCs w:val="24"/>
        </w:rPr>
        <w:t xml:space="preserve">position, </w:t>
      </w:r>
      <w:r w:rsidRPr="0068335A">
        <w:rPr>
          <w:rFonts w:ascii="Times New Roman" w:hAnsi="Times New Roman" w:cs="Times New Roman"/>
          <w:sz w:val="24"/>
          <w:szCs w:val="24"/>
        </w:rPr>
        <w:t xml:space="preserve">with the shoulder rotated internally to expose the supraspinatus tendon as much as possible under the acromion, </w:t>
      </w:r>
      <w:r>
        <w:rPr>
          <w:rFonts w:ascii="Times New Roman" w:hAnsi="Times New Roman" w:cs="Times New Roman"/>
          <w:sz w:val="24"/>
          <w:szCs w:val="24"/>
        </w:rPr>
        <w:t xml:space="preserve">and </w:t>
      </w:r>
      <w:r w:rsidRPr="0068335A">
        <w:rPr>
          <w:rFonts w:ascii="Times New Roman" w:hAnsi="Times New Roman" w:cs="Times New Roman"/>
          <w:sz w:val="24"/>
          <w:szCs w:val="24"/>
        </w:rPr>
        <w:t xml:space="preserve">sonographic scanning was performed to visualize the whole tendon by moving the probe from the long biceps tendon to the infraspinatus tendon in the longitudinal view and from the footprint of the tendon to the acromion in the transverse view. After scanning the whole length and width of the tendon, the probe was fixed at </w:t>
      </w:r>
      <w:r>
        <w:rPr>
          <w:rFonts w:ascii="Times New Roman" w:hAnsi="Times New Roman" w:cs="Times New Roman"/>
          <w:sz w:val="24"/>
          <w:szCs w:val="24"/>
        </w:rPr>
        <w:t xml:space="preserve">a </w:t>
      </w:r>
      <w:r w:rsidRPr="0068335A">
        <w:rPr>
          <w:rFonts w:ascii="Times New Roman" w:hAnsi="Times New Roman" w:cs="Times New Roman"/>
          <w:sz w:val="24"/>
          <w:szCs w:val="24"/>
        </w:rPr>
        <w:t xml:space="preserve">position where the partial tear, a sonographic defect with low echogenicity with loss of fibrillar patterns, appeared the </w:t>
      </w:r>
      <w:r>
        <w:rPr>
          <w:rFonts w:ascii="Times New Roman" w:hAnsi="Times New Roman" w:cs="Times New Roman"/>
          <w:sz w:val="24"/>
          <w:szCs w:val="24"/>
        </w:rPr>
        <w:t xml:space="preserve">largest </w:t>
      </w:r>
      <w:r w:rsidRPr="0068335A">
        <w:rPr>
          <w:rFonts w:ascii="Times New Roman" w:hAnsi="Times New Roman" w:cs="Times New Roman"/>
          <w:sz w:val="24"/>
          <w:szCs w:val="24"/>
        </w:rPr>
        <w:t>in both viewing planes. After confirming that the sonographic tendon defect coincided with one in the baseline MRI, redundant coupling gel around the probe was cleaned</w:t>
      </w:r>
      <w:r>
        <w:rPr>
          <w:rFonts w:ascii="Times New Roman" w:hAnsi="Times New Roman" w:cs="Times New Roman"/>
          <w:sz w:val="24"/>
          <w:szCs w:val="24"/>
        </w:rPr>
        <w:t>,</w:t>
      </w:r>
      <w:r w:rsidRPr="0068335A">
        <w:rPr>
          <w:rFonts w:ascii="Times New Roman" w:hAnsi="Times New Roman" w:cs="Times New Roman"/>
          <w:sz w:val="24"/>
          <w:szCs w:val="24"/>
        </w:rPr>
        <w:t xml:space="preserve"> and the skin area where the needle puncture was anticipated was thoroughly scrubbed repeated with </w:t>
      </w:r>
      <w:r w:rsidRPr="00BC491F">
        <w:rPr>
          <w:rFonts w:ascii="Times New Roman" w:hAnsi="Times New Roman" w:cs="Times New Roman"/>
          <w:sz w:val="24"/>
          <w:szCs w:val="24"/>
        </w:rPr>
        <w:t>betadine-soaked cotton balls</w:t>
      </w:r>
      <w:r w:rsidRPr="0068335A">
        <w:rPr>
          <w:rFonts w:ascii="Times New Roman" w:hAnsi="Times New Roman" w:cs="Times New Roman"/>
          <w:sz w:val="24"/>
          <w:szCs w:val="24"/>
        </w:rPr>
        <w:t xml:space="preserve">. Without moving the probe or </w:t>
      </w:r>
      <w:r>
        <w:rPr>
          <w:rFonts w:ascii="Times New Roman" w:hAnsi="Times New Roman" w:cs="Times New Roman"/>
          <w:sz w:val="24"/>
          <w:szCs w:val="24"/>
        </w:rPr>
        <w:t>the patient’</w:t>
      </w:r>
      <w:r w:rsidRPr="0068335A">
        <w:rPr>
          <w:rFonts w:ascii="Times New Roman" w:hAnsi="Times New Roman" w:cs="Times New Roman"/>
          <w:sz w:val="24"/>
          <w:szCs w:val="24"/>
        </w:rPr>
        <w:t xml:space="preserve">s arm, the needle was introduced </w:t>
      </w:r>
      <w:r>
        <w:rPr>
          <w:rFonts w:ascii="Times New Roman" w:hAnsi="Times New Roman" w:cs="Times New Roman"/>
          <w:sz w:val="24"/>
          <w:szCs w:val="24"/>
        </w:rPr>
        <w:t>in</w:t>
      </w:r>
      <w:r w:rsidRPr="0068335A">
        <w:rPr>
          <w:rFonts w:ascii="Times New Roman" w:hAnsi="Times New Roman" w:cs="Times New Roman"/>
          <w:sz w:val="24"/>
          <w:szCs w:val="24"/>
        </w:rPr>
        <w:t xml:space="preserve">to the tendon by piercing the skin at least </w:t>
      </w:r>
      <w:r>
        <w:rPr>
          <w:rFonts w:ascii="Times New Roman" w:hAnsi="Times New Roman" w:cs="Times New Roman"/>
          <w:sz w:val="24"/>
          <w:szCs w:val="24"/>
        </w:rPr>
        <w:t>1 cm</w:t>
      </w:r>
      <w:r w:rsidRPr="0068335A">
        <w:rPr>
          <w:rFonts w:ascii="Times New Roman" w:hAnsi="Times New Roman" w:cs="Times New Roman"/>
          <w:sz w:val="24"/>
          <w:szCs w:val="24"/>
        </w:rPr>
        <w:t xml:space="preserve"> from the end of the probe to maintain strict aseptic condition</w:t>
      </w:r>
      <w:r>
        <w:rPr>
          <w:rFonts w:ascii="Times New Roman" w:hAnsi="Times New Roman" w:cs="Times New Roman"/>
          <w:sz w:val="24"/>
          <w:szCs w:val="24"/>
        </w:rPr>
        <w:t>s</w:t>
      </w:r>
      <w:r w:rsidRPr="0068335A">
        <w:rPr>
          <w:rFonts w:ascii="Times New Roman" w:hAnsi="Times New Roman" w:cs="Times New Roman"/>
          <w:sz w:val="24"/>
          <w:szCs w:val="24"/>
        </w:rPr>
        <w:t xml:space="preserve">. The direction of needle advancement was in plane with </w:t>
      </w:r>
      <w:r>
        <w:rPr>
          <w:rFonts w:ascii="Times New Roman" w:hAnsi="Times New Roman" w:cs="Times New Roman"/>
          <w:sz w:val="24"/>
          <w:szCs w:val="24"/>
        </w:rPr>
        <w:t xml:space="preserve">the </w:t>
      </w:r>
      <w:r w:rsidRPr="0068335A">
        <w:rPr>
          <w:rFonts w:ascii="Times New Roman" w:hAnsi="Times New Roman" w:cs="Times New Roman"/>
          <w:sz w:val="24"/>
          <w:szCs w:val="24"/>
        </w:rPr>
        <w:t xml:space="preserve">sonographic view </w:t>
      </w:r>
      <w:r>
        <w:rPr>
          <w:rFonts w:ascii="Times New Roman" w:hAnsi="Times New Roman" w:cs="Times New Roman"/>
          <w:sz w:val="24"/>
          <w:szCs w:val="24"/>
        </w:rPr>
        <w:t xml:space="preserve">such </w:t>
      </w:r>
      <w:r w:rsidRPr="0068335A">
        <w:rPr>
          <w:rFonts w:ascii="Times New Roman" w:hAnsi="Times New Roman" w:cs="Times New Roman"/>
          <w:sz w:val="24"/>
          <w:szCs w:val="24"/>
        </w:rPr>
        <w:t>that the whole needle tip and shaft in the tendon could be visualized at any time during the injection procedure. When the needle tip reached the center of the tendon defect, the plunger of the dual syringe was pushed slow</w:t>
      </w:r>
      <w:r>
        <w:rPr>
          <w:rFonts w:ascii="Times New Roman" w:hAnsi="Times New Roman" w:cs="Times New Roman"/>
          <w:sz w:val="24"/>
          <w:szCs w:val="24"/>
        </w:rPr>
        <w:t>ly</w:t>
      </w:r>
      <w:r w:rsidRPr="0068335A">
        <w:rPr>
          <w:rFonts w:ascii="Times New Roman" w:hAnsi="Times New Roman" w:cs="Times New Roman"/>
          <w:sz w:val="24"/>
          <w:szCs w:val="24"/>
        </w:rPr>
        <w:t xml:space="preserve"> but steadily. </w:t>
      </w:r>
      <w:r w:rsidRPr="0068335A">
        <w:rPr>
          <w:rFonts w:ascii="Times New Roman" w:hAnsi="Times New Roman" w:cs="Times New Roman"/>
          <w:color w:val="000000" w:themeColor="text1"/>
          <w:sz w:val="24"/>
          <w:szCs w:val="24"/>
        </w:rPr>
        <w:t xml:space="preserve">Because the injectionist was looking at the ultrasound monitor to secure the needle tip at the center of the </w:t>
      </w:r>
      <w:r w:rsidRPr="0068335A">
        <w:rPr>
          <w:rFonts w:ascii="Times New Roman" w:hAnsi="Times New Roman" w:cs="Times New Roman"/>
          <w:color w:val="000000" w:themeColor="text1"/>
          <w:sz w:val="24"/>
          <w:szCs w:val="24"/>
        </w:rPr>
        <w:lastRenderedPageBreak/>
        <w:t xml:space="preserve">defect, there was an attending nurse to read volume markings on the syringe </w:t>
      </w:r>
      <w:r>
        <w:rPr>
          <w:rFonts w:ascii="Times New Roman" w:hAnsi="Times New Roman" w:cs="Times New Roman"/>
          <w:color w:val="000000" w:themeColor="text1"/>
          <w:sz w:val="24"/>
          <w:szCs w:val="24"/>
        </w:rPr>
        <w:t xml:space="preserve">such that the infusion was stopped after injection of </w:t>
      </w:r>
      <w:r w:rsidRPr="0068335A">
        <w:rPr>
          <w:rFonts w:ascii="Times New Roman" w:hAnsi="Times New Roman" w:cs="Times New Roman"/>
          <w:color w:val="000000" w:themeColor="text1"/>
          <w:sz w:val="24"/>
          <w:szCs w:val="24"/>
        </w:rPr>
        <w:t>1 m</w:t>
      </w:r>
      <w:r>
        <w:rPr>
          <w:rFonts w:ascii="Times New Roman" w:hAnsi="Times New Roman" w:cs="Times New Roman"/>
          <w:color w:val="000000" w:themeColor="text1"/>
          <w:sz w:val="24"/>
          <w:szCs w:val="24"/>
        </w:rPr>
        <w:t>L</w:t>
      </w:r>
      <w:r w:rsidRPr="0068335A">
        <w:rPr>
          <w:rFonts w:ascii="Times New Roman" w:hAnsi="Times New Roman" w:cs="Times New Roman"/>
          <w:color w:val="000000" w:themeColor="text1"/>
          <w:sz w:val="24"/>
          <w:szCs w:val="24"/>
        </w:rPr>
        <w:t>. Aseptic dressing was applied after the injection and the participant was followed up 3 h</w:t>
      </w:r>
      <w:r>
        <w:rPr>
          <w:rFonts w:ascii="Times New Roman" w:hAnsi="Times New Roman" w:cs="Times New Roman"/>
          <w:color w:val="000000" w:themeColor="text1"/>
          <w:sz w:val="24"/>
          <w:szCs w:val="24"/>
        </w:rPr>
        <w:t xml:space="preserve"> </w:t>
      </w:r>
      <w:r w:rsidRPr="0068335A">
        <w:rPr>
          <w:rFonts w:ascii="Times New Roman" w:hAnsi="Times New Roman" w:cs="Times New Roman"/>
          <w:color w:val="000000" w:themeColor="text1"/>
          <w:sz w:val="24"/>
          <w:szCs w:val="24"/>
        </w:rPr>
        <w:t>later for physical signs of inflammation</w:t>
      </w:r>
      <w:r>
        <w:rPr>
          <w:rFonts w:ascii="Times New Roman" w:hAnsi="Times New Roman" w:cs="Times New Roman"/>
          <w:color w:val="000000" w:themeColor="text1"/>
          <w:sz w:val="24"/>
          <w:szCs w:val="24"/>
        </w:rPr>
        <w:t>,</w:t>
      </w:r>
      <w:r w:rsidRPr="0068335A">
        <w:rPr>
          <w:rFonts w:ascii="Times New Roman" w:hAnsi="Times New Roman" w:cs="Times New Roman"/>
          <w:color w:val="000000" w:themeColor="text1"/>
          <w:sz w:val="24"/>
          <w:szCs w:val="24"/>
        </w:rPr>
        <w:t xml:space="preserve"> such as severe pain, swelling, and heating sense </w:t>
      </w:r>
      <w:r>
        <w:rPr>
          <w:rFonts w:ascii="Times New Roman" w:hAnsi="Times New Roman" w:cs="Times New Roman"/>
          <w:color w:val="000000" w:themeColor="text1"/>
          <w:sz w:val="24"/>
          <w:szCs w:val="24"/>
        </w:rPr>
        <w:t xml:space="preserve">in </w:t>
      </w:r>
      <w:r w:rsidRPr="0068335A">
        <w:rPr>
          <w:rFonts w:ascii="Times New Roman" w:hAnsi="Times New Roman" w:cs="Times New Roman"/>
          <w:color w:val="000000" w:themeColor="text1"/>
          <w:sz w:val="24"/>
          <w:szCs w:val="24"/>
        </w:rPr>
        <w:t>the injected shoulder</w:t>
      </w:r>
      <w:r>
        <w:rPr>
          <w:rFonts w:ascii="Times New Roman" w:hAnsi="Times New Roman" w:cs="Times New Roman"/>
          <w:color w:val="000000" w:themeColor="text1"/>
          <w:sz w:val="24"/>
          <w:szCs w:val="24"/>
        </w:rPr>
        <w:t>,</w:t>
      </w:r>
      <w:r w:rsidRPr="0068335A">
        <w:rPr>
          <w:rFonts w:ascii="Times New Roman" w:hAnsi="Times New Roman" w:cs="Times New Roman"/>
          <w:color w:val="000000" w:themeColor="text1"/>
          <w:sz w:val="24"/>
          <w:szCs w:val="24"/>
        </w:rPr>
        <w:t xml:space="preserve"> and </w:t>
      </w:r>
      <w:r>
        <w:rPr>
          <w:rFonts w:ascii="Times New Roman" w:hAnsi="Times New Roman" w:cs="Times New Roman"/>
          <w:color w:val="000000" w:themeColor="text1"/>
          <w:sz w:val="24"/>
          <w:szCs w:val="24"/>
        </w:rPr>
        <w:t xml:space="preserve">by </w:t>
      </w:r>
      <w:r w:rsidRPr="0068335A">
        <w:rPr>
          <w:rFonts w:ascii="Times New Roman" w:hAnsi="Times New Roman" w:cs="Times New Roman"/>
          <w:color w:val="000000" w:themeColor="text1"/>
          <w:sz w:val="24"/>
          <w:szCs w:val="24"/>
        </w:rPr>
        <w:t xml:space="preserve">ultrasonography to check </w:t>
      </w:r>
      <w:r>
        <w:rPr>
          <w:rFonts w:ascii="Times New Roman" w:hAnsi="Times New Roman" w:cs="Times New Roman"/>
          <w:color w:val="000000" w:themeColor="text1"/>
          <w:sz w:val="24"/>
          <w:szCs w:val="24"/>
        </w:rPr>
        <w:t xml:space="preserve">for </w:t>
      </w:r>
      <w:r w:rsidRPr="0068335A">
        <w:rPr>
          <w:rFonts w:ascii="Times New Roman" w:hAnsi="Times New Roman" w:cs="Times New Roman"/>
          <w:color w:val="000000" w:themeColor="text1"/>
          <w:sz w:val="24"/>
          <w:szCs w:val="24"/>
        </w:rPr>
        <w:t xml:space="preserve">the occurrence of edema or effusion and to confirm </w:t>
      </w:r>
      <w:r>
        <w:rPr>
          <w:rFonts w:ascii="Times New Roman" w:hAnsi="Times New Roman" w:cs="Times New Roman"/>
          <w:color w:val="000000" w:themeColor="text1"/>
          <w:sz w:val="24"/>
          <w:szCs w:val="24"/>
        </w:rPr>
        <w:t xml:space="preserve">that </w:t>
      </w:r>
      <w:r w:rsidRPr="0068335A">
        <w:rPr>
          <w:rFonts w:ascii="Times New Roman" w:hAnsi="Times New Roman" w:cs="Times New Roman"/>
          <w:color w:val="000000" w:themeColor="text1"/>
          <w:sz w:val="24"/>
          <w:szCs w:val="24"/>
        </w:rPr>
        <w:t>the injectate remained at the injected site.</w:t>
      </w:r>
    </w:p>
    <w:p w14:paraId="569725DD" w14:textId="77777777" w:rsidR="002F107C" w:rsidRPr="0068335A" w:rsidRDefault="002F107C" w:rsidP="00C52395">
      <w:pPr>
        <w:spacing w:line="480" w:lineRule="auto"/>
        <w:jc w:val="left"/>
        <w:rPr>
          <w:rFonts w:ascii="Times New Roman" w:hAnsi="Times New Roman" w:cs="Times New Roman"/>
          <w:sz w:val="24"/>
          <w:szCs w:val="24"/>
        </w:rPr>
      </w:pPr>
    </w:p>
    <w:p w14:paraId="569725E9" w14:textId="77777777" w:rsidR="002F107C" w:rsidRDefault="002F107C" w:rsidP="00966120">
      <w:pPr>
        <w:spacing w:line="480" w:lineRule="auto"/>
        <w:jc w:val="left"/>
        <w:rPr>
          <w:rFonts w:ascii="Times New Roman" w:hAnsi="Times New Roman" w:cs="Times New Roman"/>
          <w:b/>
          <w:sz w:val="24"/>
          <w:szCs w:val="24"/>
        </w:rPr>
      </w:pPr>
      <w:r>
        <w:rPr>
          <w:rFonts w:ascii="Times New Roman" w:hAnsi="Times New Roman" w:cs="Times New Roman" w:hint="eastAsia"/>
          <w:b/>
          <w:sz w:val="24"/>
          <w:szCs w:val="24"/>
        </w:rPr>
        <w:t>References</w:t>
      </w:r>
    </w:p>
    <w:p w14:paraId="569725EA" w14:textId="7221A208" w:rsidR="002F107C" w:rsidRPr="002F107C" w:rsidRDefault="00A801B3" w:rsidP="002F107C">
      <w:pPr>
        <w:spacing w:line="480" w:lineRule="auto"/>
        <w:jc w:val="left"/>
        <w:rPr>
          <w:rFonts w:ascii="Times New Roman" w:hAnsi="Times New Roman" w:cs="Times New Roman"/>
          <w:sz w:val="24"/>
          <w:szCs w:val="24"/>
        </w:rPr>
      </w:pPr>
      <w:r>
        <w:rPr>
          <w:rFonts w:ascii="Times New Roman" w:hAnsi="Times New Roman" w:cs="Times New Roman"/>
          <w:sz w:val="24"/>
          <w:szCs w:val="24"/>
        </w:rPr>
        <w:t xml:space="preserve">1. </w:t>
      </w:r>
      <w:r w:rsidR="002F107C" w:rsidRPr="002F107C">
        <w:rPr>
          <w:rFonts w:ascii="Times New Roman" w:hAnsi="Times New Roman" w:cs="Times New Roman"/>
          <w:sz w:val="24"/>
          <w:szCs w:val="24"/>
        </w:rPr>
        <w:t>Mishra A, Pavelko T. Treatment of chronic elbow tendinosis with buffered platelet-rich plasma. The American journal of sports medicine 2006;34:1774-8.</w:t>
      </w:r>
    </w:p>
    <w:p w14:paraId="569725EB" w14:textId="633CD383" w:rsidR="002F107C" w:rsidRPr="002F107C" w:rsidRDefault="00A801B3" w:rsidP="002F107C">
      <w:pPr>
        <w:spacing w:line="480" w:lineRule="auto"/>
        <w:jc w:val="left"/>
        <w:rPr>
          <w:rFonts w:ascii="Times New Roman" w:hAnsi="Times New Roman" w:cs="Times New Roman"/>
          <w:sz w:val="24"/>
          <w:szCs w:val="24"/>
        </w:rPr>
      </w:pPr>
      <w:r>
        <w:rPr>
          <w:rFonts w:ascii="Times New Roman" w:hAnsi="Times New Roman" w:cs="Times New Roman"/>
          <w:sz w:val="24"/>
          <w:szCs w:val="24"/>
        </w:rPr>
        <w:t xml:space="preserve">2. </w:t>
      </w:r>
      <w:r w:rsidR="002F107C" w:rsidRPr="002F107C">
        <w:rPr>
          <w:rFonts w:ascii="Times New Roman" w:hAnsi="Times New Roman" w:cs="Times New Roman"/>
          <w:sz w:val="24"/>
          <w:szCs w:val="24"/>
        </w:rPr>
        <w:t>Kocher MS, Horan MP, Briggs KK, Richardson TR, O'Holleran J, Hawkins RJ. Reliability, validity, and responsiveness of the American Shoulder and Elbow Surgeons subjective shoulder scale in patients with shoulder instability, rotator cuff disease, and glenohumeral arthritis. The Journal of bone and joint surgery American volume 2005;87:2006-11.</w:t>
      </w:r>
    </w:p>
    <w:p w14:paraId="569725EC" w14:textId="117FD19A" w:rsidR="002F107C" w:rsidRPr="00BE263B" w:rsidRDefault="002F107C" w:rsidP="00201C86">
      <w:pPr>
        <w:spacing w:line="480" w:lineRule="auto"/>
        <w:jc w:val="left"/>
        <w:rPr>
          <w:rFonts w:ascii="Times New Roman" w:hAnsi="Times New Roman" w:cs="Times New Roman"/>
          <w:sz w:val="24"/>
          <w:szCs w:val="24"/>
        </w:rPr>
      </w:pPr>
      <w:r w:rsidRPr="002F107C">
        <w:rPr>
          <w:rFonts w:ascii="Times New Roman" w:hAnsi="Times New Roman" w:cs="Times New Roman"/>
          <w:sz w:val="24"/>
          <w:szCs w:val="24"/>
        </w:rPr>
        <w:t>3.</w:t>
      </w:r>
      <w:r w:rsidR="00A801B3">
        <w:rPr>
          <w:rFonts w:ascii="Times New Roman" w:hAnsi="Times New Roman" w:cs="Times New Roman"/>
          <w:sz w:val="24"/>
          <w:szCs w:val="24"/>
        </w:rPr>
        <w:t xml:space="preserve"> </w:t>
      </w:r>
      <w:r w:rsidRPr="002F107C">
        <w:rPr>
          <w:rFonts w:ascii="Times New Roman" w:hAnsi="Times New Roman" w:cs="Times New Roman"/>
          <w:sz w:val="24"/>
          <w:szCs w:val="24"/>
        </w:rPr>
        <w:t>Cicchetti DV. Multiple comparison methods: establishing guidelines for their valid application in neuropsychological research. Journal of clinical and experimental neuropsychology 1994;16:155-61.</w:t>
      </w:r>
    </w:p>
    <w:p w14:paraId="6C73C9BD" w14:textId="4D8CE894" w:rsidR="00201C86" w:rsidRPr="00201C86" w:rsidRDefault="00201C86" w:rsidP="00201C86">
      <w:pPr>
        <w:spacing w:line="480" w:lineRule="auto"/>
        <w:rPr>
          <w:rFonts w:ascii="Times New Roman" w:hAnsi="Times New Roman" w:cs="Times New Roman"/>
          <w:sz w:val="24"/>
          <w:szCs w:val="24"/>
        </w:rPr>
      </w:pPr>
      <w:r w:rsidRPr="00201C86">
        <w:rPr>
          <w:rFonts w:ascii="Times New Roman" w:hAnsi="Times New Roman" w:cs="Times New Roman"/>
          <w:sz w:val="24"/>
          <w:szCs w:val="24"/>
        </w:rPr>
        <w:t>4. Lee SY, Kim W, Lim C, Chung SG: Treatment of Lateral Epicondylosis by Using Allogeneic Adipose-Derived Mesenchymal Stem Cells: A Pilot Study. Stem cells (Dayton, Ohio) 2015, 33(10):2995-3005.</w:t>
      </w:r>
    </w:p>
    <w:p w14:paraId="569725ED" w14:textId="26FDAA1C" w:rsidR="00AB6A5A" w:rsidRPr="00201C86" w:rsidRDefault="00201C86" w:rsidP="00201C86">
      <w:pPr>
        <w:spacing w:line="480" w:lineRule="auto"/>
        <w:rPr>
          <w:rFonts w:ascii="Times New Roman" w:hAnsi="Times New Roman" w:cs="Times New Roman"/>
          <w:sz w:val="24"/>
          <w:szCs w:val="24"/>
        </w:rPr>
      </w:pPr>
      <w:r w:rsidRPr="00201C86">
        <w:rPr>
          <w:rFonts w:ascii="Times New Roman" w:hAnsi="Times New Roman" w:cs="Times New Roman"/>
          <w:sz w:val="24"/>
          <w:szCs w:val="24"/>
        </w:rPr>
        <w:t>5</w:t>
      </w:r>
      <w:r w:rsidR="00A801B3" w:rsidRPr="00201C86">
        <w:rPr>
          <w:rFonts w:ascii="Times New Roman" w:hAnsi="Times New Roman" w:cs="Times New Roman"/>
          <w:sz w:val="24"/>
          <w:szCs w:val="24"/>
        </w:rPr>
        <w:t>. Wu X, Ren J, Li J: Fibrin glue as the cell-delivery vehicle for mesenchymal stromal cells in regenerative medicine. Cytotherapy 2012, 14(5):555-562.</w:t>
      </w:r>
    </w:p>
    <w:sectPr w:rsidR="00AB6A5A" w:rsidRPr="00201C86">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F08EA2" w14:textId="77777777" w:rsidR="00244A4D" w:rsidRDefault="00244A4D" w:rsidP="00244A4D">
      <w:pPr>
        <w:spacing w:after="0" w:line="240" w:lineRule="auto"/>
      </w:pPr>
      <w:r>
        <w:separator/>
      </w:r>
    </w:p>
  </w:endnote>
  <w:endnote w:type="continuationSeparator" w:id="0">
    <w:p w14:paraId="7232DABB" w14:textId="77777777" w:rsidR="00244A4D" w:rsidRDefault="00244A4D" w:rsidP="00244A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CD2F3E" w14:textId="77777777" w:rsidR="00244A4D" w:rsidRDefault="00244A4D" w:rsidP="00244A4D">
      <w:pPr>
        <w:spacing w:after="0" w:line="240" w:lineRule="auto"/>
      </w:pPr>
      <w:r>
        <w:separator/>
      </w:r>
    </w:p>
  </w:footnote>
  <w:footnote w:type="continuationSeparator" w:id="0">
    <w:p w14:paraId="02F89694" w14:textId="77777777" w:rsidR="00244A4D" w:rsidRDefault="00244A4D" w:rsidP="00244A4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2F107C"/>
    <w:rsid w:val="001D4C6D"/>
    <w:rsid w:val="00201C86"/>
    <w:rsid w:val="00244A4D"/>
    <w:rsid w:val="002F107C"/>
    <w:rsid w:val="00764D06"/>
    <w:rsid w:val="00862953"/>
    <w:rsid w:val="00A801B3"/>
    <w:rsid w:val="00AE7B84"/>
    <w:rsid w:val="00C278F9"/>
    <w:rsid w:val="00F4317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69725CD"/>
  <w15:chartTrackingRefBased/>
  <w15:docId w15:val="{3FB4F67A-88E5-4444-A89E-CCCF19030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107C"/>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107C"/>
    <w:pPr>
      <w:tabs>
        <w:tab w:val="center" w:pos="4513"/>
        <w:tab w:val="right" w:pos="9026"/>
      </w:tabs>
      <w:snapToGrid w:val="0"/>
    </w:pPr>
  </w:style>
  <w:style w:type="character" w:customStyle="1" w:styleId="Char">
    <w:name w:val="머리글 Char"/>
    <w:basedOn w:val="a0"/>
    <w:link w:val="a3"/>
    <w:uiPriority w:val="99"/>
    <w:rsid w:val="002F107C"/>
  </w:style>
  <w:style w:type="paragraph" w:styleId="a4">
    <w:name w:val="footer"/>
    <w:basedOn w:val="a"/>
    <w:link w:val="Char0"/>
    <w:uiPriority w:val="99"/>
    <w:unhideWhenUsed/>
    <w:rsid w:val="002F107C"/>
    <w:pPr>
      <w:tabs>
        <w:tab w:val="center" w:pos="4513"/>
        <w:tab w:val="right" w:pos="9026"/>
      </w:tabs>
      <w:snapToGrid w:val="0"/>
    </w:pPr>
  </w:style>
  <w:style w:type="character" w:customStyle="1" w:styleId="Char0">
    <w:name w:val="바닥글 Char"/>
    <w:basedOn w:val="a0"/>
    <w:link w:val="a4"/>
    <w:uiPriority w:val="99"/>
    <w:rsid w:val="002F107C"/>
  </w:style>
  <w:style w:type="paragraph" w:customStyle="1" w:styleId="EndNoteBibliographyTitle">
    <w:name w:val="EndNote Bibliography Title"/>
    <w:basedOn w:val="a"/>
    <w:link w:val="EndNoteBibliographyTitleChar"/>
    <w:rsid w:val="002F107C"/>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2F107C"/>
    <w:rPr>
      <w:rFonts w:ascii="맑은 고딕" w:eastAsia="맑은 고딕" w:hAnsi="맑은 고딕"/>
      <w:noProof/>
    </w:rPr>
  </w:style>
  <w:style w:type="paragraph" w:customStyle="1" w:styleId="EndNoteBibliography">
    <w:name w:val="EndNote Bibliography"/>
    <w:basedOn w:val="a"/>
    <w:link w:val="EndNoteBibliographyChar"/>
    <w:rsid w:val="002F107C"/>
    <w:pPr>
      <w:spacing w:line="240" w:lineRule="auto"/>
      <w:jc w:val="left"/>
    </w:pPr>
    <w:rPr>
      <w:rFonts w:ascii="맑은 고딕" w:eastAsia="맑은 고딕" w:hAnsi="맑은 고딕"/>
      <w:noProof/>
    </w:rPr>
  </w:style>
  <w:style w:type="character" w:customStyle="1" w:styleId="EndNoteBibliographyChar">
    <w:name w:val="EndNote Bibliography Char"/>
    <w:basedOn w:val="a0"/>
    <w:link w:val="EndNoteBibliography"/>
    <w:rsid w:val="002F107C"/>
    <w:rPr>
      <w:rFonts w:ascii="맑은 고딕" w:eastAsia="맑은 고딕" w:hAnsi="맑은 고딕"/>
      <w:noProof/>
    </w:rPr>
  </w:style>
  <w:style w:type="character" w:styleId="a5">
    <w:name w:val="Hyperlink"/>
    <w:basedOn w:val="a0"/>
    <w:uiPriority w:val="99"/>
    <w:unhideWhenUsed/>
    <w:rsid w:val="00AE7B8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nterogen.com/" TargetMode="External"/><Relationship Id="rId3" Type="http://schemas.openxmlformats.org/officeDocument/2006/relationships/webSettings" Target="webSettings.xml"/><Relationship Id="rId7" Type="http://schemas.openxmlformats.org/officeDocument/2006/relationships/hyperlink" Target="http://www.ncs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globalgreencross.com/"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228</TotalTime>
  <Pages>4</Pages>
  <Words>1082</Words>
  <Characters>6170</Characters>
  <Application>Microsoft Office Word</Application>
  <DocSecurity>0</DocSecurity>
  <Lines>51</Lines>
  <Paragraphs>14</Paragraphs>
  <ScaleCrop>false</ScaleCrop>
  <HeadingPairs>
    <vt:vector size="2" baseType="variant">
      <vt:variant>
        <vt:lpstr>제목</vt:lpstr>
      </vt:variant>
      <vt:variant>
        <vt:i4>1</vt:i4>
      </vt:variant>
    </vt:vector>
  </HeadingPairs>
  <TitlesOfParts>
    <vt:vector size="1" baseType="lpstr">
      <vt:lpstr/>
    </vt:vector>
  </TitlesOfParts>
  <Company>창원경상대학교병원</Company>
  <LinksUpToDate>false</LinksUpToDate>
  <CharactersWithSpaces>7238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천세웅</dc:creator>
  <cp:keywords/>
  <dc:description/>
  <cp:lastModifiedBy>천세웅</cp:lastModifiedBy>
  <cp:revision>5</cp:revision>
  <dcterms:created xsi:type="dcterms:W3CDTF">2020-06-03T08:01:00Z</dcterms:created>
  <dcterms:modified xsi:type="dcterms:W3CDTF">2021-07-14T06:12:00Z</dcterms:modified>
</cp:coreProperties>
</file>