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DD10DE" w14:textId="77777777" w:rsidR="00E61AD7" w:rsidRDefault="006C0164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Table</w:t>
      </w:r>
      <w:r>
        <w:rPr>
          <w:rFonts w:ascii="Times New Roman" w:eastAsia="Times New Roman" w:hAnsi="Times New Roman" w:cs="Times New Roman"/>
          <w:b/>
          <w:sz w:val="24"/>
        </w:rPr>
        <w:t xml:space="preserve"> 2</w:t>
      </w:r>
      <w:r>
        <w:rPr>
          <w:rFonts w:ascii="Times New Roman" w:eastAsia="Times New Roman" w:hAnsi="Times New Roman" w:cs="Times New Roman"/>
          <w:sz w:val="24"/>
        </w:rPr>
        <w:t>. Diagnostic performance indicators for AWGC criteria compared to Evans criteria in diagnosis cachexia</w:t>
      </w:r>
    </w:p>
    <w:p w14:paraId="29DCFC93" w14:textId="77777777" w:rsidR="00E61AD7" w:rsidRDefault="00E61AD7">
      <w:pPr>
        <w:widowControl/>
        <w:spacing w:line="480" w:lineRule="auto"/>
        <w:jc w:val="left"/>
        <w:rPr>
          <w:rFonts w:ascii="Times New Roman" w:eastAsia="Times New Roman" w:hAnsi="Times New Roman" w:cs="Times New Roman"/>
          <w:sz w:val="24"/>
        </w:rPr>
      </w:pPr>
    </w:p>
    <w:tbl>
      <w:tblPr>
        <w:tblStyle w:val="a3"/>
        <w:tblW w:w="0" w:type="auto"/>
        <w:tblInd w:w="-5" w:type="dxa"/>
        <w:tblLook w:val="04A0" w:firstRow="1" w:lastRow="0" w:firstColumn="1" w:lastColumn="0" w:noHBand="0" w:noVBand="1"/>
      </w:tblPr>
      <w:tblGrid>
        <w:gridCol w:w="3256"/>
        <w:gridCol w:w="1559"/>
        <w:gridCol w:w="3679"/>
      </w:tblGrid>
      <w:tr w:rsidR="006F154B" w14:paraId="55E5771E" w14:textId="77777777">
        <w:tc>
          <w:tcPr>
            <w:tcW w:w="32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D26AC5" w14:textId="77777777" w:rsidR="00E61AD7" w:rsidRDefault="006C0164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Metric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56D977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Value</w:t>
            </w:r>
          </w:p>
        </w:tc>
        <w:tc>
          <w:tcPr>
            <w:tcW w:w="36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E1722A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95% Confidence interval</w:t>
            </w:r>
          </w:p>
        </w:tc>
      </w:tr>
      <w:tr w:rsidR="006F154B" w14:paraId="1BE3FB08" w14:textId="77777777">
        <w:tc>
          <w:tcPr>
            <w:tcW w:w="325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F17AD23" w14:textId="77777777" w:rsidR="00E61AD7" w:rsidRDefault="006C0164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Sensitivity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A59FF7E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1.00</w:t>
            </w:r>
          </w:p>
        </w:tc>
        <w:tc>
          <w:tcPr>
            <w:tcW w:w="367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AB4E34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0.79 – 1.00</w:t>
            </w:r>
          </w:p>
        </w:tc>
      </w:tr>
      <w:tr w:rsidR="006F154B" w14:paraId="76B89BD7" w14:textId="77777777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14222917" w14:textId="77777777" w:rsidR="00E61AD7" w:rsidRDefault="006C0164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Specificity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D8F2042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0.93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nil"/>
            </w:tcBorders>
          </w:tcPr>
          <w:p w14:paraId="76D57A0F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0.84 – 0.98</w:t>
            </w:r>
          </w:p>
        </w:tc>
      </w:tr>
      <w:tr w:rsidR="006F154B" w14:paraId="77028D50" w14:textId="77777777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233F73D4" w14:textId="77777777" w:rsidR="00E61AD7" w:rsidRDefault="006C0164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Positive Predictive Value (PPV)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4B5512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0.82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nil"/>
            </w:tcBorders>
          </w:tcPr>
          <w:p w14:paraId="690B7132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0.63 – 0.94</w:t>
            </w:r>
          </w:p>
        </w:tc>
      </w:tr>
      <w:tr w:rsidR="006F154B" w14:paraId="6690C808" w14:textId="77777777">
        <w:tc>
          <w:tcPr>
            <w:tcW w:w="3256" w:type="dxa"/>
            <w:tcBorders>
              <w:top w:val="nil"/>
              <w:left w:val="nil"/>
              <w:bottom w:val="nil"/>
              <w:right w:val="nil"/>
            </w:tcBorders>
          </w:tcPr>
          <w:p w14:paraId="37F42375" w14:textId="77777777" w:rsidR="00E61AD7" w:rsidRDefault="006C0164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Negative Predictive Value (NPV)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C0120D6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1.00</w:t>
            </w:r>
          </w:p>
        </w:tc>
        <w:tc>
          <w:tcPr>
            <w:tcW w:w="3679" w:type="dxa"/>
            <w:tcBorders>
              <w:top w:val="nil"/>
              <w:left w:val="nil"/>
              <w:bottom w:val="nil"/>
              <w:right w:val="nil"/>
            </w:tcBorders>
          </w:tcPr>
          <w:p w14:paraId="425589B5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0.92 – 1.00</w:t>
            </w:r>
          </w:p>
        </w:tc>
      </w:tr>
      <w:tr w:rsidR="006F154B" w14:paraId="3B591149" w14:textId="77777777">
        <w:tc>
          <w:tcPr>
            <w:tcW w:w="325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B56CE98" w14:textId="77777777" w:rsidR="00E61AD7" w:rsidRDefault="006C0164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Kappa Coefficient (κ)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408871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0.87</w:t>
            </w:r>
          </w:p>
        </w:tc>
        <w:tc>
          <w:tcPr>
            <w:tcW w:w="367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BF2E1E" w14:textId="77777777" w:rsidR="00E61AD7" w:rsidRDefault="006C0164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0.75 – 0.98</w:t>
            </w:r>
          </w:p>
        </w:tc>
      </w:tr>
      <w:tr w:rsidR="006F154B" w14:paraId="0457D431" w14:textId="77777777">
        <w:tc>
          <w:tcPr>
            <w:tcW w:w="849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2F8F5EF" w14:textId="77777777" w:rsidR="00E61AD7" w:rsidRDefault="00E61AD7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</w:p>
          <w:p w14:paraId="03FFB88E" w14:textId="77777777" w:rsidR="00E61AD7" w:rsidRDefault="006C0164">
            <w:pPr>
              <w:spacing w:line="480" w:lineRule="auto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Sensitivity, specificity, positive predictive value, negative predictive value, and the kappa coefficient with 95% confidence intervals are </w:t>
            </w:r>
            <w:r>
              <w:rPr>
                <w:rFonts w:ascii="Times New Roman" w:eastAsia="Times New Roman" w:hAnsi="Times New Roman" w:cs="Times New Roman"/>
                <w:sz w:val="24"/>
              </w:rPr>
              <w:t>reported.</w:t>
            </w:r>
          </w:p>
        </w:tc>
      </w:tr>
    </w:tbl>
    <w:p w14:paraId="3873FC8C" w14:textId="77777777" w:rsidR="00E61AD7" w:rsidRDefault="00E61AD7"/>
    <w:sectPr w:rsidR="00E61AD7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AD7"/>
    <w:rsid w:val="00133BBF"/>
    <w:rsid w:val="002A786A"/>
    <w:rsid w:val="003138F5"/>
    <w:rsid w:val="006C0164"/>
    <w:rsid w:val="006F154B"/>
    <w:rsid w:val="00E61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4880691"/>
  <w15:docId w15:val="{883518C8-573F-485E-9DE4-DDC25408A0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  <w:spacing w:after="0" w:line="240" w:lineRule="auto"/>
      <w:jc w:val="both"/>
    </w:pPr>
    <w:rPr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rPr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annotation text"/>
    <w:basedOn w:val="a"/>
    <w:link w:val="a8"/>
    <w:pPr>
      <w:jc w:val="left"/>
    </w:pPr>
    <w:rPr>
      <w:rFonts w:ascii="Calibri" w:eastAsia="Calibri" w:hAnsi="Calibri" w:cs="Calibri"/>
      <w:sz w:val="20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character" w:styleId="a9">
    <w:name w:val="Hyperlink"/>
    <w:basedOn w:val="a0"/>
    <w:rPr>
      <w:color w:val="0563C1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paragraph" w:customStyle="1" w:styleId="Annotation">
    <w:name w:val="Annotation"/>
    <w:basedOn w:val="a"/>
    <w:pPr>
      <w:spacing w:after="160" w:line="360" w:lineRule="auto"/>
      <w:ind w:left="400"/>
      <w:jc w:val="left"/>
    </w:pPr>
    <w:rPr>
      <w:rFonts w:ascii="Calibri" w:eastAsia="Calibri" w:hAnsi="Calibri" w:cs="Calibri"/>
      <w:sz w:val="22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</w:pPr>
    <w:rPr>
      <w:rFonts w:ascii="Calibri" w:eastAsia="Calibri" w:hAnsi="Calibri" w:cs="Calibri"/>
      <w:sz w:val="20"/>
      <w:shd w:val="clear" w:color="auto" w:fill="F9EDFF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paragraph" w:styleId="aa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ab">
    <w:name w:val="Sub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Postcode">
    <w:name w:val="Postcode"/>
    <w:basedOn w:val="a0"/>
    <w:rPr>
      <w:shd w:val="clear" w:color="auto" w:fill="BEBEBE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City">
    <w:name w:val="City"/>
    <w:basedOn w:val="a0"/>
    <w:rPr>
      <w:shd w:val="clear" w:color="auto" w:fill="D7D7D7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TableBody">
    <w:name w:val="Table Body"/>
    <w:basedOn w:val="a"/>
    <w:pPr>
      <w:spacing w:after="160"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character" w:customStyle="1" w:styleId="Region">
    <w:name w:val="Region"/>
    <w:basedOn w:val="a0"/>
    <w:rPr>
      <w:shd w:val="clear" w:color="auto" w:fill="D8E9EE"/>
    </w:rPr>
  </w:style>
  <w:style w:type="character" w:customStyle="1" w:styleId="Year">
    <w:name w:val="Year"/>
    <w:basedOn w:val="a0"/>
    <w:rPr>
      <w:shd w:val="clear" w:color="auto" w:fill="FFF9C9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character" w:customStyle="1" w:styleId="Location">
    <w:name w:val="Location"/>
    <w:basedOn w:val="a0"/>
    <w:rPr>
      <w:shd w:val="clear" w:color="auto" w:fill="F9EDFF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Surtitle">
    <w:name w:val="Surtitle"/>
    <w:basedOn w:val="a"/>
    <w:qFormat/>
    <w:pPr>
      <w:spacing w:after="160"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AbstractSubheading">
    <w:name w:val="Abstract Subheading"/>
    <w:basedOn w:val="a"/>
    <w:next w:val="a"/>
    <w:pPr>
      <w:keepNext/>
      <w:keepLines/>
      <w:numPr>
        <w:ilvl w:val="8"/>
      </w:numPr>
      <w:ind w:left="1440"/>
      <w:outlineLvl w:val="8"/>
    </w:pPr>
    <w:rPr>
      <w:sz w:val="22"/>
    </w:rPr>
  </w:style>
  <w:style w:type="paragraph" w:styleId="ac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styleId="ad">
    <w:name w:val="footnote text"/>
    <w:basedOn w:val="a"/>
    <w:rPr>
      <w:rFonts w:ascii="Calibri" w:eastAsia="Calibri" w:hAnsi="Calibri" w:cs="Calibri"/>
    </w:rPr>
  </w:style>
  <w:style w:type="character" w:customStyle="1" w:styleId="Source">
    <w:name w:val="Source"/>
    <w:basedOn w:val="a0"/>
    <w:rPr>
      <w:shd w:val="clear" w:color="auto" w:fill="C1EDFF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styleId="ae">
    <w:name w:val="end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styleId="af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0">
    <w:name w:val="annotation subject"/>
    <w:basedOn w:val="a7"/>
    <w:next w:val="a7"/>
    <w:link w:val="af1"/>
    <w:uiPriority w:val="99"/>
    <w:rsid w:val="002A786A"/>
    <w:pPr>
      <w:jc w:val="both"/>
    </w:pPr>
    <w:rPr>
      <w:rFonts w:asciiTheme="minorHAnsi" w:eastAsiaTheme="minorEastAsia" w:hAnsiTheme="minorHAnsi" w:cstheme="minorBidi"/>
      <w:b/>
      <w:bCs/>
      <w:szCs w:val="20"/>
    </w:rPr>
  </w:style>
  <w:style w:type="character" w:customStyle="1" w:styleId="a8">
    <w:name w:val="コメント文字列 (文字)"/>
    <w:basedOn w:val="a0"/>
    <w:link w:val="a7"/>
    <w:rsid w:val="002A786A"/>
    <w:rPr>
      <w:rFonts w:ascii="Calibri" w:eastAsia="Calibri" w:hAnsi="Calibri" w:cs="Calibri"/>
      <w:sz w:val="20"/>
    </w:rPr>
  </w:style>
  <w:style w:type="character" w:customStyle="1" w:styleId="af1">
    <w:name w:val="コメント内容 (文字)"/>
    <w:basedOn w:val="a8"/>
    <w:link w:val="af0"/>
    <w:uiPriority w:val="99"/>
    <w:rsid w:val="002A786A"/>
    <w:rPr>
      <w:rFonts w:ascii="Calibri" w:eastAsiaTheme="minorEastAsia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拓磨 八木</cp:lastModifiedBy>
  <cp:revision>3</cp:revision>
  <dcterms:created xsi:type="dcterms:W3CDTF">2025-05-07T09:35:00Z</dcterms:created>
  <dcterms:modified xsi:type="dcterms:W3CDTF">2025-05-10T11:19:00Z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0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0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b9a92dd8-9259-415b-bbb8-868215190e4d.docx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MG-Session/On-20250503/I:f7ba5af7-014a-4145-ba20-ea9714205d08</vt:lpwstr>
  </property>
  <property fmtid="{D5CDD505-2E9C-101B-9397-08002B2CF9AE}" pid="18" name="Merops processed date">
    <vt:lpwstr>2025/05/03 10:26:26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0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merops/preset-v1/elsevier-vancouver</vt:lpwstr>
  </property>
  <property fmtid="{D5CDD505-2E9C-101B-9397-08002B2CF9AE}" pid="24" name="Merops Standard Set modified">
    <vt:lpwstr/>
  </property>
  <property fmtid="{D5CDD505-2E9C-101B-9397-08002B2CF9AE}" pid="25" name="Merops tables count">
    <vt:lpwstr>1</vt:lpwstr>
  </property>
  <property fmtid="{D5CDD505-2E9C-101B-9397-08002B2CF9AE}" pid="26" name="Merops word count">
    <vt:lpwstr>66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/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</Properties>
</file>