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A9BA04" w14:textId="77777777" w:rsidR="00EF381F" w:rsidRDefault="002F34DC">
      <w:pPr>
        <w:spacing w:line="48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Table 5</w:t>
      </w:r>
      <w:r>
        <w:rPr>
          <w:rFonts w:ascii="Times New Roman" w:eastAsia="Times New Roman" w:hAnsi="Times New Roman" w:cs="Times New Roman"/>
          <w:sz w:val="24"/>
        </w:rPr>
        <w:t>. Multiple linear regression analysis of EQ-5D-5L: Comparison between Evans and AWGC criteria.</w:t>
      </w:r>
    </w:p>
    <w:tbl>
      <w:tblPr>
        <w:tblpPr w:leftFromText="142" w:rightFromText="142" w:vertAnchor="text" w:tblpY="490"/>
        <w:tblW w:w="4944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13"/>
        <w:gridCol w:w="719"/>
        <w:gridCol w:w="1448"/>
        <w:gridCol w:w="964"/>
        <w:gridCol w:w="842"/>
        <w:gridCol w:w="218"/>
        <w:gridCol w:w="687"/>
        <w:gridCol w:w="1396"/>
        <w:gridCol w:w="1010"/>
        <w:gridCol w:w="566"/>
        <w:gridCol w:w="192"/>
      </w:tblGrid>
      <w:tr w:rsidR="00EF381F" w14:paraId="493EA67C" w14:textId="77777777">
        <w:trPr>
          <w:trHeight w:val="147"/>
        </w:trPr>
        <w:tc>
          <w:tcPr>
            <w:tcW w:w="1213" w:type="dxa"/>
            <w:tcBorders>
              <w:top w:val="single" w:sz="4" w:space="0" w:color="auto"/>
            </w:tcBorders>
            <w:shd w:val="clear" w:color="auto" w:fill="FFFFFF"/>
          </w:tcPr>
          <w:p w14:paraId="7652177F" w14:textId="77777777" w:rsidR="00EF381F" w:rsidRDefault="00EF381F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973" w:type="dxa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/>
          </w:tcPr>
          <w:p w14:paraId="465C607E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Evans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60EE9744" w14:textId="77777777" w:rsidR="00EF381F" w:rsidRDefault="00EF381F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/>
          </w:tcPr>
          <w:p w14:paraId="3C2DEF35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AWGC</w:t>
            </w:r>
          </w:p>
        </w:tc>
      </w:tr>
      <w:tr w:rsidR="00EF381F" w14:paraId="6F01885A" w14:textId="77777777">
        <w:trPr>
          <w:trHeight w:val="147"/>
        </w:trPr>
        <w:tc>
          <w:tcPr>
            <w:tcW w:w="1213" w:type="dxa"/>
            <w:tcBorders>
              <w:bottom w:val="single" w:sz="4" w:space="0" w:color="auto"/>
            </w:tcBorders>
            <w:shd w:val="clear" w:color="auto" w:fill="FFFFFF"/>
          </w:tcPr>
          <w:p w14:paraId="0385C1E9" w14:textId="77777777" w:rsidR="00EF381F" w:rsidRDefault="00EF381F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/>
          </w:tcPr>
          <w:p w14:paraId="3D6CB979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β</w:t>
            </w:r>
          </w:p>
        </w:tc>
        <w:tc>
          <w:tcPr>
            <w:tcW w:w="144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F1428C8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95% CI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36D419F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Standardized β</w:t>
            </w:r>
          </w:p>
        </w:tc>
        <w:tc>
          <w:tcPr>
            <w:tcW w:w="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17B36BE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F34D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-value</w:t>
            </w:r>
          </w:p>
        </w:tc>
        <w:tc>
          <w:tcPr>
            <w:tcW w:w="218" w:type="dxa"/>
            <w:tcBorders>
              <w:right w:val="nil"/>
            </w:tcBorders>
            <w:shd w:val="clear" w:color="auto" w:fill="FFFFFF"/>
          </w:tcPr>
          <w:p w14:paraId="4EF009E3" w14:textId="77777777" w:rsidR="00EF381F" w:rsidRDefault="00EF381F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/>
          </w:tcPr>
          <w:p w14:paraId="69B834C3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β</w:t>
            </w:r>
          </w:p>
        </w:tc>
        <w:tc>
          <w:tcPr>
            <w:tcW w:w="13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ACCFAE0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95% CI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4C13BA5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Standardized β</w:t>
            </w:r>
          </w:p>
        </w:tc>
        <w:tc>
          <w:tcPr>
            <w:tcW w:w="75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419DB5F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F34D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-value</w:t>
            </w:r>
          </w:p>
        </w:tc>
      </w:tr>
      <w:tr w:rsidR="00EF381F" w14:paraId="2BBD8675" w14:textId="77777777">
        <w:trPr>
          <w:trHeight w:val="147"/>
        </w:trPr>
        <w:tc>
          <w:tcPr>
            <w:tcW w:w="1213" w:type="dxa"/>
            <w:tcBorders>
              <w:top w:val="single" w:sz="4" w:space="0" w:color="auto"/>
            </w:tcBorders>
            <w:shd w:val="clear" w:color="auto" w:fill="FFFFFF"/>
          </w:tcPr>
          <w:p w14:paraId="28D8D16B" w14:textId="77777777" w:rsidR="00EF381F" w:rsidRDefault="002F34DC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Constant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</w:tcBorders>
            <w:shd w:val="clear" w:color="auto" w:fill="FFFFFF"/>
          </w:tcPr>
          <w:p w14:paraId="20E6BEEE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8.189</w:t>
            </w:r>
          </w:p>
        </w:tc>
        <w:tc>
          <w:tcPr>
            <w:tcW w:w="1448" w:type="dxa"/>
            <w:tcBorders>
              <w:top w:val="single" w:sz="4" w:space="0" w:color="auto"/>
            </w:tcBorders>
            <w:shd w:val="clear" w:color="auto" w:fill="FFFFFF"/>
          </w:tcPr>
          <w:p w14:paraId="4F3767C2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5.164 – 11.213</w:t>
            </w: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FFFFFF"/>
          </w:tcPr>
          <w:p w14:paraId="1B945944" w14:textId="77777777" w:rsidR="00EF381F" w:rsidRDefault="00EF381F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</w:tcBorders>
            <w:shd w:val="clear" w:color="auto" w:fill="FFFFFF"/>
          </w:tcPr>
          <w:p w14:paraId="25314CBD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&lt; 0.001</w:t>
            </w:r>
          </w:p>
        </w:tc>
        <w:tc>
          <w:tcPr>
            <w:tcW w:w="218" w:type="dxa"/>
            <w:tcBorders>
              <w:right w:val="nil"/>
            </w:tcBorders>
            <w:shd w:val="clear" w:color="auto" w:fill="FFFFFF"/>
          </w:tcPr>
          <w:p w14:paraId="6F59A9A0" w14:textId="77777777" w:rsidR="00EF381F" w:rsidRDefault="00EF381F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687" w:type="dxa"/>
            <w:tcBorders>
              <w:top w:val="single" w:sz="4" w:space="0" w:color="auto"/>
              <w:left w:val="nil"/>
            </w:tcBorders>
            <w:shd w:val="clear" w:color="auto" w:fill="FFFFFF"/>
          </w:tcPr>
          <w:p w14:paraId="5DCD5D74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8.123</w:t>
            </w:r>
          </w:p>
        </w:tc>
        <w:tc>
          <w:tcPr>
            <w:tcW w:w="1396" w:type="dxa"/>
            <w:tcBorders>
              <w:top w:val="single" w:sz="4" w:space="0" w:color="auto"/>
            </w:tcBorders>
            <w:shd w:val="clear" w:color="auto" w:fill="FFFFFF"/>
          </w:tcPr>
          <w:p w14:paraId="2A870E92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5.024 – 11.223</w:t>
            </w:r>
          </w:p>
        </w:tc>
        <w:tc>
          <w:tcPr>
            <w:tcW w:w="1010" w:type="dxa"/>
            <w:tcBorders>
              <w:top w:val="single" w:sz="4" w:space="0" w:color="auto"/>
            </w:tcBorders>
            <w:shd w:val="clear" w:color="auto" w:fill="FFFFFF"/>
          </w:tcPr>
          <w:p w14:paraId="1A46D24E" w14:textId="77777777" w:rsidR="00EF381F" w:rsidRDefault="00EF381F">
            <w:pPr>
              <w:widowControl/>
              <w:spacing w:line="480" w:lineRule="auto"/>
              <w:ind w:firstLine="6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</w:tcBorders>
            <w:shd w:val="clear" w:color="auto" w:fill="FFFFFF"/>
          </w:tcPr>
          <w:p w14:paraId="29FEB6F4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&lt;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0.001</w:t>
            </w:r>
          </w:p>
        </w:tc>
      </w:tr>
      <w:tr w:rsidR="00EF381F" w14:paraId="26A0AA90" w14:textId="77777777">
        <w:trPr>
          <w:trHeight w:val="147"/>
        </w:trPr>
        <w:tc>
          <w:tcPr>
            <w:tcW w:w="1213" w:type="dxa"/>
            <w:shd w:val="clear" w:color="auto" w:fill="FFFFFF"/>
          </w:tcPr>
          <w:p w14:paraId="20DC0BD9" w14:textId="77777777" w:rsidR="00EF381F" w:rsidRDefault="002F34DC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Cachexia</w:t>
            </w:r>
          </w:p>
        </w:tc>
        <w:tc>
          <w:tcPr>
            <w:tcW w:w="719" w:type="dxa"/>
            <w:tcBorders>
              <w:left w:val="nil"/>
            </w:tcBorders>
            <w:shd w:val="clear" w:color="auto" w:fill="FFFFFF"/>
          </w:tcPr>
          <w:p w14:paraId="34BF5967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−1.102</w:t>
            </w:r>
          </w:p>
        </w:tc>
        <w:tc>
          <w:tcPr>
            <w:tcW w:w="1448" w:type="dxa"/>
            <w:shd w:val="clear" w:color="auto" w:fill="FFFFFF"/>
          </w:tcPr>
          <w:p w14:paraId="2BD58888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−1.680 − −0.328</w:t>
            </w:r>
          </w:p>
        </w:tc>
        <w:tc>
          <w:tcPr>
            <w:tcW w:w="964" w:type="dxa"/>
            <w:shd w:val="clear" w:color="auto" w:fill="FFFFFF"/>
          </w:tcPr>
          <w:p w14:paraId="39E38127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0.391</w:t>
            </w:r>
          </w:p>
        </w:tc>
        <w:tc>
          <w:tcPr>
            <w:tcW w:w="842" w:type="dxa"/>
            <w:shd w:val="clear" w:color="auto" w:fill="FFFFFF"/>
          </w:tcPr>
          <w:p w14:paraId="67DE9466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0.005</w:t>
            </w:r>
          </w:p>
        </w:tc>
        <w:tc>
          <w:tcPr>
            <w:tcW w:w="218" w:type="dxa"/>
            <w:tcBorders>
              <w:right w:val="nil"/>
            </w:tcBorders>
            <w:shd w:val="clear" w:color="auto" w:fill="FFFFFF"/>
          </w:tcPr>
          <w:p w14:paraId="60F00816" w14:textId="77777777" w:rsidR="00EF381F" w:rsidRDefault="00EF381F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1D1C1D"/>
                <w:sz w:val="24"/>
              </w:rPr>
            </w:pPr>
          </w:p>
        </w:tc>
        <w:tc>
          <w:tcPr>
            <w:tcW w:w="687" w:type="dxa"/>
            <w:tcBorders>
              <w:left w:val="nil"/>
            </w:tcBorders>
            <w:shd w:val="clear" w:color="auto" w:fill="FFFFFF"/>
          </w:tcPr>
          <w:p w14:paraId="73731792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−0.894</w:t>
            </w:r>
          </w:p>
        </w:tc>
        <w:tc>
          <w:tcPr>
            <w:tcW w:w="1396" w:type="dxa"/>
            <w:shd w:val="clear" w:color="auto" w:fill="FFFFFF"/>
          </w:tcPr>
          <w:p w14:paraId="215C253E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−1.636 − −0.152</w:t>
            </w:r>
          </w:p>
        </w:tc>
        <w:tc>
          <w:tcPr>
            <w:tcW w:w="1010" w:type="dxa"/>
            <w:shd w:val="clear" w:color="auto" w:fill="FFFFFF"/>
          </w:tcPr>
          <w:p w14:paraId="670D6FE5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0.373</w:t>
            </w:r>
          </w:p>
        </w:tc>
        <w:tc>
          <w:tcPr>
            <w:tcW w:w="758" w:type="dxa"/>
            <w:gridSpan w:val="2"/>
            <w:shd w:val="clear" w:color="auto" w:fill="FFFFFF"/>
          </w:tcPr>
          <w:p w14:paraId="098AA320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0.019</w:t>
            </w:r>
          </w:p>
        </w:tc>
      </w:tr>
      <w:tr w:rsidR="00EF381F" w14:paraId="222B4E3B" w14:textId="77777777">
        <w:trPr>
          <w:trHeight w:val="147"/>
        </w:trPr>
        <w:tc>
          <w:tcPr>
            <w:tcW w:w="1213" w:type="dxa"/>
            <w:shd w:val="clear" w:color="auto" w:fill="FFFFFF"/>
          </w:tcPr>
          <w:p w14:paraId="7CBC2908" w14:textId="77777777" w:rsidR="00EF381F" w:rsidRDefault="002F34DC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Age</w:t>
            </w:r>
          </w:p>
        </w:tc>
        <w:tc>
          <w:tcPr>
            <w:tcW w:w="719" w:type="dxa"/>
            <w:tcBorders>
              <w:left w:val="nil"/>
            </w:tcBorders>
            <w:shd w:val="clear" w:color="auto" w:fill="FFFFFF"/>
          </w:tcPr>
          <w:p w14:paraId="597F0620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−0.045</w:t>
            </w:r>
          </w:p>
        </w:tc>
        <w:tc>
          <w:tcPr>
            <w:tcW w:w="1448" w:type="dxa"/>
            <w:shd w:val="clear" w:color="auto" w:fill="FFFFFF"/>
          </w:tcPr>
          <w:p w14:paraId="791ADAF4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−0.077 − −0.013</w:t>
            </w:r>
          </w:p>
        </w:tc>
        <w:tc>
          <w:tcPr>
            <w:tcW w:w="964" w:type="dxa"/>
            <w:shd w:val="clear" w:color="auto" w:fill="FFFFFF"/>
          </w:tcPr>
          <w:p w14:paraId="164EC0F9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0.016</w:t>
            </w:r>
          </w:p>
        </w:tc>
        <w:tc>
          <w:tcPr>
            <w:tcW w:w="842" w:type="dxa"/>
            <w:shd w:val="clear" w:color="auto" w:fill="FFFFFF"/>
          </w:tcPr>
          <w:p w14:paraId="664DCD86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0.006</w:t>
            </w:r>
          </w:p>
        </w:tc>
        <w:tc>
          <w:tcPr>
            <w:tcW w:w="218" w:type="dxa"/>
            <w:tcBorders>
              <w:right w:val="nil"/>
            </w:tcBorders>
            <w:shd w:val="clear" w:color="auto" w:fill="FFFFFF"/>
          </w:tcPr>
          <w:p w14:paraId="51D268F1" w14:textId="77777777" w:rsidR="00EF381F" w:rsidRDefault="00EF381F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1D1C1D"/>
                <w:sz w:val="24"/>
              </w:rPr>
            </w:pPr>
          </w:p>
        </w:tc>
        <w:tc>
          <w:tcPr>
            <w:tcW w:w="687" w:type="dxa"/>
            <w:tcBorders>
              <w:left w:val="nil"/>
            </w:tcBorders>
            <w:shd w:val="clear" w:color="auto" w:fill="FFFFFF"/>
          </w:tcPr>
          <w:p w14:paraId="1010C889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−0.047</w:t>
            </w:r>
          </w:p>
        </w:tc>
        <w:tc>
          <w:tcPr>
            <w:tcW w:w="1396" w:type="dxa"/>
            <w:shd w:val="clear" w:color="auto" w:fill="FFFFFF"/>
          </w:tcPr>
          <w:p w14:paraId="6EE9E138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−0.080 − −0.015</w:t>
            </w:r>
          </w:p>
        </w:tc>
        <w:tc>
          <w:tcPr>
            <w:tcW w:w="1010" w:type="dxa"/>
            <w:shd w:val="clear" w:color="auto" w:fill="FFFFFF"/>
          </w:tcPr>
          <w:p w14:paraId="1D721D0E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0.016</w:t>
            </w:r>
          </w:p>
        </w:tc>
        <w:tc>
          <w:tcPr>
            <w:tcW w:w="758" w:type="dxa"/>
            <w:gridSpan w:val="2"/>
            <w:shd w:val="clear" w:color="auto" w:fill="FFFFFF"/>
          </w:tcPr>
          <w:p w14:paraId="3DD1515E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0.004</w:t>
            </w:r>
          </w:p>
        </w:tc>
      </w:tr>
      <w:tr w:rsidR="00EF381F" w14:paraId="748BB79D" w14:textId="77777777">
        <w:trPr>
          <w:trHeight w:val="147"/>
        </w:trPr>
        <w:tc>
          <w:tcPr>
            <w:tcW w:w="1213" w:type="dxa"/>
            <w:shd w:val="clear" w:color="auto" w:fill="FFFFFF"/>
          </w:tcPr>
          <w:p w14:paraId="7264E10E" w14:textId="77777777" w:rsidR="00EF381F" w:rsidRDefault="002F34DC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Sex (Female)</w:t>
            </w:r>
          </w:p>
        </w:tc>
        <w:tc>
          <w:tcPr>
            <w:tcW w:w="719" w:type="dxa"/>
            <w:tcBorders>
              <w:left w:val="nil"/>
            </w:tcBorders>
            <w:shd w:val="clear" w:color="auto" w:fill="FFFFFF"/>
          </w:tcPr>
          <w:p w14:paraId="231ADC0F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−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0.203</w:t>
            </w:r>
          </w:p>
        </w:tc>
        <w:tc>
          <w:tcPr>
            <w:tcW w:w="1448" w:type="dxa"/>
            <w:shd w:val="clear" w:color="auto" w:fill="FFFFFF"/>
          </w:tcPr>
          <w:p w14:paraId="5878FC98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−0.855 – 0.449</w:t>
            </w:r>
          </w:p>
        </w:tc>
        <w:tc>
          <w:tcPr>
            <w:tcW w:w="964" w:type="dxa"/>
            <w:shd w:val="clear" w:color="auto" w:fill="FFFFFF"/>
          </w:tcPr>
          <w:p w14:paraId="347F488F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0.328</w:t>
            </w:r>
          </w:p>
        </w:tc>
        <w:tc>
          <w:tcPr>
            <w:tcW w:w="842" w:type="dxa"/>
            <w:shd w:val="clear" w:color="auto" w:fill="FFFFFF"/>
          </w:tcPr>
          <w:p w14:paraId="120F5AA9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0.537</w:t>
            </w:r>
          </w:p>
        </w:tc>
        <w:tc>
          <w:tcPr>
            <w:tcW w:w="218" w:type="dxa"/>
            <w:tcBorders>
              <w:right w:val="nil"/>
            </w:tcBorders>
            <w:shd w:val="clear" w:color="auto" w:fill="FFFFFF"/>
          </w:tcPr>
          <w:p w14:paraId="7215CE86" w14:textId="77777777" w:rsidR="00EF381F" w:rsidRDefault="00EF381F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1D1C1D"/>
                <w:sz w:val="24"/>
              </w:rPr>
            </w:pPr>
          </w:p>
        </w:tc>
        <w:tc>
          <w:tcPr>
            <w:tcW w:w="687" w:type="dxa"/>
            <w:tcBorders>
              <w:left w:val="nil"/>
            </w:tcBorders>
            <w:shd w:val="clear" w:color="auto" w:fill="FFFFFF"/>
          </w:tcPr>
          <w:p w14:paraId="49A0CF4F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−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0.155</w:t>
            </w:r>
          </w:p>
        </w:tc>
        <w:tc>
          <w:tcPr>
            <w:tcW w:w="1396" w:type="dxa"/>
            <w:shd w:val="clear" w:color="auto" w:fill="FFFFFF"/>
          </w:tcPr>
          <w:p w14:paraId="393DE171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−0.814 – 0.504</w:t>
            </w:r>
          </w:p>
        </w:tc>
        <w:tc>
          <w:tcPr>
            <w:tcW w:w="1010" w:type="dxa"/>
            <w:shd w:val="clear" w:color="auto" w:fill="FFFFFF"/>
          </w:tcPr>
          <w:p w14:paraId="15FE7A6E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0.331</w:t>
            </w:r>
          </w:p>
        </w:tc>
        <w:tc>
          <w:tcPr>
            <w:tcW w:w="758" w:type="dxa"/>
            <w:gridSpan w:val="2"/>
            <w:shd w:val="clear" w:color="auto" w:fill="FFFFFF"/>
          </w:tcPr>
          <w:p w14:paraId="5EAB8149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0.641</w:t>
            </w:r>
          </w:p>
        </w:tc>
      </w:tr>
      <w:tr w:rsidR="00EF381F" w14:paraId="5C4411F8" w14:textId="77777777">
        <w:trPr>
          <w:trHeight w:val="147"/>
        </w:trPr>
        <w:tc>
          <w:tcPr>
            <w:tcW w:w="1213" w:type="dxa"/>
            <w:shd w:val="clear" w:color="auto" w:fill="FFFFFF"/>
          </w:tcPr>
          <w:p w14:paraId="2F100A08" w14:textId="77777777" w:rsidR="00EF381F" w:rsidRDefault="002F34DC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CCI</w:t>
            </w:r>
          </w:p>
        </w:tc>
        <w:tc>
          <w:tcPr>
            <w:tcW w:w="719" w:type="dxa"/>
            <w:tcBorders>
              <w:left w:val="nil"/>
            </w:tcBorders>
            <w:shd w:val="clear" w:color="auto" w:fill="FFFFFF"/>
          </w:tcPr>
          <w:p w14:paraId="155DA276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−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0.149</w:t>
            </w:r>
          </w:p>
        </w:tc>
        <w:tc>
          <w:tcPr>
            <w:tcW w:w="1448" w:type="dxa"/>
            <w:shd w:val="clear" w:color="auto" w:fill="FFFFFF"/>
          </w:tcPr>
          <w:p w14:paraId="442E3C45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−0.350 – 0.053</w:t>
            </w:r>
          </w:p>
        </w:tc>
        <w:tc>
          <w:tcPr>
            <w:tcW w:w="964" w:type="dxa"/>
            <w:shd w:val="clear" w:color="auto" w:fill="FFFFFF"/>
          </w:tcPr>
          <w:p w14:paraId="3CCAEDC5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0.101</w:t>
            </w:r>
          </w:p>
        </w:tc>
        <w:tc>
          <w:tcPr>
            <w:tcW w:w="842" w:type="dxa"/>
            <w:shd w:val="clear" w:color="auto" w:fill="FFFFFF"/>
          </w:tcPr>
          <w:p w14:paraId="50107C14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0.147</w:t>
            </w:r>
          </w:p>
        </w:tc>
        <w:tc>
          <w:tcPr>
            <w:tcW w:w="218" w:type="dxa"/>
            <w:tcBorders>
              <w:right w:val="nil"/>
            </w:tcBorders>
            <w:shd w:val="clear" w:color="auto" w:fill="FFFFFF"/>
          </w:tcPr>
          <w:p w14:paraId="2374D91E" w14:textId="77777777" w:rsidR="00EF381F" w:rsidRDefault="00EF381F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1D1C1D"/>
                <w:sz w:val="24"/>
              </w:rPr>
            </w:pPr>
          </w:p>
        </w:tc>
        <w:tc>
          <w:tcPr>
            <w:tcW w:w="687" w:type="dxa"/>
            <w:tcBorders>
              <w:left w:val="nil"/>
            </w:tcBorders>
            <w:shd w:val="clear" w:color="auto" w:fill="FFFFFF"/>
          </w:tcPr>
          <w:p w14:paraId="54BA232C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−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0.113</w:t>
            </w:r>
          </w:p>
        </w:tc>
        <w:tc>
          <w:tcPr>
            <w:tcW w:w="1396" w:type="dxa"/>
            <w:shd w:val="clear" w:color="auto" w:fill="FFFFFF"/>
          </w:tcPr>
          <w:p w14:paraId="03E42F92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−0.316 – 0.090</w:t>
            </w:r>
          </w:p>
        </w:tc>
        <w:tc>
          <w:tcPr>
            <w:tcW w:w="1010" w:type="dxa"/>
            <w:shd w:val="clear" w:color="auto" w:fill="FFFFFF"/>
          </w:tcPr>
          <w:p w14:paraId="6401ACAF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0.102</w:t>
            </w:r>
          </w:p>
        </w:tc>
        <w:tc>
          <w:tcPr>
            <w:tcW w:w="758" w:type="dxa"/>
            <w:gridSpan w:val="2"/>
            <w:shd w:val="clear" w:color="auto" w:fill="FFFFFF"/>
          </w:tcPr>
          <w:p w14:paraId="2F4A9BB4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0.272</w:t>
            </w:r>
          </w:p>
        </w:tc>
      </w:tr>
      <w:tr w:rsidR="00EF381F" w14:paraId="77614576" w14:textId="77777777">
        <w:trPr>
          <w:trHeight w:val="147"/>
        </w:trPr>
        <w:tc>
          <w:tcPr>
            <w:tcW w:w="1213" w:type="dxa"/>
            <w:shd w:val="clear" w:color="auto" w:fill="FFFFFF"/>
          </w:tcPr>
          <w:p w14:paraId="3A723F2B" w14:textId="77777777" w:rsidR="00EF381F" w:rsidRDefault="002F34DC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Kt/V</w:t>
            </w:r>
          </w:p>
        </w:tc>
        <w:tc>
          <w:tcPr>
            <w:tcW w:w="719" w:type="dxa"/>
            <w:tcBorders>
              <w:left w:val="nil"/>
            </w:tcBorders>
            <w:shd w:val="clear" w:color="auto" w:fill="FFFFFF"/>
          </w:tcPr>
          <w:p w14:paraId="4BEE39EC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2.182</w:t>
            </w:r>
          </w:p>
        </w:tc>
        <w:tc>
          <w:tcPr>
            <w:tcW w:w="1448" w:type="dxa"/>
            <w:shd w:val="clear" w:color="auto" w:fill="FFFFFF"/>
          </w:tcPr>
          <w:p w14:paraId="0D3102C1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8F8F8"/>
              </w:rPr>
              <w:t>0.578 – 3.787</w:t>
            </w:r>
          </w:p>
        </w:tc>
        <w:tc>
          <w:tcPr>
            <w:tcW w:w="964" w:type="dxa"/>
            <w:shd w:val="clear" w:color="auto" w:fill="FFFFFF"/>
          </w:tcPr>
          <w:p w14:paraId="2C436ECC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8F8F8"/>
              </w:rPr>
              <w:t>0.807</w:t>
            </w:r>
          </w:p>
        </w:tc>
        <w:tc>
          <w:tcPr>
            <w:tcW w:w="842" w:type="dxa"/>
            <w:shd w:val="clear" w:color="auto" w:fill="FFFFFF"/>
          </w:tcPr>
          <w:p w14:paraId="31FE42EE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0.008</w:t>
            </w:r>
          </w:p>
        </w:tc>
        <w:tc>
          <w:tcPr>
            <w:tcW w:w="218" w:type="dxa"/>
            <w:tcBorders>
              <w:right w:val="nil"/>
            </w:tcBorders>
            <w:shd w:val="clear" w:color="auto" w:fill="FFFFFF"/>
          </w:tcPr>
          <w:p w14:paraId="025A6E7F" w14:textId="77777777" w:rsidR="00EF381F" w:rsidRDefault="00EF381F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687" w:type="dxa"/>
            <w:tcBorders>
              <w:left w:val="nil"/>
            </w:tcBorders>
            <w:shd w:val="clear" w:color="auto" w:fill="FFFFFF"/>
          </w:tcPr>
          <w:p w14:paraId="624D9CEE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2.211</w:t>
            </w:r>
          </w:p>
        </w:tc>
        <w:tc>
          <w:tcPr>
            <w:tcW w:w="1396" w:type="dxa"/>
            <w:shd w:val="clear" w:color="auto" w:fill="FFFFFF"/>
          </w:tcPr>
          <w:p w14:paraId="568A4967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8F8F8"/>
              </w:rPr>
              <w:t>0.586 – 3.836</w:t>
            </w:r>
          </w:p>
        </w:tc>
        <w:tc>
          <w:tcPr>
            <w:tcW w:w="1010" w:type="dxa"/>
            <w:shd w:val="clear" w:color="auto" w:fill="FFFFFF"/>
          </w:tcPr>
          <w:p w14:paraId="122ED754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8F8F8"/>
              </w:rPr>
              <w:t>0.817</w:t>
            </w:r>
          </w:p>
        </w:tc>
        <w:tc>
          <w:tcPr>
            <w:tcW w:w="758" w:type="dxa"/>
            <w:gridSpan w:val="2"/>
            <w:shd w:val="clear" w:color="auto" w:fill="FFFFFF"/>
          </w:tcPr>
          <w:p w14:paraId="2A075C00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0.008</w:t>
            </w:r>
          </w:p>
        </w:tc>
      </w:tr>
      <w:tr w:rsidR="00EF381F" w14:paraId="78023DAE" w14:textId="77777777">
        <w:trPr>
          <w:trHeight w:val="147"/>
        </w:trPr>
        <w:tc>
          <w:tcPr>
            <w:tcW w:w="1213" w:type="dxa"/>
            <w:shd w:val="clear" w:color="auto" w:fill="FFFFFF"/>
          </w:tcPr>
          <w:p w14:paraId="69B2BB6C" w14:textId="77777777" w:rsidR="00EF381F" w:rsidRDefault="002F34DC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History of fall</w:t>
            </w:r>
          </w:p>
        </w:tc>
        <w:tc>
          <w:tcPr>
            <w:tcW w:w="719" w:type="dxa"/>
            <w:tcBorders>
              <w:left w:val="nil"/>
            </w:tcBorders>
            <w:shd w:val="clear" w:color="auto" w:fill="FFFFFF"/>
          </w:tcPr>
          <w:p w14:paraId="08CD0C4F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1D1C1D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0.140</w:t>
            </w:r>
          </w:p>
        </w:tc>
        <w:tc>
          <w:tcPr>
            <w:tcW w:w="1448" w:type="dxa"/>
            <w:shd w:val="clear" w:color="auto" w:fill="FFFFFF"/>
          </w:tcPr>
          <w:p w14:paraId="3D5DDFA8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1D1C1D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−0.546 – 0.827</w:t>
            </w:r>
          </w:p>
        </w:tc>
        <w:tc>
          <w:tcPr>
            <w:tcW w:w="964" w:type="dxa"/>
            <w:shd w:val="clear" w:color="auto" w:fill="FFFFFF"/>
          </w:tcPr>
          <w:p w14:paraId="555A0945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0.345</w:t>
            </w:r>
          </w:p>
        </w:tc>
        <w:tc>
          <w:tcPr>
            <w:tcW w:w="842" w:type="dxa"/>
            <w:shd w:val="clear" w:color="auto" w:fill="FFFFFF"/>
          </w:tcPr>
          <w:p w14:paraId="7A2282B7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0.685</w:t>
            </w:r>
          </w:p>
        </w:tc>
        <w:tc>
          <w:tcPr>
            <w:tcW w:w="218" w:type="dxa"/>
            <w:tcBorders>
              <w:right w:val="nil"/>
            </w:tcBorders>
            <w:shd w:val="clear" w:color="auto" w:fill="FFFFFF"/>
          </w:tcPr>
          <w:p w14:paraId="18FDA0D7" w14:textId="77777777" w:rsidR="00EF381F" w:rsidRDefault="00EF381F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1D1C1D"/>
                <w:sz w:val="24"/>
              </w:rPr>
            </w:pPr>
          </w:p>
        </w:tc>
        <w:tc>
          <w:tcPr>
            <w:tcW w:w="687" w:type="dxa"/>
            <w:tcBorders>
              <w:left w:val="nil"/>
            </w:tcBorders>
            <w:shd w:val="clear" w:color="auto" w:fill="FFFFFF"/>
          </w:tcPr>
          <w:p w14:paraId="55102368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0.031</w:t>
            </w:r>
          </w:p>
        </w:tc>
        <w:tc>
          <w:tcPr>
            <w:tcW w:w="1396" w:type="dxa"/>
            <w:shd w:val="clear" w:color="auto" w:fill="FFFFFF"/>
          </w:tcPr>
          <w:p w14:paraId="672B3BAC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−0.667 – 0.731</w:t>
            </w:r>
          </w:p>
        </w:tc>
        <w:tc>
          <w:tcPr>
            <w:tcW w:w="1010" w:type="dxa"/>
            <w:shd w:val="clear" w:color="auto" w:fill="FFFFFF"/>
          </w:tcPr>
          <w:p w14:paraId="009D2F19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0.351</w:t>
            </w:r>
          </w:p>
        </w:tc>
        <w:tc>
          <w:tcPr>
            <w:tcW w:w="758" w:type="dxa"/>
            <w:gridSpan w:val="2"/>
            <w:shd w:val="clear" w:color="auto" w:fill="FFFFFF"/>
          </w:tcPr>
          <w:p w14:paraId="29247DFE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0.928</w:t>
            </w:r>
          </w:p>
        </w:tc>
      </w:tr>
      <w:tr w:rsidR="00EF381F" w14:paraId="513C39F7" w14:textId="77777777">
        <w:trPr>
          <w:trHeight w:val="147"/>
        </w:trPr>
        <w:tc>
          <w:tcPr>
            <w:tcW w:w="1213" w:type="dxa"/>
            <w:tcBorders>
              <w:bottom w:val="single" w:sz="4" w:space="0" w:color="auto"/>
            </w:tcBorders>
            <w:shd w:val="clear" w:color="auto" w:fill="FFFFFF"/>
          </w:tcPr>
          <w:p w14:paraId="090541B3" w14:textId="77777777" w:rsidR="00EF381F" w:rsidRDefault="002F34DC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Duration of dialysis</w:t>
            </w:r>
          </w:p>
        </w:tc>
        <w:tc>
          <w:tcPr>
            <w:tcW w:w="719" w:type="dxa"/>
            <w:tcBorders>
              <w:left w:val="nil"/>
              <w:bottom w:val="single" w:sz="4" w:space="0" w:color="auto"/>
            </w:tcBorders>
            <w:shd w:val="clear" w:color="auto" w:fill="FFFFFF"/>
          </w:tcPr>
          <w:p w14:paraId="29B6271A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−0.002</w:t>
            </w:r>
          </w:p>
        </w:tc>
        <w:tc>
          <w:tcPr>
            <w:tcW w:w="1448" w:type="dxa"/>
            <w:tcBorders>
              <w:bottom w:val="single" w:sz="4" w:space="0" w:color="auto"/>
            </w:tcBorders>
            <w:shd w:val="clear" w:color="auto" w:fill="FFFFFF"/>
          </w:tcPr>
          <w:p w14:paraId="4C06D754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−0.036 − 0.033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FFFFFF"/>
          </w:tcPr>
          <w:p w14:paraId="3D7F84E9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0.016</w:t>
            </w:r>
          </w:p>
        </w:tc>
        <w:tc>
          <w:tcPr>
            <w:tcW w:w="842" w:type="dxa"/>
            <w:tcBorders>
              <w:bottom w:val="single" w:sz="4" w:space="0" w:color="auto"/>
            </w:tcBorders>
            <w:shd w:val="clear" w:color="auto" w:fill="FFFFFF"/>
          </w:tcPr>
          <w:p w14:paraId="601ABEDA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0.893</w:t>
            </w:r>
          </w:p>
        </w:tc>
        <w:tc>
          <w:tcPr>
            <w:tcW w:w="218" w:type="dxa"/>
            <w:tcBorders>
              <w:bottom w:val="single" w:sz="4" w:space="0" w:color="auto"/>
              <w:right w:val="nil"/>
            </w:tcBorders>
            <w:shd w:val="clear" w:color="auto" w:fill="FFFFFF"/>
          </w:tcPr>
          <w:p w14:paraId="7D1893B9" w14:textId="77777777" w:rsidR="00EF381F" w:rsidRDefault="00EF381F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1D1C1D"/>
                <w:sz w:val="24"/>
              </w:rPr>
            </w:pPr>
          </w:p>
        </w:tc>
        <w:tc>
          <w:tcPr>
            <w:tcW w:w="687" w:type="dxa"/>
            <w:tcBorders>
              <w:left w:val="nil"/>
              <w:bottom w:val="single" w:sz="4" w:space="0" w:color="auto"/>
            </w:tcBorders>
            <w:shd w:val="clear" w:color="auto" w:fill="FFFFFF"/>
          </w:tcPr>
          <w:p w14:paraId="32E81AF1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−0.003</w:t>
            </w:r>
          </w:p>
        </w:tc>
        <w:tc>
          <w:tcPr>
            <w:tcW w:w="1396" w:type="dxa"/>
            <w:tcBorders>
              <w:bottom w:val="single" w:sz="4" w:space="0" w:color="auto"/>
            </w:tcBorders>
            <w:shd w:val="clear" w:color="auto" w:fill="FFFFFF"/>
          </w:tcPr>
          <w:p w14:paraId="0D5E5769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−0.037 − 0.034</w:t>
            </w:r>
          </w:p>
        </w:tc>
        <w:tc>
          <w:tcPr>
            <w:tcW w:w="1010" w:type="dxa"/>
            <w:tcBorders>
              <w:bottom w:val="single" w:sz="4" w:space="0" w:color="auto"/>
            </w:tcBorders>
            <w:shd w:val="clear" w:color="auto" w:fill="FFFFFF"/>
          </w:tcPr>
          <w:p w14:paraId="774C1209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0.018</w:t>
            </w:r>
          </w:p>
        </w:tc>
        <w:tc>
          <w:tcPr>
            <w:tcW w:w="758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3C5CDAA1" w14:textId="77777777" w:rsidR="00EF381F" w:rsidRDefault="002F34D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0.893</w:t>
            </w:r>
          </w:p>
        </w:tc>
      </w:tr>
      <w:tr w:rsidR="00EF381F" w14:paraId="7323686E" w14:textId="77777777">
        <w:trPr>
          <w:trHeight w:val="349"/>
        </w:trPr>
        <w:tc>
          <w:tcPr>
            <w:tcW w:w="9063" w:type="dxa"/>
            <w:gridSpan w:val="10"/>
            <w:tcBorders>
              <w:top w:val="single" w:sz="4" w:space="0" w:color="auto"/>
            </w:tcBorders>
            <w:shd w:val="clear" w:color="auto" w:fill="FFFFFF"/>
          </w:tcPr>
          <w:p w14:paraId="0E888CA7" w14:textId="21BDF76C" w:rsidR="00EF381F" w:rsidRDefault="002F34DC">
            <w:pPr>
              <w:spacing w:line="480" w:lineRule="auto"/>
              <w:ind w:firstLine="12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IADL: </w:t>
            </w:r>
            <w:r w:rsidR="00CC30E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Instrumental activities of daily living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; AWGC: Asian Working Group for Cachexia;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CI: Confidence interval,</w:t>
            </w:r>
          </w:p>
          <w:p w14:paraId="2788A6EE" w14:textId="77777777" w:rsidR="00EF381F" w:rsidRDefault="002F34DC">
            <w:pPr>
              <w:spacing w:line="480" w:lineRule="auto"/>
              <w:ind w:firstLine="12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CCI: Charlson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comorbidity index, Kt/V: dialysis duration, dialysis time, and standardized dialysis dose.</w:t>
            </w:r>
          </w:p>
        </w:tc>
        <w:tc>
          <w:tcPr>
            <w:tcW w:w="192" w:type="dxa"/>
            <w:vMerge/>
            <w:tcBorders>
              <w:top w:val="nil"/>
            </w:tcBorders>
          </w:tcPr>
          <w:p w14:paraId="4078BE25" w14:textId="77777777" w:rsidR="00EF381F" w:rsidRDefault="00EF381F"/>
        </w:tc>
      </w:tr>
    </w:tbl>
    <w:p w14:paraId="306A3FBE" w14:textId="77777777" w:rsidR="00EF381F" w:rsidRDefault="00EF381F">
      <w:pPr>
        <w:spacing w:line="480" w:lineRule="auto"/>
        <w:rPr>
          <w:rFonts w:ascii="Times New Roman" w:eastAsia="Times New Roman" w:hAnsi="Times New Roman" w:cs="Times New Roman"/>
          <w:sz w:val="24"/>
        </w:rPr>
      </w:pPr>
    </w:p>
    <w:p w14:paraId="771C388F" w14:textId="77777777" w:rsidR="00EF381F" w:rsidRDefault="00EF381F">
      <w:pPr>
        <w:spacing w:line="480" w:lineRule="auto"/>
        <w:rPr>
          <w:rFonts w:ascii="Times New Roman" w:eastAsia="Times New Roman" w:hAnsi="Times New Roman" w:cs="Times New Roman"/>
          <w:sz w:val="24"/>
        </w:rPr>
      </w:pPr>
    </w:p>
    <w:p w14:paraId="10B2AC4E" w14:textId="77777777" w:rsidR="00EF381F" w:rsidRDefault="00EF381F">
      <w:pPr>
        <w:spacing w:line="480" w:lineRule="auto"/>
        <w:rPr>
          <w:rFonts w:ascii="Times New Roman" w:eastAsia="Times New Roman" w:hAnsi="Times New Roman" w:cs="Times New Roman"/>
          <w:sz w:val="24"/>
        </w:rPr>
      </w:pPr>
    </w:p>
    <w:p w14:paraId="3188E49C" w14:textId="77777777" w:rsidR="00EF381F" w:rsidRDefault="00EF381F">
      <w:pPr>
        <w:widowControl/>
        <w:spacing w:line="480" w:lineRule="auto"/>
        <w:jc w:val="left"/>
        <w:rPr>
          <w:rFonts w:ascii="Times New Roman" w:eastAsia="Times New Roman" w:hAnsi="Times New Roman" w:cs="Times New Roman"/>
          <w:sz w:val="24"/>
        </w:rPr>
      </w:pPr>
    </w:p>
    <w:sectPr w:rsidR="00EF381F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81F"/>
    <w:rsid w:val="002F34DC"/>
    <w:rsid w:val="007F2B0C"/>
    <w:rsid w:val="00C53157"/>
    <w:rsid w:val="00CC30E1"/>
    <w:rsid w:val="00EF3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83827B7"/>
  <w15:docId w15:val="{2C71D3B8-F9AD-46AF-A6D3-BDD008E0E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</w:latentStyles>
  <w:style w:type="paragraph" w:default="1" w:styleId="a">
    <w:name w:val="Normal"/>
    <w:qFormat/>
    <w:pPr>
      <w:widowControl w:val="0"/>
      <w:spacing w:after="0" w:line="240" w:lineRule="auto"/>
      <w:jc w:val="both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pPr>
      <w:spacing w:line="305" w:lineRule="auto"/>
    </w:pPr>
    <w:rPr>
      <w:rFonts w:ascii="Calibri" w:eastAsia="Calibri" w:hAnsi="Calibri" w:cs="Calibri"/>
      <w:sz w:val="26"/>
    </w:rPr>
  </w:style>
  <w:style w:type="paragraph" w:styleId="2">
    <w:name w:val="toc 2"/>
    <w:basedOn w:val="a"/>
    <w:pPr>
      <w:spacing w:line="330" w:lineRule="auto"/>
    </w:pPr>
    <w:rPr>
      <w:rFonts w:ascii="Calibri" w:eastAsia="Calibri" w:hAnsi="Calibri" w:cs="Calibri"/>
      <w:sz w:val="24"/>
    </w:rPr>
  </w:style>
  <w:style w:type="paragraph" w:styleId="3">
    <w:name w:val="toc 3"/>
    <w:basedOn w:val="a"/>
    <w:pPr>
      <w:spacing w:line="360" w:lineRule="auto"/>
    </w:pPr>
    <w:rPr>
      <w:rFonts w:ascii="Calibri" w:eastAsia="Calibri" w:hAnsi="Calibri" w:cs="Calibri"/>
      <w:sz w:val="22"/>
    </w:rPr>
  </w:style>
  <w:style w:type="paragraph" w:styleId="4">
    <w:name w:val="toc 4"/>
    <w:basedOn w:val="a"/>
    <w:pPr>
      <w:spacing w:line="330" w:lineRule="exact"/>
    </w:pPr>
    <w:rPr>
      <w:rFonts w:ascii="Calibri" w:eastAsia="Calibri" w:hAnsi="Calibri" w:cs="Calibri"/>
    </w:rPr>
  </w:style>
  <w:style w:type="paragraph" w:styleId="5">
    <w:name w:val="toc 5"/>
    <w:basedOn w:val="a"/>
    <w:pPr>
      <w:spacing w:line="330" w:lineRule="exact"/>
    </w:pPr>
    <w:rPr>
      <w:rFonts w:ascii="Calibri" w:eastAsia="Calibri" w:hAnsi="Calibri" w:cs="Calibri"/>
    </w:rPr>
  </w:style>
  <w:style w:type="paragraph" w:styleId="6">
    <w:name w:val="toc 6"/>
    <w:basedOn w:val="a"/>
    <w:pPr>
      <w:spacing w:line="330" w:lineRule="exact"/>
    </w:pPr>
    <w:rPr>
      <w:rFonts w:ascii="Calibri" w:eastAsia="Calibri" w:hAnsi="Calibri" w:cs="Calibri"/>
    </w:rPr>
  </w:style>
  <w:style w:type="paragraph" w:styleId="7">
    <w:name w:val="toc 7"/>
    <w:basedOn w:val="a"/>
    <w:pPr>
      <w:spacing w:line="330" w:lineRule="exact"/>
    </w:pPr>
    <w:rPr>
      <w:rFonts w:ascii="Calibri" w:eastAsia="Calibri" w:hAnsi="Calibri" w:cs="Calibri"/>
    </w:rPr>
  </w:style>
  <w:style w:type="paragraph" w:styleId="8">
    <w:name w:val="toc 8"/>
    <w:basedOn w:val="a"/>
    <w:pPr>
      <w:spacing w:line="330" w:lineRule="exact"/>
    </w:pPr>
    <w:rPr>
      <w:rFonts w:ascii="Calibri" w:eastAsia="Calibri" w:hAnsi="Calibri" w:cs="Calibri"/>
    </w:rPr>
  </w:style>
  <w:style w:type="paragraph" w:styleId="9">
    <w:name w:val="toc 9"/>
    <w:basedOn w:val="a"/>
    <w:pPr>
      <w:spacing w:line="330" w:lineRule="exact"/>
    </w:pPr>
    <w:rPr>
      <w:rFonts w:ascii="Calibri" w:eastAsia="Calibri" w:hAnsi="Calibri" w:cs="Calibri"/>
    </w:rPr>
  </w:style>
  <w:style w:type="table" w:styleId="a3">
    <w:name w:val="Table Grid"/>
    <w:basedOn w:val="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styleId="a4">
    <w:name w:val="annotation reference"/>
    <w:basedOn w:val="a0"/>
    <w:rPr>
      <w:sz w:val="16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paragraph" w:customStyle="1" w:styleId="TableHead">
    <w:name w:val="Table Head"/>
    <w:basedOn w:val="a"/>
    <w:pPr>
      <w:shd w:val="clear" w:color="auto" w:fill="FFEDFA"/>
      <w:jc w:val="left"/>
    </w:pPr>
    <w:rPr>
      <w:rFonts w:ascii="Calibri" w:eastAsia="Calibri" w:hAnsi="Calibri" w:cs="Calibri"/>
      <w:sz w:val="20"/>
      <w:shd w:val="clear" w:color="auto" w:fill="FFEDFA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styleId="50">
    <w:name w:val="List 5"/>
    <w:basedOn w:val="a"/>
    <w:pPr>
      <w:spacing w:line="360" w:lineRule="auto"/>
      <w:ind w:left="1800" w:hanging="400"/>
    </w:pPr>
    <w:rPr>
      <w:rFonts w:ascii="Calibri" w:eastAsia="Calibri" w:hAnsi="Calibri" w:cs="Calibri"/>
      <w:sz w:val="22"/>
    </w:rPr>
  </w:style>
  <w:style w:type="paragraph" w:customStyle="1" w:styleId="Surtitle">
    <w:name w:val="Surtitle"/>
    <w:basedOn w:val="a"/>
    <w:qFormat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character" w:customStyle="1" w:styleId="Year">
    <w:name w:val="Year"/>
    <w:basedOn w:val="a0"/>
    <w:rPr>
      <w:shd w:val="clear" w:color="auto" w:fill="FFF9C9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  <w:rPr>
      <w:rFonts w:ascii="Calibri" w:eastAsia="Calibri" w:hAnsi="Calibri" w:cs="Calibri"/>
      <w:sz w:val="20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hd w:val="clear" w:color="auto" w:fill="F3F7F9"/>
    </w:rPr>
  </w:style>
  <w:style w:type="character" w:customStyle="1" w:styleId="Postcode">
    <w:name w:val="Postcode"/>
    <w:basedOn w:val="a0"/>
    <w:rPr>
      <w:shd w:val="clear" w:color="auto" w:fill="BEBEBE"/>
    </w:rPr>
  </w:style>
  <w:style w:type="paragraph" w:customStyle="1" w:styleId="QuotationSource">
    <w:name w:val="Quotation Source"/>
    <w:basedOn w:val="a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paragraph" w:customStyle="1" w:styleId="Authors">
    <w:name w:val="Authors"/>
    <w:basedOn w:val="a"/>
    <w:pPr>
      <w:spacing w:before="360" w:after="120" w:line="283" w:lineRule="auto"/>
      <w:jc w:val="left"/>
    </w:pPr>
    <w:rPr>
      <w:rFonts w:ascii="Calibri" w:eastAsia="Calibri" w:hAnsi="Calibri" w:cs="Calibri"/>
      <w:sz w:val="28"/>
    </w:r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hd w:val="clear" w:color="auto" w:fill="F4FFED"/>
    </w:rPr>
  </w:style>
  <w:style w:type="paragraph" w:styleId="a7">
    <w:name w:val="Block Text"/>
    <w:basedOn w:val="a"/>
    <w:pPr>
      <w:spacing w:after="160" w:line="360" w:lineRule="auto"/>
      <w:ind w:left="1200"/>
    </w:pPr>
    <w:rPr>
      <w:rFonts w:ascii="Calibri" w:eastAsia="Calibri" w:hAnsi="Calibri" w:cs="Calibri"/>
      <w:sz w:val="22"/>
    </w:rPr>
  </w:style>
  <w:style w:type="character" w:customStyle="1" w:styleId="GivenName">
    <w:name w:val="Given Name"/>
    <w:basedOn w:val="a0"/>
    <w:rPr>
      <w:shd w:val="clear" w:color="auto" w:fill="D0FCE2"/>
    </w:rPr>
  </w:style>
  <w:style w:type="character" w:customStyle="1" w:styleId="Miscellaneous">
    <w:name w:val="Miscellaneous"/>
    <w:basedOn w:val="a0"/>
    <w:rPr>
      <w:shd w:val="clear" w:color="auto" w:fill="F0F0F0"/>
    </w:rPr>
  </w:style>
  <w:style w:type="paragraph" w:styleId="a8">
    <w:name w:val="Subtitle"/>
    <w:basedOn w:val="a"/>
    <w:qFormat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paragraph" w:customStyle="1" w:styleId="Reference">
    <w:name w:val="Reference"/>
    <w:basedOn w:val="a"/>
    <w:pPr>
      <w:spacing w:after="320"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customStyle="1" w:styleId="Abstract">
    <w:name w:val="Abstract"/>
    <w:basedOn w:val="a"/>
    <w:pPr>
      <w:spacing w:after="160" w:line="360" w:lineRule="auto"/>
      <w:ind w:left="1440" w:right="1440"/>
    </w:pPr>
    <w:rPr>
      <w:rFonts w:ascii="Calibri" w:eastAsia="Calibri" w:hAnsi="Calibri" w:cs="Calibri"/>
      <w:sz w:val="22"/>
    </w:rPr>
  </w:style>
  <w:style w:type="paragraph" w:customStyle="1" w:styleId="TableBody">
    <w:name w:val="Table Body"/>
    <w:basedOn w:val="a"/>
    <w:pPr>
      <w:spacing w:after="160" w:line="396" w:lineRule="auto"/>
      <w:jc w:val="left"/>
    </w:pPr>
    <w:rPr>
      <w:rFonts w:ascii="Calibri" w:eastAsia="Calibri" w:hAnsi="Calibri" w:cs="Calibri"/>
      <w:sz w:val="20"/>
    </w:rPr>
  </w:style>
  <w:style w:type="paragraph" w:customStyle="1" w:styleId="List6">
    <w:name w:val="List 6"/>
    <w:basedOn w:val="a"/>
    <w:pPr>
      <w:spacing w:line="360" w:lineRule="auto"/>
      <w:ind w:left="1860" w:hanging="400"/>
    </w:pPr>
    <w:rPr>
      <w:rFonts w:ascii="Calibri" w:eastAsia="Calibri" w:hAnsi="Calibri" w:cs="Calibri"/>
      <w:sz w:val="22"/>
    </w:rPr>
  </w:style>
  <w:style w:type="character" w:customStyle="1" w:styleId="GlossaryTerm">
    <w:name w:val="Glossary Term"/>
    <w:basedOn w:val="a0"/>
    <w:rPr>
      <w:shd w:val="clear" w:color="auto" w:fill="FFCFD7"/>
    </w:rPr>
  </w:style>
  <w:style w:type="paragraph" w:styleId="20">
    <w:name w:val="List 2"/>
    <w:basedOn w:val="a"/>
    <w:pPr>
      <w:spacing w:line="360" w:lineRule="auto"/>
      <w:ind w:left="800" w:hanging="400"/>
    </w:pPr>
    <w:rPr>
      <w:rFonts w:ascii="Calibri" w:eastAsia="Calibri" w:hAnsi="Calibri" w:cs="Calibri"/>
      <w:sz w:val="22"/>
    </w:rPr>
  </w:style>
  <w:style w:type="paragraph" w:customStyle="1" w:styleId="Copyright">
    <w:name w:val="Copyright"/>
    <w:basedOn w:val="a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paragraph" w:customStyle="1" w:styleId="TableHeadSpan">
    <w:name w:val="Table Head Span"/>
    <w:basedOn w:val="a"/>
    <w:pPr>
      <w:shd w:val="clear" w:color="auto" w:fill="FFEDFA"/>
      <w:jc w:val="left"/>
    </w:pPr>
    <w:rPr>
      <w:rFonts w:ascii="Calibri" w:eastAsia="Calibri" w:hAnsi="Calibri" w:cs="Calibri"/>
      <w:shd w:val="clear" w:color="auto" w:fill="FFEDFA"/>
    </w:rPr>
  </w:style>
  <w:style w:type="paragraph" w:customStyle="1" w:styleId="TableNote">
    <w:name w:val="Table Note"/>
    <w:basedOn w:val="a"/>
    <w:rPr>
      <w:rFonts w:ascii="Calibri" w:eastAsia="Calibri" w:hAnsi="Calibri" w:cs="Calibri"/>
      <w:sz w:val="18"/>
    </w:rPr>
  </w:style>
  <w:style w:type="character" w:customStyle="1" w:styleId="City">
    <w:name w:val="City"/>
    <w:basedOn w:val="a0"/>
    <w:rPr>
      <w:shd w:val="clear" w:color="auto" w:fill="D7D7D7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character" w:styleId="a9">
    <w:name w:val="Hyperlink"/>
    <w:basedOn w:val="a0"/>
    <w:rPr>
      <w:color w:val="0563C1"/>
    </w:rPr>
  </w:style>
  <w:style w:type="paragraph" w:styleId="aa">
    <w:name w:val="annotation text"/>
    <w:basedOn w:val="a"/>
    <w:pPr>
      <w:jc w:val="left"/>
    </w:pPr>
    <w:rPr>
      <w:rFonts w:ascii="Calibri" w:eastAsia="Calibri" w:hAnsi="Calibri" w:cs="Calibri"/>
      <w:sz w:val="20"/>
    </w:rPr>
  </w:style>
  <w:style w:type="paragraph" w:styleId="ab">
    <w:name w:val="footnote text"/>
    <w:basedOn w:val="a"/>
    <w:rPr>
      <w:rFonts w:ascii="Calibri" w:eastAsia="Calibri" w:hAnsi="Calibri" w:cs="Calibri"/>
    </w:rPr>
  </w:style>
  <w:style w:type="paragraph" w:customStyle="1" w:styleId="Acknowledgements">
    <w:name w:val="Acknowledgements"/>
    <w:basedOn w:val="a"/>
    <w:pPr>
      <w:shd w:val="clear" w:color="auto" w:fill="F9EDFF"/>
      <w:spacing w:after="160" w:line="396" w:lineRule="auto"/>
    </w:pPr>
    <w:rPr>
      <w:rFonts w:ascii="Calibri" w:eastAsia="Calibri" w:hAnsi="Calibri" w:cs="Calibri"/>
      <w:sz w:val="20"/>
      <w:shd w:val="clear" w:color="auto" w:fill="F9EDFF"/>
    </w:r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customStyle="1" w:styleId="Country">
    <w:name w:val="Country"/>
    <w:basedOn w:val="a0"/>
    <w:rPr>
      <w:shd w:val="clear" w:color="auto" w:fill="97C5D1"/>
    </w:rPr>
  </w:style>
  <w:style w:type="paragraph" w:customStyle="1" w:styleId="Quotation">
    <w:name w:val="Quotation"/>
    <w:basedOn w:val="a"/>
    <w:pPr>
      <w:spacing w:after="160" w:line="360" w:lineRule="auto"/>
      <w:ind w:left="1200" w:right="1200"/>
    </w:pPr>
    <w:rPr>
      <w:rFonts w:ascii="Calibri" w:eastAsia="Calibri" w:hAnsi="Calibri" w:cs="Calibri"/>
      <w:sz w:val="22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styleId="30">
    <w:name w:val="List 3"/>
    <w:basedOn w:val="a"/>
    <w:pPr>
      <w:spacing w:line="360" w:lineRule="auto"/>
      <w:ind w:left="1200" w:hanging="400"/>
    </w:pPr>
    <w:rPr>
      <w:rFonts w:ascii="Calibri" w:eastAsia="Calibri" w:hAnsi="Calibri" w:cs="Calibri"/>
      <w:sz w:val="22"/>
    </w:rPr>
  </w:style>
  <w:style w:type="paragraph" w:customStyle="1" w:styleId="Statement">
    <w:name w:val="Statement"/>
    <w:basedOn w:val="a"/>
    <w:pPr>
      <w:ind w:left="900"/>
    </w:pPr>
    <w:rPr>
      <w:rFonts w:ascii="Calibri" w:eastAsia="Calibri" w:hAnsi="Calibri" w:cs="Calibri"/>
      <w:sz w:val="22"/>
    </w:rPr>
  </w:style>
  <w:style w:type="character" w:customStyle="1" w:styleId="Heading">
    <w:name w:val="Heading:"/>
    <w:basedOn w:val="a0"/>
    <w:rPr>
      <w:color w:val="5B89C1"/>
    </w:r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  <w:shd w:val="clear" w:color="auto" w:fill="FFEDF0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character" w:customStyle="1" w:styleId="Location">
    <w:name w:val="Location"/>
    <w:basedOn w:val="a0"/>
    <w:rPr>
      <w:shd w:val="clear" w:color="auto" w:fill="F9EDFF"/>
    </w:r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rFonts w:ascii="Calibri" w:eastAsia="Calibri" w:hAnsi="Calibri" w:cs="Calibri"/>
      <w:sz w:val="20"/>
      <w:shd w:val="clear" w:color="auto" w:fill="EDF0FF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ChapterNumber">
    <w:name w:val="Chapter Number"/>
    <w:basedOn w:val="a"/>
    <w:rPr>
      <w:rFonts w:ascii="Calibri" w:eastAsia="Calibri" w:hAnsi="Calibri" w:cs="Calibri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paragraph" w:customStyle="1" w:styleId="Annotation">
    <w:name w:val="Annotation"/>
    <w:basedOn w:val="a"/>
    <w:pPr>
      <w:spacing w:after="160" w:line="360" w:lineRule="auto"/>
      <w:ind w:left="400"/>
      <w:jc w:val="left"/>
    </w:pPr>
    <w:rPr>
      <w:rFonts w:ascii="Calibri" w:eastAsia="Calibri" w:hAnsi="Calibri" w:cs="Calibri"/>
      <w:sz w:val="22"/>
    </w:rPr>
  </w:style>
  <w:style w:type="paragraph" w:customStyle="1" w:styleId="List8">
    <w:name w:val="List 8"/>
    <w:basedOn w:val="a"/>
    <w:pPr>
      <w:spacing w:line="360" w:lineRule="auto"/>
      <w:ind w:left="1980" w:hanging="400"/>
    </w:pPr>
    <w:rPr>
      <w:rFonts w:ascii="Calibri" w:eastAsia="Calibri" w:hAnsi="Calibri" w:cs="Calibri"/>
      <w:sz w:val="22"/>
    </w:rPr>
  </w:style>
  <w:style w:type="paragraph" w:styleId="ac">
    <w:name w:val="List"/>
    <w:basedOn w:val="a"/>
    <w:pPr>
      <w:spacing w:line="360" w:lineRule="auto"/>
      <w:ind w:left="400" w:hanging="400"/>
    </w:pPr>
    <w:rPr>
      <w:rFonts w:ascii="Calibri" w:eastAsia="Calibri" w:hAnsi="Calibri" w:cs="Calibri"/>
      <w:sz w:val="22"/>
    </w:rPr>
  </w:style>
  <w:style w:type="paragraph" w:customStyle="1" w:styleId="Formula">
    <w:name w:val="Formula"/>
    <w:basedOn w:val="a"/>
    <w:pPr>
      <w:shd w:val="clear" w:color="auto" w:fill="FFF5ED"/>
      <w:spacing w:before="120" w:after="120" w:line="360" w:lineRule="auto"/>
      <w:jc w:val="left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AbstractSubheading">
    <w:name w:val="Abstract Subheading"/>
    <w:basedOn w:val="a"/>
    <w:next w:val="a"/>
    <w:pPr>
      <w:keepNext/>
      <w:keepLines/>
      <w:numPr>
        <w:ilvl w:val="8"/>
      </w:numPr>
      <w:ind w:left="1440"/>
      <w:outlineLvl w:val="8"/>
    </w:pPr>
    <w:rPr>
      <w:sz w:val="22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paragraph" w:customStyle="1" w:styleId="TableList">
    <w:name w:val="Table List"/>
    <w:basedOn w:val="a"/>
    <w:pPr>
      <w:ind w:left="300" w:hanging="300"/>
      <w:jc w:val="left"/>
    </w:pPr>
    <w:rPr>
      <w:rFonts w:ascii="Calibri" w:eastAsia="Calibri" w:hAnsi="Calibri" w:cs="Calibri"/>
      <w:sz w:val="20"/>
    </w:rPr>
  </w:style>
  <w:style w:type="character" w:customStyle="1" w:styleId="Publisher">
    <w:name w:val="Publisher"/>
    <w:basedOn w:val="a0"/>
    <w:rPr>
      <w:shd w:val="clear" w:color="auto" w:fill="F2DDFF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paragraph" w:customStyle="1" w:styleId="List7">
    <w:name w:val="List 7"/>
    <w:basedOn w:val="a"/>
    <w:pPr>
      <w:spacing w:line="360" w:lineRule="auto"/>
      <w:ind w:left="1920" w:hanging="400"/>
    </w:pPr>
    <w:rPr>
      <w:rFonts w:ascii="Calibri" w:eastAsia="Calibri" w:hAnsi="Calibri" w:cs="Calibri"/>
      <w:sz w:val="22"/>
    </w:rPr>
  </w:style>
  <w:style w:type="paragraph" w:styleId="40">
    <w:name w:val="List 4"/>
    <w:basedOn w:val="a"/>
    <w:pPr>
      <w:spacing w:line="360" w:lineRule="auto"/>
      <w:ind w:left="1600" w:hanging="400"/>
    </w:pPr>
    <w:rPr>
      <w:rFonts w:ascii="Calibri" w:eastAsia="Calibri" w:hAnsi="Calibri" w:cs="Calibri"/>
      <w:sz w:val="22"/>
    </w:r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paragraph" w:styleId="ad">
    <w:name w:val="caption"/>
    <w:basedOn w:val="a"/>
    <w:pPr>
      <w:shd w:val="clear" w:color="auto" w:fill="FFF5ED"/>
      <w:spacing w:before="240" w:line="349" w:lineRule="auto"/>
    </w:pPr>
    <w:rPr>
      <w:rFonts w:ascii="Calibri" w:eastAsia="Calibri" w:hAnsi="Calibri" w:cs="Calibri"/>
      <w:sz w:val="22"/>
      <w:shd w:val="clear" w:color="auto" w:fill="FFF5ED"/>
    </w:rPr>
  </w:style>
  <w:style w:type="paragraph" w:styleId="ae">
    <w:name w:val="endnote text"/>
    <w:basedOn w:val="a"/>
    <w:rPr>
      <w:rFonts w:ascii="Calibri" w:eastAsia="Calibri" w:hAnsi="Calibri" w:cs="Calibri"/>
    </w:rPr>
  </w:style>
  <w:style w:type="character" w:customStyle="1" w:styleId="Region">
    <w:name w:val="Region"/>
    <w:basedOn w:val="a0"/>
    <w:rPr>
      <w:shd w:val="clear" w:color="auto" w:fill="D8E9EE"/>
    </w:rPr>
  </w:style>
  <w:style w:type="paragraph" w:customStyle="1" w:styleId="Biography">
    <w:name w:val="Biography"/>
    <w:basedOn w:val="a"/>
    <w:pPr>
      <w:shd w:val="clear" w:color="auto" w:fill="EEFEF4"/>
      <w:spacing w:after="160" w:line="396" w:lineRule="auto"/>
    </w:pPr>
    <w:rPr>
      <w:rFonts w:ascii="Calibri" w:eastAsia="Calibri" w:hAnsi="Calibri" w:cs="Calibri"/>
      <w:sz w:val="20"/>
      <w:shd w:val="clear" w:color="auto" w:fill="EEFEF4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character" w:customStyle="1" w:styleId="Cross-reference">
    <w:name w:val="Cross-reference"/>
    <w:basedOn w:val="a0"/>
    <w:rPr>
      <w:shd w:val="clear" w:color="auto" w:fill="FFE3C9"/>
    </w:rPr>
  </w:style>
  <w:style w:type="character" w:customStyle="1" w:styleId="Edition">
    <w:name w:val="Edition"/>
    <w:basedOn w:val="a0"/>
    <w:rPr>
      <w:shd w:val="clear" w:color="auto" w:fill="FFF6A4"/>
    </w:rPr>
  </w:style>
  <w:style w:type="character" w:customStyle="1" w:styleId="Source">
    <w:name w:val="Source"/>
    <w:basedOn w:val="a0"/>
    <w:rPr>
      <w:shd w:val="clear" w:color="auto" w:fill="C1EDFF"/>
    </w:rPr>
  </w:style>
  <w:style w:type="paragraph" w:customStyle="1" w:styleId="List9">
    <w:name w:val="List 9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customStyle="1" w:styleId="List1">
    <w:name w:val="List 1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styleId="af">
    <w:name w:val="Revision"/>
    <w:hidden/>
    <w:uiPriority w:val="99"/>
    <w:rsid w:val="00CC30E1"/>
    <w:pPr>
      <w:spacing w:after="0" w:line="240" w:lineRule="auto"/>
    </w:pPr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154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拓磨 八木</cp:lastModifiedBy>
  <cp:revision>3</cp:revision>
  <dcterms:created xsi:type="dcterms:W3CDTF">2025-05-06T09:54:00Z</dcterms:created>
  <dcterms:modified xsi:type="dcterms:W3CDTF">2025-05-07T11:46:00Z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JournalID">
    <vt:lpwstr/>
  </property>
  <property fmtid="{D5CDD505-2E9C-101B-9397-08002B2CF9AE}" pid="3" name="Source">
    <vt:lpwstr/>
  </property>
  <property fmtid="{D5CDD505-2E9C-101B-9397-08002B2CF9AE}" pid="4" name="Source-short">
    <vt:lpwstr/>
  </property>
  <property fmtid="{D5CDD505-2E9C-101B-9397-08002B2CF9AE}" pid="5" name="Source-abbreviated">
    <vt:lpwstr/>
  </property>
  <property fmtid="{D5CDD505-2E9C-101B-9397-08002B2CF9AE}" pid="6" name="epub">
    <vt:lpwstr/>
  </property>
  <property fmtid="{D5CDD505-2E9C-101B-9397-08002B2CF9AE}" pid="7" name="ppub">
    <vt:lpwstr/>
  </property>
  <property fmtid="{D5CDD505-2E9C-101B-9397-08002B2CF9AE}" pid="8" name="Publisher">
    <vt:lpwstr/>
  </property>
  <property fmtid="{D5CDD505-2E9C-101B-9397-08002B2CF9AE}" pid="9" name="Publisher-location">
    <vt:lpwstr/>
  </property>
  <property fmtid="{D5CDD505-2E9C-101B-9397-08002B2CF9AE}" pid="10" name="DOI">
    <vt:lpwstr/>
  </property>
  <property fmtid="{D5CDD505-2E9C-101B-9397-08002B2CF9AE}" pid="11" name="ReceivedDate">
    <vt:lpwstr/>
  </property>
  <property fmtid="{D5CDD505-2E9C-101B-9397-08002B2CF9AE}" pid="12" name="AcceptedDate">
    <vt:lpwstr/>
  </property>
  <property fmtid="{D5CDD505-2E9C-101B-9397-08002B2CF9AE}" pid="13" name="Reference citation style">
    <vt:lpwstr/>
  </property>
  <property fmtid="{D5CDD505-2E9C-101B-9397-08002B2CF9AE}" pid="14" name="Subject">
    <vt:lpwstr/>
  </property>
  <property fmtid="{D5CDD505-2E9C-101B-9397-08002B2CF9AE}" pid="15" name="Merops word count">
    <vt:lpwstr>155</vt:lpwstr>
  </property>
  <property fmtid="{D5CDD505-2E9C-101B-9397-08002B2CF9AE}" pid="16" name="Merops references count">
    <vt:lpwstr>0</vt:lpwstr>
  </property>
  <property fmtid="{D5CDD505-2E9C-101B-9397-08002B2CF9AE}" pid="17" name="Merops PubMed links count">
    <vt:lpwstr>0</vt:lpwstr>
  </property>
  <property fmtid="{D5CDD505-2E9C-101B-9397-08002B2CF9AE}" pid="18" name="Merops DOI links count">
    <vt:lpwstr>0</vt:lpwstr>
  </property>
  <property fmtid="{D5CDD505-2E9C-101B-9397-08002B2CF9AE}" pid="19" name="Merops tables count">
    <vt:lpwstr>1</vt:lpwstr>
  </property>
  <property fmtid="{D5CDD505-2E9C-101B-9397-08002B2CF9AE}" pid="20" name="Merops figures count">
    <vt:lpwstr>0</vt:lpwstr>
  </property>
  <property fmtid="{D5CDD505-2E9C-101B-9397-08002B2CF9AE}" pid="21" name="Merops graphics count">
    <vt:lpwstr>0</vt:lpwstr>
  </property>
  <property fmtid="{D5CDD505-2E9C-101B-9397-08002B2CF9AE}" pid="22" name="Merops footnotes/endnotes count">
    <vt:lpwstr>0</vt:lpwstr>
  </property>
  <property fmtid="{D5CDD505-2E9C-101B-9397-08002B2CF9AE}" pid="23" name="Merops email addresses count">
    <vt:lpwstr>0</vt:lpwstr>
  </property>
  <property fmtid="{D5CDD505-2E9C-101B-9397-08002B2CF9AE}" pid="24" name="Merops intra-document links count">
    <vt:lpwstr>0</vt:lpwstr>
  </property>
  <property fmtid="{D5CDD505-2E9C-101B-9397-08002B2CF9AE}" pid="25" name="Merops Standard Set">
    <vt:lpwstr>merops/preset-v1/elsevier-vancouver</vt:lpwstr>
  </property>
  <property fmtid="{D5CDD505-2E9C-101B-9397-08002B2CF9AE}" pid="26" name="Merops Standard Set modified">
    <vt:lpwstr/>
  </property>
  <property fmtid="{D5CDD505-2E9C-101B-9397-08002B2CF9AE}" pid="27" name="Merops client version">
    <vt:lpwstr/>
  </property>
  <property fmtid="{D5CDD505-2E9C-101B-9397-08002B2CF9AE}" pid="28" name="Merops input file path">
    <vt:lpwstr>dfb6c19a-468b-4e4d-b60d-67e213b0fb9a.docx</vt:lpwstr>
  </property>
  <property fmtid="{D5CDD505-2E9C-101B-9397-08002B2CF9AE}" pid="29" name="Merops -Original extension">
    <vt:lpwstr>docx</vt:lpwstr>
  </property>
  <property fmtid="{D5CDD505-2E9C-101B-9397-08002B2CF9AE}" pid="30" name="Merops server path">
    <vt:lpwstr/>
  </property>
  <property fmtid="{D5CDD505-2E9C-101B-9397-08002B2CF9AE}" pid="31" name="Merops item path">
    <vt:lpwstr>MG-Session/On-20250503/I:27d1582a-b0c6-4ecf-a03b-ebcabf53a40d</vt:lpwstr>
  </property>
  <property fmtid="{D5CDD505-2E9C-101B-9397-08002B2CF9AE}" pid="32" name="Merops processed date">
    <vt:lpwstr>2025/05/03 10:26:08 AM</vt:lpwstr>
  </property>
  <property fmtid="{D5CDD505-2E9C-101B-9397-08002B2CF9AE}" pid="33" name="Merops WorldCat links count">
    <vt:lpwstr>0</vt:lpwstr>
  </property>
  <property fmtid="{D5CDD505-2E9C-101B-9397-08002B2CF9AE}" pid="34" name="Merops Scopus links count">
    <vt:lpwstr>0</vt:lpwstr>
  </property>
  <property fmtid="{D5CDD505-2E9C-101B-9397-08002B2CF9AE}" pid="35" name="Merops comment count">
    <vt:lpwstr>0</vt:lpwstr>
  </property>
  <property fmtid="{D5CDD505-2E9C-101B-9397-08002B2CF9AE}" pid="36" name="Merops change count">
    <vt:lpwstr>0</vt:lpwstr>
  </property>
</Properties>
</file>