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C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ind w:firstLine="0" w:firstLineChars="0"/>
        <w:jc w:val="center"/>
        <w:textAlignment w:val="auto"/>
        <w:rPr>
          <w:rFonts w:hint="default" w:ascii="Times New Roman" w:hAnsi="Times New Roman" w:eastAsia="Times New Roman" w:cs="Times New Roman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Times New Roman" w:cs="Times New Roman"/>
          <w:bCs w:val="0"/>
          <w:sz w:val="24"/>
          <w:szCs w:val="24"/>
          <w:lang w:val="en-US" w:eastAsia="zh-CN"/>
        </w:rPr>
        <w:t xml:space="preserve">Supplementary Table </w:t>
      </w:r>
      <w:r>
        <w:rPr>
          <w:rFonts w:hint="eastAsia" w:ascii="Times New Roman" w:hAnsi="Times New Roman" w:eastAsia="Times New Roman" w:cs="Times New Roman"/>
          <w:bCs w:val="0"/>
          <w:sz w:val="24"/>
          <w:szCs w:val="24"/>
          <w:lang w:val="en-US" w:eastAsia="zh-CN"/>
        </w:rPr>
        <w:t xml:space="preserve">1 </w:t>
      </w:r>
      <w:r>
        <w:rPr>
          <w:rFonts w:hint="eastAsia" w:ascii="Times New Roman" w:hAnsi="Times New Roman" w:eastAsia="Times New Roman" w:cs="Times New Roman"/>
          <w:bCs w:val="0"/>
          <w:sz w:val="24"/>
          <w:szCs w:val="24"/>
          <w:lang w:val="en-US" w:eastAsia="zh-CN"/>
        </w:rPr>
        <w:t xml:space="preserve">Surface Electrode Acquisition </w:t>
      </w:r>
      <w:r>
        <w:rPr>
          <w:rFonts w:hint="eastAsia" w:ascii="Times New Roman" w:hAnsi="Times New Roman" w:eastAsia="Times New Roman" w:cs="Times New Roman"/>
          <w:bCs w:val="0"/>
          <w:sz w:val="24"/>
          <w:szCs w:val="24"/>
          <w:lang w:val="en-US" w:eastAsia="zh-CN"/>
        </w:rPr>
        <w:t>Locations</w:t>
      </w:r>
    </w:p>
    <w:tbl>
      <w:tblPr>
        <w:tblStyle w:val="2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7013"/>
      </w:tblGrid>
      <w:tr w14:paraId="1D46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56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 w:val="0"/>
            <w:vAlign w:val="center"/>
          </w:tcPr>
          <w:p w14:paraId="1D0151AC">
            <w:pPr>
              <w:spacing w:after="0" w:line="500" w:lineRule="exact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</w:rPr>
              <w:t>Testing Muscles</w:t>
            </w:r>
          </w:p>
        </w:tc>
        <w:tc>
          <w:tcPr>
            <w:tcW w:w="701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 w14:paraId="10ED8D86">
            <w:pPr>
              <w:spacing w:after="0" w:line="500" w:lineRule="exact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</w:rPr>
              <w:t>Acquisition Location</w:t>
            </w:r>
          </w:p>
        </w:tc>
      </w:tr>
      <w:tr w14:paraId="2764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4AFACE">
            <w:pPr>
              <w:spacing w:after="0" w:line="5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 xml:space="preserve">astus lateralis muscle </w:t>
            </w:r>
          </w:p>
        </w:tc>
        <w:tc>
          <w:tcPr>
            <w:tcW w:w="70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81E06C7">
            <w:pPr>
              <w:spacing w:after="0"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Inferior 1/3 of the line between the anterior superior iliac spine and the outer edge of the patella</w:t>
            </w:r>
          </w:p>
        </w:tc>
      </w:tr>
      <w:tr w14:paraId="2724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5D0FC01">
            <w:pPr>
              <w:spacing w:after="0" w:line="5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V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 xml:space="preserve">astus medialis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muscle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E37AA3E">
            <w:pPr>
              <w:spacing w:after="0"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20% below the line connecting the anterior superior iliac spine with the anterior joint space of the medial collateral ligament of the knee joint</w:t>
            </w:r>
          </w:p>
        </w:tc>
      </w:tr>
      <w:tr w14:paraId="3D678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768FD90">
            <w:pPr>
              <w:spacing w:after="0" w:line="500" w:lineRule="exact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iceps femoris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muscle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0F09F7C1">
            <w:pPr>
              <w:spacing w:after="0"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At the midpoint on the line between the sciatic tuberosity and the lateral epicondyle of the tibia</w:t>
            </w:r>
          </w:p>
        </w:tc>
      </w:tr>
      <w:tr w14:paraId="7A6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A55088C">
            <w:pPr>
              <w:spacing w:after="0" w:line="5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emitendinosus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muscle</w:t>
            </w:r>
          </w:p>
        </w:tc>
        <w:tc>
          <w:tcPr>
            <w:tcW w:w="7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89F9EFF">
            <w:pPr>
              <w:spacing w:after="0" w:line="240" w:lineRule="auto"/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Midpoint on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the line between the sciatic tuberosity and the medial epicondyle of the tibia</w:t>
            </w:r>
          </w:p>
        </w:tc>
      </w:tr>
      <w:tr w14:paraId="7C80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5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7FEEDC1C">
            <w:pPr>
              <w:spacing w:after="0" w:line="500" w:lineRule="exact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luteus maximus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>muscle</w:t>
            </w:r>
          </w:p>
        </w:tc>
        <w:tc>
          <w:tcPr>
            <w:tcW w:w="70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 w:val="0"/>
            <w:vAlign w:val="center"/>
          </w:tcPr>
          <w:p w14:paraId="1B4E5B7E">
            <w:pPr>
              <w:spacing w:after="0" w:line="240" w:lineRule="auto"/>
              <w:jc w:val="both"/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1/2 of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 xml:space="preserve">the line connecting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the sacrum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</w:rPr>
              <w:t xml:space="preserve">and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the greater trochanter of the femur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eastAsia="zh-CN"/>
              </w:rPr>
              <w:t xml:space="preserve">, a 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color w:val="000000"/>
                <w:sz w:val="22"/>
                <w:szCs w:val="22"/>
                <w:lang w:val="en-US" w:eastAsia="zh-CN"/>
              </w:rPr>
              <w:t>position that corresponds to the greatest elevation of the midgluteal region, well above the visible elevation of the greater trochanter.</w:t>
            </w:r>
          </w:p>
        </w:tc>
      </w:tr>
    </w:tbl>
    <w:p w14:paraId="37287567">
      <w:pPr>
        <w:rPr>
          <w:rFonts w:ascii="Times New Roman" w:hAnsi="Times New Roman" w:eastAsia="Times New Roman" w:cs="Times New Roman"/>
        </w:rPr>
      </w:pPr>
      <w:bookmarkStart w:id="0" w:name="_GoBack"/>
    </w:p>
    <w:bookmarkEnd w:id="0"/>
    <w:p w14:paraId="1F4F973B">
      <w:pPr>
        <w:jc w:val="center"/>
        <w:rPr>
          <w:rFonts w:hint="default" w:ascii="Times New Roman" w:hAnsi="Times New Roman" w:eastAsia="Times New Roman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Times New Roman" w:hAnsi="Times New Roman" w:eastAsia="Times New Roman" w:cs="Times New Roman"/>
          <w:bCs w:val="0"/>
          <w:sz w:val="24"/>
          <w:szCs w:val="24"/>
          <w:lang w:val="en-US" w:eastAsia="zh-CN"/>
        </w:rPr>
        <w:t xml:space="preserve">Supplementary Table 2 </w:t>
      </w:r>
      <w:r>
        <w:rPr>
          <w:rFonts w:hint="eastAsia" w:ascii="Times New Roman" w:hAnsi="Times New Roman" w:eastAsia="Times New Roman" w:cs="Times New Roman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The p-values for comparison of muscle RMS between groups</w:t>
      </w:r>
    </w:p>
    <w:tbl>
      <w:tblPr>
        <w:tblStyle w:val="3"/>
        <w:tblW w:w="11700" w:type="dxa"/>
        <w:tblInd w:w="-1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858"/>
        <w:gridCol w:w="1285"/>
        <w:gridCol w:w="386"/>
        <w:gridCol w:w="450"/>
        <w:gridCol w:w="1671"/>
        <w:gridCol w:w="1104"/>
        <w:gridCol w:w="868"/>
        <w:gridCol w:w="1232"/>
        <w:gridCol w:w="407"/>
        <w:gridCol w:w="461"/>
        <w:gridCol w:w="1853"/>
      </w:tblGrid>
      <w:tr w14:paraId="70A7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</w:tcPr>
          <w:p w14:paraId="4C841A5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muscles</w:t>
            </w:r>
          </w:p>
        </w:tc>
        <w:tc>
          <w:tcPr>
            <w:tcW w:w="85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3B399E1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Groups</w:t>
            </w:r>
          </w:p>
        </w:tc>
        <w:tc>
          <w:tcPr>
            <w:tcW w:w="12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AAEB78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Mean±SD</w:t>
            </w:r>
          </w:p>
        </w:tc>
        <w:tc>
          <w:tcPr>
            <w:tcW w:w="836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78DCD46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Groups</w:t>
            </w:r>
          </w:p>
        </w:tc>
        <w:tc>
          <w:tcPr>
            <w:tcW w:w="16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2634A8A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  <w:tc>
          <w:tcPr>
            <w:tcW w:w="1104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2EFDCC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muscles</w:t>
            </w:r>
          </w:p>
        </w:tc>
        <w:tc>
          <w:tcPr>
            <w:tcW w:w="86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8883B3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Groups</w:t>
            </w:r>
          </w:p>
        </w:tc>
        <w:tc>
          <w:tcPr>
            <w:tcW w:w="1232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6DCBD0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Mean±SD</w:t>
            </w:r>
          </w:p>
        </w:tc>
        <w:tc>
          <w:tcPr>
            <w:tcW w:w="868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869F5B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Groups</w:t>
            </w:r>
          </w:p>
        </w:tc>
        <w:tc>
          <w:tcPr>
            <w:tcW w:w="18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566A31DE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p-value</w:t>
            </w:r>
          </w:p>
        </w:tc>
      </w:tr>
      <w:tr w14:paraId="3F29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</w:tcPr>
          <w:p w14:paraId="1A98C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</w:t>
            </w:r>
          </w:p>
          <w:p w14:paraId="1482C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052524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</w:tc>
        <w:tc>
          <w:tcPr>
            <w:tcW w:w="85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0C57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00E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23.68±10.63</w:t>
            </w:r>
          </w:p>
        </w:tc>
        <w:tc>
          <w:tcPr>
            <w:tcW w:w="38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764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D38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C6A45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0.4152</w:t>
            </w: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FC8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</w:t>
            </w:r>
          </w:p>
          <w:p w14:paraId="7449AC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1708B1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</w:tc>
        <w:tc>
          <w:tcPr>
            <w:tcW w:w="86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0B0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ACC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49.33±18.62</w:t>
            </w:r>
          </w:p>
        </w:tc>
        <w:tc>
          <w:tcPr>
            <w:tcW w:w="407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0662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475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4076B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0.4731</w:t>
            </w:r>
          </w:p>
        </w:tc>
      </w:tr>
      <w:tr w14:paraId="69CB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1ED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BFC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D77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26.34±9.68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384F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3682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23662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0.0701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F3CA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2BA5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0F6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54.24±17.89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84D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996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9BB7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0.0171</w:t>
            </w:r>
          </w:p>
        </w:tc>
      </w:tr>
      <w:tr w14:paraId="6763A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C75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EF8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65E7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29.64±11.40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1447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86E3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ACD69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0.6083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0834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29A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A80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65.92±25.84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DF3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7EF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E35F7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0.1763</w:t>
            </w:r>
          </w:p>
        </w:tc>
      </w:tr>
      <w:tr w14:paraId="6416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C18F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A494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E4AA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25.35±10.30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6E66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EBA3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92D91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0.3125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02F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CD00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1B3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58.62±24.76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A9C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81AA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4D1AA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0.0901</w:t>
            </w:r>
          </w:p>
        </w:tc>
      </w:tr>
      <w:tr w14:paraId="2A9A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6EC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FEE7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AC66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58C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08B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CC7FF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0.7615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926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7403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F35A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B4B1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2C7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D87906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0.5218</w:t>
            </w:r>
          </w:p>
        </w:tc>
      </w:tr>
      <w:tr w14:paraId="6355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2D2B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625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5CB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BDC4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87D5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908A3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0.1903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425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597C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3AA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7B9D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07F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F581B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0.2869</w:t>
            </w:r>
          </w:p>
        </w:tc>
      </w:tr>
      <w:tr w14:paraId="2A65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769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D059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DEC9B0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C08AA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388E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757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5C47A0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EF20D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0.2085</w:t>
            </w:r>
          </w:p>
        </w:tc>
      </w:tr>
      <w:tr w14:paraId="465C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208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6384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00A654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23A7A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0.7236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11C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9F13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40F8B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E6B99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0.8045</w:t>
            </w:r>
          </w:p>
        </w:tc>
      </w:tr>
      <w:tr w14:paraId="7408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83C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758B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488008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C05B2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0.2823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D1B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262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2ED9B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B755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0.0324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4.742)</w:t>
            </w:r>
          </w:p>
        </w:tc>
      </w:tr>
      <w:tr w14:paraId="0A85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9C4F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</w:t>
            </w:r>
          </w:p>
          <w:p w14:paraId="30CAA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0E7427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D49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A14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15.73±6.38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A5E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0E32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EB179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0.9995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135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VL</w:t>
            </w:r>
          </w:p>
          <w:p w14:paraId="47AE2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298A4B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15F8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D10D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35.93±13.74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C05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FF1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6D30C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0.5633</w:t>
            </w:r>
          </w:p>
        </w:tc>
      </w:tr>
      <w:tr w14:paraId="2BCE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E57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03B4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6AF4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17.08±5.30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74CC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CE3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D0450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0.7628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CA1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B754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74E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39.04±12.72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F6C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256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02CC1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0.1184</w:t>
            </w:r>
          </w:p>
        </w:tc>
      </w:tr>
      <w:tr w14:paraId="74DE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78E0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40B6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D34E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16.37±8.10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9E6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E178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6D1B2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C0DE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FB85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850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44.39±20.10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FF86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C4A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B873C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0.1684</w:t>
            </w:r>
          </w:p>
        </w:tc>
      </w:tr>
      <w:tr w14:paraId="2FE6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5B8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5EA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6E7E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15.55±7.29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FCE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7161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B708F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0.7633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5122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805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407D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43.38±21.25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F64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526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ECF6A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0.3212</w:t>
            </w:r>
          </w:p>
        </w:tc>
      </w:tr>
      <w:tr w14:paraId="7E1B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9637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2070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87B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65B5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EE2D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EEFA9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0.9322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5531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2F01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ABC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72C4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A412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0EE1A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0.4205</w:t>
            </w:r>
          </w:p>
        </w:tc>
      </w:tr>
      <w:tr w14:paraId="158B9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4CAE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495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ED07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8AF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19D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5BD5E6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0.6994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4949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B99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D0A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C67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D32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0D6B5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0.8509</w:t>
            </w:r>
          </w:p>
        </w:tc>
      </w:tr>
      <w:tr w14:paraId="0349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AB4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53CC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AD7B2A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0E793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0.7844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4DA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4D13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4625FF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CDF57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0.5881</w:t>
            </w:r>
          </w:p>
        </w:tc>
      </w:tr>
      <w:tr w14:paraId="70815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19DD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0773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85359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D83A0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0.7851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4BD1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23DB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D7E06B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E30B8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0.7825</w:t>
            </w:r>
          </w:p>
        </w:tc>
      </w:tr>
      <w:tr w14:paraId="1EA92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F817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8B3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C9CC6B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00E39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ADE3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3F3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D2B1A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51476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0.0952</w:t>
            </w:r>
          </w:p>
        </w:tc>
      </w:tr>
      <w:tr w14:paraId="2B778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627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VM</w:t>
            </w:r>
          </w:p>
          <w:p w14:paraId="4C64FC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788AB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4C241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BB3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B80F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29.35±11.41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145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ECAE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914BB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0.1960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CB3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VM</w:t>
            </w:r>
          </w:p>
          <w:p w14:paraId="167F4F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628A43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09BDB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1001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DBE3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44.75±19.73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15EC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B0FA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A075E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0.0986</w:t>
            </w:r>
          </w:p>
        </w:tc>
      </w:tr>
      <w:tr w14:paraId="4C74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B2B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9BD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9DD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24.74±10.30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7AC9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69F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699A6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0.5924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DE2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B5E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3FEE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57.20±20.63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2C99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664E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E459F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0.0054</w:t>
            </w:r>
          </w:p>
        </w:tc>
      </w:tr>
      <w:tr w14:paraId="2E53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CAD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09B6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5B1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27.45±12.51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119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D2DB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A8AD2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0.9190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884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FA0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AEBB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66.04±27.90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4B3A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34B0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5829D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0.0253</w:t>
            </w:r>
          </w:p>
        </w:tc>
      </w:tr>
      <w:tr w14:paraId="751B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1CF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493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FA8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29.71±11.50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E9C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57B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29FAE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0.4457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932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D39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E88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61.73±27.16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0C3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8C3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FD1A5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0.2389</w:t>
            </w:r>
          </w:p>
        </w:tc>
      </w:tr>
      <w:tr w14:paraId="4C7B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336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2440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9987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065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474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9A8BE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0.1636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D5A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5F33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4D33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BB75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159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F4A883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0.5448</w:t>
            </w:r>
          </w:p>
        </w:tc>
      </w:tr>
      <w:tr w14:paraId="7F02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F807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F26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055C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B639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5566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66747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0.5243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AA1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DC6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EB46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1BD8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7D8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D9675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0.5645</w:t>
            </w:r>
          </w:p>
        </w:tc>
      </w:tr>
      <w:tr w14:paraId="13F39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425A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E89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12ACF3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588E8F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0.1732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652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262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AC8733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3CB85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0.1156</w:t>
            </w:r>
          </w:p>
        </w:tc>
      </w:tr>
      <w:tr w14:paraId="7057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9EB7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BCC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41C4E5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968F4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0.6397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0F24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3900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48698C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7C085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0.4419</w:t>
            </w:r>
          </w:p>
        </w:tc>
      </w:tr>
      <w:tr w14:paraId="15CF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0B16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8CF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51DB2F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5FC77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0.5409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0FD24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BD2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2676C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4C6A6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0.0164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6.007)</w:t>
            </w:r>
          </w:p>
        </w:tc>
      </w:tr>
      <w:tr w14:paraId="32BD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C079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VM</w:t>
            </w:r>
          </w:p>
          <w:p w14:paraId="29462D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2A30E8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57F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D61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15.42±5.76 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4D5A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5C6C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6354B1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0.2884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349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VM</w:t>
            </w:r>
          </w:p>
          <w:p w14:paraId="2089EA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3C04A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470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9F5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35.43±14.98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FCD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552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301EC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0.7769</w:t>
            </w:r>
          </w:p>
        </w:tc>
      </w:tr>
      <w:tr w14:paraId="0800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811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4ED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A0CF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17.62±6.50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0562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E2F2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CFC43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0.1747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1F38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409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089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37.04±15.91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9CE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C856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157E8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0.0178</w:t>
            </w:r>
          </w:p>
        </w:tc>
      </w:tr>
      <w:tr w14:paraId="5251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1D01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EAB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73B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18.24±7.41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24F9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9A7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783C3D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0.6668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687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D1C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683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49.14±21.86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5439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081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3038E3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0.1168</w:t>
            </w:r>
          </w:p>
        </w:tc>
      </w:tr>
      <w:tr w14:paraId="274F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7FA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2984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50E8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16.31±6.92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03D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4DE8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69130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0.7645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4F3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9B90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C72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44.41±19.81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407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61A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C8CF9C">
            <w:pPr>
              <w:tabs>
                <w:tab w:val="center" w:pos="818"/>
              </w:tabs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0.0357</w:t>
            </w:r>
          </w:p>
        </w:tc>
      </w:tr>
      <w:tr w14:paraId="374C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20C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D1C3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5D9D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C2B2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B7EA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CACC0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0.5262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838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E44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067B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A227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6DB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D7379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0.1970</w:t>
            </w:r>
          </w:p>
        </w:tc>
      </w:tr>
      <w:tr w14:paraId="189E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DFCF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F6B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06DB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0F0D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3DBD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888C8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0.3515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390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F618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FB4C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29C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7B8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9A652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0.4061</w:t>
            </w:r>
          </w:p>
        </w:tc>
      </w:tr>
      <w:tr w14:paraId="0B77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2DC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DB0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F9292C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A68F7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0.1599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89AF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312F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BFEDF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3BEE7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0.4309</w:t>
            </w:r>
          </w:p>
        </w:tc>
      </w:tr>
      <w:tr w14:paraId="59EB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4891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0892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6E1DC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E1FE0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0.9261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7C2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313B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2EE782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02441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0.6980</w:t>
            </w:r>
          </w:p>
        </w:tc>
      </w:tr>
      <w:tr w14:paraId="53F2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A9E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6D31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BFB7A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D01A0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0.6058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4894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BAF0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7D94C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161BB7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0.0102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6.925)</w:t>
            </w:r>
          </w:p>
        </w:tc>
      </w:tr>
      <w:tr w14:paraId="28F9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446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</w:t>
            </w:r>
          </w:p>
          <w:p w14:paraId="27616E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7A1DD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4053F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B000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2D3F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047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58.25±16.62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5717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4FA9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6B0C5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0.7423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23E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</w:t>
            </w:r>
          </w:p>
          <w:p w14:paraId="46C0B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40DB9C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7F0E92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CAE99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DC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2E6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27.26±10.76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B330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D9B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DD482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0.2159</w:t>
            </w:r>
          </w:p>
        </w:tc>
      </w:tr>
      <w:tr w14:paraId="52E9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F31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6516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D8F3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60.15±17.63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D1CD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4454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470B1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0.4114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A86D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358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612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31.44±9.95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F92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0E4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719E7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0.7911</w:t>
            </w:r>
          </w:p>
        </w:tc>
      </w:tr>
      <w:tr w14:paraId="3AE3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EE6D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B859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64C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53.49±20.64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55C1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3076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A382B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0.2255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FBD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C2EF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BB95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26.37±12.03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AC22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668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8E027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0.5968</w:t>
            </w:r>
          </w:p>
        </w:tc>
      </w:tr>
      <w:tr w14:paraId="5C87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C8D0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6706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1357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51.21±19.55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9CB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40B9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437CD0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0.2512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B38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92BF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664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29.04±10.57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D9BD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C37B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18AF3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0.1342</w:t>
            </w:r>
          </w:p>
        </w:tc>
      </w:tr>
      <w:tr w14:paraId="222A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DBF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242E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32CB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A617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2319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49024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0.1247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3A72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EAF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727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AD6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4F7F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9CA6E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0.4759</w:t>
            </w:r>
          </w:p>
        </w:tc>
      </w:tr>
      <w:tr w14:paraId="0D8D8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D139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C31E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2156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3C2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ECC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40FF3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0.6933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57DB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1C9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B40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E5C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D38E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C80E0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0.4279</w:t>
            </w:r>
          </w:p>
        </w:tc>
      </w:tr>
      <w:tr w14:paraId="1BB2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A00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447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3512E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9107C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0.6092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C50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B2E1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6409BE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99D45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0.7509</w:t>
            </w:r>
          </w:p>
        </w:tc>
      </w:tr>
      <w:tr w14:paraId="49F4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5A8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880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B1E82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EEA2D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0.9630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93A2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E0E9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28089F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4EF6DE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0.1522</w:t>
            </w:r>
          </w:p>
        </w:tc>
      </w:tr>
      <w:tr w14:paraId="4675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2FD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0E3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F3A50B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244E4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0.0967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378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25CE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A3B238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2DA596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0.4894</w:t>
            </w:r>
          </w:p>
        </w:tc>
      </w:tr>
      <w:tr w14:paraId="35FFF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16E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</w:t>
            </w:r>
          </w:p>
          <w:p w14:paraId="0C19A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5DA18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6830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464A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42.36±15.57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03AB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C22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F3D70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0.3855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C21B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BF</w:t>
            </w:r>
          </w:p>
          <w:p w14:paraId="46523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2126A4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90B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F7FA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17.37±5.77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0F1E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2F2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6B090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0.1790</w:t>
            </w:r>
          </w:p>
        </w:tc>
      </w:tr>
      <w:tr w14:paraId="7259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B881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A2D4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FA1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47.23±15.90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1AC8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9E14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14625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0.3406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E09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F977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2E8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20.05±5.42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BF3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072C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41ED5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0.6388</w:t>
            </w:r>
          </w:p>
        </w:tc>
      </w:tr>
      <w:tr w14:paraId="1B67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07B3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5F0D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08610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37.01±20.09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0C72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6C00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B6B15F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0.7263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1B7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2B2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8A3C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18.30±7.00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2AAE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263D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C2F23B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0.9803</w:t>
            </w:r>
          </w:p>
        </w:tc>
      </w:tr>
      <w:tr w14:paraId="16969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EB5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BCBE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F2B8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40.40±20.23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58E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F3DE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63B97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0.0708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6931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23C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E78D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17.32±7.25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32F8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EDE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EC9DA2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0.3790</w:t>
            </w:r>
          </w:p>
        </w:tc>
      </w:tr>
      <w:tr w14:paraId="7F3E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759C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06DD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AE62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2F38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3D0D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78374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0.2245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69C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EB78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BA1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607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66C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01A11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0.1713</w:t>
            </w:r>
          </w:p>
        </w:tc>
      </w:tr>
      <w:tr w14:paraId="072B0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50A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3A40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1CBE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97CD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7C5B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0EB6B5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00B2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924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78E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9D54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7DC7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BFDF9A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0.6213</w:t>
            </w:r>
          </w:p>
        </w:tc>
      </w:tr>
      <w:tr w14:paraId="75977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665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3775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C8381A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857D97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0.8517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76D7D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FFBA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CD1358C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AB679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0.1942</w:t>
            </w:r>
          </w:p>
        </w:tc>
      </w:tr>
      <w:tr w14:paraId="7897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BA56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2A4E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9ECCBF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CB14F6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0.2984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721D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76E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0968CE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4E97A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0.5450</w:t>
            </w:r>
          </w:p>
        </w:tc>
      </w:tr>
      <w:tr w14:paraId="69A66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E7D5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8E53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D5B6EB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FAFD6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0.1267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4F8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D1C2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175B26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0E089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0.5220</w:t>
            </w:r>
          </w:p>
        </w:tc>
      </w:tr>
      <w:tr w14:paraId="4057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726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</w:t>
            </w:r>
          </w:p>
          <w:p w14:paraId="5257C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4842CA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391B3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5AA6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FBE0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63.23±19.99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34FA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98D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FD3EB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0.4372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B927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</w:t>
            </w:r>
          </w:p>
          <w:p w14:paraId="4DC739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58570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12D3F7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E414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E7C5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31.33±11.44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8295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94F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7269F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0.1626</w:t>
            </w:r>
          </w:p>
        </w:tc>
      </w:tr>
      <w:tr w14:paraId="263D2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D197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6A0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F737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58.20±18.37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206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63B1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88A40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0.0439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F573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70C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090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26.72±10.56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25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7A97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324E0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0.6413</w:t>
            </w:r>
          </w:p>
        </w:tc>
      </w:tr>
      <w:tr w14:paraId="4355B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0D10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3B41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778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50.04±23.95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425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A713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8FC186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0.0229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678F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ADF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51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29.80±10.78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D22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B57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6A34E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0.1334</w:t>
            </w:r>
          </w:p>
        </w:tc>
      </w:tr>
      <w:tr w14:paraId="192D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F1AC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FBA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37A8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48.29±20.79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B7B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69A1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5FBB9C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0.2090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583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EE95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106E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26.37±9.53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3EED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EFF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71C2A2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0.3491</w:t>
            </w:r>
          </w:p>
        </w:tc>
      </w:tr>
      <w:tr w14:paraId="32BE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54D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150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4CD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4EA9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3120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E0F72B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0.1279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4C4E4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597C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28C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1AFD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11B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2E26E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0.9151</w:t>
            </w:r>
          </w:p>
        </w:tc>
      </w:tr>
      <w:tr w14:paraId="012E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9B6B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068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8A1B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F3C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C1B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B1514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0.7865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E98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601F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60B5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D491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E67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ACDB6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0.2974</w:t>
            </w:r>
          </w:p>
        </w:tc>
      </w:tr>
      <w:tr w14:paraId="6655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6EEC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D10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69143A7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E3AD2F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0.7198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DB2C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CCBA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18D203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5A78D1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0.7994</w:t>
            </w:r>
          </w:p>
        </w:tc>
      </w:tr>
      <w:tr w14:paraId="41C4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2BC9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E648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35254A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A00F3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0.4589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FC6A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D10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4918C2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18E9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0.0860</w:t>
            </w:r>
          </w:p>
        </w:tc>
      </w:tr>
      <w:tr w14:paraId="28D1C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7875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F34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0A20A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A7583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0.0132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6.429)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29F3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C4A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3685D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A8119C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0.6856</w:t>
            </w:r>
          </w:p>
        </w:tc>
      </w:tr>
      <w:tr w14:paraId="673B5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9A42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</w:t>
            </w:r>
          </w:p>
          <w:p w14:paraId="16DFB2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61128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D279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AD12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46.01±15.19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4A28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820B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B84B2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0.8788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B11FF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</w:t>
            </w:r>
          </w:p>
          <w:p w14:paraId="0E9FF8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338C46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DA5C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6F85A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23.01±6.69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D7F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F36F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64507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0.4667</w:t>
            </w:r>
          </w:p>
        </w:tc>
      </w:tr>
      <w:tr w14:paraId="5CB4E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569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024D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9301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45.23±15.40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6080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E586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4D1E46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0.0483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0C2C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771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EE39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21.23±9.67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F37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2C98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D7ECC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0.0976</w:t>
            </w:r>
          </w:p>
        </w:tc>
      </w:tr>
      <w:tr w14:paraId="13E84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3C42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0E37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C5AB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35.81±16.25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2167C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E344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54F7D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0.1421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D389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9F20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B4FB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18.93±8.33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346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4AFA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98D53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0.1817</w:t>
            </w:r>
          </w:p>
        </w:tc>
      </w:tr>
      <w:tr w14:paraId="1498C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9FC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5F1B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074F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38.47±18.82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9B2E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6EDED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12DCA2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0.0676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56F90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A6C5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7B0F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19.73±6.40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CC8C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5C5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DA2B8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0.3475</w:t>
            </w:r>
          </w:p>
        </w:tc>
      </w:tr>
      <w:tr w14:paraId="0EC6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3108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30C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A7927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DD796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038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F5834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0.1874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9411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5968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4952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D862F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68F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0897A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0.5396</w:t>
            </w:r>
          </w:p>
        </w:tc>
      </w:tr>
      <w:tr w14:paraId="1ED8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6CE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7C4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F230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5D7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8C8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FFB07C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0.6023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7E3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8087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1BD6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6AB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889F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17079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0.7431</w:t>
            </w:r>
          </w:p>
        </w:tc>
      </w:tr>
      <w:tr w14:paraId="64AB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35C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8B8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8F4ED5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ADDA3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0.6338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981D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E4A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73F33B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465A4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0.4556</w:t>
            </w:r>
          </w:p>
        </w:tc>
      </w:tr>
      <w:tr w14:paraId="526D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D04E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5E4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7FB3547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EBAB3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0.7942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74E7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173F6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308CEAC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70443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0.7768</w:t>
            </w:r>
          </w:p>
        </w:tc>
      </w:tr>
      <w:tr w14:paraId="6A4C7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858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AD6C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6010C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9817F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0.0208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5.563)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883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D2B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5848BE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577F0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0.1090</w:t>
            </w:r>
          </w:p>
        </w:tc>
      </w:tr>
      <w:tr w14:paraId="1E45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1D39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Gmax</w:t>
            </w:r>
          </w:p>
          <w:p w14:paraId="00A2ED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645A9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4BDE7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597F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D2E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23.94±8.26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E8F49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F0D8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14EEA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0.1609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2F7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Gmax</w:t>
            </w:r>
          </w:p>
          <w:p w14:paraId="598CC9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40B2FA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value</w:t>
            </w:r>
          </w:p>
          <w:p w14:paraId="6E441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2596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3F2F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45.64±13.79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20EA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D8F1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14A834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0.2754</w:t>
            </w:r>
          </w:p>
        </w:tc>
      </w:tr>
      <w:tr w14:paraId="36EF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C871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0EF9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8C53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20.26±8.63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86A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4443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6C8B3F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0.3979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CDB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D84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513B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51.75±10.21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9617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20E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7978D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0.0003</w:t>
            </w:r>
          </w:p>
        </w:tc>
      </w:tr>
      <w:tr w14:paraId="459B6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EF4DD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485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D384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21.73±7.81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987B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FB904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9D5DF8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0.5890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BC1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D5D3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E3CD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63.13±17.85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64C4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932D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89BB3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0.0122</w:t>
            </w:r>
          </w:p>
        </w:tc>
      </w:tr>
      <w:tr w14:paraId="1507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ACA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3FB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0EE0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25.35±8.96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F91A7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788EC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A0052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0.5734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FFB5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B204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EA779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57.41±16.46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C736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54ED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FD488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0.0081</w:t>
            </w:r>
          </w:p>
        </w:tc>
      </w:tr>
      <w:tr w14:paraId="04A16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28B5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AA8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0254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31775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FBD6E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C090C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0.0537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6BB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287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60B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15547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2DA3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2BF691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0.1461</w:t>
            </w:r>
          </w:p>
        </w:tc>
      </w:tr>
      <w:tr w14:paraId="708A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C255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BFFD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4F1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E76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D093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8E1D6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0.1677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88C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F498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9A59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96BA1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75B2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290F0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0.2162</w:t>
            </w:r>
          </w:p>
        </w:tc>
      </w:tr>
      <w:tr w14:paraId="7CC46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2EF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1C35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E451DA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BC2207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0.0505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3310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D945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B4AA779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47798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0.1012</w:t>
            </w:r>
          </w:p>
        </w:tc>
      </w:tr>
      <w:tr w14:paraId="0EAC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02B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D02C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9B8F148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F7038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0.9871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335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AC0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30AC6D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A3C4ED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0.9168</w:t>
            </w:r>
          </w:p>
        </w:tc>
      </w:tr>
      <w:tr w14:paraId="719C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E0E5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070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DEA8C2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02653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0.4358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D4CD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6A104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D59741A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9B7308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0.0004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13.94)</w:t>
            </w:r>
          </w:p>
        </w:tc>
      </w:tr>
      <w:tr w14:paraId="03562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2A9B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Gmax</w:t>
            </w:r>
          </w:p>
          <w:p w14:paraId="7CBDE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before IC</w:t>
            </w:r>
          </w:p>
          <w:p w14:paraId="3F4CB8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5C017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560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16.74±5.40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CB8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BE49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5179C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0.1700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423F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Gmax</w:t>
            </w:r>
          </w:p>
          <w:p w14:paraId="6CC24E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100ms after IC</w:t>
            </w:r>
          </w:p>
          <w:p w14:paraId="1611F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average value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D37EA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016F3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27.26±9.63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BC913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CF5E9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239D15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0.4788</w:t>
            </w:r>
          </w:p>
        </w:tc>
      </w:tr>
      <w:tr w14:paraId="437B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382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48B3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F0D9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14.26±4.78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F6448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356B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712E5E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0.9603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29BF0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553D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7A757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30.23±9.57 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F81E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8ECA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568092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0.0627</w:t>
            </w:r>
          </w:p>
        </w:tc>
      </w:tr>
      <w:tr w14:paraId="0E78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C1CF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CA37D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020D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16.83±6.20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F709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5B31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46E1D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0.7770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065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4511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79FE6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35.14±17.16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87BD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3999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4B56C2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0.1665</w:t>
            </w:r>
          </w:p>
        </w:tc>
      </w:tr>
      <w:tr w14:paraId="7051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AFB1A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E750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74C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17.25±6.66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32F92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2ED7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33B34B7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0.1553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A3F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74F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380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33.09±15.92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85AB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F8FF3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4C2E7F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0.2432</w:t>
            </w:r>
          </w:p>
        </w:tc>
      </w:tr>
      <w:tr w14:paraId="61FE9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0D44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6D0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18042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821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D8FAB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0D14A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0.0990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A0E6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99BD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3567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197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A61B6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298D2A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0.4956</w:t>
            </w:r>
          </w:p>
        </w:tc>
      </w:tr>
      <w:tr w14:paraId="3516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74C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E9E29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8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9E45F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849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E28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0B54E6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0.8154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50291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01171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3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4E7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825B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2B9CB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5F8AC9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0.6246</w:t>
            </w:r>
          </w:p>
        </w:tc>
      </w:tr>
      <w:tr w14:paraId="0EAD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EA6C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2BF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D4B9C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379B44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0.2557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356D7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C6D91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34713C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Interaction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54431C8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0.3976</w:t>
            </w:r>
          </w:p>
        </w:tc>
      </w:tr>
      <w:tr w14:paraId="24F07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4D4B1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BA38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9D23B6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402143B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0.4183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E1C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6096A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8D9F9D1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Test limb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89C4B0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0.8765</w:t>
            </w:r>
          </w:p>
        </w:tc>
      </w:tr>
      <w:tr w14:paraId="7358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3E8C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58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051E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BEBAEC7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5081A43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0.2278</w:t>
            </w:r>
          </w:p>
        </w:tc>
        <w:tc>
          <w:tcPr>
            <w:tcW w:w="1104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793C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68" w:type="dxa"/>
            <w:vMerge w:val="continue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2108B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21BCE7C">
            <w:pPr>
              <w:rPr>
                <w:rFonts w:hint="eastAsia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 w:val="0"/>
                <w:color w:val="000000"/>
                <w:kern w:val="24"/>
                <w:sz w:val="21"/>
                <w:szCs w:val="21"/>
                <w:lang w:val="en-US" w:eastAsia="zh-CN" w:bidi="ar-SA"/>
              </w:rPr>
              <w:t>Subject group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bottom"/>
          </w:tcPr>
          <w:p w14:paraId="35DFF1BC">
            <w:pP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0.0727</w:t>
            </w:r>
          </w:p>
        </w:tc>
      </w:tr>
    </w:tbl>
    <w:p w14:paraId="0AF80840">
      <w:pPr>
        <w:rPr>
          <w:rFonts w:hint="default" w:ascii="Times New Roman" w:hAnsi="Times New Roman" w:eastAsia="Times New Roman" w:cs="Times New Roman"/>
          <w:i w:val="0"/>
          <w:iCs w:val="0"/>
          <w:color w:val="auto"/>
          <w:kern w:val="0"/>
          <w:sz w:val="21"/>
          <w:szCs w:val="20"/>
          <w:u w:val="none"/>
          <w:lang w:val="en-US" w:eastAsia="zh-CN" w:bidi="ar"/>
        </w:rPr>
      </w:pPr>
      <w:r>
        <w:rPr>
          <w:rFonts w:hint="eastAsia" w:ascii="Times New Roman" w:hAnsi="Times New Roman" w:eastAsia="Times New Roman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Note: A, indicates dominant leg (affected limb) in the injury group; B, indicates non-dominant leg (healthy limbs) in the injury group; C, indicates dominant leg in the control group; D, indicates non-dominant leg in the control group; Bolded p-values indicate significant differences between the two groups (p &lt; 0.05)</w:t>
      </w:r>
    </w:p>
    <w:p w14:paraId="77A6C785">
      <w:pPr>
        <w:rPr>
          <w:rFonts w:ascii="Times New Roman" w:hAnsi="Times New Roman" w:eastAsia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73210"/>
    <w:rsid w:val="1BBE4FFC"/>
    <w:rsid w:val="1F706947"/>
    <w:rsid w:val="1F7373E3"/>
    <w:rsid w:val="29F12B5D"/>
    <w:rsid w:val="306B7094"/>
    <w:rsid w:val="315D0903"/>
    <w:rsid w:val="387C6F62"/>
    <w:rsid w:val="42873210"/>
    <w:rsid w:val="6A3F57DD"/>
    <w:rsid w:val="7794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162</Words>
  <Characters>907</Characters>
  <Lines>0</Lines>
  <Paragraphs>0</Paragraphs>
  <TotalTime>0</TotalTime>
  <ScaleCrop>false</ScaleCrop>
  <LinksUpToDate>false</LinksUpToDate>
  <CharactersWithSpaces>1051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2025-05-08T07:22:00Z</dcterms:created>
  <dc:creator>入江之豚⁷⁷⁷</dc:creator>
  <cp:keywords>, docId:11C5C75DE34770F21F50D5F21B4A4854</cp:keywords>
  <cp:lastModifiedBy>入江之豚⁷⁷⁷</cp:lastModifiedBy>
  <dcterms:modified xsi:type="dcterms:W3CDTF">2025-05-10T07:22:39Z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BE599660986A4181A7B52F22F2DE1CB4_13</vt:lpwstr>
  </property>
  <property fmtid="{D5CDD505-2E9C-101B-9397-08002B2CF9AE}" pid="4" name="KSOTemplateDocerSaveRecord">
    <vt:lpwstr>eyJoZGlkIjoiOTkxZmZkOTA4Y2U3NTNkMzhmZWRlN2NiMTkyYjgxYjgiLCJ1c2VySWQiOiI0OTQxMDY1MDgifQ==</vt:lpwstr>
  </property>
</Properties>
</file>