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FC71" w14:textId="1E0D56E8" w:rsidR="00B531EF" w:rsidRPr="00961B91" w:rsidRDefault="00E31752" w:rsidP="005C6244">
      <w:pPr>
        <w:spacing w:after="160" w:line="259" w:lineRule="auto"/>
        <w:rPr>
          <w:rFonts w:ascii="Bierstadt" w:hAnsi="Bierstadt"/>
          <w:b/>
          <w:bCs/>
          <w:sz w:val="19"/>
          <w:szCs w:val="19"/>
        </w:rPr>
      </w:pPr>
      <w:r w:rsidRPr="00961B91">
        <w:rPr>
          <w:rFonts w:ascii="Bierstadt" w:hAnsi="Bierstadt"/>
          <w:b/>
          <w:bCs/>
          <w:sz w:val="19"/>
          <w:szCs w:val="19"/>
        </w:rPr>
        <w:t xml:space="preserve">Additional file </w:t>
      </w:r>
      <w:r w:rsidR="0073111F" w:rsidRPr="00961B91">
        <w:rPr>
          <w:rFonts w:ascii="Bierstadt" w:hAnsi="Bierstadt"/>
          <w:b/>
          <w:bCs/>
          <w:sz w:val="19"/>
          <w:szCs w:val="19"/>
        </w:rPr>
        <w:t>4</w:t>
      </w:r>
      <w:r w:rsidR="00B531EF" w:rsidRPr="00961B91">
        <w:rPr>
          <w:rFonts w:ascii="Bierstadt" w:hAnsi="Bierstadt"/>
          <w:b/>
          <w:bCs/>
          <w:sz w:val="20"/>
          <w:szCs w:val="20"/>
        </w:rPr>
        <w:t>: Criteria, levels, and priors</w:t>
      </w:r>
    </w:p>
    <w:tbl>
      <w:tblPr>
        <w:tblW w:w="14317" w:type="dxa"/>
        <w:jc w:val="center"/>
        <w:tblLook w:val="04A0" w:firstRow="1" w:lastRow="0" w:firstColumn="1" w:lastColumn="0" w:noHBand="0" w:noVBand="1"/>
      </w:tblPr>
      <w:tblGrid>
        <w:gridCol w:w="1429"/>
        <w:gridCol w:w="1973"/>
        <w:gridCol w:w="2268"/>
        <w:gridCol w:w="2552"/>
        <w:gridCol w:w="1417"/>
        <w:gridCol w:w="2689"/>
        <w:gridCol w:w="1989"/>
      </w:tblGrid>
      <w:tr w:rsidR="00B531EF" w:rsidRPr="00FF3693" w14:paraId="4F2D8233" w14:textId="77777777" w:rsidTr="00FB6D4B">
        <w:trPr>
          <w:trHeight w:val="510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2D06" w14:textId="77777777" w:rsidR="00B531EF" w:rsidRPr="000E2CC0" w:rsidRDefault="00B531EF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 xml:space="preserve">Criterion 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454C" w14:textId="77777777" w:rsidR="00B531EF" w:rsidRPr="000E2CC0" w:rsidRDefault="00B531EF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Levels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7A36" w14:textId="77777777" w:rsidR="00B531EF" w:rsidRPr="000E2CC0" w:rsidRDefault="00B531EF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Lay definition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17FF" w14:textId="77777777" w:rsidR="00B531EF" w:rsidRPr="000E2CC0" w:rsidRDefault="00B531EF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Technical definition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7C2F" w14:textId="77777777" w:rsidR="00B531EF" w:rsidRPr="000E2CC0" w:rsidRDefault="00B531EF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Predicted sign of parameter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FC26" w14:textId="77777777" w:rsidR="00B531EF" w:rsidRPr="000E2CC0" w:rsidRDefault="00B531EF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Rationale of sign (from HBPAP technical definition column and MCDA studies)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3F48" w14:textId="77777777" w:rsidR="00B531EF" w:rsidRPr="000E2CC0" w:rsidRDefault="00B531EF" w:rsidP="00FB6D4B">
            <w:pPr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b/>
                <w:bCs/>
                <w:color w:val="000000"/>
                <w:sz w:val="20"/>
                <w:szCs w:val="20"/>
              </w:rPr>
              <w:t>Priors used</w:t>
            </w:r>
          </w:p>
        </w:tc>
      </w:tr>
      <w:tr w:rsidR="00B531EF" w:rsidRPr="00FF3693" w14:paraId="21108FBA" w14:textId="77777777" w:rsidTr="00FB6D4B">
        <w:trPr>
          <w:trHeight w:val="229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BE96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Effectiveness and safety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45516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 Slightly effective and safe</w:t>
            </w:r>
          </w:p>
          <w:p w14:paraId="58A1099A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1. Moderately effective and safe</w:t>
            </w:r>
          </w:p>
          <w:p w14:paraId="34FA4644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2. Highly effective and safe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7912" w14:textId="2880684C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delivers an improvement in health status and reducing mortality and is safe for use.”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p.13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5D42" w14:textId="144F0F89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are effective and safe in improving and maintaining health status and reducing mortality as measured at individual or population level will be prioritised.” </w:t>
            </w:r>
            <w:r w:rsidR="003A531C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p.15</w:t>
            </w:r>
            <w:r w:rsidR="003A531C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3A531C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3A531C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  <w:p w14:paraId="77E9B63E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6E1F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7002" w14:textId="24630C60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“Interventions that are highly effective and safe will be prioritised.” </w:t>
            </w:r>
            <w:r w:rsidR="00E22A19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p.52</w:t>
            </w:r>
            <w:r w:rsidR="00E22A19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</w:t>
            </w:r>
            <w:r w:rsidR="00E22A19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E22A19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C0E9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 Base Level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1. 0.000000001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2. 0.000000002</w:t>
            </w:r>
          </w:p>
        </w:tc>
      </w:tr>
      <w:tr w:rsidR="00B531EF" w:rsidRPr="00FF3693" w14:paraId="6876A9DD" w14:textId="77777777" w:rsidTr="004263EF">
        <w:trPr>
          <w:trHeight w:val="523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8753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Health systems capacity requirements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29D5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 Below national average</w:t>
            </w:r>
          </w:p>
          <w:p w14:paraId="53EBB070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1. Above national average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8D49" w14:textId="67AC19CB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can be provided to Kenyans based on existing health system capacity in terms of human resources, medicines, and other service provision requirements.”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757162"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p.13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DFC5" w14:textId="0FDB29B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are easy to implement because of the current service capacity may have priority. E.g., availability of service infrastructure, delivery models, safety and quality and management” 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p.16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].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</w:r>
          </w:p>
          <w:p w14:paraId="14A94F87" w14:textId="46CB7B14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are easy to implement because of the current medical products, vaccines and technology capacity may have priority. E.g., is a drug or commodity available in the Kenyan market? Is there reliability in procurement?” 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p.16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  <w:p w14:paraId="3E5CA20B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5C16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7489" w14:textId="6B132521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“Interventions that are feasible will be prioritised” </w:t>
            </w:r>
            <w:r w:rsidR="00ED4930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p.53</w:t>
            </w:r>
            <w:r w:rsidR="00ED493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ED4930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ED493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="00732FDE">
              <w:rPr>
                <w:rFonts w:ascii="Bierstadt" w:hAnsi="Bierstad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7C9E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0.000000004</w:t>
            </w:r>
          </w:p>
        </w:tc>
      </w:tr>
      <w:tr w:rsidR="00B531EF" w:rsidRPr="00FF3693" w14:paraId="08D675A9" w14:textId="77777777" w:rsidTr="004263EF">
        <w:trPr>
          <w:trHeight w:val="1724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75C7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lastRenderedPageBreak/>
              <w:t>Equity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1BC1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 Disease mainly affects the well off</w:t>
            </w:r>
          </w:p>
          <w:p w14:paraId="1ED36108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1. Disease mainly affects the poor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1FF0" w14:textId="24A7D854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addresses the disparities in access and utilisation of needed health services and health status of Kenyans.”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757162"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p.13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  <w:p w14:paraId="205BFE3A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A7DA" w14:textId="0EA2110A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enhance equity of access and equity of health outcomes at the population level may have priority.” 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p.15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CF433F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132F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ECBA" w14:textId="5930178C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“Interventions that address equity concerns will be prioritised” </w:t>
            </w:r>
            <w:r w:rsidR="00732FDE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p.53</w:t>
            </w:r>
            <w:r w:rsidR="00732FDE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732FDE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732FDE">
              <w:rPr>
                <w:rFonts w:ascii="Bierstadt" w:hAnsi="Bierstadt" w:cs="Calibri"/>
                <w:color w:val="000000"/>
                <w:sz w:val="20"/>
                <w:szCs w:val="20"/>
              </w:rPr>
              <w:t>].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A91C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0.000000005</w:t>
            </w:r>
          </w:p>
        </w:tc>
      </w:tr>
      <w:tr w:rsidR="00B531EF" w:rsidRPr="00FF3693" w14:paraId="37734484" w14:textId="77777777" w:rsidTr="00FB6D4B">
        <w:trPr>
          <w:trHeight w:val="127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89BF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Severity of disease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2474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 Mild</w:t>
            </w:r>
          </w:p>
          <w:p w14:paraId="209C353C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1. Moderate</w:t>
            </w:r>
          </w:p>
          <w:p w14:paraId="23B2F007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 xml:space="preserve">2. Severe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FCFC" w14:textId="381EFB4C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addresses the most debilitating forms of a disease to an individual.”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757162"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p.13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  <w:p w14:paraId="2E2C0B1E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40E2" w14:textId="7E0A3803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focus on the most debilitating forms of disease in society may deserve priority.” </w:t>
            </w:r>
            <w:r w:rsidR="003A34C5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p.16</w:t>
            </w:r>
            <w:r w:rsidR="003A34C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3A34C5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3A34C5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  <w:p w14:paraId="79CD06C6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D09E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0C73" w14:textId="26CB5D62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“Interventions that target severe forms of disease will be prioritised” </w:t>
            </w:r>
            <w:r w:rsidR="00414F83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p.52</w:t>
            </w:r>
            <w:r w:rsidR="00414F83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414F83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</w:t>
            </w:r>
            <w:r w:rsidR="00414F83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p.5</w:t>
            </w:r>
            <w:r w:rsidR="00414F83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="00687CF9">
              <w:rPr>
                <w:rFonts w:ascii="Bierstadt" w:hAnsi="Bierstadt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6375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 Base Level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1. 0.000000006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2. 0.000000007</w:t>
            </w:r>
          </w:p>
        </w:tc>
      </w:tr>
      <w:tr w:rsidR="00B531EF" w:rsidRPr="00FF3693" w14:paraId="7B3ED038" w14:textId="77777777" w:rsidTr="004263EF">
        <w:trPr>
          <w:trHeight w:val="3960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3A97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Catastrophic health expenditure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AD5D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 Does not reduce the financial burden of paying out of pocket</w:t>
            </w:r>
          </w:p>
          <w:p w14:paraId="37E3A1F3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1. Reduces the financial burden of paying out of pocket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C6F6" w14:textId="43E68EF4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“Whether including the service in the health benefits package reduces the financial burden of paying out of pocket for the service.”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757162"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p.13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A37B" w14:textId="2AAC26A6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responsible for the greatest burden of catastrophic health expenditure at the population and individual level are prioritised e.g., interventions of rare and/or emerging diseases might be very costly (because of the small number patients) and could push people into poverty. Therefore, these interventions may deserve priority.” </w:t>
            </w:r>
            <w:r w:rsidR="00D64BA2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p.15</w:t>
            </w:r>
            <w:r w:rsidR="00D64BA2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D64BA2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D64BA2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  <w:p w14:paraId="30DD96E7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E101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A8F8" w14:textId="7BFCF110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“Interventions that reduce financial burden while paying out of pocket will be prioritised” </w:t>
            </w:r>
            <w:r w:rsidR="00687CF9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p.53</w:t>
            </w:r>
            <w:r w:rsidR="00687CF9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687CF9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687CF9">
              <w:rPr>
                <w:rFonts w:ascii="Bierstadt" w:hAnsi="Bierstadt" w:cs="Calibri"/>
                <w:color w:val="000000"/>
                <w:sz w:val="20"/>
                <w:szCs w:val="20"/>
              </w:rPr>
              <w:t>].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287B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0.000000003</w:t>
            </w:r>
          </w:p>
        </w:tc>
      </w:tr>
      <w:tr w:rsidR="00B531EF" w:rsidRPr="00FF3693" w14:paraId="2CFECB8D" w14:textId="77777777" w:rsidTr="00FB6D4B">
        <w:trPr>
          <w:trHeight w:val="1785"/>
          <w:jc w:val="center"/>
        </w:trPr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F6DF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lastRenderedPageBreak/>
              <w:t>Congruence with existing priorities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8CAB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 Low Priority</w:t>
            </w:r>
          </w:p>
          <w:p w14:paraId="6A967D25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1. Medium Priority</w:t>
            </w:r>
          </w:p>
          <w:p w14:paraId="2A4BEC8E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2. High Priority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BD95" w14:textId="4C4BE403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“Whether the service is in line with constitution, prevailing laws and prevailing health sector policies and priorities as further investments and policies are made.”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="00757162"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p.13</w:t>
            </w:r>
            <w:r w:rsidR="00757162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C73B" w14:textId="072A4E83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“Services that are in line with existing health sector priorities may have priority.” </w:t>
            </w:r>
            <w:r w:rsidR="00494020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p.17</w:t>
            </w:r>
            <w:r w:rsidR="0049402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494020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494020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14EC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908E" w14:textId="03AF0BB0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“Interventions that are high on the country's priorities will be prioritised” </w:t>
            </w:r>
            <w:r w:rsidR="003A531C">
              <w:rPr>
                <w:rFonts w:ascii="Bierstadt" w:hAnsi="Bierstadt" w:cs="Calibri"/>
                <w:color w:val="000000"/>
                <w:sz w:val="20"/>
                <w:szCs w:val="20"/>
              </w:rPr>
              <w:t>[9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p.54</w:t>
            </w:r>
            <w:r w:rsidR="003A531C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 xml:space="preserve"> and </w:t>
            </w:r>
            <w:r w:rsidR="003A531C">
              <w:rPr>
                <w:rFonts w:ascii="Bierstadt" w:hAnsi="Bierstadt" w:cs="Calibri"/>
                <w:color w:val="000000"/>
                <w:sz w:val="20"/>
                <w:szCs w:val="20"/>
              </w:rPr>
              <w:t>[41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, p.5</w:t>
            </w:r>
            <w:r w:rsidR="003A531C">
              <w:rPr>
                <w:rFonts w:ascii="Bierstadt" w:hAnsi="Bierstadt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63EF" w14:textId="77777777" w:rsidR="00B531EF" w:rsidRPr="000E2CC0" w:rsidRDefault="00B531EF" w:rsidP="00FB6D4B">
            <w:pPr>
              <w:rPr>
                <w:rFonts w:ascii="Bierstadt" w:hAnsi="Bierstadt" w:cs="Calibri"/>
                <w:color w:val="000000"/>
                <w:sz w:val="20"/>
                <w:szCs w:val="20"/>
              </w:rPr>
            </w:pP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t>0. Base level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1. 0.000000008</w:t>
            </w:r>
            <w:r w:rsidRPr="000E2CC0">
              <w:rPr>
                <w:rFonts w:ascii="Bierstadt" w:hAnsi="Bierstadt" w:cs="Calibri"/>
                <w:color w:val="000000"/>
                <w:sz w:val="20"/>
                <w:szCs w:val="20"/>
              </w:rPr>
              <w:br/>
              <w:t>2. 0.000000009</w:t>
            </w:r>
          </w:p>
        </w:tc>
      </w:tr>
    </w:tbl>
    <w:p w14:paraId="13460FEA" w14:textId="41DF8BB4" w:rsidR="009B26B1" w:rsidRPr="00B531EF" w:rsidRDefault="009B26B1" w:rsidP="004263EF">
      <w:pPr>
        <w:rPr>
          <w:rFonts w:ascii="Cambria" w:hAnsi="Cambria"/>
          <w:sz w:val="19"/>
          <w:szCs w:val="19"/>
        </w:rPr>
      </w:pPr>
    </w:p>
    <w:sectPr w:rsidR="009B26B1" w:rsidRPr="00B531EF" w:rsidSect="00D17F0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06E8" w14:textId="77777777" w:rsidR="00377940" w:rsidRDefault="00377940">
      <w:r>
        <w:separator/>
      </w:r>
    </w:p>
  </w:endnote>
  <w:endnote w:type="continuationSeparator" w:id="0">
    <w:p w14:paraId="5E222D81" w14:textId="77777777" w:rsidR="00377940" w:rsidRDefault="0037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055078"/>
      <w:docPartObj>
        <w:docPartGallery w:val="Page Numbers (Bottom of Page)"/>
        <w:docPartUnique/>
      </w:docPartObj>
    </w:sdtPr>
    <w:sdtEndPr>
      <w:rPr>
        <w:rFonts w:ascii="Bierstadt" w:hAnsi="Bierstadt"/>
        <w:noProof/>
      </w:rPr>
    </w:sdtEndPr>
    <w:sdtContent>
      <w:p w14:paraId="13610CCD" w14:textId="77777777" w:rsidR="008E6E84" w:rsidRPr="00751A95" w:rsidRDefault="00000000">
        <w:pPr>
          <w:pStyle w:val="Footer"/>
          <w:jc w:val="center"/>
          <w:rPr>
            <w:rFonts w:ascii="Bierstadt" w:hAnsi="Bierstadt"/>
          </w:rPr>
        </w:pPr>
        <w:r w:rsidRPr="00751A95">
          <w:rPr>
            <w:rFonts w:ascii="Bierstadt" w:hAnsi="Bierstadt"/>
          </w:rPr>
          <w:fldChar w:fldCharType="begin"/>
        </w:r>
        <w:r w:rsidRPr="00751A95">
          <w:rPr>
            <w:rFonts w:ascii="Bierstadt" w:hAnsi="Bierstadt"/>
          </w:rPr>
          <w:instrText xml:space="preserve"> PAGE   \* MERGEFORMAT </w:instrText>
        </w:r>
        <w:r w:rsidRPr="00751A95">
          <w:rPr>
            <w:rFonts w:ascii="Bierstadt" w:hAnsi="Bierstadt"/>
          </w:rPr>
          <w:fldChar w:fldCharType="separate"/>
        </w:r>
        <w:r w:rsidRPr="00751A95">
          <w:rPr>
            <w:rFonts w:ascii="Bierstadt" w:hAnsi="Bierstadt"/>
            <w:noProof/>
          </w:rPr>
          <w:t>2</w:t>
        </w:r>
        <w:r w:rsidRPr="00751A95">
          <w:rPr>
            <w:rFonts w:ascii="Bierstadt" w:hAnsi="Bierstadt"/>
            <w:noProof/>
          </w:rPr>
          <w:fldChar w:fldCharType="end"/>
        </w:r>
      </w:p>
    </w:sdtContent>
  </w:sdt>
  <w:p w14:paraId="0D34D4D7" w14:textId="77777777" w:rsidR="008E6E84" w:rsidRPr="00751A95" w:rsidRDefault="008E6E84">
    <w:pPr>
      <w:pStyle w:val="Footer"/>
      <w:rPr>
        <w:rFonts w:ascii="Bierstadt" w:hAnsi="Bierstad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9AF7" w14:textId="77777777" w:rsidR="00377940" w:rsidRDefault="00377940">
      <w:r>
        <w:separator/>
      </w:r>
    </w:p>
  </w:footnote>
  <w:footnote w:type="continuationSeparator" w:id="0">
    <w:p w14:paraId="1DC4F450" w14:textId="77777777" w:rsidR="00377940" w:rsidRDefault="0037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6F0"/>
    <w:multiLevelType w:val="multilevel"/>
    <w:tmpl w:val="B8F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725B4"/>
    <w:multiLevelType w:val="multilevel"/>
    <w:tmpl w:val="60C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A6549"/>
    <w:multiLevelType w:val="multilevel"/>
    <w:tmpl w:val="D310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E62DF"/>
    <w:multiLevelType w:val="hybridMultilevel"/>
    <w:tmpl w:val="DCEA8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F5930"/>
    <w:multiLevelType w:val="multilevel"/>
    <w:tmpl w:val="B9F6C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97E6379"/>
    <w:multiLevelType w:val="multilevel"/>
    <w:tmpl w:val="EFCE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8218E"/>
    <w:multiLevelType w:val="hybridMultilevel"/>
    <w:tmpl w:val="DF7E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320E5C"/>
    <w:multiLevelType w:val="hybridMultilevel"/>
    <w:tmpl w:val="20E0B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02FC9"/>
    <w:multiLevelType w:val="multilevel"/>
    <w:tmpl w:val="F0D0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67F90"/>
    <w:multiLevelType w:val="multilevel"/>
    <w:tmpl w:val="F688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B9121D"/>
    <w:multiLevelType w:val="hybridMultilevel"/>
    <w:tmpl w:val="6D76E8E4"/>
    <w:lvl w:ilvl="0" w:tplc="D5AE070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80D9D"/>
    <w:multiLevelType w:val="hybridMultilevel"/>
    <w:tmpl w:val="DCEA8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8062D"/>
    <w:multiLevelType w:val="hybridMultilevel"/>
    <w:tmpl w:val="5F96934C"/>
    <w:lvl w:ilvl="0" w:tplc="67F81F6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C1181"/>
    <w:multiLevelType w:val="multilevel"/>
    <w:tmpl w:val="06122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2584834"/>
    <w:multiLevelType w:val="multilevel"/>
    <w:tmpl w:val="50A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355CF"/>
    <w:multiLevelType w:val="multilevel"/>
    <w:tmpl w:val="8100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64595"/>
    <w:multiLevelType w:val="hybridMultilevel"/>
    <w:tmpl w:val="3C4CA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1013"/>
    <w:multiLevelType w:val="hybridMultilevel"/>
    <w:tmpl w:val="ECE82C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06FCD"/>
    <w:multiLevelType w:val="hybridMultilevel"/>
    <w:tmpl w:val="56685896"/>
    <w:lvl w:ilvl="0" w:tplc="C9AEB3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F43319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174350"/>
    <w:multiLevelType w:val="hybridMultilevel"/>
    <w:tmpl w:val="E390930C"/>
    <w:lvl w:ilvl="0" w:tplc="3B6AA79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0D55"/>
    <w:multiLevelType w:val="hybridMultilevel"/>
    <w:tmpl w:val="95847B00"/>
    <w:lvl w:ilvl="0" w:tplc="4FFAB2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FE7290"/>
    <w:multiLevelType w:val="multilevel"/>
    <w:tmpl w:val="5ECC5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D271CCA"/>
    <w:multiLevelType w:val="multilevel"/>
    <w:tmpl w:val="648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F3EFD"/>
    <w:multiLevelType w:val="hybridMultilevel"/>
    <w:tmpl w:val="277E6204"/>
    <w:lvl w:ilvl="0" w:tplc="A30CB648">
      <w:start w:val="1"/>
      <w:numFmt w:val="lowerRoman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D1082D"/>
    <w:multiLevelType w:val="multilevel"/>
    <w:tmpl w:val="CF5C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71945"/>
    <w:multiLevelType w:val="multilevel"/>
    <w:tmpl w:val="4120CE76"/>
    <w:lvl w:ilvl="0">
      <w:start w:val="4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7" w15:restartNumberingAfterBreak="0">
    <w:nsid w:val="517B2A11"/>
    <w:multiLevelType w:val="multilevel"/>
    <w:tmpl w:val="6A58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86EFF"/>
    <w:multiLevelType w:val="hybridMultilevel"/>
    <w:tmpl w:val="84C6330A"/>
    <w:lvl w:ilvl="0" w:tplc="8DA806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5670F"/>
    <w:multiLevelType w:val="multilevel"/>
    <w:tmpl w:val="F9C2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32499"/>
    <w:multiLevelType w:val="multilevel"/>
    <w:tmpl w:val="7CD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615B6E"/>
    <w:multiLevelType w:val="hybridMultilevel"/>
    <w:tmpl w:val="9AB48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56775"/>
    <w:multiLevelType w:val="multilevel"/>
    <w:tmpl w:val="9B1A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49315B"/>
    <w:multiLevelType w:val="multilevel"/>
    <w:tmpl w:val="4DF4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36772"/>
    <w:multiLevelType w:val="multilevel"/>
    <w:tmpl w:val="8CD2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1574B2"/>
    <w:multiLevelType w:val="hybridMultilevel"/>
    <w:tmpl w:val="2A4E3DC2"/>
    <w:lvl w:ilvl="0" w:tplc="1C94CD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A2E30"/>
    <w:multiLevelType w:val="multilevel"/>
    <w:tmpl w:val="6656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115988"/>
    <w:multiLevelType w:val="hybridMultilevel"/>
    <w:tmpl w:val="0F5C8A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10074"/>
    <w:multiLevelType w:val="multilevel"/>
    <w:tmpl w:val="124C7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62A0430"/>
    <w:multiLevelType w:val="multilevel"/>
    <w:tmpl w:val="50DA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24F45"/>
    <w:multiLevelType w:val="multilevel"/>
    <w:tmpl w:val="913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77231F"/>
    <w:multiLevelType w:val="multilevel"/>
    <w:tmpl w:val="4756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8B1EF8"/>
    <w:multiLevelType w:val="hybridMultilevel"/>
    <w:tmpl w:val="B9486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A0AAB"/>
    <w:multiLevelType w:val="hybridMultilevel"/>
    <w:tmpl w:val="E1AE8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26A8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660289">
    <w:abstractNumId w:val="13"/>
  </w:num>
  <w:num w:numId="2" w16cid:durableId="106930262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81975">
    <w:abstractNumId w:val="38"/>
  </w:num>
  <w:num w:numId="4" w16cid:durableId="837960651">
    <w:abstractNumId w:val="7"/>
  </w:num>
  <w:num w:numId="5" w16cid:durableId="113867065">
    <w:abstractNumId w:val="42"/>
  </w:num>
  <w:num w:numId="6" w16cid:durableId="1637643600">
    <w:abstractNumId w:val="6"/>
  </w:num>
  <w:num w:numId="7" w16cid:durableId="169836343">
    <w:abstractNumId w:val="4"/>
  </w:num>
  <w:num w:numId="8" w16cid:durableId="563220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9126173">
    <w:abstractNumId w:val="14"/>
  </w:num>
  <w:num w:numId="10" w16cid:durableId="147290501">
    <w:abstractNumId w:val="9"/>
  </w:num>
  <w:num w:numId="11" w16cid:durableId="1099446047">
    <w:abstractNumId w:val="2"/>
  </w:num>
  <w:num w:numId="12" w16cid:durableId="1809128927">
    <w:abstractNumId w:val="25"/>
  </w:num>
  <w:num w:numId="13" w16cid:durableId="484786646">
    <w:abstractNumId w:val="41"/>
  </w:num>
  <w:num w:numId="14" w16cid:durableId="50738577">
    <w:abstractNumId w:val="36"/>
  </w:num>
  <w:num w:numId="15" w16cid:durableId="1015569924">
    <w:abstractNumId w:val="23"/>
  </w:num>
  <w:num w:numId="16" w16cid:durableId="368454020">
    <w:abstractNumId w:val="5"/>
  </w:num>
  <w:num w:numId="17" w16cid:durableId="1458256690">
    <w:abstractNumId w:val="0"/>
  </w:num>
  <w:num w:numId="18" w16cid:durableId="435951278">
    <w:abstractNumId w:val="32"/>
  </w:num>
  <w:num w:numId="19" w16cid:durableId="1293906359">
    <w:abstractNumId w:val="33"/>
  </w:num>
  <w:num w:numId="20" w16cid:durableId="1070081905">
    <w:abstractNumId w:val="1"/>
  </w:num>
  <w:num w:numId="21" w16cid:durableId="1535532461">
    <w:abstractNumId w:val="17"/>
  </w:num>
  <w:num w:numId="22" w16cid:durableId="268395497">
    <w:abstractNumId w:val="21"/>
  </w:num>
  <w:num w:numId="23" w16cid:durableId="1042245979">
    <w:abstractNumId w:val="24"/>
  </w:num>
  <w:num w:numId="24" w16cid:durableId="538902653">
    <w:abstractNumId w:val="15"/>
  </w:num>
  <w:num w:numId="25" w16cid:durableId="1993874158">
    <w:abstractNumId w:val="8"/>
  </w:num>
  <w:num w:numId="26" w16cid:durableId="1464691269">
    <w:abstractNumId w:val="29"/>
  </w:num>
  <w:num w:numId="27" w16cid:durableId="966855731">
    <w:abstractNumId w:val="40"/>
  </w:num>
  <w:num w:numId="28" w16cid:durableId="643972659">
    <w:abstractNumId w:val="34"/>
  </w:num>
  <w:num w:numId="29" w16cid:durableId="1534489896">
    <w:abstractNumId w:val="39"/>
  </w:num>
  <w:num w:numId="30" w16cid:durableId="1614943250">
    <w:abstractNumId w:val="27"/>
  </w:num>
  <w:num w:numId="31" w16cid:durableId="873150741">
    <w:abstractNumId w:val="37"/>
  </w:num>
  <w:num w:numId="32" w16cid:durableId="346643511">
    <w:abstractNumId w:val="43"/>
  </w:num>
  <w:num w:numId="33" w16cid:durableId="146438912">
    <w:abstractNumId w:val="19"/>
  </w:num>
  <w:num w:numId="34" w16cid:durableId="11950709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8824982">
    <w:abstractNumId w:val="22"/>
  </w:num>
  <w:num w:numId="36" w16cid:durableId="1058014709">
    <w:abstractNumId w:val="28"/>
  </w:num>
  <w:num w:numId="37" w16cid:durableId="730272167">
    <w:abstractNumId w:val="10"/>
  </w:num>
  <w:num w:numId="38" w16cid:durableId="782119078">
    <w:abstractNumId w:val="30"/>
  </w:num>
  <w:num w:numId="39" w16cid:durableId="1814567949">
    <w:abstractNumId w:val="44"/>
  </w:num>
  <w:num w:numId="40" w16cid:durableId="1344359679">
    <w:abstractNumId w:val="16"/>
  </w:num>
  <w:num w:numId="41" w16cid:durableId="1136290631">
    <w:abstractNumId w:val="3"/>
  </w:num>
  <w:num w:numId="42" w16cid:durableId="1870951372">
    <w:abstractNumId w:val="11"/>
  </w:num>
  <w:num w:numId="43" w16cid:durableId="1424107139">
    <w:abstractNumId w:val="20"/>
  </w:num>
  <w:num w:numId="44" w16cid:durableId="1254582038">
    <w:abstractNumId w:val="35"/>
  </w:num>
  <w:num w:numId="45" w16cid:durableId="12127665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ost Eff Resource Alloc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t9w59xv5d99wewfau5avvq0fvvtrfsdvzx&quot;&gt;MCDA-Converted&lt;record-ids&gt;&lt;item&gt;35&lt;/item&gt;&lt;item&gt;203&lt;/item&gt;&lt;/record-ids&gt;&lt;/item&gt;&lt;/Libraries&gt;"/>
  </w:docVars>
  <w:rsids>
    <w:rsidRoot w:val="00DD21A8"/>
    <w:rsid w:val="0003386F"/>
    <w:rsid w:val="000A4BD7"/>
    <w:rsid w:val="000E2CC0"/>
    <w:rsid w:val="00110502"/>
    <w:rsid w:val="00153DEE"/>
    <w:rsid w:val="00210E8B"/>
    <w:rsid w:val="00246FCB"/>
    <w:rsid w:val="00276EB9"/>
    <w:rsid w:val="002869DE"/>
    <w:rsid w:val="0029242A"/>
    <w:rsid w:val="002F4F3B"/>
    <w:rsid w:val="00346168"/>
    <w:rsid w:val="00350843"/>
    <w:rsid w:val="00377940"/>
    <w:rsid w:val="003A34C5"/>
    <w:rsid w:val="003A531C"/>
    <w:rsid w:val="00414F83"/>
    <w:rsid w:val="004263EF"/>
    <w:rsid w:val="00451722"/>
    <w:rsid w:val="00494020"/>
    <w:rsid w:val="004F3355"/>
    <w:rsid w:val="005C6244"/>
    <w:rsid w:val="005D62CC"/>
    <w:rsid w:val="00656D78"/>
    <w:rsid w:val="00687CF9"/>
    <w:rsid w:val="0071624E"/>
    <w:rsid w:val="007300DA"/>
    <w:rsid w:val="0073111F"/>
    <w:rsid w:val="00732FDE"/>
    <w:rsid w:val="00751606"/>
    <w:rsid w:val="00751A95"/>
    <w:rsid w:val="00757162"/>
    <w:rsid w:val="00773003"/>
    <w:rsid w:val="007966E6"/>
    <w:rsid w:val="007C42C2"/>
    <w:rsid w:val="007E51AC"/>
    <w:rsid w:val="008E6E84"/>
    <w:rsid w:val="00927BCE"/>
    <w:rsid w:val="00941249"/>
    <w:rsid w:val="00954812"/>
    <w:rsid w:val="00961B91"/>
    <w:rsid w:val="009927EA"/>
    <w:rsid w:val="009B26B1"/>
    <w:rsid w:val="009F374C"/>
    <w:rsid w:val="00A4090F"/>
    <w:rsid w:val="00B531EF"/>
    <w:rsid w:val="00BF1562"/>
    <w:rsid w:val="00C23ACD"/>
    <w:rsid w:val="00C3647F"/>
    <w:rsid w:val="00C446C1"/>
    <w:rsid w:val="00CC379C"/>
    <w:rsid w:val="00CE42DD"/>
    <w:rsid w:val="00CF433F"/>
    <w:rsid w:val="00D05358"/>
    <w:rsid w:val="00D11C26"/>
    <w:rsid w:val="00D17F08"/>
    <w:rsid w:val="00D60798"/>
    <w:rsid w:val="00D64BA2"/>
    <w:rsid w:val="00D65741"/>
    <w:rsid w:val="00D75E80"/>
    <w:rsid w:val="00D93FD2"/>
    <w:rsid w:val="00DD21A8"/>
    <w:rsid w:val="00E22A19"/>
    <w:rsid w:val="00E31752"/>
    <w:rsid w:val="00E95C08"/>
    <w:rsid w:val="00EC1FDF"/>
    <w:rsid w:val="00EC351C"/>
    <w:rsid w:val="00ED4930"/>
    <w:rsid w:val="00F84CB0"/>
    <w:rsid w:val="00F8525F"/>
    <w:rsid w:val="00FD7BD2"/>
    <w:rsid w:val="00FE065F"/>
    <w:rsid w:val="00FF3693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1387"/>
  <w15:chartTrackingRefBased/>
  <w15:docId w15:val="{4768B443-4EEE-4125-BD33-9DD42272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2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2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21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2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D2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D2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1E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3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1EF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B531EF"/>
    <w:pPr>
      <w:spacing w:before="240" w:after="0"/>
      <w:outlineLvl w:val="9"/>
    </w:pPr>
    <w:rPr>
      <w:rFonts w:cs="Times New Roman"/>
      <w:sz w:val="32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531E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531EF"/>
    <w:rPr>
      <w:color w:val="467886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B531EF"/>
    <w:pPr>
      <w:spacing w:after="160"/>
    </w:pPr>
    <w:rPr>
      <w:rFonts w:eastAsiaTheme="minorHAnsi"/>
      <w:noProof/>
      <w:szCs w:val="3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531EF"/>
    <w:rPr>
      <w:rFonts w:ascii="Times New Roman" w:hAnsi="Times New Roman" w:cs="Times New Roman"/>
      <w:noProof/>
      <w:kern w:val="0"/>
      <w:sz w:val="24"/>
      <w:szCs w:val="3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53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1EF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1EF"/>
    <w:rPr>
      <w:rFonts w:eastAsia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EF"/>
    <w:rPr>
      <w:rFonts w:eastAsia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31E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531EF"/>
    <w:pPr>
      <w:jc w:val="center"/>
    </w:pPr>
    <w:rPr>
      <w:rFonts w:eastAsiaTheme="minorHAnsi"/>
      <w:noProof/>
      <w:szCs w:val="22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531EF"/>
    <w:rPr>
      <w:rFonts w:ascii="Times New Roman" w:hAnsi="Times New Roman" w:cs="Times New Roman"/>
      <w:noProof/>
      <w:kern w:val="0"/>
      <w:sz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531EF"/>
    <w:pPr>
      <w:spacing w:after="200"/>
    </w:pPr>
    <w:rPr>
      <w:rFonts w:asciiTheme="minorHAnsi" w:hAnsiTheme="minorHAnsi" w:cstheme="minorBidi"/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B531E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531EF"/>
    <w:rPr>
      <w:color w:val="96607D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531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31EF"/>
    <w:pPr>
      <w:tabs>
        <w:tab w:val="left" w:pos="1100"/>
        <w:tab w:val="right" w:leader="dot" w:pos="9016"/>
      </w:tabs>
      <w:spacing w:after="100"/>
      <w:ind w:left="440"/>
    </w:pPr>
  </w:style>
  <w:style w:type="paragraph" w:customStyle="1" w:styleId="pf0">
    <w:name w:val="pf0"/>
    <w:basedOn w:val="Normal"/>
    <w:rsid w:val="00B531EF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531EF"/>
    <w:rPr>
      <w:rFonts w:ascii="Segoe UI" w:hAnsi="Segoe UI" w:cs="Segoe UI" w:hint="default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B531EF"/>
  </w:style>
  <w:style w:type="numbering" w:customStyle="1" w:styleId="NoList2">
    <w:name w:val="No List2"/>
    <w:next w:val="NoList"/>
    <w:uiPriority w:val="99"/>
    <w:semiHidden/>
    <w:unhideWhenUsed/>
    <w:rsid w:val="00B531EF"/>
  </w:style>
  <w:style w:type="paragraph" w:customStyle="1" w:styleId="msonormal0">
    <w:name w:val="msonormal"/>
    <w:basedOn w:val="Normal"/>
    <w:rsid w:val="00B531EF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66">
    <w:name w:val="xl66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67">
    <w:name w:val="xl67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68">
    <w:name w:val="xl68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69">
    <w:name w:val="xl69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0">
    <w:name w:val="xl70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71">
    <w:name w:val="xl71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2">
    <w:name w:val="xl72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3">
    <w:name w:val="xl73"/>
    <w:basedOn w:val="Normal"/>
    <w:rsid w:val="00B531EF"/>
    <w:pP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4">
    <w:name w:val="xl74"/>
    <w:basedOn w:val="Normal"/>
    <w:rsid w:val="00B531EF"/>
    <w:pP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5">
    <w:name w:val="xl75"/>
    <w:basedOn w:val="Normal"/>
    <w:rsid w:val="00B53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76">
    <w:name w:val="xl76"/>
    <w:basedOn w:val="Normal"/>
    <w:rsid w:val="00B531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77">
    <w:name w:val="xl77"/>
    <w:basedOn w:val="Normal"/>
    <w:rsid w:val="00B531EF"/>
    <w:pP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customStyle="1" w:styleId="xl78">
    <w:name w:val="xl78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79">
    <w:name w:val="xl79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color w:val="000000"/>
      <w:sz w:val="20"/>
      <w:szCs w:val="20"/>
    </w:rPr>
  </w:style>
  <w:style w:type="paragraph" w:customStyle="1" w:styleId="xl80">
    <w:name w:val="xl80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1">
    <w:name w:val="xl81"/>
    <w:basedOn w:val="Normal"/>
    <w:rsid w:val="00B531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2">
    <w:name w:val="xl82"/>
    <w:basedOn w:val="Normal"/>
    <w:rsid w:val="00B53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b/>
      <w:bCs/>
      <w:sz w:val="20"/>
      <w:szCs w:val="20"/>
    </w:rPr>
  </w:style>
  <w:style w:type="paragraph" w:customStyle="1" w:styleId="xl83">
    <w:name w:val="xl83"/>
    <w:basedOn w:val="Normal"/>
    <w:rsid w:val="00B531EF"/>
    <w:pPr>
      <w:spacing w:before="100" w:beforeAutospacing="1" w:after="100" w:afterAutospacing="1"/>
      <w:textAlignment w:val="top"/>
    </w:pPr>
  </w:style>
  <w:style w:type="paragraph" w:customStyle="1" w:styleId="xl84">
    <w:name w:val="xl84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randview" w:hAnsi="Grandview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B5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randview" w:hAnsi="Grandview"/>
      <w:sz w:val="20"/>
      <w:szCs w:val="20"/>
    </w:rPr>
  </w:style>
  <w:style w:type="paragraph" w:customStyle="1" w:styleId="xl86">
    <w:name w:val="xl86"/>
    <w:basedOn w:val="Normal"/>
    <w:rsid w:val="00B531EF"/>
    <w:pPr>
      <w:spacing w:before="100" w:beforeAutospacing="1" w:after="100" w:afterAutospacing="1"/>
      <w:textAlignment w:val="top"/>
    </w:pPr>
    <w:rPr>
      <w:rFonts w:ascii="Grandview" w:hAnsi="Grandview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531EF"/>
    <w:pPr>
      <w:spacing w:after="100"/>
      <w:ind w:left="660"/>
    </w:pPr>
    <w:rPr>
      <w:rFonts w:asciiTheme="minorHAnsi" w:eastAsiaTheme="minorEastAsia" w:hAnsiTheme="minorHAnsi" w:cstheme="minorBidi"/>
      <w:kern w:val="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531EF"/>
    <w:pPr>
      <w:spacing w:after="100"/>
      <w:ind w:left="880"/>
    </w:pPr>
    <w:rPr>
      <w:rFonts w:asciiTheme="minorHAnsi" w:eastAsiaTheme="minorEastAsia" w:hAnsiTheme="minorHAnsi" w:cstheme="minorBidi"/>
      <w:kern w:val="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531EF"/>
    <w:pPr>
      <w:spacing w:after="100"/>
      <w:ind w:left="1100"/>
    </w:pPr>
    <w:rPr>
      <w:rFonts w:asciiTheme="minorHAnsi" w:eastAsiaTheme="minorEastAsia" w:hAnsiTheme="minorHAnsi" w:cstheme="minorBidi"/>
      <w:kern w:val="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531EF"/>
    <w:pPr>
      <w:spacing w:after="100"/>
      <w:ind w:left="1320"/>
    </w:pPr>
    <w:rPr>
      <w:rFonts w:asciiTheme="minorHAnsi" w:eastAsiaTheme="minorEastAsia" w:hAnsiTheme="minorHAnsi" w:cstheme="minorBidi"/>
      <w:kern w:val="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531EF"/>
    <w:pPr>
      <w:spacing w:after="100"/>
      <w:ind w:left="1540"/>
    </w:pPr>
    <w:rPr>
      <w:rFonts w:asciiTheme="minorHAnsi" w:eastAsiaTheme="minorEastAsia" w:hAnsiTheme="minorHAnsi" w:cstheme="minorBidi"/>
      <w:kern w:val="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531EF"/>
    <w:pPr>
      <w:spacing w:after="100"/>
      <w:ind w:left="1760"/>
    </w:pPr>
    <w:rPr>
      <w:rFonts w:asciiTheme="minorHAnsi" w:eastAsiaTheme="minorEastAsia" w:hAnsiTheme="minorHAnsi" w:cstheme="minorBidi"/>
      <w:kern w:val="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B531EF"/>
  </w:style>
  <w:style w:type="table" w:customStyle="1" w:styleId="TableGrid1">
    <w:name w:val="Table Grid1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41">
    <w:name w:val="cf41"/>
    <w:basedOn w:val="DefaultParagraphFont"/>
    <w:rsid w:val="00B531EF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table" w:customStyle="1" w:styleId="TableGrid2">
    <w:name w:val="Table Grid2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531EF"/>
    <w:pPr>
      <w:spacing w:after="0" w:line="240" w:lineRule="auto"/>
    </w:pPr>
    <w:rPr>
      <w:rFonts w:ascii="Franklin Gothic Book" w:hAnsi="Franklin Gothic Book" w:cstheme="majorBidi"/>
      <w:kern w:val="0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31E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Obadha</dc:creator>
  <cp:keywords/>
  <dc:description/>
  <cp:lastModifiedBy>Melvin Obadha</cp:lastModifiedBy>
  <cp:revision>58</cp:revision>
  <dcterms:created xsi:type="dcterms:W3CDTF">2024-03-18T18:44:00Z</dcterms:created>
  <dcterms:modified xsi:type="dcterms:W3CDTF">2025-05-09T14:57:00Z</dcterms:modified>
</cp:coreProperties>
</file>