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6700B" w14:textId="1966E552" w:rsidR="006C61C0" w:rsidRDefault="00000000" w:rsidP="00AA09AA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46C027ED" wp14:editId="54C879A6">
            <wp:extent cx="6188710" cy="4067810"/>
            <wp:effectExtent l="0" t="0" r="2540" b="889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0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4F89E" w14:textId="77777777" w:rsidR="006C61C0" w:rsidRDefault="0000000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Figure S1. Immune cell infiltration analysis of hot and cold tumor subtypes.  </w:t>
      </w:r>
      <w:r>
        <w:rPr>
          <w:rFonts w:ascii="Times New Roman" w:hAnsi="Times New Roman" w:cs="Times New Roman"/>
          <w:sz w:val="20"/>
          <w:szCs w:val="20"/>
        </w:rPr>
        <w:t>Immune infiltration levels of LUAD subtypes were estimated using the CIBERSORT algorithm. Cluster 1 (hot tumors) showed significantly higher infiltration of immune-active cells, including CD8⁺ T cells, activated NK cells, and M1 macrophages. In contrast, C</w:t>
      </w:r>
      <w:r>
        <w:rPr>
          <w:rFonts w:ascii="Times New Roman" w:hAnsi="Times New Roman" w:cs="Times New Roman" w:hint="eastAsia"/>
          <w:sz w:val="20"/>
          <w:szCs w:val="20"/>
        </w:rPr>
        <w:t>luster 2 (cold tumors) exhibited higher proportions of M0 macrophages, M2 macrophages, and resting NK cells. No significant differences were observed in the abundance of certain cell types such as Tregs and B cells between the two subtypes.</w:t>
      </w:r>
    </w:p>
    <w:p w14:paraId="569275BA" w14:textId="77777777" w:rsidR="006C61C0" w:rsidRDefault="0000000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098C482" w14:textId="77777777" w:rsidR="006C61C0" w:rsidRDefault="00000000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6137EED" wp14:editId="54F90B5C">
            <wp:extent cx="4762500" cy="6423660"/>
            <wp:effectExtent l="0" t="0" r="0" b="0"/>
            <wp:docPr id="174155619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556190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42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7908F" w14:textId="77777777" w:rsidR="006C61C0" w:rsidRDefault="0000000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Figure.S2  </w:t>
      </w:r>
      <w:r>
        <w:rPr>
          <w:rFonts w:ascii="Times New Roman" w:hAnsi="Times New Roman" w:cs="Times New Roman"/>
          <w:b/>
          <w:bCs/>
          <w:sz w:val="20"/>
          <w:szCs w:val="20"/>
        </w:rPr>
        <w:t>Cox regression analysis of upregulated genes associated with the hot tumor subtype.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</w:r>
    </w:p>
    <w:p w14:paraId="303195FE" w14:textId="77777777" w:rsidR="006C61C0" w:rsidRDefault="006C61C0">
      <w:pPr>
        <w:rPr>
          <w:rFonts w:ascii="Times New Roman" w:hAnsi="Times New Roman" w:cs="Times New Roman"/>
          <w:sz w:val="20"/>
          <w:szCs w:val="20"/>
        </w:rPr>
      </w:pPr>
    </w:p>
    <w:p w14:paraId="7953F528" w14:textId="77777777" w:rsidR="006C61C0" w:rsidRDefault="006C61C0">
      <w:pPr>
        <w:rPr>
          <w:rFonts w:ascii="Times New Roman" w:hAnsi="Times New Roman" w:cs="Times New Roman"/>
          <w:sz w:val="20"/>
          <w:szCs w:val="20"/>
        </w:rPr>
      </w:pPr>
    </w:p>
    <w:p w14:paraId="24F0EF1A" w14:textId="77777777" w:rsidR="006C61C0" w:rsidRDefault="006C61C0">
      <w:pPr>
        <w:rPr>
          <w:rFonts w:ascii="Times New Roman" w:hAnsi="Times New Roman" w:cs="Times New Roman"/>
          <w:sz w:val="20"/>
          <w:szCs w:val="20"/>
        </w:rPr>
      </w:pPr>
    </w:p>
    <w:p w14:paraId="4A117DC1" w14:textId="77777777" w:rsidR="006C61C0" w:rsidRDefault="006C61C0">
      <w:pPr>
        <w:rPr>
          <w:rFonts w:ascii="Times New Roman" w:hAnsi="Times New Roman" w:cs="Times New Roman"/>
          <w:sz w:val="20"/>
          <w:szCs w:val="20"/>
        </w:rPr>
      </w:pPr>
    </w:p>
    <w:p w14:paraId="1C122FA1" w14:textId="77777777" w:rsidR="006C61C0" w:rsidRDefault="006C61C0">
      <w:pPr>
        <w:rPr>
          <w:rFonts w:ascii="Times New Roman" w:hAnsi="Times New Roman" w:cs="Times New Roman"/>
          <w:sz w:val="20"/>
          <w:szCs w:val="20"/>
        </w:rPr>
      </w:pPr>
    </w:p>
    <w:p w14:paraId="00B9F727" w14:textId="77777777" w:rsidR="006C61C0" w:rsidRDefault="006C61C0">
      <w:pPr>
        <w:rPr>
          <w:rFonts w:ascii="Times New Roman" w:hAnsi="Times New Roman" w:cs="Times New Roman"/>
          <w:sz w:val="20"/>
          <w:szCs w:val="20"/>
        </w:rPr>
      </w:pPr>
    </w:p>
    <w:p w14:paraId="794B4777" w14:textId="77777777" w:rsidR="006C61C0" w:rsidRDefault="006C61C0">
      <w:pPr>
        <w:rPr>
          <w:rFonts w:ascii="Times New Roman" w:hAnsi="Times New Roman" w:cs="Times New Roman"/>
          <w:sz w:val="20"/>
          <w:szCs w:val="20"/>
        </w:rPr>
      </w:pPr>
    </w:p>
    <w:p w14:paraId="58019831" w14:textId="77777777" w:rsidR="006C61C0" w:rsidRDefault="006C61C0">
      <w:pPr>
        <w:rPr>
          <w:rFonts w:ascii="Times New Roman" w:hAnsi="Times New Roman" w:cs="Times New Roman"/>
          <w:sz w:val="20"/>
          <w:szCs w:val="20"/>
        </w:rPr>
      </w:pPr>
    </w:p>
    <w:p w14:paraId="50386DD6" w14:textId="77777777" w:rsidR="006C61C0" w:rsidRDefault="006C61C0">
      <w:pPr>
        <w:rPr>
          <w:rFonts w:ascii="Times New Roman" w:hAnsi="Times New Roman" w:cs="Times New Roman"/>
          <w:sz w:val="20"/>
          <w:szCs w:val="20"/>
        </w:rPr>
      </w:pPr>
    </w:p>
    <w:p w14:paraId="1FDA8303" w14:textId="77777777" w:rsidR="006C61C0" w:rsidRDefault="006C61C0">
      <w:pPr>
        <w:rPr>
          <w:rFonts w:ascii="Times New Roman" w:hAnsi="Times New Roman" w:cs="Times New Roman"/>
          <w:sz w:val="20"/>
          <w:szCs w:val="20"/>
        </w:rPr>
      </w:pPr>
    </w:p>
    <w:p w14:paraId="1CE0BC85" w14:textId="77777777" w:rsidR="006C61C0" w:rsidRDefault="0000000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7135AA47" wp14:editId="32D2482D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2906395" cy="4198620"/>
            <wp:effectExtent l="0" t="0" r="8255" b="0"/>
            <wp:wrapNone/>
            <wp:docPr id="69726268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262686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06395" cy="4198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4827ACDB" wp14:editId="351F247A">
            <wp:simplePos x="0" y="0"/>
            <wp:positionH relativeFrom="column">
              <wp:posOffset>2888615</wp:posOffset>
            </wp:positionH>
            <wp:positionV relativeFrom="paragraph">
              <wp:posOffset>139700</wp:posOffset>
            </wp:positionV>
            <wp:extent cx="3061970" cy="3853180"/>
            <wp:effectExtent l="0" t="0" r="5715" b="0"/>
            <wp:wrapNone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77826" cy="3873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6C72AC6" wp14:editId="21C0A83A">
            <wp:simplePos x="0" y="0"/>
            <wp:positionH relativeFrom="column">
              <wp:posOffset>90805</wp:posOffset>
            </wp:positionH>
            <wp:positionV relativeFrom="paragraph">
              <wp:posOffset>3954780</wp:posOffset>
            </wp:positionV>
            <wp:extent cx="2646680" cy="3569970"/>
            <wp:effectExtent l="0" t="0" r="1270" b="0"/>
            <wp:wrapNone/>
            <wp:docPr id="5012656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26561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46680" cy="3569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770278AE" wp14:editId="34DCB395">
            <wp:simplePos x="0" y="0"/>
            <wp:positionH relativeFrom="column">
              <wp:posOffset>3064510</wp:posOffset>
            </wp:positionH>
            <wp:positionV relativeFrom="paragraph">
              <wp:posOffset>3867785</wp:posOffset>
            </wp:positionV>
            <wp:extent cx="2608580" cy="3711575"/>
            <wp:effectExtent l="0" t="0" r="1905" b="3810"/>
            <wp:wrapNone/>
            <wp:docPr id="197640550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405508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16661" cy="37229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4ACF728" w14:textId="77777777" w:rsidR="006C61C0" w:rsidRDefault="0000000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S3</w:t>
      </w:r>
      <w:r>
        <w:rPr>
          <w:rFonts w:ascii="Times New Roman" w:hAnsi="Times New Roman" w:cs="Times New Roman"/>
          <w:b/>
          <w:bCs/>
          <w:sz w:val="20"/>
          <w:szCs w:val="20"/>
        </w:rPr>
        <w:t>. Cox regression analysis of downregulated genes associated with the cold tumor subtype.</w:t>
      </w:r>
    </w:p>
    <w:p w14:paraId="2A92A641" w14:textId="77777777" w:rsidR="006C61C0" w:rsidRDefault="0000000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10F065B" w14:textId="77777777" w:rsidR="006C61C0" w:rsidRDefault="006C61C0">
      <w:pPr>
        <w:rPr>
          <w:rFonts w:ascii="Times New Roman" w:hAnsi="Times New Roman" w:cs="Times New Roman"/>
          <w:sz w:val="20"/>
          <w:szCs w:val="20"/>
        </w:rPr>
      </w:pPr>
    </w:p>
    <w:p w14:paraId="58738DFA" w14:textId="77777777" w:rsidR="006C61C0" w:rsidRDefault="006C61C0">
      <w:pPr>
        <w:rPr>
          <w:rFonts w:ascii="Times New Roman" w:hAnsi="Times New Roman" w:cs="Times New Roman"/>
          <w:sz w:val="20"/>
          <w:szCs w:val="20"/>
        </w:rPr>
      </w:pPr>
    </w:p>
    <w:p w14:paraId="3AFCC8F9" w14:textId="77777777" w:rsidR="006C61C0" w:rsidRDefault="0000000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6D9F7396" wp14:editId="192243F2">
            <wp:extent cx="6186170" cy="3379470"/>
            <wp:effectExtent l="0" t="0" r="5080" b="0"/>
            <wp:docPr id="98601201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012018" name="图片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4164" cy="3383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6B8E6" w14:textId="77777777" w:rsidR="006C61C0" w:rsidRDefault="0000000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Figure S4. Differences in immune-related features between high and low CMLS groups.  </w:t>
      </w:r>
      <w:r>
        <w:rPr>
          <w:rFonts w:ascii="Times New Roman" w:hAnsi="Times New Roman" w:cs="Times New Roman"/>
          <w:b/>
          <w:bCs/>
          <w:sz w:val="20"/>
          <w:szCs w:val="20"/>
        </w:rPr>
        <w:t>(A)</w:t>
      </w:r>
      <w:r>
        <w:rPr>
          <w:rFonts w:ascii="Times New Roman" w:hAnsi="Times New Roman" w:cs="Times New Roman"/>
          <w:sz w:val="20"/>
          <w:szCs w:val="20"/>
        </w:rPr>
        <w:t xml:space="preserve"> Distribution of immune cell infiltration between high and low CMLS groups. High CMLS scores were associated with significantly increased infiltration of anti-tumor immune cells such as CD8⁺ T cells and M1 macrophages.</w:t>
      </w:r>
      <w:r>
        <w:rPr>
          <w:rFonts w:ascii="Times New Roman" w:hAnsi="Times New Roman" w:cs="Times New Roman" w:hint="eastAsia"/>
          <w:sz w:val="20"/>
          <w:szCs w:val="20"/>
        </w:rPr>
        <w:t xml:space="preserve"> 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(B) </w:t>
      </w:r>
      <w:r>
        <w:rPr>
          <w:rFonts w:ascii="Times New Roman" w:hAnsi="Times New Roman" w:cs="Times New Roman" w:hint="eastAsia"/>
          <w:sz w:val="20"/>
          <w:szCs w:val="20"/>
        </w:rPr>
        <w:t xml:space="preserve">Analysis of immunosuppressive features showed elevated levels of regulatory T cells (Tregs) and myeloid-derived suppressor cells (MDSCs) in the high CMLS group. 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(C) </w:t>
      </w:r>
      <w:r>
        <w:rPr>
          <w:rFonts w:ascii="Times New Roman" w:hAnsi="Times New Roman" w:cs="Times New Roman" w:hint="eastAsia"/>
          <w:sz w:val="20"/>
          <w:szCs w:val="20"/>
        </w:rPr>
        <w:t>Immune exclusion characteristics, including cancer-associated fibroblasts (CAFs) and TGF-</w:t>
      </w:r>
      <w:r>
        <w:rPr>
          <w:rFonts w:ascii="Times New Roman" w:hAnsi="Times New Roman" w:cs="Times New Roman" w:hint="eastAsia"/>
          <w:sz w:val="20"/>
          <w:szCs w:val="20"/>
        </w:rPr>
        <w:t>β</w:t>
      </w:r>
      <w:r>
        <w:rPr>
          <w:rFonts w:ascii="Times New Roman" w:hAnsi="Times New Roman" w:cs="Times New Roman" w:hint="eastAsia"/>
          <w:sz w:val="20"/>
          <w:szCs w:val="20"/>
        </w:rPr>
        <w:t xml:space="preserve"> signaling, were more prominent in the high CMLS group. 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(D) </w:t>
      </w:r>
      <w:r>
        <w:rPr>
          <w:rFonts w:ascii="Times New Roman" w:hAnsi="Times New Roman" w:cs="Times New Roman" w:hint="eastAsia"/>
          <w:sz w:val="20"/>
          <w:szCs w:val="20"/>
        </w:rPr>
        <w:t>Expression of immunotherapy-related biomarkers showed no significant differences between the two groups, although immune checkpoints such as PD-L1 were slightly elevated in the high CMLS group.</w:t>
      </w:r>
    </w:p>
    <w:p w14:paraId="12E00B20" w14:textId="77777777" w:rsidR="006C61C0" w:rsidRDefault="0000000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AD350D6" w14:textId="77777777" w:rsidR="006C61C0" w:rsidRDefault="0000000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DF362BA" wp14:editId="1B784725">
            <wp:extent cx="6188710" cy="5569585"/>
            <wp:effectExtent l="0" t="0" r="2540" b="0"/>
            <wp:docPr id="8541308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130874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556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0EC72" w14:textId="77777777" w:rsidR="006C61C0" w:rsidRDefault="0000000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Figure S5. Quality control and batch effect correction of single-cell RNA sequencing data.  (A) </w:t>
      </w:r>
      <w:r>
        <w:rPr>
          <w:rFonts w:ascii="Times New Roman" w:hAnsi="Times New Roman" w:cs="Times New Roman" w:hint="eastAsia"/>
          <w:sz w:val="20"/>
          <w:szCs w:val="20"/>
        </w:rPr>
        <w:t>Violin plots showing the distribution of nFeature_RNA, nCount_RNA, percent.mt, and percent.HB across different samples, used to assess overall cell quality.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 (B)</w:t>
      </w:r>
      <w:r>
        <w:rPr>
          <w:rFonts w:ascii="Times New Roman" w:hAnsi="Times New Roman" w:cs="Times New Roman" w:hint="eastAsia"/>
          <w:sz w:val="20"/>
          <w:szCs w:val="20"/>
        </w:rPr>
        <w:t xml:space="preserve"> Scatter plots illustrating the correlation between nCount_RNA and percent.mt (left) as well as nCount_RNA and nFeature_RNA (right); a strong positive correlation was observed between RNA count and feature number.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 (C) </w:t>
      </w:r>
      <w:r>
        <w:rPr>
          <w:rFonts w:ascii="Times New Roman" w:hAnsi="Times New Roman" w:cs="Times New Roman" w:hint="eastAsia"/>
          <w:sz w:val="20"/>
          <w:szCs w:val="20"/>
        </w:rPr>
        <w:t>Highly variable gene (HVG) selection plot, with red dots indicating HVGs selected for downstream dimensionality reduction and clustering.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 (D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–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E) </w:t>
      </w:r>
      <w:r>
        <w:rPr>
          <w:rFonts w:ascii="Times New Roman" w:hAnsi="Times New Roman" w:cs="Times New Roman" w:hint="eastAsia"/>
          <w:sz w:val="20"/>
          <w:szCs w:val="20"/>
        </w:rPr>
        <w:t>Dimensionality reduction results from PCA (D) and Harmony (E); Harmony correction effectively minimized batch effects, yielding more uniform distributions across samples.</w:t>
      </w:r>
    </w:p>
    <w:p w14:paraId="650BAEEC" w14:textId="77777777" w:rsidR="006C61C0" w:rsidRDefault="0000000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EE1ABD0" w14:textId="77777777" w:rsidR="006C61C0" w:rsidRDefault="0000000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br w:type="page"/>
      </w:r>
    </w:p>
    <w:p w14:paraId="20E37915" w14:textId="77777777" w:rsidR="006C61C0" w:rsidRDefault="0000000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064668A" wp14:editId="26BE795A">
            <wp:extent cx="6188710" cy="4628515"/>
            <wp:effectExtent l="0" t="0" r="2540" b="635"/>
            <wp:docPr id="65312725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127252" name="图片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62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8E28F" w14:textId="77777777" w:rsidR="006C61C0" w:rsidRDefault="00000000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Figure S6. Association between SHCBP1 expression and functional pathway activity.  (A)</w:t>
      </w:r>
      <w:r>
        <w:rPr>
          <w:rFonts w:ascii="Times New Roman" w:hAnsi="Times New Roman" w:cs="Times New Roman" w:hint="eastAsia"/>
          <w:sz w:val="20"/>
          <w:szCs w:val="20"/>
        </w:rPr>
        <w:t xml:space="preserve"> GSVA analysis revealed that high SHCBP1 expression is associated with the activation of proliferation-related pathways, including cell cycle, DNA repair, and mitosis, whereas low SHCBP1 expression is enriched in immune and developmental pathways.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 (B) </w:t>
      </w:r>
      <w:r>
        <w:rPr>
          <w:rFonts w:ascii="Times New Roman" w:hAnsi="Times New Roman" w:cs="Times New Roman" w:hint="eastAsia"/>
          <w:sz w:val="20"/>
          <w:szCs w:val="20"/>
        </w:rPr>
        <w:t>GSEA results showed that the high SHCBP1 expression group is significantly enriched in proliferative pathways such as the cell cycle and G2M checkpoint.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 (C) </w:t>
      </w:r>
      <w:r>
        <w:rPr>
          <w:rFonts w:ascii="Times New Roman" w:hAnsi="Times New Roman" w:cs="Times New Roman" w:hint="eastAsia"/>
          <w:sz w:val="20"/>
          <w:szCs w:val="20"/>
        </w:rPr>
        <w:t>In contrast, the low SHCBP1 expression group is enriched in immune-related pathways, including T cell receptor signaling and inflammatory response pathways.</w:t>
      </w:r>
    </w:p>
    <w:p w14:paraId="5708702C" w14:textId="77777777" w:rsidR="006C61C0" w:rsidRDefault="00000000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820E17B" w14:textId="5F8F596F" w:rsidR="006C61C0" w:rsidRDefault="00000000">
      <w:pPr>
        <w:widowControl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br w:type="page"/>
      </w:r>
    </w:p>
    <w:p w14:paraId="20771B8E" w14:textId="77777777" w:rsidR="006C61C0" w:rsidRDefault="006C61C0">
      <w:pPr>
        <w:rPr>
          <w:rFonts w:ascii="Times New Roman" w:hAnsi="Times New Roman" w:cs="Times New Roman"/>
          <w:sz w:val="20"/>
          <w:szCs w:val="20"/>
        </w:rPr>
      </w:pPr>
    </w:p>
    <w:sectPr w:rsidR="006C61C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2FA"/>
    <w:rsid w:val="00020016"/>
    <w:rsid w:val="00034A3F"/>
    <w:rsid w:val="00057755"/>
    <w:rsid w:val="000602FA"/>
    <w:rsid w:val="00072A6A"/>
    <w:rsid w:val="000C4785"/>
    <w:rsid w:val="000D57E3"/>
    <w:rsid w:val="000E1FF5"/>
    <w:rsid w:val="000E5C55"/>
    <w:rsid w:val="0012599D"/>
    <w:rsid w:val="001513E9"/>
    <w:rsid w:val="00160079"/>
    <w:rsid w:val="001E0C74"/>
    <w:rsid w:val="001F0145"/>
    <w:rsid w:val="001F2C38"/>
    <w:rsid w:val="00202F6A"/>
    <w:rsid w:val="0023670E"/>
    <w:rsid w:val="00237C27"/>
    <w:rsid w:val="002561AC"/>
    <w:rsid w:val="00275339"/>
    <w:rsid w:val="002761BD"/>
    <w:rsid w:val="00290E59"/>
    <w:rsid w:val="002939BC"/>
    <w:rsid w:val="003142E4"/>
    <w:rsid w:val="0032092B"/>
    <w:rsid w:val="003212FA"/>
    <w:rsid w:val="00331C32"/>
    <w:rsid w:val="003557EF"/>
    <w:rsid w:val="00357BBB"/>
    <w:rsid w:val="003647DF"/>
    <w:rsid w:val="003814C1"/>
    <w:rsid w:val="003B26C6"/>
    <w:rsid w:val="003E06CD"/>
    <w:rsid w:val="003F1188"/>
    <w:rsid w:val="003F7E15"/>
    <w:rsid w:val="0042012B"/>
    <w:rsid w:val="0042134F"/>
    <w:rsid w:val="004223EC"/>
    <w:rsid w:val="00443B90"/>
    <w:rsid w:val="00454F30"/>
    <w:rsid w:val="004553F1"/>
    <w:rsid w:val="004834E8"/>
    <w:rsid w:val="004A033D"/>
    <w:rsid w:val="005110D2"/>
    <w:rsid w:val="0051518E"/>
    <w:rsid w:val="005309E2"/>
    <w:rsid w:val="00597461"/>
    <w:rsid w:val="005A4F28"/>
    <w:rsid w:val="005D0309"/>
    <w:rsid w:val="0061309A"/>
    <w:rsid w:val="00625E1F"/>
    <w:rsid w:val="00651B0B"/>
    <w:rsid w:val="0066738B"/>
    <w:rsid w:val="006726F7"/>
    <w:rsid w:val="00685B9F"/>
    <w:rsid w:val="006873CE"/>
    <w:rsid w:val="006B6CE3"/>
    <w:rsid w:val="006C024E"/>
    <w:rsid w:val="006C0712"/>
    <w:rsid w:val="006C189A"/>
    <w:rsid w:val="006C2672"/>
    <w:rsid w:val="006C61C0"/>
    <w:rsid w:val="006E6957"/>
    <w:rsid w:val="00735F4E"/>
    <w:rsid w:val="0077487A"/>
    <w:rsid w:val="007D6872"/>
    <w:rsid w:val="007F57B8"/>
    <w:rsid w:val="00813A6F"/>
    <w:rsid w:val="0083163E"/>
    <w:rsid w:val="00872415"/>
    <w:rsid w:val="00891451"/>
    <w:rsid w:val="008938CA"/>
    <w:rsid w:val="00893A22"/>
    <w:rsid w:val="008D3EF3"/>
    <w:rsid w:val="009608C5"/>
    <w:rsid w:val="00987E46"/>
    <w:rsid w:val="00997E61"/>
    <w:rsid w:val="009A4F2A"/>
    <w:rsid w:val="009C175E"/>
    <w:rsid w:val="009C5563"/>
    <w:rsid w:val="009F2025"/>
    <w:rsid w:val="00A12343"/>
    <w:rsid w:val="00A15FA9"/>
    <w:rsid w:val="00A27377"/>
    <w:rsid w:val="00A275C2"/>
    <w:rsid w:val="00A30A07"/>
    <w:rsid w:val="00A347B1"/>
    <w:rsid w:val="00A46F00"/>
    <w:rsid w:val="00A83453"/>
    <w:rsid w:val="00A85394"/>
    <w:rsid w:val="00AA09AA"/>
    <w:rsid w:val="00AE3252"/>
    <w:rsid w:val="00B0239F"/>
    <w:rsid w:val="00B168E5"/>
    <w:rsid w:val="00B25461"/>
    <w:rsid w:val="00B415CE"/>
    <w:rsid w:val="00B56B73"/>
    <w:rsid w:val="00B72FF6"/>
    <w:rsid w:val="00B942F5"/>
    <w:rsid w:val="00BE1E1B"/>
    <w:rsid w:val="00BE460E"/>
    <w:rsid w:val="00BE7993"/>
    <w:rsid w:val="00C43D8E"/>
    <w:rsid w:val="00C662B2"/>
    <w:rsid w:val="00C724EC"/>
    <w:rsid w:val="00C734B6"/>
    <w:rsid w:val="00CB22BB"/>
    <w:rsid w:val="00CB2ACF"/>
    <w:rsid w:val="00CB6C85"/>
    <w:rsid w:val="00CC614A"/>
    <w:rsid w:val="00CE49A6"/>
    <w:rsid w:val="00D1566B"/>
    <w:rsid w:val="00D216E2"/>
    <w:rsid w:val="00D40DBF"/>
    <w:rsid w:val="00D760CD"/>
    <w:rsid w:val="00DC22C5"/>
    <w:rsid w:val="00DC7C1F"/>
    <w:rsid w:val="00DD0148"/>
    <w:rsid w:val="00E03AF9"/>
    <w:rsid w:val="00E309C2"/>
    <w:rsid w:val="00EC115D"/>
    <w:rsid w:val="00EE107C"/>
    <w:rsid w:val="00F0147B"/>
    <w:rsid w:val="00F064E0"/>
    <w:rsid w:val="00F47B1F"/>
    <w:rsid w:val="00FC15EC"/>
    <w:rsid w:val="1AC90D06"/>
    <w:rsid w:val="4E577EB0"/>
    <w:rsid w:val="50BE19B5"/>
    <w:rsid w:val="717F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9186316"/>
  <w15:docId w15:val="{70F44FE6-54DC-4919-8D56-DCC665CE6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paragraph" w:customStyle="1" w:styleId="Bibliography1">
    <w:name w:val="Bibliography1"/>
    <w:basedOn w:val="Normal"/>
    <w:next w:val="Normal"/>
    <w:uiPriority w:val="37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tiff"/><Relationship Id="rId5" Type="http://schemas.openxmlformats.org/officeDocument/2006/relationships/image" Target="media/image2.png"/><Relationship Id="rId10" Type="http://schemas.openxmlformats.org/officeDocument/2006/relationships/image" Target="media/image7.tiff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459</Words>
  <Characters>2622</Characters>
  <Application>Microsoft Office Word</Application>
  <DocSecurity>0</DocSecurity>
  <Lines>21</Lines>
  <Paragraphs>6</Paragraphs>
  <ScaleCrop>false</ScaleCrop>
  <Company>Springer Nature</Company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锦涛 吴</dc:creator>
  <cp:lastModifiedBy>Nilesh Nawale</cp:lastModifiedBy>
  <cp:revision>2</cp:revision>
  <dcterms:created xsi:type="dcterms:W3CDTF">2025-05-26T09:55:00Z</dcterms:created>
  <dcterms:modified xsi:type="dcterms:W3CDTF">2025-05-26T09:55:00Z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eyJoZGlkIjoiNjU3YjFhZjNmYWUyYjFmNTEzNGNjMDlmMmM3YTdjODciLCJ1c2VySWQiOiIyNjQ2OTA0ODQifQ==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6FD6261A268647338AEF3CAD7D35F21A_12</vt:lpwstr>
  </property>
</Properties>
</file>