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465E4F" w14:textId="77777777" w:rsidR="00752E6F" w:rsidRPr="008F01FA" w:rsidRDefault="00752E6F" w:rsidP="00752E6F">
      <w:pPr>
        <w:spacing w:line="360" w:lineRule="auto"/>
        <w:jc w:val="both"/>
        <w:rPr>
          <w:rFonts w:ascii="Times New Roman" w:eastAsia="Arial" w:hAnsi="Times New Roman" w:cs="Times New Roman"/>
          <w:color w:val="222222"/>
          <w:sz w:val="22"/>
          <w:szCs w:val="22"/>
        </w:rPr>
      </w:pPr>
    </w:p>
    <w:p w14:paraId="579CDCD5" w14:textId="77777777" w:rsidR="00752E6F" w:rsidRPr="008F01FA" w:rsidRDefault="00752E6F" w:rsidP="00752E6F">
      <w:pPr>
        <w:spacing w:line="360" w:lineRule="auto"/>
        <w:jc w:val="both"/>
        <w:rPr>
          <w:rFonts w:ascii="Times New Roman" w:eastAsia="Arial" w:hAnsi="Times New Roman" w:cs="Times New Roman"/>
          <w:color w:val="222222"/>
          <w:sz w:val="22"/>
          <w:szCs w:val="22"/>
        </w:rPr>
      </w:pPr>
    </w:p>
    <w:p w14:paraId="37D0B2F1" w14:textId="77777777" w:rsidR="00752E6F" w:rsidRPr="008F01FA" w:rsidRDefault="00752E6F" w:rsidP="00752E6F">
      <w:pPr>
        <w:spacing w:line="360" w:lineRule="auto"/>
        <w:jc w:val="both"/>
        <w:rPr>
          <w:rFonts w:ascii="Times New Roman" w:eastAsia="Arial" w:hAnsi="Times New Roman" w:cs="Times New Roman"/>
          <w:color w:val="222222"/>
          <w:sz w:val="22"/>
          <w:szCs w:val="22"/>
        </w:rPr>
      </w:pPr>
    </w:p>
    <w:p w14:paraId="5C6DA00A" w14:textId="77777777" w:rsidR="00752E6F" w:rsidRPr="008F01FA" w:rsidRDefault="00752E6F" w:rsidP="00752E6F">
      <w:pPr>
        <w:autoSpaceDE w:val="0"/>
        <w:autoSpaceDN w:val="0"/>
        <w:adjustRightInd w:val="0"/>
        <w:spacing w:line="360" w:lineRule="auto"/>
        <w:jc w:val="center"/>
        <w:rPr>
          <w:rFonts w:ascii="Times New Roman" w:hAnsi="Times New Roman" w:cs="Times New Roman"/>
          <w:b/>
          <w:bCs/>
          <w:color w:val="000000" w:themeColor="text1"/>
          <w:sz w:val="22"/>
          <w:szCs w:val="22"/>
        </w:rPr>
      </w:pPr>
      <w:r w:rsidRPr="008F01FA">
        <w:rPr>
          <w:rFonts w:ascii="Times New Roman" w:hAnsi="Times New Roman" w:cs="Times New Roman"/>
          <w:b/>
          <w:bCs/>
          <w:sz w:val="22"/>
          <w:szCs w:val="22"/>
        </w:rPr>
        <w:t xml:space="preserve">Anomalies in effective connectivity explain different </w:t>
      </w:r>
      <w:r w:rsidRPr="008F01FA">
        <w:rPr>
          <w:rFonts w:ascii="Times New Roman" w:hAnsi="Times New Roman" w:cs="Times New Roman"/>
          <w:b/>
          <w:bCs/>
          <w:color w:val="000000" w:themeColor="text1"/>
          <w:sz w:val="22"/>
          <w:szCs w:val="22"/>
        </w:rPr>
        <w:t xml:space="preserve">hallucination subtypes </w:t>
      </w:r>
      <w:r w:rsidRPr="008F01FA">
        <w:rPr>
          <w:rFonts w:ascii="Times New Roman" w:hAnsi="Times New Roman" w:cs="Times New Roman"/>
          <w:b/>
          <w:bCs/>
          <w:sz w:val="22"/>
          <w:szCs w:val="22"/>
        </w:rPr>
        <w:t>in Parkinson’s disease psychosis</w:t>
      </w:r>
      <w:r w:rsidRPr="008F01FA">
        <w:rPr>
          <w:rFonts w:ascii="Times New Roman" w:hAnsi="Times New Roman" w:cs="Times New Roman"/>
          <w:b/>
          <w:bCs/>
          <w:color w:val="000000" w:themeColor="text1"/>
          <w:sz w:val="22"/>
          <w:szCs w:val="22"/>
        </w:rPr>
        <w:t xml:space="preserve"> </w:t>
      </w:r>
    </w:p>
    <w:p w14:paraId="74A18D53" w14:textId="77777777" w:rsidR="00752E6F" w:rsidRPr="008F01FA" w:rsidRDefault="00752E6F" w:rsidP="00752E6F">
      <w:pPr>
        <w:autoSpaceDE w:val="0"/>
        <w:autoSpaceDN w:val="0"/>
        <w:adjustRightInd w:val="0"/>
        <w:spacing w:line="360" w:lineRule="auto"/>
        <w:jc w:val="center"/>
        <w:rPr>
          <w:rFonts w:ascii="Times New Roman" w:hAnsi="Times New Roman" w:cs="Times New Roman"/>
          <w:b/>
          <w:bCs/>
          <w:color w:val="000000" w:themeColor="text1"/>
          <w:sz w:val="22"/>
          <w:szCs w:val="22"/>
        </w:rPr>
      </w:pPr>
      <w:r w:rsidRPr="008F01FA">
        <w:rPr>
          <w:rFonts w:ascii="Times New Roman" w:hAnsi="Times New Roman" w:cs="Times New Roman"/>
          <w:b/>
          <w:bCs/>
          <w:color w:val="000000" w:themeColor="text1"/>
          <w:sz w:val="22"/>
          <w:szCs w:val="22"/>
        </w:rPr>
        <w:t>. . .</w:t>
      </w:r>
    </w:p>
    <w:p w14:paraId="74B7A65B" w14:textId="77777777" w:rsidR="00752E6F" w:rsidRPr="008F01FA" w:rsidRDefault="00752E6F" w:rsidP="00752E6F">
      <w:pPr>
        <w:spacing w:line="360" w:lineRule="auto"/>
        <w:jc w:val="center"/>
        <w:rPr>
          <w:rFonts w:ascii="Times New Roman" w:hAnsi="Times New Roman" w:cs="Times New Roman"/>
          <w:b/>
          <w:bCs/>
          <w:color w:val="000000" w:themeColor="text1"/>
          <w:sz w:val="22"/>
          <w:szCs w:val="22"/>
        </w:rPr>
      </w:pPr>
      <w:r w:rsidRPr="008F01FA">
        <w:rPr>
          <w:rFonts w:ascii="Times New Roman" w:hAnsi="Times New Roman" w:cs="Times New Roman"/>
          <w:b/>
          <w:bCs/>
          <w:color w:val="000000" w:themeColor="text1"/>
          <w:sz w:val="22"/>
          <w:szCs w:val="22"/>
        </w:rPr>
        <w:t>Supplementary Information</w:t>
      </w:r>
    </w:p>
    <w:p w14:paraId="4475DEFA"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p>
    <w:p w14:paraId="78F808A4" w14:textId="1C605E67"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1. Study design details, hallucinations questionnaires and patients' clinical information and screening procedures</w:t>
      </w:r>
      <w:r w:rsidR="00E12B92">
        <w:rPr>
          <w:rFonts w:ascii="Times New Roman" w:hAnsi="Times New Roman" w:cs="Times New Roman"/>
          <w:i/>
          <w:iCs/>
          <w:color w:val="000000" w:themeColor="text1"/>
          <w:sz w:val="22"/>
          <w:szCs w:val="22"/>
        </w:rPr>
        <w:t xml:space="preserve"> ………………………………………………………………………………………………………………1</w:t>
      </w:r>
    </w:p>
    <w:p w14:paraId="5E706407" w14:textId="4196B99E"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 xml:space="preserve">2. EEG task and preprocessing details </w:t>
      </w:r>
      <w:r w:rsidR="00E12B92">
        <w:rPr>
          <w:rFonts w:ascii="Times New Roman" w:hAnsi="Times New Roman" w:cs="Times New Roman"/>
          <w:i/>
          <w:iCs/>
          <w:color w:val="000000" w:themeColor="text1"/>
          <w:sz w:val="22"/>
          <w:szCs w:val="22"/>
        </w:rPr>
        <w:t>…………………………………………………………………………... 2</w:t>
      </w:r>
    </w:p>
    <w:p w14:paraId="18BA4254" w14:textId="5CC7D61F"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 xml:space="preserve">3. Analysis in sensor space </w:t>
      </w:r>
      <w:r w:rsidR="00E12B92">
        <w:rPr>
          <w:rFonts w:ascii="Times New Roman" w:hAnsi="Times New Roman" w:cs="Times New Roman"/>
          <w:i/>
          <w:iCs/>
          <w:color w:val="000000" w:themeColor="text1"/>
          <w:sz w:val="22"/>
          <w:szCs w:val="22"/>
        </w:rPr>
        <w:t>………………………………………………………………………………………... 6</w:t>
      </w:r>
    </w:p>
    <w:p w14:paraId="3C8F4591" w14:textId="4EDCA316"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 xml:space="preserve">4. Additional details on source reconstruction </w:t>
      </w:r>
      <w:r w:rsidR="00E12B92">
        <w:rPr>
          <w:rFonts w:ascii="Times New Roman" w:hAnsi="Times New Roman" w:cs="Times New Roman"/>
          <w:i/>
          <w:iCs/>
          <w:color w:val="000000" w:themeColor="text1"/>
          <w:sz w:val="22"/>
          <w:szCs w:val="22"/>
        </w:rPr>
        <w:t>………………………………………………………………</w:t>
      </w:r>
      <w:proofErr w:type="gramStart"/>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w:t>
      </w:r>
      <w:proofErr w:type="gramEnd"/>
      <w:r w:rsidR="00E12B92">
        <w:rPr>
          <w:rFonts w:ascii="Times New Roman" w:hAnsi="Times New Roman" w:cs="Times New Roman"/>
          <w:i/>
          <w:iCs/>
          <w:color w:val="000000" w:themeColor="text1"/>
          <w:sz w:val="22"/>
          <w:szCs w:val="22"/>
        </w:rPr>
        <w:t xml:space="preserve"> </w:t>
      </w:r>
      <w:r w:rsidR="00E12B92">
        <w:rPr>
          <w:rFonts w:ascii="Times New Roman" w:hAnsi="Times New Roman" w:cs="Times New Roman"/>
          <w:i/>
          <w:iCs/>
          <w:color w:val="000000" w:themeColor="text1"/>
          <w:sz w:val="22"/>
          <w:szCs w:val="22"/>
        </w:rPr>
        <w:t>7</w:t>
      </w:r>
    </w:p>
    <w:p w14:paraId="5F6C963A" w14:textId="526EA178"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 xml:space="preserve">5. Individual DCMs specification details </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 xml:space="preserve"> </w:t>
      </w:r>
      <w:r w:rsidR="00E12B92">
        <w:rPr>
          <w:rFonts w:ascii="Times New Roman" w:hAnsi="Times New Roman" w:cs="Times New Roman"/>
          <w:i/>
          <w:iCs/>
          <w:color w:val="000000" w:themeColor="text1"/>
          <w:sz w:val="22"/>
          <w:szCs w:val="22"/>
        </w:rPr>
        <w:t>11</w:t>
      </w:r>
    </w:p>
    <w:p w14:paraId="63CC2501" w14:textId="4FA26984"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 xml:space="preserve">6. PEB analysis specification and recursive PEB details </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 xml:space="preserve"> </w:t>
      </w:r>
      <w:r w:rsidR="00E12B92">
        <w:rPr>
          <w:rFonts w:ascii="Times New Roman" w:hAnsi="Times New Roman" w:cs="Times New Roman"/>
          <w:i/>
          <w:iCs/>
          <w:color w:val="000000" w:themeColor="text1"/>
          <w:sz w:val="22"/>
          <w:szCs w:val="22"/>
        </w:rPr>
        <w:t>14</w:t>
      </w:r>
    </w:p>
    <w:p w14:paraId="29B493D2" w14:textId="2BBDF7FE"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7. Individual regression analyses</w:t>
      </w:r>
      <w:r w:rsidR="00E12B92">
        <w:rPr>
          <w:rFonts w:ascii="Times New Roman" w:hAnsi="Times New Roman" w:cs="Times New Roman"/>
          <w:i/>
          <w:iCs/>
          <w:color w:val="000000" w:themeColor="text1"/>
          <w:sz w:val="22"/>
          <w:szCs w:val="22"/>
        </w:rPr>
        <w:t xml:space="preserve"> </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 xml:space="preserve"> </w:t>
      </w:r>
      <w:r w:rsidR="00E12B92">
        <w:rPr>
          <w:rFonts w:ascii="Times New Roman" w:hAnsi="Times New Roman" w:cs="Times New Roman"/>
          <w:i/>
          <w:iCs/>
          <w:color w:val="000000" w:themeColor="text1"/>
          <w:sz w:val="22"/>
          <w:szCs w:val="22"/>
        </w:rPr>
        <w:t>17</w:t>
      </w:r>
    </w:p>
    <w:p w14:paraId="0F97ADD1" w14:textId="23808185"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 xml:space="preserve">8. Details on multiple regression LOOCV models </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 xml:space="preserve"> 1</w:t>
      </w:r>
      <w:r w:rsidR="00E12B92">
        <w:rPr>
          <w:rFonts w:ascii="Times New Roman" w:hAnsi="Times New Roman" w:cs="Times New Roman"/>
          <w:i/>
          <w:iCs/>
          <w:color w:val="000000" w:themeColor="text1"/>
          <w:sz w:val="22"/>
          <w:szCs w:val="22"/>
        </w:rPr>
        <w:t>8</w:t>
      </w:r>
    </w:p>
    <w:p w14:paraId="48F3EC30" w14:textId="168A2AE1"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 xml:space="preserve">9. Additional details on neural sources analyses </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 xml:space="preserve"> </w:t>
      </w:r>
      <w:r w:rsidR="00E12B92">
        <w:rPr>
          <w:rFonts w:ascii="Times New Roman" w:hAnsi="Times New Roman" w:cs="Times New Roman"/>
          <w:i/>
          <w:iCs/>
          <w:color w:val="000000" w:themeColor="text1"/>
          <w:sz w:val="22"/>
          <w:szCs w:val="22"/>
        </w:rPr>
        <w:t>20</w:t>
      </w:r>
    </w:p>
    <w:p w14:paraId="50B8CF4B" w14:textId="24C5F961"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 xml:space="preserve">10. Simulations details </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w:t>
      </w:r>
      <w:r w:rsidR="00E12B92">
        <w:rPr>
          <w:rFonts w:ascii="Times New Roman" w:hAnsi="Times New Roman" w:cs="Times New Roman"/>
          <w:i/>
          <w:iCs/>
          <w:color w:val="000000" w:themeColor="text1"/>
          <w:sz w:val="22"/>
          <w:szCs w:val="22"/>
        </w:rPr>
        <w:t xml:space="preserve"> </w:t>
      </w:r>
      <w:r w:rsidR="00E12B92">
        <w:rPr>
          <w:rFonts w:ascii="Times New Roman" w:hAnsi="Times New Roman" w:cs="Times New Roman"/>
          <w:i/>
          <w:iCs/>
          <w:color w:val="000000" w:themeColor="text1"/>
          <w:sz w:val="22"/>
          <w:szCs w:val="22"/>
        </w:rPr>
        <w:t>22</w:t>
      </w:r>
    </w:p>
    <w:p w14:paraId="4A6FB0EC" w14:textId="57628326"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1</w:t>
      </w:r>
      <w:r w:rsidR="00C1142B">
        <w:rPr>
          <w:rFonts w:ascii="Times New Roman" w:hAnsi="Times New Roman" w:cs="Times New Roman"/>
          <w:i/>
          <w:iCs/>
          <w:color w:val="000000" w:themeColor="text1"/>
          <w:sz w:val="22"/>
          <w:szCs w:val="22"/>
        </w:rPr>
        <w:t>1</w:t>
      </w:r>
      <w:r w:rsidRPr="008F01FA">
        <w:rPr>
          <w:rFonts w:ascii="Times New Roman" w:hAnsi="Times New Roman" w:cs="Times New Roman"/>
          <w:i/>
          <w:iCs/>
          <w:color w:val="000000" w:themeColor="text1"/>
          <w:sz w:val="22"/>
          <w:szCs w:val="22"/>
        </w:rPr>
        <w:t xml:space="preserve">. Dorsal model analyses and details </w:t>
      </w:r>
      <w:r w:rsidR="00E12B92">
        <w:rPr>
          <w:rFonts w:ascii="Times New Roman" w:hAnsi="Times New Roman" w:cs="Times New Roman"/>
          <w:i/>
          <w:iCs/>
          <w:color w:val="000000" w:themeColor="text1"/>
          <w:sz w:val="22"/>
          <w:szCs w:val="22"/>
        </w:rPr>
        <w:t xml:space="preserve">………………………………………………………………................ </w:t>
      </w:r>
      <w:r w:rsidR="00E12B92">
        <w:rPr>
          <w:rFonts w:ascii="Times New Roman" w:hAnsi="Times New Roman" w:cs="Times New Roman"/>
          <w:i/>
          <w:iCs/>
          <w:color w:val="000000" w:themeColor="text1"/>
          <w:sz w:val="22"/>
          <w:szCs w:val="22"/>
        </w:rPr>
        <w:t>24</w:t>
      </w:r>
    </w:p>
    <w:p w14:paraId="39E31DAF" w14:textId="56428769"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w:t>
      </w:r>
      <w:r w:rsidR="00E12B92">
        <w:rPr>
          <w:rFonts w:ascii="Times New Roman" w:hAnsi="Times New Roman" w:cs="Times New Roman"/>
          <w:i/>
          <w:iCs/>
          <w:color w:val="000000" w:themeColor="text1"/>
          <w:sz w:val="22"/>
          <w:szCs w:val="22"/>
        </w:rPr>
        <w:t>I</w:t>
      </w:r>
      <w:r w:rsidRPr="008F01FA">
        <w:rPr>
          <w:rFonts w:ascii="Times New Roman" w:hAnsi="Times New Roman" w:cs="Times New Roman"/>
          <w:i/>
          <w:iCs/>
          <w:color w:val="000000" w:themeColor="text1"/>
          <w:sz w:val="22"/>
          <w:szCs w:val="22"/>
        </w:rPr>
        <w:t>1</w:t>
      </w:r>
      <w:r w:rsidR="00C1142B">
        <w:rPr>
          <w:rFonts w:ascii="Times New Roman" w:hAnsi="Times New Roman" w:cs="Times New Roman"/>
          <w:i/>
          <w:iCs/>
          <w:color w:val="000000" w:themeColor="text1"/>
          <w:sz w:val="22"/>
          <w:szCs w:val="22"/>
        </w:rPr>
        <w:t>2</w:t>
      </w:r>
      <w:r w:rsidRPr="008F01FA">
        <w:rPr>
          <w:rFonts w:ascii="Times New Roman" w:hAnsi="Times New Roman" w:cs="Times New Roman"/>
          <w:i/>
          <w:iCs/>
          <w:color w:val="000000" w:themeColor="text1"/>
          <w:sz w:val="22"/>
          <w:szCs w:val="22"/>
        </w:rPr>
        <w:t xml:space="preserve">. EEG source reconstructed signal and PET binding atlases analysis </w:t>
      </w:r>
      <w:r w:rsidR="00E12B92">
        <w:rPr>
          <w:rFonts w:ascii="Times New Roman" w:hAnsi="Times New Roman" w:cs="Times New Roman"/>
          <w:i/>
          <w:iCs/>
          <w:color w:val="000000" w:themeColor="text1"/>
          <w:sz w:val="22"/>
          <w:szCs w:val="22"/>
        </w:rPr>
        <w:t xml:space="preserve">……………………………………27 </w:t>
      </w:r>
    </w:p>
    <w:p w14:paraId="58F69525" w14:textId="1DA136E7"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Supplementary References</w:t>
      </w:r>
      <w:r w:rsidR="00E12B92">
        <w:rPr>
          <w:rFonts w:ascii="Times New Roman" w:hAnsi="Times New Roman" w:cs="Times New Roman"/>
          <w:i/>
          <w:iCs/>
          <w:color w:val="000000" w:themeColor="text1"/>
          <w:sz w:val="22"/>
          <w:szCs w:val="22"/>
        </w:rPr>
        <w:t xml:space="preserve"> …………………………………………………………………………………………. 31</w:t>
      </w:r>
    </w:p>
    <w:p w14:paraId="06C48CBA"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3D577EB5"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60A4B600"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29E70C72"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1FD54137"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53339F9D"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7E7F328E"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70C380B2"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172D2A52"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3ABD56CB"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0CB77CC5"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763A4EEE"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35F2F799"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45117B14"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4AAB8794"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317D2663"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293673D7" w14:textId="77777777" w:rsidR="00752E6F" w:rsidRPr="008F01FA" w:rsidRDefault="00752E6F" w:rsidP="00752E6F">
      <w:pPr>
        <w:spacing w:line="360" w:lineRule="auto"/>
        <w:jc w:val="both"/>
        <w:rPr>
          <w:rFonts w:ascii="Times New Roman" w:hAnsi="Times New Roman" w:cs="Times New Roman"/>
          <w:b/>
          <w:bCs/>
          <w:i/>
          <w:iCs/>
          <w:color w:val="000000" w:themeColor="text1"/>
          <w:sz w:val="22"/>
          <w:szCs w:val="22"/>
        </w:rPr>
      </w:pPr>
      <w:r w:rsidRPr="008F01FA">
        <w:rPr>
          <w:rFonts w:ascii="Times New Roman" w:hAnsi="Times New Roman" w:cs="Times New Roman"/>
          <w:b/>
          <w:bCs/>
          <w:i/>
          <w:iCs/>
          <w:color w:val="000000" w:themeColor="text1"/>
          <w:sz w:val="22"/>
          <w:szCs w:val="22"/>
        </w:rPr>
        <w:t xml:space="preserve">SI1. Study design details, hallucinations questionnaires and patients' clinical information and screening procedures. </w:t>
      </w:r>
    </w:p>
    <w:p w14:paraId="2906CAB6"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sz w:val="22"/>
          <w:szCs w:val="22"/>
        </w:rPr>
        <w:t>The study was pre-registered (</w:t>
      </w:r>
      <w:r w:rsidRPr="008F01FA">
        <w:rPr>
          <w:rFonts w:ascii="Times New Roman" w:hAnsi="Times New Roman" w:cs="Times New Roman"/>
          <w:color w:val="000000" w:themeColor="text1"/>
          <w:sz w:val="22"/>
          <w:szCs w:val="22"/>
        </w:rPr>
        <w:t>Open Science Framework registration: https://osf.io/q9x7v</w:t>
      </w:r>
      <w:r w:rsidRPr="008F01FA">
        <w:rPr>
          <w:rFonts w:ascii="Times New Roman" w:hAnsi="Times New Roman" w:cs="Times New Roman"/>
          <w:color w:val="000000"/>
          <w:sz w:val="22"/>
          <w:szCs w:val="22"/>
        </w:rPr>
        <w:t xml:space="preserve">). At the time of the pre-registration, we envisioned only ERP analyses of </w:t>
      </w:r>
      <w:proofErr w:type="spellStart"/>
      <w:proofErr w:type="gramStart"/>
      <w:r w:rsidRPr="008F01FA">
        <w:rPr>
          <w:rFonts w:ascii="Times New Roman" w:hAnsi="Times New Roman" w:cs="Times New Roman"/>
          <w:color w:val="000000"/>
          <w:sz w:val="22"/>
          <w:szCs w:val="22"/>
        </w:rPr>
        <w:t>vMMN</w:t>
      </w:r>
      <w:proofErr w:type="spellEnd"/>
      <w:proofErr w:type="gramEnd"/>
      <w:r w:rsidRPr="008F01FA">
        <w:rPr>
          <w:rFonts w:ascii="Times New Roman" w:hAnsi="Times New Roman" w:cs="Times New Roman"/>
          <w:color w:val="000000"/>
          <w:sz w:val="22"/>
          <w:szCs w:val="22"/>
        </w:rPr>
        <w:t xml:space="preserve"> and DCM was not included in the original analysis plan. All the procedures here described are detailed in Vignando et al., 2024. </w:t>
      </w:r>
    </w:p>
    <w:p w14:paraId="049B6629" w14:textId="77777777" w:rsidR="00752E6F" w:rsidRPr="008F01FA" w:rsidRDefault="00752E6F" w:rsidP="00752E6F">
      <w:pPr>
        <w:autoSpaceDE w:val="0"/>
        <w:autoSpaceDN w:val="0"/>
        <w:adjustRightInd w:val="0"/>
        <w:spacing w:line="360" w:lineRule="auto"/>
        <w:jc w:val="both"/>
        <w:rPr>
          <w:rFonts w:ascii="Times New Roman" w:hAnsi="Times New Roman" w:cs="Times New Roman"/>
          <w:color w:val="000000"/>
          <w:sz w:val="22"/>
          <w:szCs w:val="22"/>
        </w:rPr>
      </w:pPr>
      <w:r w:rsidRPr="008F01FA">
        <w:rPr>
          <w:rFonts w:ascii="Times New Roman" w:hAnsi="Times New Roman" w:cs="Times New Roman"/>
          <w:color w:val="000000" w:themeColor="text1"/>
          <w:sz w:val="22"/>
          <w:szCs w:val="22"/>
        </w:rPr>
        <w:t xml:space="preserve">Recruitment. </w:t>
      </w:r>
      <w:r w:rsidRPr="008F01FA">
        <w:rPr>
          <w:rFonts w:ascii="Times New Roman" w:hAnsi="Times New Roman" w:cs="Times New Roman"/>
          <w:color w:val="000000"/>
          <w:sz w:val="22"/>
          <w:szCs w:val="22"/>
        </w:rPr>
        <w:t>Participants were recruited through the Parkinson’s centre of excellence at King’s College Hospital, Imperial College Charing Cross Hospital and Cambridge University Hospitals NHS Trust. We also recruited from a previous PD-VH study carried out at KCL (Renouf et al., 2018). We enrolled 19 PD-</w:t>
      </w:r>
      <w:proofErr w:type="spellStart"/>
      <w:r w:rsidRPr="008F01FA">
        <w:rPr>
          <w:rFonts w:ascii="Times New Roman" w:hAnsi="Times New Roman" w:cs="Times New Roman"/>
          <w:color w:val="000000"/>
          <w:sz w:val="22"/>
          <w:szCs w:val="22"/>
        </w:rPr>
        <w:t>noVH</w:t>
      </w:r>
      <w:proofErr w:type="spellEnd"/>
      <w:r w:rsidRPr="008F01FA">
        <w:rPr>
          <w:rFonts w:ascii="Times New Roman" w:hAnsi="Times New Roman" w:cs="Times New Roman"/>
          <w:color w:val="000000"/>
          <w:sz w:val="22"/>
          <w:szCs w:val="22"/>
        </w:rPr>
        <w:t xml:space="preserve"> and 21 PD-VH. Two participants were excluded due to noise affecting the quality of the data. The final sample comprises 18 PD-</w:t>
      </w:r>
      <w:proofErr w:type="spellStart"/>
      <w:r w:rsidRPr="008F01FA">
        <w:rPr>
          <w:rFonts w:ascii="Times New Roman" w:hAnsi="Times New Roman" w:cs="Times New Roman"/>
          <w:color w:val="000000"/>
          <w:sz w:val="22"/>
          <w:szCs w:val="22"/>
        </w:rPr>
        <w:t>noVH</w:t>
      </w:r>
      <w:proofErr w:type="spellEnd"/>
      <w:r w:rsidRPr="008F01FA">
        <w:rPr>
          <w:rFonts w:ascii="Times New Roman" w:hAnsi="Times New Roman" w:cs="Times New Roman"/>
          <w:color w:val="000000"/>
          <w:sz w:val="22"/>
          <w:szCs w:val="22"/>
        </w:rPr>
        <w:t xml:space="preserve"> and 20 PD-VH. </w:t>
      </w:r>
    </w:p>
    <w:p w14:paraId="58AAF5A8"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Screening. We pre-screened participants by phone to check for main inclusion and exclusion criteria; eligible participants underwent a study day at the clinical research facility (CRF) of King’s College Hospital. After taking consent, first we collected participants’ medical history, information medication, cognitive testing and psychiatric questionnaires. The study physician conducted the physical and non-motor symptoms examinations.  Finally, participants completed the EEG procedure. </w:t>
      </w:r>
      <w:r w:rsidRPr="008F01FA">
        <w:rPr>
          <w:rFonts w:ascii="Times New Roman" w:hAnsi="Times New Roman" w:cs="Times New Roman"/>
          <w:color w:val="000000" w:themeColor="text1"/>
          <w:sz w:val="22"/>
          <w:szCs w:val="22"/>
          <w:lang w:val="en-US"/>
        </w:rPr>
        <w:t xml:space="preserve">13 participants had a phone screening during the pandemic rather than the standard in-person screening; in these </w:t>
      </w:r>
      <w:proofErr w:type="gramStart"/>
      <w:r w:rsidRPr="008F01FA">
        <w:rPr>
          <w:rFonts w:ascii="Times New Roman" w:hAnsi="Times New Roman" w:cs="Times New Roman"/>
          <w:color w:val="000000" w:themeColor="text1"/>
          <w:sz w:val="22"/>
          <w:szCs w:val="22"/>
          <w:lang w:val="en-US"/>
        </w:rPr>
        <w:t>cases</w:t>
      </w:r>
      <w:proofErr w:type="gramEnd"/>
      <w:r w:rsidRPr="008F01FA">
        <w:rPr>
          <w:rFonts w:ascii="Times New Roman" w:hAnsi="Times New Roman" w:cs="Times New Roman"/>
          <w:color w:val="000000" w:themeColor="text1"/>
          <w:sz w:val="22"/>
          <w:szCs w:val="22"/>
          <w:lang w:val="en-US"/>
        </w:rPr>
        <w:t xml:space="preserve"> we administered the blind MoCA and converted the score to the full MoCA (Melikyan et al., 2021) </w:t>
      </w:r>
      <w:proofErr w:type="gramStart"/>
      <w:r w:rsidRPr="008F01FA">
        <w:rPr>
          <w:rFonts w:ascii="Times New Roman" w:hAnsi="Times New Roman" w:cs="Times New Roman"/>
          <w:color w:val="000000" w:themeColor="text1"/>
          <w:sz w:val="22"/>
          <w:szCs w:val="22"/>
          <w:lang w:val="en-US"/>
        </w:rPr>
        <w:t>in order to</w:t>
      </w:r>
      <w:proofErr w:type="gramEnd"/>
      <w:r w:rsidRPr="008F01FA">
        <w:rPr>
          <w:rFonts w:ascii="Times New Roman" w:hAnsi="Times New Roman" w:cs="Times New Roman"/>
          <w:color w:val="000000" w:themeColor="text1"/>
          <w:sz w:val="22"/>
          <w:szCs w:val="22"/>
          <w:lang w:val="en-US"/>
        </w:rPr>
        <w:t xml:space="preserve"> confirm eligibility (MoCA &gt;22). One of the participants did not undergo the SCOPA-motor scale, which was the motor symptom scale chosen for this study; </w:t>
      </w:r>
      <w:proofErr w:type="gramStart"/>
      <w:r w:rsidRPr="008F01FA">
        <w:rPr>
          <w:rFonts w:ascii="Times New Roman" w:hAnsi="Times New Roman" w:cs="Times New Roman"/>
          <w:color w:val="000000" w:themeColor="text1"/>
          <w:sz w:val="22"/>
          <w:szCs w:val="22"/>
          <w:lang w:val="en-US"/>
        </w:rPr>
        <w:t>however</w:t>
      </w:r>
      <w:proofErr w:type="gramEnd"/>
      <w:r w:rsidRPr="008F01FA">
        <w:rPr>
          <w:rFonts w:ascii="Times New Roman" w:hAnsi="Times New Roman" w:cs="Times New Roman"/>
          <w:color w:val="000000" w:themeColor="text1"/>
          <w:sz w:val="22"/>
          <w:szCs w:val="22"/>
          <w:lang w:val="en-US"/>
        </w:rPr>
        <w:t xml:space="preserve"> for this patient we had a recent full UPDRS (&lt; 2 weeks), and we converted the score as recommended (</w:t>
      </w:r>
      <w:proofErr w:type="spellStart"/>
      <w:r w:rsidRPr="008F01FA">
        <w:rPr>
          <w:rFonts w:ascii="Times New Roman" w:hAnsi="Times New Roman" w:cs="Times New Roman"/>
          <w:color w:val="000000" w:themeColor="text1"/>
          <w:sz w:val="22"/>
          <w:szCs w:val="22"/>
          <w:lang w:val="en-US"/>
        </w:rPr>
        <w:t>Verbaan</w:t>
      </w:r>
      <w:proofErr w:type="spellEnd"/>
      <w:r w:rsidRPr="008F01FA">
        <w:rPr>
          <w:rFonts w:ascii="Times New Roman" w:hAnsi="Times New Roman" w:cs="Times New Roman"/>
          <w:color w:val="000000" w:themeColor="text1"/>
          <w:sz w:val="22"/>
          <w:szCs w:val="22"/>
          <w:lang w:val="en-US"/>
        </w:rPr>
        <w:t xml:space="preserve"> et al., 2011). </w:t>
      </w:r>
      <w:r w:rsidRPr="008F01FA">
        <w:rPr>
          <w:rFonts w:ascii="Times New Roman" w:hAnsi="Times New Roman" w:cs="Times New Roman"/>
          <w:color w:val="000000" w:themeColor="text1"/>
          <w:sz w:val="22"/>
          <w:szCs w:val="22"/>
        </w:rPr>
        <w:br/>
      </w:r>
    </w:p>
    <w:tbl>
      <w:tblPr>
        <w:tblW w:w="0" w:type="auto"/>
        <w:tblLayout w:type="fixed"/>
        <w:tblLook w:val="06A0" w:firstRow="1" w:lastRow="0" w:firstColumn="1" w:lastColumn="0" w:noHBand="1" w:noVBand="1"/>
      </w:tblPr>
      <w:tblGrid>
        <w:gridCol w:w="1275"/>
        <w:gridCol w:w="1212"/>
        <w:gridCol w:w="1059"/>
        <w:gridCol w:w="355"/>
        <w:gridCol w:w="532"/>
        <w:gridCol w:w="447"/>
        <w:gridCol w:w="1169"/>
        <w:gridCol w:w="503"/>
        <w:gridCol w:w="781"/>
        <w:gridCol w:w="447"/>
        <w:gridCol w:w="1236"/>
      </w:tblGrid>
      <w:tr w:rsidR="00752E6F" w:rsidRPr="008F01FA" w14:paraId="798198E1" w14:textId="77777777" w:rsidTr="00BF76E1">
        <w:trPr>
          <w:trHeight w:val="315"/>
        </w:trPr>
        <w:tc>
          <w:tcPr>
            <w:tcW w:w="1275" w:type="dxa"/>
            <w:tcBorders>
              <w:top w:val="nil"/>
              <w:left w:val="nil"/>
              <w:bottom w:val="nil"/>
              <w:right w:val="nil"/>
            </w:tcBorders>
            <w:shd w:val="clear" w:color="auto" w:fill="FFFFFF" w:themeFill="background1"/>
            <w:tcMar>
              <w:top w:w="15" w:type="dxa"/>
              <w:left w:w="15" w:type="dxa"/>
              <w:right w:w="15" w:type="dxa"/>
            </w:tcMar>
            <w:vAlign w:val="bottom"/>
          </w:tcPr>
          <w:p w14:paraId="319F01CD"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p>
        </w:tc>
        <w:tc>
          <w:tcPr>
            <w:tcW w:w="1212" w:type="dxa"/>
            <w:tcBorders>
              <w:top w:val="nil"/>
              <w:left w:val="nil"/>
              <w:bottom w:val="nil"/>
              <w:right w:val="nil"/>
            </w:tcBorders>
            <w:shd w:val="clear" w:color="auto" w:fill="FFFFFF" w:themeFill="background1"/>
            <w:tcMar>
              <w:top w:w="15" w:type="dxa"/>
              <w:left w:w="15" w:type="dxa"/>
              <w:right w:w="15" w:type="dxa"/>
            </w:tcMar>
            <w:vAlign w:val="bottom"/>
          </w:tcPr>
          <w:p w14:paraId="3C14F229"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nil"/>
              <w:left w:val="nil"/>
              <w:bottom w:val="nil"/>
              <w:right w:val="nil"/>
            </w:tcBorders>
            <w:shd w:val="clear" w:color="auto" w:fill="FFFFFF" w:themeFill="background1"/>
            <w:tcMar>
              <w:top w:w="15" w:type="dxa"/>
              <w:left w:w="15" w:type="dxa"/>
              <w:right w:w="15" w:type="dxa"/>
            </w:tcMar>
            <w:vAlign w:val="bottom"/>
          </w:tcPr>
          <w:p w14:paraId="0A9ADCD3"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355" w:type="dxa"/>
            <w:tcBorders>
              <w:top w:val="nil"/>
              <w:left w:val="nil"/>
              <w:bottom w:val="nil"/>
              <w:right w:val="nil"/>
            </w:tcBorders>
            <w:shd w:val="clear" w:color="auto" w:fill="FFFFFF" w:themeFill="background1"/>
            <w:tcMar>
              <w:top w:w="15" w:type="dxa"/>
              <w:left w:w="15" w:type="dxa"/>
              <w:right w:w="15" w:type="dxa"/>
            </w:tcMar>
            <w:vAlign w:val="bottom"/>
          </w:tcPr>
          <w:p w14:paraId="72163A87"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nil"/>
              <w:right w:val="nil"/>
            </w:tcBorders>
            <w:shd w:val="clear" w:color="auto" w:fill="FFFFFF" w:themeFill="background1"/>
            <w:tcMar>
              <w:top w:w="15" w:type="dxa"/>
              <w:left w:w="15" w:type="dxa"/>
              <w:right w:w="15" w:type="dxa"/>
            </w:tcMar>
            <w:vAlign w:val="bottom"/>
          </w:tcPr>
          <w:p w14:paraId="59D04FD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2794D709"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nil"/>
              <w:right w:val="nil"/>
            </w:tcBorders>
            <w:shd w:val="clear" w:color="auto" w:fill="FFFFFF" w:themeFill="background1"/>
            <w:tcMar>
              <w:top w:w="15" w:type="dxa"/>
              <w:left w:w="15" w:type="dxa"/>
              <w:right w:w="15" w:type="dxa"/>
            </w:tcMar>
            <w:vAlign w:val="bottom"/>
          </w:tcPr>
          <w:p w14:paraId="140A308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03" w:type="dxa"/>
            <w:tcBorders>
              <w:top w:val="nil"/>
              <w:left w:val="nil"/>
              <w:bottom w:val="nil"/>
              <w:right w:val="nil"/>
            </w:tcBorders>
            <w:shd w:val="clear" w:color="auto" w:fill="FFFFFF" w:themeFill="background1"/>
            <w:tcMar>
              <w:top w:w="15" w:type="dxa"/>
              <w:left w:w="15" w:type="dxa"/>
              <w:right w:w="15" w:type="dxa"/>
            </w:tcMar>
            <w:vAlign w:val="bottom"/>
          </w:tcPr>
          <w:p w14:paraId="65F3ECED"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nil"/>
              <w:right w:val="nil"/>
            </w:tcBorders>
            <w:shd w:val="clear" w:color="auto" w:fill="FFFFFF" w:themeFill="background1"/>
            <w:tcMar>
              <w:top w:w="15" w:type="dxa"/>
              <w:left w:w="15" w:type="dxa"/>
              <w:right w:w="15" w:type="dxa"/>
            </w:tcMar>
            <w:vAlign w:val="bottom"/>
          </w:tcPr>
          <w:p w14:paraId="59D52A0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61BAE20D"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nil"/>
              <w:right w:val="nil"/>
            </w:tcBorders>
            <w:shd w:val="clear" w:color="auto" w:fill="FFFFFF" w:themeFill="background1"/>
            <w:tcMar>
              <w:top w:w="15" w:type="dxa"/>
              <w:left w:w="15" w:type="dxa"/>
              <w:right w:w="15" w:type="dxa"/>
            </w:tcMar>
            <w:vAlign w:val="bottom"/>
          </w:tcPr>
          <w:p w14:paraId="597F08CD"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r>
      <w:tr w:rsidR="00752E6F" w:rsidRPr="008F01FA" w14:paraId="1E6ACB00" w14:textId="77777777" w:rsidTr="00BF76E1">
        <w:trPr>
          <w:trHeight w:val="315"/>
        </w:trPr>
        <w:tc>
          <w:tcPr>
            <w:tcW w:w="1275"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7BD2EBF7"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12"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65B36913"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2ED2F1F8" w14:textId="77777777" w:rsidR="00752E6F" w:rsidRPr="008F01FA" w:rsidRDefault="00752E6F" w:rsidP="00BF76E1">
            <w:pPr>
              <w:spacing w:line="360" w:lineRule="auto"/>
              <w:jc w:val="both"/>
              <w:rPr>
                <w:rFonts w:ascii="Times New Roman" w:hAnsi="Times New Roman" w:cs="Times New Roman"/>
                <w:b/>
                <w:bCs/>
                <w:color w:val="000000" w:themeColor="text1"/>
                <w:sz w:val="22"/>
                <w:szCs w:val="22"/>
              </w:rPr>
            </w:pPr>
            <w:r w:rsidRPr="008F01FA">
              <w:rPr>
                <w:rFonts w:ascii="Times New Roman" w:hAnsi="Times New Roman" w:cs="Times New Roman"/>
                <w:b/>
                <w:bCs/>
                <w:color w:val="000000" w:themeColor="text1"/>
                <w:sz w:val="22"/>
                <w:szCs w:val="22"/>
              </w:rPr>
              <w:t>Group</w:t>
            </w:r>
          </w:p>
        </w:tc>
        <w:tc>
          <w:tcPr>
            <w:tcW w:w="355"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6D99786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33ADFCC9" w14:textId="77777777" w:rsidR="00752E6F" w:rsidRPr="008F01FA" w:rsidRDefault="00752E6F" w:rsidP="00BF76E1">
            <w:pPr>
              <w:spacing w:line="360" w:lineRule="auto"/>
              <w:jc w:val="both"/>
              <w:rPr>
                <w:rFonts w:ascii="Times New Roman" w:hAnsi="Times New Roman" w:cs="Times New Roman"/>
                <w:b/>
                <w:bCs/>
                <w:color w:val="000000" w:themeColor="text1"/>
                <w:sz w:val="22"/>
                <w:szCs w:val="22"/>
              </w:rPr>
            </w:pPr>
            <w:r w:rsidRPr="008F01FA">
              <w:rPr>
                <w:rFonts w:ascii="Times New Roman" w:hAnsi="Times New Roman" w:cs="Times New Roman"/>
                <w:b/>
                <w:bCs/>
                <w:color w:val="000000" w:themeColor="text1"/>
                <w:sz w:val="22"/>
                <w:szCs w:val="22"/>
              </w:rPr>
              <w:t>N</w:t>
            </w:r>
          </w:p>
        </w:tc>
        <w:tc>
          <w:tcPr>
            <w:tcW w:w="447"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34C7895B"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65ED35D5" w14:textId="77777777" w:rsidR="00752E6F" w:rsidRPr="008F01FA" w:rsidRDefault="00752E6F" w:rsidP="00BF76E1">
            <w:pPr>
              <w:spacing w:line="360" w:lineRule="auto"/>
              <w:jc w:val="both"/>
              <w:rPr>
                <w:rFonts w:ascii="Times New Roman" w:hAnsi="Times New Roman" w:cs="Times New Roman"/>
                <w:b/>
                <w:bCs/>
                <w:color w:val="000000" w:themeColor="text1"/>
                <w:sz w:val="22"/>
                <w:szCs w:val="22"/>
              </w:rPr>
            </w:pPr>
            <w:r w:rsidRPr="008F01FA">
              <w:rPr>
                <w:rFonts w:ascii="Times New Roman" w:hAnsi="Times New Roman" w:cs="Times New Roman"/>
                <w:b/>
                <w:bCs/>
                <w:color w:val="000000" w:themeColor="text1"/>
                <w:sz w:val="22"/>
                <w:szCs w:val="22"/>
              </w:rPr>
              <w:t>Mean</w:t>
            </w:r>
          </w:p>
        </w:tc>
        <w:tc>
          <w:tcPr>
            <w:tcW w:w="503"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58371B0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55158010" w14:textId="77777777" w:rsidR="00752E6F" w:rsidRPr="008F01FA" w:rsidRDefault="00752E6F" w:rsidP="00BF76E1">
            <w:pPr>
              <w:spacing w:line="360" w:lineRule="auto"/>
              <w:jc w:val="both"/>
              <w:rPr>
                <w:rFonts w:ascii="Times New Roman" w:hAnsi="Times New Roman" w:cs="Times New Roman"/>
                <w:b/>
                <w:bCs/>
                <w:color w:val="000000" w:themeColor="text1"/>
                <w:sz w:val="22"/>
                <w:szCs w:val="22"/>
              </w:rPr>
            </w:pPr>
            <w:r w:rsidRPr="008F01FA">
              <w:rPr>
                <w:rFonts w:ascii="Times New Roman" w:hAnsi="Times New Roman" w:cs="Times New Roman"/>
                <w:b/>
                <w:bCs/>
                <w:color w:val="000000" w:themeColor="text1"/>
                <w:sz w:val="22"/>
                <w:szCs w:val="22"/>
              </w:rPr>
              <w:t>SD</w:t>
            </w:r>
          </w:p>
        </w:tc>
        <w:tc>
          <w:tcPr>
            <w:tcW w:w="447"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34DEC473"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61233310" w14:textId="77777777" w:rsidR="00752E6F" w:rsidRPr="008F01FA" w:rsidRDefault="00752E6F" w:rsidP="00BF76E1">
            <w:pPr>
              <w:spacing w:line="360" w:lineRule="auto"/>
              <w:jc w:val="both"/>
              <w:rPr>
                <w:rFonts w:ascii="Times New Roman" w:hAnsi="Times New Roman" w:cs="Times New Roman"/>
                <w:b/>
                <w:bCs/>
                <w:color w:val="000000" w:themeColor="text1"/>
                <w:sz w:val="22"/>
                <w:szCs w:val="22"/>
              </w:rPr>
            </w:pPr>
            <w:r w:rsidRPr="008F01FA">
              <w:rPr>
                <w:rFonts w:ascii="Times New Roman" w:hAnsi="Times New Roman" w:cs="Times New Roman"/>
                <w:b/>
                <w:bCs/>
                <w:color w:val="000000" w:themeColor="text1"/>
                <w:sz w:val="22"/>
                <w:szCs w:val="22"/>
              </w:rPr>
              <w:t>SE</w:t>
            </w:r>
          </w:p>
        </w:tc>
      </w:tr>
      <w:tr w:rsidR="00752E6F" w:rsidRPr="008F01FA" w14:paraId="65BCB55F" w14:textId="77777777" w:rsidTr="00BF76E1">
        <w:trPr>
          <w:trHeight w:val="315"/>
        </w:trPr>
        <w:tc>
          <w:tcPr>
            <w:tcW w:w="1275"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01FA7ED8"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Age</w:t>
            </w:r>
          </w:p>
        </w:tc>
        <w:tc>
          <w:tcPr>
            <w:tcW w:w="1212"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01E0CEA8"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2864C0A0"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w:t>
            </w:r>
          </w:p>
        </w:tc>
        <w:tc>
          <w:tcPr>
            <w:tcW w:w="355"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3C3E9070"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4737F479"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18</w:t>
            </w:r>
          </w:p>
        </w:tc>
        <w:tc>
          <w:tcPr>
            <w:tcW w:w="447"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48AAB35A"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57AF6507"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65.96</w:t>
            </w:r>
          </w:p>
        </w:tc>
        <w:tc>
          <w:tcPr>
            <w:tcW w:w="503"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7EC39581"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304B7F8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10.24</w:t>
            </w:r>
          </w:p>
        </w:tc>
        <w:tc>
          <w:tcPr>
            <w:tcW w:w="447"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5B676BA0"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2998CB51"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2.41</w:t>
            </w:r>
          </w:p>
        </w:tc>
      </w:tr>
      <w:tr w:rsidR="00752E6F" w:rsidRPr="008F01FA" w14:paraId="6FE2D1A7" w14:textId="77777777" w:rsidTr="00BF76E1">
        <w:trPr>
          <w:trHeight w:val="315"/>
        </w:trPr>
        <w:tc>
          <w:tcPr>
            <w:tcW w:w="1275" w:type="dxa"/>
            <w:tcBorders>
              <w:top w:val="nil"/>
              <w:left w:val="nil"/>
              <w:bottom w:val="nil"/>
              <w:right w:val="nil"/>
            </w:tcBorders>
            <w:shd w:val="clear" w:color="auto" w:fill="FFFFFF" w:themeFill="background1"/>
            <w:tcMar>
              <w:top w:w="15" w:type="dxa"/>
              <w:left w:w="15" w:type="dxa"/>
              <w:right w:w="15" w:type="dxa"/>
            </w:tcMar>
            <w:vAlign w:val="bottom"/>
          </w:tcPr>
          <w:p w14:paraId="1386DA47"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 xml:space="preserve"> </w:t>
            </w:r>
          </w:p>
        </w:tc>
        <w:tc>
          <w:tcPr>
            <w:tcW w:w="1212" w:type="dxa"/>
            <w:tcBorders>
              <w:top w:val="nil"/>
              <w:left w:val="nil"/>
              <w:bottom w:val="nil"/>
              <w:right w:val="nil"/>
            </w:tcBorders>
            <w:shd w:val="clear" w:color="auto" w:fill="FFFFFF" w:themeFill="background1"/>
            <w:tcMar>
              <w:top w:w="15" w:type="dxa"/>
              <w:left w:w="15" w:type="dxa"/>
              <w:right w:w="15" w:type="dxa"/>
            </w:tcMar>
            <w:vAlign w:val="bottom"/>
          </w:tcPr>
          <w:p w14:paraId="37708453"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nil"/>
              <w:left w:val="nil"/>
              <w:bottom w:val="nil"/>
              <w:right w:val="nil"/>
            </w:tcBorders>
            <w:shd w:val="clear" w:color="auto" w:fill="FFFFFF" w:themeFill="background1"/>
            <w:tcMar>
              <w:top w:w="15" w:type="dxa"/>
              <w:left w:w="15" w:type="dxa"/>
              <w:right w:w="15" w:type="dxa"/>
            </w:tcMar>
            <w:vAlign w:val="bottom"/>
          </w:tcPr>
          <w:p w14:paraId="72913645"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PDP</w:t>
            </w:r>
          </w:p>
        </w:tc>
        <w:tc>
          <w:tcPr>
            <w:tcW w:w="355" w:type="dxa"/>
            <w:tcBorders>
              <w:top w:val="nil"/>
              <w:left w:val="nil"/>
              <w:bottom w:val="nil"/>
              <w:right w:val="nil"/>
            </w:tcBorders>
            <w:shd w:val="clear" w:color="auto" w:fill="FFFFFF" w:themeFill="background1"/>
            <w:tcMar>
              <w:top w:w="15" w:type="dxa"/>
              <w:left w:w="15" w:type="dxa"/>
              <w:right w:w="15" w:type="dxa"/>
            </w:tcMar>
            <w:vAlign w:val="bottom"/>
          </w:tcPr>
          <w:p w14:paraId="47DBF84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nil"/>
              <w:right w:val="nil"/>
            </w:tcBorders>
            <w:shd w:val="clear" w:color="auto" w:fill="FFFFFF" w:themeFill="background1"/>
            <w:tcMar>
              <w:top w:w="15" w:type="dxa"/>
              <w:left w:w="15" w:type="dxa"/>
              <w:right w:w="15" w:type="dxa"/>
            </w:tcMar>
            <w:vAlign w:val="bottom"/>
          </w:tcPr>
          <w:p w14:paraId="5CD024A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20</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381A7C8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nil"/>
              <w:right w:val="nil"/>
            </w:tcBorders>
            <w:shd w:val="clear" w:color="auto" w:fill="FFFFFF" w:themeFill="background1"/>
            <w:tcMar>
              <w:top w:w="15" w:type="dxa"/>
              <w:left w:w="15" w:type="dxa"/>
              <w:right w:w="15" w:type="dxa"/>
            </w:tcMar>
            <w:vAlign w:val="bottom"/>
          </w:tcPr>
          <w:p w14:paraId="6B28DFF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68.75</w:t>
            </w:r>
          </w:p>
        </w:tc>
        <w:tc>
          <w:tcPr>
            <w:tcW w:w="503" w:type="dxa"/>
            <w:tcBorders>
              <w:top w:val="nil"/>
              <w:left w:val="nil"/>
              <w:bottom w:val="nil"/>
              <w:right w:val="nil"/>
            </w:tcBorders>
            <w:shd w:val="clear" w:color="auto" w:fill="FFFFFF" w:themeFill="background1"/>
            <w:tcMar>
              <w:top w:w="15" w:type="dxa"/>
              <w:left w:w="15" w:type="dxa"/>
              <w:right w:w="15" w:type="dxa"/>
            </w:tcMar>
            <w:vAlign w:val="bottom"/>
          </w:tcPr>
          <w:p w14:paraId="1A2445FF"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nil"/>
              <w:right w:val="nil"/>
            </w:tcBorders>
            <w:shd w:val="clear" w:color="auto" w:fill="FFFFFF" w:themeFill="background1"/>
            <w:tcMar>
              <w:top w:w="15" w:type="dxa"/>
              <w:left w:w="15" w:type="dxa"/>
              <w:right w:w="15" w:type="dxa"/>
            </w:tcMar>
            <w:vAlign w:val="bottom"/>
          </w:tcPr>
          <w:p w14:paraId="7C9DFD8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8.52</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54135511"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nil"/>
              <w:right w:val="nil"/>
            </w:tcBorders>
            <w:shd w:val="clear" w:color="auto" w:fill="FFFFFF" w:themeFill="background1"/>
            <w:tcMar>
              <w:top w:w="15" w:type="dxa"/>
              <w:left w:w="15" w:type="dxa"/>
              <w:right w:w="15" w:type="dxa"/>
            </w:tcMar>
            <w:vAlign w:val="bottom"/>
          </w:tcPr>
          <w:p w14:paraId="04B35C26"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1.91</w:t>
            </w:r>
          </w:p>
        </w:tc>
      </w:tr>
      <w:tr w:rsidR="00752E6F" w:rsidRPr="008F01FA" w14:paraId="6A746F23" w14:textId="77777777" w:rsidTr="00BF76E1">
        <w:trPr>
          <w:trHeight w:val="315"/>
        </w:trPr>
        <w:tc>
          <w:tcPr>
            <w:tcW w:w="1275" w:type="dxa"/>
            <w:tcBorders>
              <w:top w:val="nil"/>
              <w:left w:val="nil"/>
              <w:bottom w:val="nil"/>
              <w:right w:val="nil"/>
            </w:tcBorders>
            <w:shd w:val="clear" w:color="auto" w:fill="FFFFFF" w:themeFill="background1"/>
            <w:tcMar>
              <w:top w:w="15" w:type="dxa"/>
              <w:left w:w="15" w:type="dxa"/>
              <w:right w:w="15" w:type="dxa"/>
            </w:tcMar>
            <w:vAlign w:val="bottom"/>
          </w:tcPr>
          <w:p w14:paraId="6B91E82E"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PD duration</w:t>
            </w:r>
          </w:p>
        </w:tc>
        <w:tc>
          <w:tcPr>
            <w:tcW w:w="1212" w:type="dxa"/>
            <w:tcBorders>
              <w:top w:val="nil"/>
              <w:left w:val="nil"/>
              <w:bottom w:val="nil"/>
              <w:right w:val="nil"/>
            </w:tcBorders>
            <w:shd w:val="clear" w:color="auto" w:fill="FFFFFF" w:themeFill="background1"/>
            <w:tcMar>
              <w:top w:w="15" w:type="dxa"/>
              <w:left w:w="15" w:type="dxa"/>
              <w:right w:w="15" w:type="dxa"/>
            </w:tcMar>
            <w:vAlign w:val="bottom"/>
          </w:tcPr>
          <w:p w14:paraId="578517EF"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nil"/>
              <w:left w:val="nil"/>
              <w:bottom w:val="nil"/>
              <w:right w:val="nil"/>
            </w:tcBorders>
            <w:shd w:val="clear" w:color="auto" w:fill="FFFFFF" w:themeFill="background1"/>
            <w:tcMar>
              <w:top w:w="15" w:type="dxa"/>
              <w:left w:w="15" w:type="dxa"/>
              <w:right w:w="15" w:type="dxa"/>
            </w:tcMar>
            <w:vAlign w:val="bottom"/>
          </w:tcPr>
          <w:p w14:paraId="27F402F8"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w:t>
            </w:r>
          </w:p>
        </w:tc>
        <w:tc>
          <w:tcPr>
            <w:tcW w:w="355" w:type="dxa"/>
            <w:tcBorders>
              <w:top w:val="nil"/>
              <w:left w:val="nil"/>
              <w:bottom w:val="nil"/>
              <w:right w:val="nil"/>
            </w:tcBorders>
            <w:shd w:val="clear" w:color="auto" w:fill="FFFFFF" w:themeFill="background1"/>
            <w:tcMar>
              <w:top w:w="15" w:type="dxa"/>
              <w:left w:w="15" w:type="dxa"/>
              <w:right w:w="15" w:type="dxa"/>
            </w:tcMar>
            <w:vAlign w:val="bottom"/>
          </w:tcPr>
          <w:p w14:paraId="5722A116"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nil"/>
              <w:right w:val="nil"/>
            </w:tcBorders>
            <w:shd w:val="clear" w:color="auto" w:fill="FFFFFF" w:themeFill="background1"/>
            <w:tcMar>
              <w:top w:w="15" w:type="dxa"/>
              <w:left w:w="15" w:type="dxa"/>
              <w:right w:w="15" w:type="dxa"/>
            </w:tcMar>
            <w:vAlign w:val="bottom"/>
          </w:tcPr>
          <w:p w14:paraId="668A9D49"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18</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6EC0E09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nil"/>
              <w:right w:val="nil"/>
            </w:tcBorders>
            <w:shd w:val="clear" w:color="auto" w:fill="FFFFFF" w:themeFill="background1"/>
            <w:tcMar>
              <w:top w:w="15" w:type="dxa"/>
              <w:left w:w="15" w:type="dxa"/>
              <w:right w:w="15" w:type="dxa"/>
            </w:tcMar>
            <w:vAlign w:val="bottom"/>
          </w:tcPr>
          <w:p w14:paraId="78760B33"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4.49</w:t>
            </w:r>
          </w:p>
        </w:tc>
        <w:tc>
          <w:tcPr>
            <w:tcW w:w="503" w:type="dxa"/>
            <w:tcBorders>
              <w:top w:val="nil"/>
              <w:left w:val="nil"/>
              <w:bottom w:val="nil"/>
              <w:right w:val="nil"/>
            </w:tcBorders>
            <w:shd w:val="clear" w:color="auto" w:fill="FFFFFF" w:themeFill="background1"/>
            <w:tcMar>
              <w:top w:w="15" w:type="dxa"/>
              <w:left w:w="15" w:type="dxa"/>
              <w:right w:w="15" w:type="dxa"/>
            </w:tcMar>
            <w:vAlign w:val="bottom"/>
          </w:tcPr>
          <w:p w14:paraId="6398A2D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nil"/>
              <w:right w:val="nil"/>
            </w:tcBorders>
            <w:shd w:val="clear" w:color="auto" w:fill="FFFFFF" w:themeFill="background1"/>
            <w:tcMar>
              <w:top w:w="15" w:type="dxa"/>
              <w:left w:w="15" w:type="dxa"/>
              <w:right w:w="15" w:type="dxa"/>
            </w:tcMar>
            <w:vAlign w:val="bottom"/>
          </w:tcPr>
          <w:p w14:paraId="71AB903B"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2.89</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5DC912E1"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nil"/>
              <w:right w:val="nil"/>
            </w:tcBorders>
            <w:shd w:val="clear" w:color="auto" w:fill="FFFFFF" w:themeFill="background1"/>
            <w:tcMar>
              <w:top w:w="15" w:type="dxa"/>
              <w:left w:w="15" w:type="dxa"/>
              <w:right w:w="15" w:type="dxa"/>
            </w:tcMar>
            <w:vAlign w:val="bottom"/>
          </w:tcPr>
          <w:p w14:paraId="05E62DB7"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0.68</w:t>
            </w:r>
          </w:p>
        </w:tc>
      </w:tr>
      <w:tr w:rsidR="00752E6F" w:rsidRPr="008F01FA" w14:paraId="7B39C570" w14:textId="77777777" w:rsidTr="00BF76E1">
        <w:trPr>
          <w:trHeight w:val="315"/>
        </w:trPr>
        <w:tc>
          <w:tcPr>
            <w:tcW w:w="1275" w:type="dxa"/>
            <w:tcBorders>
              <w:top w:val="nil"/>
              <w:left w:val="nil"/>
              <w:bottom w:val="nil"/>
              <w:right w:val="nil"/>
            </w:tcBorders>
            <w:shd w:val="clear" w:color="auto" w:fill="FFFFFF" w:themeFill="background1"/>
            <w:tcMar>
              <w:top w:w="15" w:type="dxa"/>
              <w:left w:w="15" w:type="dxa"/>
              <w:right w:w="15" w:type="dxa"/>
            </w:tcMar>
            <w:vAlign w:val="bottom"/>
          </w:tcPr>
          <w:p w14:paraId="0FD8919F"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 xml:space="preserve"> </w:t>
            </w:r>
          </w:p>
        </w:tc>
        <w:tc>
          <w:tcPr>
            <w:tcW w:w="1212" w:type="dxa"/>
            <w:tcBorders>
              <w:top w:val="nil"/>
              <w:left w:val="nil"/>
              <w:bottom w:val="nil"/>
              <w:right w:val="nil"/>
            </w:tcBorders>
            <w:shd w:val="clear" w:color="auto" w:fill="FFFFFF" w:themeFill="background1"/>
            <w:tcMar>
              <w:top w:w="15" w:type="dxa"/>
              <w:left w:w="15" w:type="dxa"/>
              <w:right w:w="15" w:type="dxa"/>
            </w:tcMar>
            <w:vAlign w:val="bottom"/>
          </w:tcPr>
          <w:p w14:paraId="02573690"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nil"/>
              <w:left w:val="nil"/>
              <w:bottom w:val="nil"/>
              <w:right w:val="nil"/>
            </w:tcBorders>
            <w:shd w:val="clear" w:color="auto" w:fill="FFFFFF" w:themeFill="background1"/>
            <w:tcMar>
              <w:top w:w="15" w:type="dxa"/>
              <w:left w:w="15" w:type="dxa"/>
              <w:right w:w="15" w:type="dxa"/>
            </w:tcMar>
            <w:vAlign w:val="bottom"/>
          </w:tcPr>
          <w:p w14:paraId="66D4F5D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PDP</w:t>
            </w:r>
          </w:p>
        </w:tc>
        <w:tc>
          <w:tcPr>
            <w:tcW w:w="355" w:type="dxa"/>
            <w:tcBorders>
              <w:top w:val="nil"/>
              <w:left w:val="nil"/>
              <w:bottom w:val="nil"/>
              <w:right w:val="nil"/>
            </w:tcBorders>
            <w:shd w:val="clear" w:color="auto" w:fill="FFFFFF" w:themeFill="background1"/>
            <w:tcMar>
              <w:top w:w="15" w:type="dxa"/>
              <w:left w:w="15" w:type="dxa"/>
              <w:right w:w="15" w:type="dxa"/>
            </w:tcMar>
            <w:vAlign w:val="bottom"/>
          </w:tcPr>
          <w:p w14:paraId="12E76C6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nil"/>
              <w:right w:val="nil"/>
            </w:tcBorders>
            <w:shd w:val="clear" w:color="auto" w:fill="FFFFFF" w:themeFill="background1"/>
            <w:tcMar>
              <w:top w:w="15" w:type="dxa"/>
              <w:left w:w="15" w:type="dxa"/>
              <w:right w:w="15" w:type="dxa"/>
            </w:tcMar>
            <w:vAlign w:val="bottom"/>
          </w:tcPr>
          <w:p w14:paraId="5335B61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19</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4E970C3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nil"/>
              <w:right w:val="nil"/>
            </w:tcBorders>
            <w:shd w:val="clear" w:color="auto" w:fill="FFFFFF" w:themeFill="background1"/>
            <w:tcMar>
              <w:top w:w="15" w:type="dxa"/>
              <w:left w:w="15" w:type="dxa"/>
              <w:right w:w="15" w:type="dxa"/>
            </w:tcMar>
            <w:vAlign w:val="bottom"/>
          </w:tcPr>
          <w:p w14:paraId="13BD3403"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6.24</w:t>
            </w:r>
          </w:p>
        </w:tc>
        <w:tc>
          <w:tcPr>
            <w:tcW w:w="503" w:type="dxa"/>
            <w:tcBorders>
              <w:top w:val="nil"/>
              <w:left w:val="nil"/>
              <w:bottom w:val="nil"/>
              <w:right w:val="nil"/>
            </w:tcBorders>
            <w:shd w:val="clear" w:color="auto" w:fill="FFFFFF" w:themeFill="background1"/>
            <w:tcMar>
              <w:top w:w="15" w:type="dxa"/>
              <w:left w:w="15" w:type="dxa"/>
              <w:right w:w="15" w:type="dxa"/>
            </w:tcMar>
            <w:vAlign w:val="bottom"/>
          </w:tcPr>
          <w:p w14:paraId="5C81253D"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nil"/>
              <w:right w:val="nil"/>
            </w:tcBorders>
            <w:shd w:val="clear" w:color="auto" w:fill="FFFFFF" w:themeFill="background1"/>
            <w:tcMar>
              <w:top w:w="15" w:type="dxa"/>
              <w:left w:w="15" w:type="dxa"/>
              <w:right w:w="15" w:type="dxa"/>
            </w:tcMar>
            <w:vAlign w:val="bottom"/>
          </w:tcPr>
          <w:p w14:paraId="617E804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3.82</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4D0D26C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nil"/>
              <w:right w:val="nil"/>
            </w:tcBorders>
            <w:shd w:val="clear" w:color="auto" w:fill="FFFFFF" w:themeFill="background1"/>
            <w:tcMar>
              <w:top w:w="15" w:type="dxa"/>
              <w:left w:w="15" w:type="dxa"/>
              <w:right w:w="15" w:type="dxa"/>
            </w:tcMar>
            <w:vAlign w:val="bottom"/>
          </w:tcPr>
          <w:p w14:paraId="0C96409F"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0.88</w:t>
            </w:r>
          </w:p>
        </w:tc>
      </w:tr>
      <w:tr w:rsidR="00752E6F" w:rsidRPr="008F01FA" w14:paraId="4219F7D2" w14:textId="77777777" w:rsidTr="00BF76E1">
        <w:trPr>
          <w:trHeight w:val="315"/>
        </w:trPr>
        <w:tc>
          <w:tcPr>
            <w:tcW w:w="1275" w:type="dxa"/>
            <w:tcBorders>
              <w:top w:val="nil"/>
              <w:left w:val="nil"/>
              <w:bottom w:val="nil"/>
              <w:right w:val="nil"/>
            </w:tcBorders>
            <w:shd w:val="clear" w:color="auto" w:fill="FFFFFF" w:themeFill="background1"/>
            <w:tcMar>
              <w:top w:w="15" w:type="dxa"/>
              <w:left w:w="15" w:type="dxa"/>
              <w:right w:w="15" w:type="dxa"/>
            </w:tcMar>
            <w:vAlign w:val="bottom"/>
          </w:tcPr>
          <w:p w14:paraId="725843EF"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CISI-motor</w:t>
            </w:r>
          </w:p>
        </w:tc>
        <w:tc>
          <w:tcPr>
            <w:tcW w:w="1212" w:type="dxa"/>
            <w:tcBorders>
              <w:top w:val="nil"/>
              <w:left w:val="nil"/>
              <w:bottom w:val="nil"/>
              <w:right w:val="nil"/>
            </w:tcBorders>
            <w:shd w:val="clear" w:color="auto" w:fill="FFFFFF" w:themeFill="background1"/>
            <w:tcMar>
              <w:top w:w="15" w:type="dxa"/>
              <w:left w:w="15" w:type="dxa"/>
              <w:right w:w="15" w:type="dxa"/>
            </w:tcMar>
            <w:vAlign w:val="bottom"/>
          </w:tcPr>
          <w:p w14:paraId="3F331765"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nil"/>
              <w:left w:val="nil"/>
              <w:bottom w:val="nil"/>
              <w:right w:val="nil"/>
            </w:tcBorders>
            <w:shd w:val="clear" w:color="auto" w:fill="FFFFFF" w:themeFill="background1"/>
            <w:tcMar>
              <w:top w:w="15" w:type="dxa"/>
              <w:left w:w="15" w:type="dxa"/>
              <w:right w:w="15" w:type="dxa"/>
            </w:tcMar>
            <w:vAlign w:val="bottom"/>
          </w:tcPr>
          <w:p w14:paraId="26154301"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w:t>
            </w:r>
          </w:p>
        </w:tc>
        <w:tc>
          <w:tcPr>
            <w:tcW w:w="355" w:type="dxa"/>
            <w:tcBorders>
              <w:top w:val="nil"/>
              <w:left w:val="nil"/>
              <w:bottom w:val="nil"/>
              <w:right w:val="nil"/>
            </w:tcBorders>
            <w:shd w:val="clear" w:color="auto" w:fill="FFFFFF" w:themeFill="background1"/>
            <w:tcMar>
              <w:top w:w="15" w:type="dxa"/>
              <w:left w:w="15" w:type="dxa"/>
              <w:right w:w="15" w:type="dxa"/>
            </w:tcMar>
            <w:vAlign w:val="bottom"/>
          </w:tcPr>
          <w:p w14:paraId="18B8318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nil"/>
              <w:right w:val="nil"/>
            </w:tcBorders>
            <w:shd w:val="clear" w:color="auto" w:fill="FFFFFF" w:themeFill="background1"/>
            <w:tcMar>
              <w:top w:w="15" w:type="dxa"/>
              <w:left w:w="15" w:type="dxa"/>
              <w:right w:w="15" w:type="dxa"/>
            </w:tcMar>
            <w:vAlign w:val="bottom"/>
          </w:tcPr>
          <w:p w14:paraId="6D50589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17</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3E6459B3"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nil"/>
              <w:right w:val="nil"/>
            </w:tcBorders>
            <w:shd w:val="clear" w:color="auto" w:fill="FFFFFF" w:themeFill="background1"/>
            <w:tcMar>
              <w:top w:w="15" w:type="dxa"/>
              <w:left w:w="15" w:type="dxa"/>
              <w:right w:w="15" w:type="dxa"/>
            </w:tcMar>
            <w:vAlign w:val="bottom"/>
          </w:tcPr>
          <w:p w14:paraId="2AD1F9A0"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2.59</w:t>
            </w:r>
          </w:p>
        </w:tc>
        <w:tc>
          <w:tcPr>
            <w:tcW w:w="503" w:type="dxa"/>
            <w:tcBorders>
              <w:top w:val="nil"/>
              <w:left w:val="nil"/>
              <w:bottom w:val="nil"/>
              <w:right w:val="nil"/>
            </w:tcBorders>
            <w:shd w:val="clear" w:color="auto" w:fill="FFFFFF" w:themeFill="background1"/>
            <w:tcMar>
              <w:top w:w="15" w:type="dxa"/>
              <w:left w:w="15" w:type="dxa"/>
              <w:right w:w="15" w:type="dxa"/>
            </w:tcMar>
            <w:vAlign w:val="bottom"/>
          </w:tcPr>
          <w:p w14:paraId="5462418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nil"/>
              <w:right w:val="nil"/>
            </w:tcBorders>
            <w:shd w:val="clear" w:color="auto" w:fill="FFFFFF" w:themeFill="background1"/>
            <w:tcMar>
              <w:top w:w="15" w:type="dxa"/>
              <w:left w:w="15" w:type="dxa"/>
              <w:right w:w="15" w:type="dxa"/>
            </w:tcMar>
            <w:vAlign w:val="bottom"/>
          </w:tcPr>
          <w:p w14:paraId="58796A3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0.87</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44EC3EA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nil"/>
              <w:right w:val="nil"/>
            </w:tcBorders>
            <w:shd w:val="clear" w:color="auto" w:fill="FFFFFF" w:themeFill="background1"/>
            <w:tcMar>
              <w:top w:w="15" w:type="dxa"/>
              <w:left w:w="15" w:type="dxa"/>
              <w:right w:w="15" w:type="dxa"/>
            </w:tcMar>
            <w:vAlign w:val="bottom"/>
          </w:tcPr>
          <w:p w14:paraId="362B9C5A"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0.21</w:t>
            </w:r>
          </w:p>
        </w:tc>
      </w:tr>
      <w:tr w:rsidR="00752E6F" w:rsidRPr="008F01FA" w14:paraId="50197508" w14:textId="77777777" w:rsidTr="00BF76E1">
        <w:trPr>
          <w:trHeight w:val="315"/>
        </w:trPr>
        <w:tc>
          <w:tcPr>
            <w:tcW w:w="1275" w:type="dxa"/>
            <w:tcBorders>
              <w:top w:val="nil"/>
              <w:left w:val="nil"/>
              <w:bottom w:val="nil"/>
              <w:right w:val="nil"/>
            </w:tcBorders>
            <w:shd w:val="clear" w:color="auto" w:fill="FFFFFF" w:themeFill="background1"/>
            <w:tcMar>
              <w:top w:w="15" w:type="dxa"/>
              <w:left w:w="15" w:type="dxa"/>
              <w:right w:w="15" w:type="dxa"/>
            </w:tcMar>
            <w:vAlign w:val="bottom"/>
          </w:tcPr>
          <w:p w14:paraId="794505EF"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 xml:space="preserve"> </w:t>
            </w:r>
          </w:p>
        </w:tc>
        <w:tc>
          <w:tcPr>
            <w:tcW w:w="1212" w:type="dxa"/>
            <w:tcBorders>
              <w:top w:val="nil"/>
              <w:left w:val="nil"/>
              <w:bottom w:val="nil"/>
              <w:right w:val="nil"/>
            </w:tcBorders>
            <w:shd w:val="clear" w:color="auto" w:fill="FFFFFF" w:themeFill="background1"/>
            <w:tcMar>
              <w:top w:w="15" w:type="dxa"/>
              <w:left w:w="15" w:type="dxa"/>
              <w:right w:w="15" w:type="dxa"/>
            </w:tcMar>
            <w:vAlign w:val="bottom"/>
          </w:tcPr>
          <w:p w14:paraId="68018913"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nil"/>
              <w:left w:val="nil"/>
              <w:bottom w:val="nil"/>
              <w:right w:val="nil"/>
            </w:tcBorders>
            <w:shd w:val="clear" w:color="auto" w:fill="FFFFFF" w:themeFill="background1"/>
            <w:tcMar>
              <w:top w:w="15" w:type="dxa"/>
              <w:left w:w="15" w:type="dxa"/>
              <w:right w:w="15" w:type="dxa"/>
            </w:tcMar>
            <w:vAlign w:val="bottom"/>
          </w:tcPr>
          <w:p w14:paraId="1DF48348"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PDP</w:t>
            </w:r>
          </w:p>
        </w:tc>
        <w:tc>
          <w:tcPr>
            <w:tcW w:w="355" w:type="dxa"/>
            <w:tcBorders>
              <w:top w:val="nil"/>
              <w:left w:val="nil"/>
              <w:bottom w:val="nil"/>
              <w:right w:val="nil"/>
            </w:tcBorders>
            <w:shd w:val="clear" w:color="auto" w:fill="FFFFFF" w:themeFill="background1"/>
            <w:tcMar>
              <w:top w:w="15" w:type="dxa"/>
              <w:left w:w="15" w:type="dxa"/>
              <w:right w:w="15" w:type="dxa"/>
            </w:tcMar>
            <w:vAlign w:val="bottom"/>
          </w:tcPr>
          <w:p w14:paraId="485D31C7"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nil"/>
              <w:right w:val="nil"/>
            </w:tcBorders>
            <w:shd w:val="clear" w:color="auto" w:fill="FFFFFF" w:themeFill="background1"/>
            <w:tcMar>
              <w:top w:w="15" w:type="dxa"/>
              <w:left w:w="15" w:type="dxa"/>
              <w:right w:w="15" w:type="dxa"/>
            </w:tcMar>
            <w:vAlign w:val="bottom"/>
          </w:tcPr>
          <w:p w14:paraId="3A4B8A37"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20</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7F024189"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nil"/>
              <w:right w:val="nil"/>
            </w:tcBorders>
            <w:shd w:val="clear" w:color="auto" w:fill="FFFFFF" w:themeFill="background1"/>
            <w:tcMar>
              <w:top w:w="15" w:type="dxa"/>
              <w:left w:w="15" w:type="dxa"/>
              <w:right w:w="15" w:type="dxa"/>
            </w:tcMar>
            <w:vAlign w:val="bottom"/>
          </w:tcPr>
          <w:p w14:paraId="149911A5"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2.40</w:t>
            </w:r>
          </w:p>
        </w:tc>
        <w:tc>
          <w:tcPr>
            <w:tcW w:w="503" w:type="dxa"/>
            <w:tcBorders>
              <w:top w:val="nil"/>
              <w:left w:val="nil"/>
              <w:bottom w:val="nil"/>
              <w:right w:val="nil"/>
            </w:tcBorders>
            <w:shd w:val="clear" w:color="auto" w:fill="FFFFFF" w:themeFill="background1"/>
            <w:tcMar>
              <w:top w:w="15" w:type="dxa"/>
              <w:left w:w="15" w:type="dxa"/>
              <w:right w:w="15" w:type="dxa"/>
            </w:tcMar>
            <w:vAlign w:val="bottom"/>
          </w:tcPr>
          <w:p w14:paraId="4F46979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nil"/>
              <w:right w:val="nil"/>
            </w:tcBorders>
            <w:shd w:val="clear" w:color="auto" w:fill="FFFFFF" w:themeFill="background1"/>
            <w:tcMar>
              <w:top w:w="15" w:type="dxa"/>
              <w:left w:w="15" w:type="dxa"/>
              <w:right w:w="15" w:type="dxa"/>
            </w:tcMar>
            <w:vAlign w:val="bottom"/>
          </w:tcPr>
          <w:p w14:paraId="62319175"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0.82</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22A6120B"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nil"/>
              <w:right w:val="nil"/>
            </w:tcBorders>
            <w:shd w:val="clear" w:color="auto" w:fill="FFFFFF" w:themeFill="background1"/>
            <w:tcMar>
              <w:top w:w="15" w:type="dxa"/>
              <w:left w:w="15" w:type="dxa"/>
              <w:right w:w="15" w:type="dxa"/>
            </w:tcMar>
            <w:vAlign w:val="bottom"/>
          </w:tcPr>
          <w:p w14:paraId="580EEFF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0.18</w:t>
            </w:r>
          </w:p>
        </w:tc>
      </w:tr>
      <w:tr w:rsidR="00752E6F" w:rsidRPr="008F01FA" w14:paraId="5764FF0D" w14:textId="77777777" w:rsidTr="00BF76E1">
        <w:trPr>
          <w:trHeight w:val="315"/>
        </w:trPr>
        <w:tc>
          <w:tcPr>
            <w:tcW w:w="2487" w:type="dxa"/>
            <w:gridSpan w:val="2"/>
            <w:tcBorders>
              <w:top w:val="nil"/>
              <w:left w:val="nil"/>
              <w:bottom w:val="nil"/>
              <w:right w:val="nil"/>
            </w:tcBorders>
            <w:shd w:val="clear" w:color="auto" w:fill="FFFFFF" w:themeFill="background1"/>
            <w:tcMar>
              <w:top w:w="15" w:type="dxa"/>
              <w:left w:w="15" w:type="dxa"/>
              <w:right w:w="15" w:type="dxa"/>
            </w:tcMar>
            <w:vAlign w:val="bottom"/>
          </w:tcPr>
          <w:p w14:paraId="7BAB8F9D"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lastRenderedPageBreak/>
              <w:t>SCOPA-motor</w:t>
            </w:r>
          </w:p>
        </w:tc>
        <w:tc>
          <w:tcPr>
            <w:tcW w:w="1059" w:type="dxa"/>
            <w:tcBorders>
              <w:top w:val="nil"/>
              <w:left w:val="nil"/>
              <w:bottom w:val="nil"/>
              <w:right w:val="nil"/>
            </w:tcBorders>
            <w:shd w:val="clear" w:color="auto" w:fill="FFFFFF" w:themeFill="background1"/>
            <w:tcMar>
              <w:top w:w="15" w:type="dxa"/>
              <w:left w:w="15" w:type="dxa"/>
              <w:right w:w="15" w:type="dxa"/>
            </w:tcMar>
            <w:vAlign w:val="bottom"/>
          </w:tcPr>
          <w:p w14:paraId="7FB186D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w:t>
            </w:r>
          </w:p>
        </w:tc>
        <w:tc>
          <w:tcPr>
            <w:tcW w:w="355" w:type="dxa"/>
            <w:tcBorders>
              <w:top w:val="nil"/>
              <w:left w:val="nil"/>
              <w:bottom w:val="nil"/>
              <w:right w:val="nil"/>
            </w:tcBorders>
            <w:shd w:val="clear" w:color="auto" w:fill="FFFFFF" w:themeFill="background1"/>
            <w:tcMar>
              <w:top w:w="15" w:type="dxa"/>
              <w:left w:w="15" w:type="dxa"/>
              <w:right w:w="15" w:type="dxa"/>
            </w:tcMar>
            <w:vAlign w:val="bottom"/>
          </w:tcPr>
          <w:p w14:paraId="588E322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nil"/>
              <w:right w:val="nil"/>
            </w:tcBorders>
            <w:shd w:val="clear" w:color="auto" w:fill="FFFFFF" w:themeFill="background1"/>
            <w:tcMar>
              <w:top w:w="15" w:type="dxa"/>
              <w:left w:w="15" w:type="dxa"/>
              <w:right w:w="15" w:type="dxa"/>
            </w:tcMar>
            <w:vAlign w:val="bottom"/>
          </w:tcPr>
          <w:p w14:paraId="6227ED58"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17</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30C9329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nil"/>
              <w:right w:val="nil"/>
            </w:tcBorders>
            <w:shd w:val="clear" w:color="auto" w:fill="FFFFFF" w:themeFill="background1"/>
            <w:tcMar>
              <w:top w:w="15" w:type="dxa"/>
              <w:left w:w="15" w:type="dxa"/>
              <w:right w:w="15" w:type="dxa"/>
            </w:tcMar>
            <w:vAlign w:val="bottom"/>
          </w:tcPr>
          <w:p w14:paraId="31A7B596"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19.35</w:t>
            </w:r>
          </w:p>
        </w:tc>
        <w:tc>
          <w:tcPr>
            <w:tcW w:w="503" w:type="dxa"/>
            <w:tcBorders>
              <w:top w:val="nil"/>
              <w:left w:val="nil"/>
              <w:bottom w:val="nil"/>
              <w:right w:val="nil"/>
            </w:tcBorders>
            <w:shd w:val="clear" w:color="auto" w:fill="FFFFFF" w:themeFill="background1"/>
            <w:tcMar>
              <w:top w:w="15" w:type="dxa"/>
              <w:left w:w="15" w:type="dxa"/>
              <w:right w:w="15" w:type="dxa"/>
            </w:tcMar>
            <w:vAlign w:val="bottom"/>
          </w:tcPr>
          <w:p w14:paraId="09EDFB56"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nil"/>
              <w:right w:val="nil"/>
            </w:tcBorders>
            <w:shd w:val="clear" w:color="auto" w:fill="FFFFFF" w:themeFill="background1"/>
            <w:tcMar>
              <w:top w:w="15" w:type="dxa"/>
              <w:left w:w="15" w:type="dxa"/>
              <w:right w:w="15" w:type="dxa"/>
            </w:tcMar>
            <w:vAlign w:val="bottom"/>
          </w:tcPr>
          <w:p w14:paraId="09CFBC6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7.74</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017C858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nil"/>
              <w:right w:val="nil"/>
            </w:tcBorders>
            <w:shd w:val="clear" w:color="auto" w:fill="FFFFFF" w:themeFill="background1"/>
            <w:tcMar>
              <w:top w:w="15" w:type="dxa"/>
              <w:left w:w="15" w:type="dxa"/>
              <w:right w:w="15" w:type="dxa"/>
            </w:tcMar>
            <w:vAlign w:val="bottom"/>
          </w:tcPr>
          <w:p w14:paraId="211C57E7"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1.88</w:t>
            </w:r>
          </w:p>
        </w:tc>
      </w:tr>
      <w:tr w:rsidR="00752E6F" w:rsidRPr="008F01FA" w14:paraId="75777C7A" w14:textId="77777777" w:rsidTr="00BF76E1">
        <w:trPr>
          <w:trHeight w:val="315"/>
        </w:trPr>
        <w:tc>
          <w:tcPr>
            <w:tcW w:w="1275" w:type="dxa"/>
            <w:tcBorders>
              <w:top w:val="nil"/>
              <w:left w:val="nil"/>
              <w:bottom w:val="nil"/>
              <w:right w:val="nil"/>
            </w:tcBorders>
            <w:shd w:val="clear" w:color="auto" w:fill="FFFFFF" w:themeFill="background1"/>
            <w:tcMar>
              <w:top w:w="15" w:type="dxa"/>
              <w:left w:w="15" w:type="dxa"/>
              <w:right w:w="15" w:type="dxa"/>
            </w:tcMar>
            <w:vAlign w:val="bottom"/>
          </w:tcPr>
          <w:p w14:paraId="58997BA9"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 xml:space="preserve"> </w:t>
            </w:r>
          </w:p>
        </w:tc>
        <w:tc>
          <w:tcPr>
            <w:tcW w:w="1212" w:type="dxa"/>
            <w:tcBorders>
              <w:top w:val="nil"/>
              <w:left w:val="nil"/>
              <w:bottom w:val="nil"/>
              <w:right w:val="nil"/>
            </w:tcBorders>
            <w:shd w:val="clear" w:color="auto" w:fill="FFFFFF" w:themeFill="background1"/>
            <w:tcMar>
              <w:top w:w="15" w:type="dxa"/>
              <w:left w:w="15" w:type="dxa"/>
              <w:right w:w="15" w:type="dxa"/>
            </w:tcMar>
            <w:vAlign w:val="bottom"/>
          </w:tcPr>
          <w:p w14:paraId="1329F42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nil"/>
              <w:left w:val="nil"/>
              <w:bottom w:val="nil"/>
              <w:right w:val="nil"/>
            </w:tcBorders>
            <w:shd w:val="clear" w:color="auto" w:fill="FFFFFF" w:themeFill="background1"/>
            <w:tcMar>
              <w:top w:w="15" w:type="dxa"/>
              <w:left w:w="15" w:type="dxa"/>
              <w:right w:w="15" w:type="dxa"/>
            </w:tcMar>
            <w:vAlign w:val="bottom"/>
          </w:tcPr>
          <w:p w14:paraId="4B87B237"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PDP</w:t>
            </w:r>
          </w:p>
        </w:tc>
        <w:tc>
          <w:tcPr>
            <w:tcW w:w="355" w:type="dxa"/>
            <w:tcBorders>
              <w:top w:val="nil"/>
              <w:left w:val="nil"/>
              <w:bottom w:val="nil"/>
              <w:right w:val="nil"/>
            </w:tcBorders>
            <w:shd w:val="clear" w:color="auto" w:fill="FFFFFF" w:themeFill="background1"/>
            <w:tcMar>
              <w:top w:w="15" w:type="dxa"/>
              <w:left w:w="15" w:type="dxa"/>
              <w:right w:w="15" w:type="dxa"/>
            </w:tcMar>
            <w:vAlign w:val="bottom"/>
          </w:tcPr>
          <w:p w14:paraId="2FCCB71B"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nil"/>
              <w:right w:val="nil"/>
            </w:tcBorders>
            <w:shd w:val="clear" w:color="auto" w:fill="FFFFFF" w:themeFill="background1"/>
            <w:tcMar>
              <w:top w:w="15" w:type="dxa"/>
              <w:left w:w="15" w:type="dxa"/>
              <w:right w:w="15" w:type="dxa"/>
            </w:tcMar>
            <w:vAlign w:val="bottom"/>
          </w:tcPr>
          <w:p w14:paraId="5B99597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20</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25099E65"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nil"/>
              <w:right w:val="nil"/>
            </w:tcBorders>
            <w:shd w:val="clear" w:color="auto" w:fill="FFFFFF" w:themeFill="background1"/>
            <w:tcMar>
              <w:top w:w="15" w:type="dxa"/>
              <w:left w:w="15" w:type="dxa"/>
              <w:right w:w="15" w:type="dxa"/>
            </w:tcMar>
            <w:vAlign w:val="bottom"/>
          </w:tcPr>
          <w:p w14:paraId="7D0E47B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20.02</w:t>
            </w:r>
          </w:p>
        </w:tc>
        <w:tc>
          <w:tcPr>
            <w:tcW w:w="503" w:type="dxa"/>
            <w:tcBorders>
              <w:top w:val="nil"/>
              <w:left w:val="nil"/>
              <w:bottom w:val="nil"/>
              <w:right w:val="nil"/>
            </w:tcBorders>
            <w:shd w:val="clear" w:color="auto" w:fill="FFFFFF" w:themeFill="background1"/>
            <w:tcMar>
              <w:top w:w="15" w:type="dxa"/>
              <w:left w:w="15" w:type="dxa"/>
              <w:right w:w="15" w:type="dxa"/>
            </w:tcMar>
            <w:vAlign w:val="bottom"/>
          </w:tcPr>
          <w:p w14:paraId="27E1BB61"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nil"/>
              <w:right w:val="nil"/>
            </w:tcBorders>
            <w:shd w:val="clear" w:color="auto" w:fill="FFFFFF" w:themeFill="background1"/>
            <w:tcMar>
              <w:top w:w="15" w:type="dxa"/>
              <w:left w:w="15" w:type="dxa"/>
              <w:right w:w="15" w:type="dxa"/>
            </w:tcMar>
            <w:vAlign w:val="bottom"/>
          </w:tcPr>
          <w:p w14:paraId="19DE3CCD"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8.84</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7DCF3FAA"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nil"/>
              <w:right w:val="nil"/>
            </w:tcBorders>
            <w:shd w:val="clear" w:color="auto" w:fill="FFFFFF" w:themeFill="background1"/>
            <w:tcMar>
              <w:top w:w="15" w:type="dxa"/>
              <w:left w:w="15" w:type="dxa"/>
              <w:right w:w="15" w:type="dxa"/>
            </w:tcMar>
            <w:vAlign w:val="bottom"/>
          </w:tcPr>
          <w:p w14:paraId="12CA49A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1.98</w:t>
            </w:r>
          </w:p>
        </w:tc>
      </w:tr>
      <w:tr w:rsidR="00752E6F" w:rsidRPr="008F01FA" w14:paraId="57D7CBCC" w14:textId="77777777" w:rsidTr="00BF76E1">
        <w:trPr>
          <w:trHeight w:val="315"/>
        </w:trPr>
        <w:tc>
          <w:tcPr>
            <w:tcW w:w="1275" w:type="dxa"/>
            <w:tcBorders>
              <w:top w:val="nil"/>
              <w:left w:val="nil"/>
              <w:bottom w:val="nil"/>
              <w:right w:val="nil"/>
            </w:tcBorders>
            <w:shd w:val="clear" w:color="auto" w:fill="FFFFFF" w:themeFill="background1"/>
            <w:tcMar>
              <w:top w:w="15" w:type="dxa"/>
              <w:left w:w="15" w:type="dxa"/>
              <w:right w:w="15" w:type="dxa"/>
            </w:tcMar>
            <w:vAlign w:val="bottom"/>
          </w:tcPr>
          <w:p w14:paraId="03EF501B"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MoCA</w:t>
            </w:r>
          </w:p>
        </w:tc>
        <w:tc>
          <w:tcPr>
            <w:tcW w:w="1212" w:type="dxa"/>
            <w:tcBorders>
              <w:top w:val="nil"/>
              <w:left w:val="nil"/>
              <w:bottom w:val="nil"/>
              <w:right w:val="nil"/>
            </w:tcBorders>
            <w:shd w:val="clear" w:color="auto" w:fill="FFFFFF" w:themeFill="background1"/>
            <w:tcMar>
              <w:top w:w="15" w:type="dxa"/>
              <w:left w:w="15" w:type="dxa"/>
              <w:right w:w="15" w:type="dxa"/>
            </w:tcMar>
            <w:vAlign w:val="bottom"/>
          </w:tcPr>
          <w:p w14:paraId="0EE0D1F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nil"/>
              <w:left w:val="nil"/>
              <w:bottom w:val="nil"/>
              <w:right w:val="nil"/>
            </w:tcBorders>
            <w:shd w:val="clear" w:color="auto" w:fill="FFFFFF" w:themeFill="background1"/>
            <w:tcMar>
              <w:top w:w="15" w:type="dxa"/>
              <w:left w:w="15" w:type="dxa"/>
              <w:right w:w="15" w:type="dxa"/>
            </w:tcMar>
            <w:vAlign w:val="bottom"/>
          </w:tcPr>
          <w:p w14:paraId="61E47089"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w:t>
            </w:r>
          </w:p>
        </w:tc>
        <w:tc>
          <w:tcPr>
            <w:tcW w:w="355" w:type="dxa"/>
            <w:tcBorders>
              <w:top w:val="nil"/>
              <w:left w:val="nil"/>
              <w:bottom w:val="nil"/>
              <w:right w:val="nil"/>
            </w:tcBorders>
            <w:shd w:val="clear" w:color="auto" w:fill="FFFFFF" w:themeFill="background1"/>
            <w:tcMar>
              <w:top w:w="15" w:type="dxa"/>
              <w:left w:w="15" w:type="dxa"/>
              <w:right w:w="15" w:type="dxa"/>
            </w:tcMar>
            <w:vAlign w:val="bottom"/>
          </w:tcPr>
          <w:p w14:paraId="13BE164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nil"/>
              <w:right w:val="nil"/>
            </w:tcBorders>
            <w:shd w:val="clear" w:color="auto" w:fill="FFFFFF" w:themeFill="background1"/>
            <w:tcMar>
              <w:top w:w="15" w:type="dxa"/>
              <w:left w:w="15" w:type="dxa"/>
              <w:right w:w="15" w:type="dxa"/>
            </w:tcMar>
            <w:vAlign w:val="bottom"/>
          </w:tcPr>
          <w:p w14:paraId="7E68975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18</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0D823195"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nil"/>
              <w:right w:val="nil"/>
            </w:tcBorders>
            <w:shd w:val="clear" w:color="auto" w:fill="FFFFFF" w:themeFill="background1"/>
            <w:tcMar>
              <w:top w:w="15" w:type="dxa"/>
              <w:left w:w="15" w:type="dxa"/>
              <w:right w:w="15" w:type="dxa"/>
            </w:tcMar>
            <w:vAlign w:val="bottom"/>
          </w:tcPr>
          <w:p w14:paraId="56B4E04B"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27.39</w:t>
            </w:r>
          </w:p>
        </w:tc>
        <w:tc>
          <w:tcPr>
            <w:tcW w:w="503" w:type="dxa"/>
            <w:tcBorders>
              <w:top w:val="nil"/>
              <w:left w:val="nil"/>
              <w:bottom w:val="nil"/>
              <w:right w:val="nil"/>
            </w:tcBorders>
            <w:shd w:val="clear" w:color="auto" w:fill="FFFFFF" w:themeFill="background1"/>
            <w:tcMar>
              <w:top w:w="15" w:type="dxa"/>
              <w:left w:w="15" w:type="dxa"/>
              <w:right w:w="15" w:type="dxa"/>
            </w:tcMar>
            <w:vAlign w:val="bottom"/>
          </w:tcPr>
          <w:p w14:paraId="740D7BC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nil"/>
              <w:right w:val="nil"/>
            </w:tcBorders>
            <w:shd w:val="clear" w:color="auto" w:fill="FFFFFF" w:themeFill="background1"/>
            <w:tcMar>
              <w:top w:w="15" w:type="dxa"/>
              <w:left w:w="15" w:type="dxa"/>
              <w:right w:w="15" w:type="dxa"/>
            </w:tcMar>
            <w:vAlign w:val="bottom"/>
          </w:tcPr>
          <w:p w14:paraId="4453708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2.12</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50105A55"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nil"/>
              <w:right w:val="nil"/>
            </w:tcBorders>
            <w:shd w:val="clear" w:color="auto" w:fill="FFFFFF" w:themeFill="background1"/>
            <w:tcMar>
              <w:top w:w="15" w:type="dxa"/>
              <w:left w:w="15" w:type="dxa"/>
              <w:right w:w="15" w:type="dxa"/>
            </w:tcMar>
            <w:vAlign w:val="bottom"/>
          </w:tcPr>
          <w:p w14:paraId="1E665BAD"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0.50</w:t>
            </w:r>
          </w:p>
        </w:tc>
      </w:tr>
      <w:tr w:rsidR="00752E6F" w:rsidRPr="008F01FA" w14:paraId="6E0A21E6" w14:textId="77777777" w:rsidTr="00BF76E1">
        <w:trPr>
          <w:trHeight w:val="315"/>
        </w:trPr>
        <w:tc>
          <w:tcPr>
            <w:tcW w:w="1275" w:type="dxa"/>
            <w:tcBorders>
              <w:top w:val="nil"/>
              <w:left w:val="nil"/>
              <w:bottom w:val="nil"/>
              <w:right w:val="nil"/>
            </w:tcBorders>
            <w:shd w:val="clear" w:color="auto" w:fill="FFFFFF" w:themeFill="background1"/>
            <w:tcMar>
              <w:top w:w="15" w:type="dxa"/>
              <w:left w:w="15" w:type="dxa"/>
              <w:right w:w="15" w:type="dxa"/>
            </w:tcMar>
            <w:vAlign w:val="bottom"/>
          </w:tcPr>
          <w:p w14:paraId="0CB223AF"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 xml:space="preserve"> </w:t>
            </w:r>
          </w:p>
        </w:tc>
        <w:tc>
          <w:tcPr>
            <w:tcW w:w="1212" w:type="dxa"/>
            <w:tcBorders>
              <w:top w:val="nil"/>
              <w:left w:val="nil"/>
              <w:bottom w:val="nil"/>
              <w:right w:val="nil"/>
            </w:tcBorders>
            <w:shd w:val="clear" w:color="auto" w:fill="FFFFFF" w:themeFill="background1"/>
            <w:tcMar>
              <w:top w:w="15" w:type="dxa"/>
              <w:left w:w="15" w:type="dxa"/>
              <w:right w:w="15" w:type="dxa"/>
            </w:tcMar>
            <w:vAlign w:val="bottom"/>
          </w:tcPr>
          <w:p w14:paraId="290FAA7F"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nil"/>
              <w:left w:val="nil"/>
              <w:bottom w:val="nil"/>
              <w:right w:val="nil"/>
            </w:tcBorders>
            <w:shd w:val="clear" w:color="auto" w:fill="FFFFFF" w:themeFill="background1"/>
            <w:tcMar>
              <w:top w:w="15" w:type="dxa"/>
              <w:left w:w="15" w:type="dxa"/>
              <w:right w:w="15" w:type="dxa"/>
            </w:tcMar>
            <w:vAlign w:val="bottom"/>
          </w:tcPr>
          <w:p w14:paraId="590C8D45"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PDP</w:t>
            </w:r>
          </w:p>
        </w:tc>
        <w:tc>
          <w:tcPr>
            <w:tcW w:w="355" w:type="dxa"/>
            <w:tcBorders>
              <w:top w:val="nil"/>
              <w:left w:val="nil"/>
              <w:bottom w:val="nil"/>
              <w:right w:val="nil"/>
            </w:tcBorders>
            <w:shd w:val="clear" w:color="auto" w:fill="FFFFFF" w:themeFill="background1"/>
            <w:tcMar>
              <w:top w:w="15" w:type="dxa"/>
              <w:left w:w="15" w:type="dxa"/>
              <w:right w:w="15" w:type="dxa"/>
            </w:tcMar>
            <w:vAlign w:val="bottom"/>
          </w:tcPr>
          <w:p w14:paraId="519486AD"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nil"/>
              <w:right w:val="nil"/>
            </w:tcBorders>
            <w:shd w:val="clear" w:color="auto" w:fill="FFFFFF" w:themeFill="background1"/>
            <w:tcMar>
              <w:top w:w="15" w:type="dxa"/>
              <w:left w:w="15" w:type="dxa"/>
              <w:right w:w="15" w:type="dxa"/>
            </w:tcMar>
            <w:vAlign w:val="bottom"/>
          </w:tcPr>
          <w:p w14:paraId="49FF894B"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20</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6B42D20B"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nil"/>
              <w:right w:val="nil"/>
            </w:tcBorders>
            <w:shd w:val="clear" w:color="auto" w:fill="FFFFFF" w:themeFill="background1"/>
            <w:tcMar>
              <w:top w:w="15" w:type="dxa"/>
              <w:left w:w="15" w:type="dxa"/>
              <w:right w:w="15" w:type="dxa"/>
            </w:tcMar>
            <w:vAlign w:val="bottom"/>
          </w:tcPr>
          <w:p w14:paraId="7D80DAF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27.15</w:t>
            </w:r>
          </w:p>
        </w:tc>
        <w:tc>
          <w:tcPr>
            <w:tcW w:w="503" w:type="dxa"/>
            <w:tcBorders>
              <w:top w:val="nil"/>
              <w:left w:val="nil"/>
              <w:bottom w:val="nil"/>
              <w:right w:val="nil"/>
            </w:tcBorders>
            <w:shd w:val="clear" w:color="auto" w:fill="FFFFFF" w:themeFill="background1"/>
            <w:tcMar>
              <w:top w:w="15" w:type="dxa"/>
              <w:left w:w="15" w:type="dxa"/>
              <w:right w:w="15" w:type="dxa"/>
            </w:tcMar>
            <w:vAlign w:val="bottom"/>
          </w:tcPr>
          <w:p w14:paraId="535E2AC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nil"/>
              <w:right w:val="nil"/>
            </w:tcBorders>
            <w:shd w:val="clear" w:color="auto" w:fill="FFFFFF" w:themeFill="background1"/>
            <w:tcMar>
              <w:top w:w="15" w:type="dxa"/>
              <w:left w:w="15" w:type="dxa"/>
              <w:right w:w="15" w:type="dxa"/>
            </w:tcMar>
            <w:vAlign w:val="bottom"/>
          </w:tcPr>
          <w:p w14:paraId="5E9CBCEF"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2.76</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3E08FB16"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nil"/>
              <w:right w:val="nil"/>
            </w:tcBorders>
            <w:shd w:val="clear" w:color="auto" w:fill="FFFFFF" w:themeFill="background1"/>
            <w:tcMar>
              <w:top w:w="15" w:type="dxa"/>
              <w:left w:w="15" w:type="dxa"/>
              <w:right w:w="15" w:type="dxa"/>
            </w:tcMar>
            <w:vAlign w:val="bottom"/>
          </w:tcPr>
          <w:p w14:paraId="799541C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0.62</w:t>
            </w:r>
          </w:p>
        </w:tc>
      </w:tr>
      <w:tr w:rsidR="00752E6F" w:rsidRPr="008F01FA" w14:paraId="54B72212" w14:textId="77777777" w:rsidTr="00BF76E1">
        <w:trPr>
          <w:trHeight w:val="315"/>
        </w:trPr>
        <w:tc>
          <w:tcPr>
            <w:tcW w:w="1275" w:type="dxa"/>
            <w:tcBorders>
              <w:top w:val="nil"/>
              <w:left w:val="nil"/>
              <w:bottom w:val="nil"/>
              <w:right w:val="nil"/>
            </w:tcBorders>
            <w:shd w:val="clear" w:color="auto" w:fill="FFFFFF" w:themeFill="background1"/>
            <w:tcMar>
              <w:top w:w="15" w:type="dxa"/>
              <w:left w:w="15" w:type="dxa"/>
              <w:right w:w="15" w:type="dxa"/>
            </w:tcMar>
            <w:vAlign w:val="bottom"/>
          </w:tcPr>
          <w:p w14:paraId="15C358E3"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LEDD</w:t>
            </w:r>
          </w:p>
        </w:tc>
        <w:tc>
          <w:tcPr>
            <w:tcW w:w="1212" w:type="dxa"/>
            <w:tcBorders>
              <w:top w:val="nil"/>
              <w:left w:val="nil"/>
              <w:bottom w:val="nil"/>
              <w:right w:val="nil"/>
            </w:tcBorders>
            <w:shd w:val="clear" w:color="auto" w:fill="FFFFFF" w:themeFill="background1"/>
            <w:tcMar>
              <w:top w:w="15" w:type="dxa"/>
              <w:left w:w="15" w:type="dxa"/>
              <w:right w:w="15" w:type="dxa"/>
            </w:tcMar>
            <w:vAlign w:val="bottom"/>
          </w:tcPr>
          <w:p w14:paraId="0235B856"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nil"/>
              <w:left w:val="nil"/>
              <w:bottom w:val="nil"/>
              <w:right w:val="nil"/>
            </w:tcBorders>
            <w:shd w:val="clear" w:color="auto" w:fill="FFFFFF" w:themeFill="background1"/>
            <w:tcMar>
              <w:top w:w="15" w:type="dxa"/>
              <w:left w:w="15" w:type="dxa"/>
              <w:right w:w="15" w:type="dxa"/>
            </w:tcMar>
            <w:vAlign w:val="bottom"/>
          </w:tcPr>
          <w:p w14:paraId="61ED73BD"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w:t>
            </w:r>
          </w:p>
        </w:tc>
        <w:tc>
          <w:tcPr>
            <w:tcW w:w="355" w:type="dxa"/>
            <w:tcBorders>
              <w:top w:val="nil"/>
              <w:left w:val="nil"/>
              <w:bottom w:val="nil"/>
              <w:right w:val="nil"/>
            </w:tcBorders>
            <w:shd w:val="clear" w:color="auto" w:fill="FFFFFF" w:themeFill="background1"/>
            <w:tcMar>
              <w:top w:w="15" w:type="dxa"/>
              <w:left w:w="15" w:type="dxa"/>
              <w:right w:w="15" w:type="dxa"/>
            </w:tcMar>
            <w:vAlign w:val="bottom"/>
          </w:tcPr>
          <w:p w14:paraId="6D7DF1DA"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nil"/>
              <w:right w:val="nil"/>
            </w:tcBorders>
            <w:shd w:val="clear" w:color="auto" w:fill="FFFFFF" w:themeFill="background1"/>
            <w:tcMar>
              <w:top w:w="15" w:type="dxa"/>
              <w:left w:w="15" w:type="dxa"/>
              <w:right w:w="15" w:type="dxa"/>
            </w:tcMar>
            <w:vAlign w:val="bottom"/>
          </w:tcPr>
          <w:p w14:paraId="13B42106"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18</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00639B28"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nil"/>
              <w:right w:val="nil"/>
            </w:tcBorders>
            <w:shd w:val="clear" w:color="auto" w:fill="FFFFFF" w:themeFill="background1"/>
            <w:tcMar>
              <w:top w:w="15" w:type="dxa"/>
              <w:left w:w="15" w:type="dxa"/>
              <w:right w:w="15" w:type="dxa"/>
            </w:tcMar>
            <w:vAlign w:val="bottom"/>
          </w:tcPr>
          <w:p w14:paraId="0843F4F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302.28</w:t>
            </w:r>
          </w:p>
        </w:tc>
        <w:tc>
          <w:tcPr>
            <w:tcW w:w="503" w:type="dxa"/>
            <w:tcBorders>
              <w:top w:val="nil"/>
              <w:left w:val="nil"/>
              <w:bottom w:val="nil"/>
              <w:right w:val="nil"/>
            </w:tcBorders>
            <w:shd w:val="clear" w:color="auto" w:fill="FFFFFF" w:themeFill="background1"/>
            <w:tcMar>
              <w:top w:w="15" w:type="dxa"/>
              <w:left w:w="15" w:type="dxa"/>
              <w:right w:w="15" w:type="dxa"/>
            </w:tcMar>
            <w:vAlign w:val="bottom"/>
          </w:tcPr>
          <w:p w14:paraId="3218B039"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nil"/>
              <w:right w:val="nil"/>
            </w:tcBorders>
            <w:shd w:val="clear" w:color="auto" w:fill="FFFFFF" w:themeFill="background1"/>
            <w:tcMar>
              <w:top w:w="15" w:type="dxa"/>
              <w:left w:w="15" w:type="dxa"/>
              <w:right w:w="15" w:type="dxa"/>
            </w:tcMar>
            <w:vAlign w:val="bottom"/>
          </w:tcPr>
          <w:p w14:paraId="782D476C"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226.36</w:t>
            </w:r>
          </w:p>
        </w:tc>
        <w:tc>
          <w:tcPr>
            <w:tcW w:w="447" w:type="dxa"/>
            <w:tcBorders>
              <w:top w:val="nil"/>
              <w:left w:val="nil"/>
              <w:bottom w:val="nil"/>
              <w:right w:val="nil"/>
            </w:tcBorders>
            <w:shd w:val="clear" w:color="auto" w:fill="FFFFFF" w:themeFill="background1"/>
            <w:tcMar>
              <w:top w:w="15" w:type="dxa"/>
              <w:left w:w="15" w:type="dxa"/>
              <w:right w:w="15" w:type="dxa"/>
            </w:tcMar>
            <w:vAlign w:val="bottom"/>
          </w:tcPr>
          <w:p w14:paraId="7C19EB2F"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nil"/>
              <w:right w:val="nil"/>
            </w:tcBorders>
            <w:shd w:val="clear" w:color="auto" w:fill="FFFFFF" w:themeFill="background1"/>
            <w:tcMar>
              <w:top w:w="15" w:type="dxa"/>
              <w:left w:w="15" w:type="dxa"/>
              <w:right w:w="15" w:type="dxa"/>
            </w:tcMar>
            <w:vAlign w:val="bottom"/>
          </w:tcPr>
          <w:p w14:paraId="096076B8"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53.35</w:t>
            </w:r>
          </w:p>
        </w:tc>
      </w:tr>
      <w:tr w:rsidR="00752E6F" w:rsidRPr="008F01FA" w14:paraId="203C8D13" w14:textId="77777777" w:rsidTr="00BF76E1">
        <w:trPr>
          <w:trHeight w:val="345"/>
        </w:trPr>
        <w:tc>
          <w:tcPr>
            <w:tcW w:w="1275"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10A2F358" w14:textId="77777777" w:rsidR="00752E6F" w:rsidRPr="008F01FA" w:rsidRDefault="00752E6F" w:rsidP="00BF76E1">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 xml:space="preserve"> </w:t>
            </w:r>
          </w:p>
        </w:tc>
        <w:tc>
          <w:tcPr>
            <w:tcW w:w="1212"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565E3289"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59"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76C59B1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PDP</w:t>
            </w:r>
          </w:p>
        </w:tc>
        <w:tc>
          <w:tcPr>
            <w:tcW w:w="355"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15DCB693"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532"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4F54F5CD"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20</w:t>
            </w:r>
          </w:p>
        </w:tc>
        <w:tc>
          <w:tcPr>
            <w:tcW w:w="447"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09668F7E"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169"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3E9B9C55"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475.63</w:t>
            </w:r>
          </w:p>
        </w:tc>
        <w:tc>
          <w:tcPr>
            <w:tcW w:w="503"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72C92E42"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781"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2B00A1D3"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320.27</w:t>
            </w:r>
          </w:p>
        </w:tc>
        <w:tc>
          <w:tcPr>
            <w:tcW w:w="447"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524CDB44"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36"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6984A1B5" w14:textId="77777777" w:rsidR="00752E6F" w:rsidRPr="008F01FA" w:rsidRDefault="00752E6F" w:rsidP="00BF76E1">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71.62</w:t>
            </w:r>
          </w:p>
        </w:tc>
      </w:tr>
    </w:tbl>
    <w:p w14:paraId="4DFCD018" w14:textId="77777777" w:rsidR="00752E6F" w:rsidRPr="008F01FA" w:rsidRDefault="00752E6F" w:rsidP="00752E6F">
      <w:pPr>
        <w:spacing w:line="360" w:lineRule="auto"/>
        <w:jc w:val="both"/>
        <w:rPr>
          <w:rFonts w:ascii="Times New Roman" w:hAnsi="Times New Roman" w:cs="Times New Roman"/>
          <w:b/>
          <w:bCs/>
          <w:color w:val="000000" w:themeColor="text1"/>
          <w:sz w:val="22"/>
          <w:szCs w:val="22"/>
        </w:rPr>
      </w:pPr>
    </w:p>
    <w:p w14:paraId="76C7F96A"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lang w:val="en-US"/>
        </w:rPr>
      </w:pPr>
      <w:r w:rsidRPr="008F01FA">
        <w:rPr>
          <w:rFonts w:ascii="Times New Roman" w:hAnsi="Times New Roman" w:cs="Times New Roman"/>
          <w:b/>
          <w:bCs/>
          <w:color w:val="000000" w:themeColor="text1"/>
          <w:sz w:val="22"/>
          <w:szCs w:val="22"/>
        </w:rPr>
        <w:t>Supplementary Table 1</w:t>
      </w:r>
      <w:r w:rsidRPr="008F01FA">
        <w:rPr>
          <w:rFonts w:ascii="Times New Roman" w:hAnsi="Times New Roman" w:cs="Times New Roman"/>
          <w:color w:val="000000" w:themeColor="text1"/>
          <w:sz w:val="22"/>
          <w:szCs w:val="22"/>
        </w:rPr>
        <w:t xml:space="preserve">. </w:t>
      </w:r>
      <w:r w:rsidRPr="008F01FA">
        <w:rPr>
          <w:rFonts w:ascii="Times New Roman" w:hAnsi="Times New Roman" w:cs="Times New Roman"/>
          <w:i/>
          <w:iCs/>
          <w:color w:val="000000" w:themeColor="text1"/>
          <w:sz w:val="22"/>
          <w:szCs w:val="22"/>
          <w:lang w:val="en-US"/>
        </w:rPr>
        <w:t xml:space="preserve">We report participants’ demographics and relevant clinical information; disease duration is reported in years, we also report CISI-PD (Clinical Impression of Severity Index for PD) for motor severity, SCOPA-motor* total score, Montreal Cognitive assessment (MoCA) scores (participants were not </w:t>
      </w:r>
      <w:proofErr w:type="spellStart"/>
      <w:r w:rsidRPr="008F01FA">
        <w:rPr>
          <w:rFonts w:ascii="Times New Roman" w:hAnsi="Times New Roman" w:cs="Times New Roman"/>
          <w:i/>
          <w:iCs/>
          <w:color w:val="000000" w:themeColor="text1"/>
          <w:sz w:val="22"/>
          <w:szCs w:val="22"/>
          <w:lang w:val="en-US"/>
        </w:rPr>
        <w:t>eligibile</w:t>
      </w:r>
      <w:proofErr w:type="spellEnd"/>
      <w:r w:rsidRPr="008F01FA">
        <w:rPr>
          <w:rFonts w:ascii="Times New Roman" w:hAnsi="Times New Roman" w:cs="Times New Roman"/>
          <w:i/>
          <w:iCs/>
          <w:color w:val="000000" w:themeColor="text1"/>
          <w:sz w:val="22"/>
          <w:szCs w:val="22"/>
          <w:lang w:val="en-US"/>
        </w:rPr>
        <w:t xml:space="preserve"> for the study if they presented a score lower to 22) LEDD (levodopa equivalent dose*), CISI-PD was completed by a Parkinson’s neurologist. </w:t>
      </w:r>
    </w:p>
    <w:p w14:paraId="70B84965"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lang w:val="en-US"/>
        </w:rPr>
      </w:pPr>
      <w:r w:rsidRPr="008F01FA">
        <w:rPr>
          <w:rFonts w:ascii="Times New Roman" w:hAnsi="Times New Roman" w:cs="Times New Roman"/>
          <w:i/>
          <w:iCs/>
          <w:color w:val="000000" w:themeColor="text1"/>
          <w:sz w:val="22"/>
          <w:szCs w:val="22"/>
          <w:lang w:val="en-US"/>
        </w:rPr>
        <w:t>*One PD-</w:t>
      </w:r>
      <w:proofErr w:type="spellStart"/>
      <w:r w:rsidRPr="008F01FA">
        <w:rPr>
          <w:rFonts w:ascii="Times New Roman" w:hAnsi="Times New Roman" w:cs="Times New Roman"/>
          <w:i/>
          <w:iCs/>
          <w:color w:val="000000" w:themeColor="text1"/>
          <w:sz w:val="22"/>
          <w:szCs w:val="22"/>
          <w:lang w:val="en-US"/>
        </w:rPr>
        <w:t>noVH</w:t>
      </w:r>
      <w:proofErr w:type="spellEnd"/>
      <w:r w:rsidRPr="008F01FA">
        <w:rPr>
          <w:rFonts w:ascii="Times New Roman" w:hAnsi="Times New Roman" w:cs="Times New Roman"/>
          <w:i/>
          <w:iCs/>
          <w:color w:val="000000" w:themeColor="text1"/>
          <w:sz w:val="22"/>
          <w:szCs w:val="22"/>
          <w:lang w:val="en-US"/>
        </w:rPr>
        <w:t xml:space="preserve"> participant did not undergo the SCOPA-motor and was excluded from this comparison. </w:t>
      </w:r>
    </w:p>
    <w:p w14:paraId="68E4AB7D"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i/>
          <w:iCs/>
          <w:color w:val="000000" w:themeColor="text1"/>
          <w:sz w:val="22"/>
          <w:szCs w:val="22"/>
          <w:lang w:val="en-US"/>
        </w:rPr>
        <w:t>**LEDD: this information was not available for one PD-</w:t>
      </w:r>
      <w:proofErr w:type="spellStart"/>
      <w:r w:rsidRPr="008F01FA">
        <w:rPr>
          <w:rFonts w:ascii="Times New Roman" w:hAnsi="Times New Roman" w:cs="Times New Roman"/>
          <w:i/>
          <w:iCs/>
          <w:color w:val="000000" w:themeColor="text1"/>
          <w:sz w:val="22"/>
          <w:szCs w:val="22"/>
          <w:lang w:val="en-US"/>
        </w:rPr>
        <w:t>noVH</w:t>
      </w:r>
      <w:proofErr w:type="spellEnd"/>
      <w:r w:rsidRPr="008F01FA">
        <w:rPr>
          <w:rFonts w:ascii="Times New Roman" w:hAnsi="Times New Roman" w:cs="Times New Roman"/>
          <w:i/>
          <w:iCs/>
          <w:color w:val="000000" w:themeColor="text1"/>
          <w:sz w:val="22"/>
          <w:szCs w:val="22"/>
          <w:lang w:val="en-US"/>
        </w:rPr>
        <w:t xml:space="preserve"> participant, but we verified they were on both Sinemet and </w:t>
      </w:r>
      <w:proofErr w:type="spellStart"/>
      <w:r w:rsidRPr="008F01FA">
        <w:rPr>
          <w:rFonts w:ascii="Times New Roman" w:hAnsi="Times New Roman" w:cs="Times New Roman"/>
          <w:i/>
          <w:iCs/>
          <w:color w:val="000000" w:themeColor="text1"/>
          <w:sz w:val="22"/>
          <w:szCs w:val="22"/>
          <w:lang w:val="en-US"/>
        </w:rPr>
        <w:t>Madopar</w:t>
      </w:r>
      <w:proofErr w:type="spellEnd"/>
      <w:r w:rsidRPr="008F01FA">
        <w:rPr>
          <w:rFonts w:ascii="Times New Roman" w:hAnsi="Times New Roman" w:cs="Times New Roman"/>
          <w:i/>
          <w:iCs/>
          <w:color w:val="000000" w:themeColor="text1"/>
          <w:sz w:val="22"/>
          <w:szCs w:val="22"/>
          <w:lang w:val="en-US"/>
        </w:rPr>
        <w:t xml:space="preserve"> and thus not drug naive– based on this we used the group average of PD-</w:t>
      </w:r>
      <w:proofErr w:type="spellStart"/>
      <w:r w:rsidRPr="008F01FA">
        <w:rPr>
          <w:rFonts w:ascii="Times New Roman" w:hAnsi="Times New Roman" w:cs="Times New Roman"/>
          <w:i/>
          <w:iCs/>
          <w:color w:val="000000" w:themeColor="text1"/>
          <w:sz w:val="22"/>
          <w:szCs w:val="22"/>
          <w:lang w:val="en-US"/>
        </w:rPr>
        <w:t>noVH</w:t>
      </w:r>
      <w:proofErr w:type="spellEnd"/>
      <w:r w:rsidRPr="008F01FA">
        <w:rPr>
          <w:rFonts w:ascii="Times New Roman" w:hAnsi="Times New Roman" w:cs="Times New Roman"/>
          <w:i/>
          <w:iCs/>
          <w:color w:val="000000" w:themeColor="text1"/>
          <w:sz w:val="22"/>
          <w:szCs w:val="22"/>
          <w:lang w:val="en-US"/>
        </w:rPr>
        <w:t xml:space="preserve"> for this analysis.</w:t>
      </w:r>
    </w:p>
    <w:p w14:paraId="2793C7BB"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tbl>
      <w:tblPr>
        <w:tblW w:w="9087" w:type="dxa"/>
        <w:tblLayout w:type="fixed"/>
        <w:tblLook w:val="06A0" w:firstRow="1" w:lastRow="0" w:firstColumn="1" w:lastColumn="0" w:noHBand="1" w:noVBand="1"/>
      </w:tblPr>
      <w:tblGrid>
        <w:gridCol w:w="2273"/>
        <w:gridCol w:w="1559"/>
        <w:gridCol w:w="1042"/>
        <w:gridCol w:w="650"/>
        <w:gridCol w:w="1249"/>
        <w:gridCol w:w="721"/>
        <w:gridCol w:w="1593"/>
      </w:tblGrid>
      <w:tr w:rsidR="00752E6F" w:rsidRPr="008F01FA" w14:paraId="6304C704" w14:textId="77777777" w:rsidTr="00BF76E1">
        <w:trPr>
          <w:trHeight w:val="324"/>
        </w:trPr>
        <w:tc>
          <w:tcPr>
            <w:tcW w:w="2273"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6B622B4B" w14:textId="77777777" w:rsidR="00752E6F" w:rsidRPr="008F01FA" w:rsidRDefault="00752E6F" w:rsidP="00BF76E1">
            <w:pPr>
              <w:spacing w:line="360" w:lineRule="auto"/>
              <w:rPr>
                <w:rFonts w:ascii="Times New Roman" w:hAnsi="Times New Roman" w:cs="Times New Roman"/>
                <w:color w:val="000000" w:themeColor="text1"/>
                <w:sz w:val="22"/>
                <w:szCs w:val="22"/>
              </w:rPr>
            </w:pPr>
          </w:p>
        </w:tc>
        <w:tc>
          <w:tcPr>
            <w:tcW w:w="1559"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3023DEB3"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42"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6B2335A4" w14:textId="77777777" w:rsidR="00752E6F" w:rsidRPr="008F01FA" w:rsidRDefault="00752E6F" w:rsidP="00BF76E1">
            <w:pPr>
              <w:spacing w:line="360" w:lineRule="auto"/>
              <w:rPr>
                <w:rFonts w:ascii="Times New Roman" w:hAnsi="Times New Roman" w:cs="Times New Roman"/>
                <w:b/>
                <w:bCs/>
                <w:color w:val="000000" w:themeColor="text1"/>
                <w:sz w:val="22"/>
                <w:szCs w:val="22"/>
              </w:rPr>
            </w:pPr>
            <w:r w:rsidRPr="008F01FA">
              <w:rPr>
                <w:rFonts w:ascii="Times New Roman" w:hAnsi="Times New Roman" w:cs="Times New Roman"/>
                <w:b/>
                <w:bCs/>
                <w:color w:val="000000" w:themeColor="text1"/>
                <w:sz w:val="22"/>
                <w:szCs w:val="22"/>
              </w:rPr>
              <w:t>F</w:t>
            </w:r>
          </w:p>
        </w:tc>
        <w:tc>
          <w:tcPr>
            <w:tcW w:w="650"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40CDD2C2"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49"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331B31D2" w14:textId="77777777" w:rsidR="00752E6F" w:rsidRPr="008F01FA" w:rsidRDefault="00752E6F" w:rsidP="00BF76E1">
            <w:pPr>
              <w:spacing w:line="360" w:lineRule="auto"/>
              <w:rPr>
                <w:rFonts w:ascii="Times New Roman" w:hAnsi="Times New Roman" w:cs="Times New Roman"/>
                <w:b/>
                <w:bCs/>
                <w:color w:val="000000" w:themeColor="text1"/>
                <w:sz w:val="22"/>
                <w:szCs w:val="22"/>
              </w:rPr>
            </w:pPr>
            <w:proofErr w:type="spellStart"/>
            <w:r w:rsidRPr="008F01FA">
              <w:rPr>
                <w:rFonts w:ascii="Times New Roman" w:hAnsi="Times New Roman" w:cs="Times New Roman"/>
                <w:b/>
                <w:bCs/>
                <w:color w:val="000000" w:themeColor="text1"/>
                <w:sz w:val="22"/>
                <w:szCs w:val="22"/>
              </w:rPr>
              <w:t>df</w:t>
            </w:r>
            <w:proofErr w:type="spellEnd"/>
          </w:p>
        </w:tc>
        <w:tc>
          <w:tcPr>
            <w:tcW w:w="721"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35531ADC"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593"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503A2E08" w14:textId="77777777" w:rsidR="00752E6F" w:rsidRPr="008F01FA" w:rsidRDefault="00752E6F" w:rsidP="00BF76E1">
            <w:pPr>
              <w:spacing w:line="360" w:lineRule="auto"/>
              <w:rPr>
                <w:rFonts w:ascii="Times New Roman" w:hAnsi="Times New Roman" w:cs="Times New Roman"/>
                <w:b/>
                <w:bCs/>
                <w:color w:val="000000" w:themeColor="text1"/>
                <w:sz w:val="22"/>
                <w:szCs w:val="22"/>
              </w:rPr>
            </w:pPr>
            <w:r w:rsidRPr="008F01FA">
              <w:rPr>
                <w:rFonts w:ascii="Times New Roman" w:hAnsi="Times New Roman" w:cs="Times New Roman"/>
                <w:b/>
                <w:bCs/>
                <w:color w:val="000000" w:themeColor="text1"/>
                <w:sz w:val="22"/>
                <w:szCs w:val="22"/>
              </w:rPr>
              <w:t>p</w:t>
            </w:r>
          </w:p>
        </w:tc>
      </w:tr>
      <w:tr w:rsidR="00752E6F" w:rsidRPr="008F01FA" w14:paraId="68B6FAE9" w14:textId="77777777" w:rsidTr="00BF76E1">
        <w:trPr>
          <w:trHeight w:val="324"/>
        </w:trPr>
        <w:tc>
          <w:tcPr>
            <w:tcW w:w="2273"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4953C3B0" w14:textId="77777777" w:rsidR="00752E6F" w:rsidRPr="008F01FA" w:rsidRDefault="00752E6F" w:rsidP="00BF76E1">
            <w:pPr>
              <w:spacing w:line="360" w:lineRule="auto"/>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Age</w:t>
            </w:r>
          </w:p>
        </w:tc>
        <w:tc>
          <w:tcPr>
            <w:tcW w:w="1559"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2D870B9C"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42"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30D51CE4"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0.822</w:t>
            </w:r>
          </w:p>
        </w:tc>
        <w:tc>
          <w:tcPr>
            <w:tcW w:w="650"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7AC219A9"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49" w:type="dxa"/>
            <w:tcBorders>
              <w:top w:val="single" w:sz="4" w:space="0" w:color="auto"/>
              <w:left w:val="nil"/>
              <w:bottom w:val="nil"/>
              <w:right w:val="nil"/>
            </w:tcBorders>
            <w:shd w:val="clear" w:color="auto" w:fill="FFFFFF" w:themeFill="background1"/>
            <w:tcMar>
              <w:top w:w="15" w:type="dxa"/>
              <w:left w:w="15" w:type="dxa"/>
              <w:right w:w="15" w:type="dxa"/>
            </w:tcMar>
            <w:vAlign w:val="center"/>
          </w:tcPr>
          <w:p w14:paraId="035F6980"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1,33</w:t>
            </w:r>
          </w:p>
        </w:tc>
        <w:tc>
          <w:tcPr>
            <w:tcW w:w="721"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7E5F05C6"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593"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1E6D7890"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0.371</w:t>
            </w:r>
          </w:p>
        </w:tc>
      </w:tr>
      <w:tr w:rsidR="00752E6F" w:rsidRPr="008F01FA" w14:paraId="4C76E547" w14:textId="77777777" w:rsidTr="00BF76E1">
        <w:trPr>
          <w:trHeight w:val="324"/>
        </w:trPr>
        <w:tc>
          <w:tcPr>
            <w:tcW w:w="2273" w:type="dxa"/>
            <w:tcBorders>
              <w:top w:val="nil"/>
              <w:left w:val="nil"/>
              <w:bottom w:val="nil"/>
              <w:right w:val="nil"/>
            </w:tcBorders>
            <w:shd w:val="clear" w:color="auto" w:fill="FFFFFF" w:themeFill="background1"/>
            <w:tcMar>
              <w:top w:w="15" w:type="dxa"/>
              <w:left w:w="15" w:type="dxa"/>
              <w:right w:w="15" w:type="dxa"/>
            </w:tcMar>
            <w:vAlign w:val="bottom"/>
          </w:tcPr>
          <w:p w14:paraId="4EC4AB3D" w14:textId="77777777" w:rsidR="00752E6F" w:rsidRPr="008F01FA" w:rsidRDefault="00752E6F" w:rsidP="00BF76E1">
            <w:pPr>
              <w:spacing w:line="360" w:lineRule="auto"/>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PD duration</w:t>
            </w:r>
          </w:p>
        </w:tc>
        <w:tc>
          <w:tcPr>
            <w:tcW w:w="1559" w:type="dxa"/>
            <w:tcBorders>
              <w:top w:val="nil"/>
              <w:left w:val="nil"/>
              <w:bottom w:val="nil"/>
              <w:right w:val="nil"/>
            </w:tcBorders>
            <w:shd w:val="clear" w:color="auto" w:fill="FFFFFF" w:themeFill="background1"/>
            <w:tcMar>
              <w:top w:w="15" w:type="dxa"/>
              <w:left w:w="15" w:type="dxa"/>
              <w:right w:w="15" w:type="dxa"/>
            </w:tcMar>
            <w:vAlign w:val="bottom"/>
          </w:tcPr>
          <w:p w14:paraId="69EA20E5"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42" w:type="dxa"/>
            <w:tcBorders>
              <w:top w:val="nil"/>
              <w:left w:val="nil"/>
              <w:bottom w:val="nil"/>
              <w:right w:val="nil"/>
            </w:tcBorders>
            <w:shd w:val="clear" w:color="auto" w:fill="FFFFFF" w:themeFill="background1"/>
            <w:tcMar>
              <w:top w:w="15" w:type="dxa"/>
              <w:left w:w="15" w:type="dxa"/>
              <w:right w:w="15" w:type="dxa"/>
            </w:tcMar>
            <w:vAlign w:val="bottom"/>
          </w:tcPr>
          <w:p w14:paraId="55FCD3F2"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2.476</w:t>
            </w:r>
          </w:p>
        </w:tc>
        <w:tc>
          <w:tcPr>
            <w:tcW w:w="650" w:type="dxa"/>
            <w:tcBorders>
              <w:top w:val="nil"/>
              <w:left w:val="nil"/>
              <w:bottom w:val="nil"/>
              <w:right w:val="nil"/>
            </w:tcBorders>
            <w:shd w:val="clear" w:color="auto" w:fill="FFFFFF" w:themeFill="background1"/>
            <w:tcMar>
              <w:top w:w="15" w:type="dxa"/>
              <w:left w:w="15" w:type="dxa"/>
              <w:right w:w="15" w:type="dxa"/>
            </w:tcMar>
            <w:vAlign w:val="bottom"/>
          </w:tcPr>
          <w:p w14:paraId="5F5BD430"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49" w:type="dxa"/>
            <w:tcBorders>
              <w:top w:val="nil"/>
              <w:left w:val="nil"/>
              <w:bottom w:val="nil"/>
              <w:right w:val="nil"/>
            </w:tcBorders>
            <w:shd w:val="clear" w:color="auto" w:fill="FFFFFF" w:themeFill="background1"/>
            <w:tcMar>
              <w:top w:w="15" w:type="dxa"/>
              <w:left w:w="15" w:type="dxa"/>
              <w:right w:w="15" w:type="dxa"/>
            </w:tcMar>
            <w:vAlign w:val="center"/>
          </w:tcPr>
          <w:p w14:paraId="60E81724"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1,33</w:t>
            </w:r>
          </w:p>
        </w:tc>
        <w:tc>
          <w:tcPr>
            <w:tcW w:w="721" w:type="dxa"/>
            <w:tcBorders>
              <w:top w:val="nil"/>
              <w:left w:val="nil"/>
              <w:bottom w:val="nil"/>
              <w:right w:val="nil"/>
            </w:tcBorders>
            <w:shd w:val="clear" w:color="auto" w:fill="FFFFFF" w:themeFill="background1"/>
            <w:tcMar>
              <w:top w:w="15" w:type="dxa"/>
              <w:left w:w="15" w:type="dxa"/>
              <w:right w:w="15" w:type="dxa"/>
            </w:tcMar>
            <w:vAlign w:val="bottom"/>
          </w:tcPr>
          <w:p w14:paraId="42CCBAE3"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593" w:type="dxa"/>
            <w:tcBorders>
              <w:top w:val="nil"/>
              <w:left w:val="nil"/>
              <w:bottom w:val="nil"/>
              <w:right w:val="nil"/>
            </w:tcBorders>
            <w:shd w:val="clear" w:color="auto" w:fill="FFFFFF" w:themeFill="background1"/>
            <w:tcMar>
              <w:top w:w="15" w:type="dxa"/>
              <w:left w:w="15" w:type="dxa"/>
              <w:right w:w="15" w:type="dxa"/>
            </w:tcMar>
            <w:vAlign w:val="bottom"/>
          </w:tcPr>
          <w:p w14:paraId="432A6524"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0.125</w:t>
            </w:r>
          </w:p>
        </w:tc>
      </w:tr>
      <w:tr w:rsidR="00752E6F" w:rsidRPr="008F01FA" w14:paraId="397177ED" w14:textId="77777777" w:rsidTr="00BF76E1">
        <w:trPr>
          <w:trHeight w:val="324"/>
        </w:trPr>
        <w:tc>
          <w:tcPr>
            <w:tcW w:w="2273" w:type="dxa"/>
            <w:tcBorders>
              <w:top w:val="nil"/>
              <w:left w:val="nil"/>
              <w:bottom w:val="nil"/>
              <w:right w:val="nil"/>
            </w:tcBorders>
            <w:shd w:val="clear" w:color="auto" w:fill="FFFFFF" w:themeFill="background1"/>
            <w:tcMar>
              <w:top w:w="15" w:type="dxa"/>
              <w:left w:w="15" w:type="dxa"/>
              <w:right w:w="15" w:type="dxa"/>
            </w:tcMar>
            <w:vAlign w:val="bottom"/>
          </w:tcPr>
          <w:p w14:paraId="0846AE69" w14:textId="77777777" w:rsidR="00752E6F" w:rsidRPr="008F01FA" w:rsidRDefault="00752E6F" w:rsidP="00BF76E1">
            <w:pPr>
              <w:spacing w:line="360" w:lineRule="auto"/>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CISI-motor</w:t>
            </w:r>
          </w:p>
        </w:tc>
        <w:tc>
          <w:tcPr>
            <w:tcW w:w="1559" w:type="dxa"/>
            <w:tcBorders>
              <w:top w:val="nil"/>
              <w:left w:val="nil"/>
              <w:bottom w:val="nil"/>
              <w:right w:val="nil"/>
            </w:tcBorders>
            <w:shd w:val="clear" w:color="auto" w:fill="FFFFFF" w:themeFill="background1"/>
            <w:tcMar>
              <w:top w:w="15" w:type="dxa"/>
              <w:left w:w="15" w:type="dxa"/>
              <w:right w:w="15" w:type="dxa"/>
            </w:tcMar>
            <w:vAlign w:val="bottom"/>
          </w:tcPr>
          <w:p w14:paraId="1A9DAEEA"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42" w:type="dxa"/>
            <w:tcBorders>
              <w:top w:val="nil"/>
              <w:left w:val="nil"/>
              <w:bottom w:val="nil"/>
              <w:right w:val="nil"/>
            </w:tcBorders>
            <w:shd w:val="clear" w:color="auto" w:fill="FFFFFF" w:themeFill="background1"/>
            <w:tcMar>
              <w:top w:w="15" w:type="dxa"/>
              <w:left w:w="15" w:type="dxa"/>
              <w:right w:w="15" w:type="dxa"/>
            </w:tcMar>
            <w:vAlign w:val="bottom"/>
          </w:tcPr>
          <w:p w14:paraId="2E4C0666"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0.453</w:t>
            </w:r>
          </w:p>
        </w:tc>
        <w:tc>
          <w:tcPr>
            <w:tcW w:w="650" w:type="dxa"/>
            <w:tcBorders>
              <w:top w:val="nil"/>
              <w:left w:val="nil"/>
              <w:bottom w:val="nil"/>
              <w:right w:val="nil"/>
            </w:tcBorders>
            <w:shd w:val="clear" w:color="auto" w:fill="FFFFFF" w:themeFill="background1"/>
            <w:tcMar>
              <w:top w:w="15" w:type="dxa"/>
              <w:left w:w="15" w:type="dxa"/>
              <w:right w:w="15" w:type="dxa"/>
            </w:tcMar>
            <w:vAlign w:val="bottom"/>
          </w:tcPr>
          <w:p w14:paraId="359E4428"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49" w:type="dxa"/>
            <w:tcBorders>
              <w:top w:val="nil"/>
              <w:left w:val="nil"/>
              <w:bottom w:val="nil"/>
              <w:right w:val="nil"/>
            </w:tcBorders>
            <w:shd w:val="clear" w:color="auto" w:fill="FFFFFF" w:themeFill="background1"/>
            <w:tcMar>
              <w:top w:w="15" w:type="dxa"/>
              <w:left w:w="15" w:type="dxa"/>
              <w:right w:w="15" w:type="dxa"/>
            </w:tcMar>
            <w:vAlign w:val="center"/>
          </w:tcPr>
          <w:p w14:paraId="13A988DA"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1,33</w:t>
            </w:r>
          </w:p>
        </w:tc>
        <w:tc>
          <w:tcPr>
            <w:tcW w:w="721" w:type="dxa"/>
            <w:tcBorders>
              <w:top w:val="nil"/>
              <w:left w:val="nil"/>
              <w:bottom w:val="nil"/>
              <w:right w:val="nil"/>
            </w:tcBorders>
            <w:shd w:val="clear" w:color="auto" w:fill="FFFFFF" w:themeFill="background1"/>
            <w:tcMar>
              <w:top w:w="15" w:type="dxa"/>
              <w:left w:w="15" w:type="dxa"/>
              <w:right w:w="15" w:type="dxa"/>
            </w:tcMar>
            <w:vAlign w:val="bottom"/>
          </w:tcPr>
          <w:p w14:paraId="69F3D042"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593" w:type="dxa"/>
            <w:tcBorders>
              <w:top w:val="nil"/>
              <w:left w:val="nil"/>
              <w:bottom w:val="nil"/>
              <w:right w:val="nil"/>
            </w:tcBorders>
            <w:shd w:val="clear" w:color="auto" w:fill="FFFFFF" w:themeFill="background1"/>
            <w:tcMar>
              <w:top w:w="15" w:type="dxa"/>
              <w:left w:w="15" w:type="dxa"/>
              <w:right w:w="15" w:type="dxa"/>
            </w:tcMar>
            <w:vAlign w:val="bottom"/>
          </w:tcPr>
          <w:p w14:paraId="4989759A"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0.506</w:t>
            </w:r>
          </w:p>
        </w:tc>
      </w:tr>
      <w:tr w:rsidR="00752E6F" w:rsidRPr="008F01FA" w14:paraId="3B018C2C" w14:textId="77777777" w:rsidTr="00BF76E1">
        <w:trPr>
          <w:trHeight w:val="324"/>
        </w:trPr>
        <w:tc>
          <w:tcPr>
            <w:tcW w:w="2273" w:type="dxa"/>
            <w:tcBorders>
              <w:top w:val="nil"/>
              <w:left w:val="nil"/>
              <w:bottom w:val="nil"/>
              <w:right w:val="nil"/>
            </w:tcBorders>
            <w:shd w:val="clear" w:color="auto" w:fill="FFFFFF" w:themeFill="background1"/>
            <w:tcMar>
              <w:top w:w="15" w:type="dxa"/>
              <w:left w:w="15" w:type="dxa"/>
              <w:right w:w="15" w:type="dxa"/>
            </w:tcMar>
            <w:vAlign w:val="bottom"/>
          </w:tcPr>
          <w:p w14:paraId="511296EA" w14:textId="77777777" w:rsidR="00752E6F" w:rsidRPr="008F01FA" w:rsidRDefault="00752E6F" w:rsidP="00BF76E1">
            <w:pPr>
              <w:spacing w:line="360" w:lineRule="auto"/>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SCOPA-motor</w:t>
            </w:r>
          </w:p>
        </w:tc>
        <w:tc>
          <w:tcPr>
            <w:tcW w:w="1559" w:type="dxa"/>
            <w:tcBorders>
              <w:top w:val="nil"/>
              <w:left w:val="nil"/>
              <w:bottom w:val="nil"/>
              <w:right w:val="nil"/>
            </w:tcBorders>
            <w:shd w:val="clear" w:color="auto" w:fill="FFFFFF" w:themeFill="background1"/>
            <w:tcMar>
              <w:top w:w="15" w:type="dxa"/>
              <w:left w:w="15" w:type="dxa"/>
              <w:right w:w="15" w:type="dxa"/>
            </w:tcMar>
            <w:vAlign w:val="bottom"/>
          </w:tcPr>
          <w:p w14:paraId="5134645A"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42" w:type="dxa"/>
            <w:tcBorders>
              <w:top w:val="nil"/>
              <w:left w:val="nil"/>
              <w:bottom w:val="nil"/>
              <w:right w:val="nil"/>
            </w:tcBorders>
            <w:shd w:val="clear" w:color="auto" w:fill="FFFFFF" w:themeFill="background1"/>
            <w:tcMar>
              <w:top w:w="15" w:type="dxa"/>
              <w:left w:w="15" w:type="dxa"/>
              <w:right w:w="15" w:type="dxa"/>
            </w:tcMar>
            <w:vAlign w:val="bottom"/>
          </w:tcPr>
          <w:p w14:paraId="61FAA643"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0.059</w:t>
            </w:r>
          </w:p>
        </w:tc>
        <w:tc>
          <w:tcPr>
            <w:tcW w:w="650" w:type="dxa"/>
            <w:tcBorders>
              <w:top w:val="nil"/>
              <w:left w:val="nil"/>
              <w:bottom w:val="nil"/>
              <w:right w:val="nil"/>
            </w:tcBorders>
            <w:shd w:val="clear" w:color="auto" w:fill="FFFFFF" w:themeFill="background1"/>
            <w:tcMar>
              <w:top w:w="15" w:type="dxa"/>
              <w:left w:w="15" w:type="dxa"/>
              <w:right w:w="15" w:type="dxa"/>
            </w:tcMar>
            <w:vAlign w:val="bottom"/>
          </w:tcPr>
          <w:p w14:paraId="67C942D0"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49" w:type="dxa"/>
            <w:tcBorders>
              <w:top w:val="nil"/>
              <w:left w:val="nil"/>
              <w:bottom w:val="nil"/>
              <w:right w:val="nil"/>
            </w:tcBorders>
            <w:shd w:val="clear" w:color="auto" w:fill="FFFFFF" w:themeFill="background1"/>
            <w:tcMar>
              <w:top w:w="15" w:type="dxa"/>
              <w:left w:w="15" w:type="dxa"/>
              <w:right w:w="15" w:type="dxa"/>
            </w:tcMar>
            <w:vAlign w:val="center"/>
          </w:tcPr>
          <w:p w14:paraId="2F1503AC"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1,35</w:t>
            </w:r>
          </w:p>
        </w:tc>
        <w:tc>
          <w:tcPr>
            <w:tcW w:w="721" w:type="dxa"/>
            <w:tcBorders>
              <w:top w:val="nil"/>
              <w:left w:val="nil"/>
              <w:bottom w:val="nil"/>
              <w:right w:val="nil"/>
            </w:tcBorders>
            <w:shd w:val="clear" w:color="auto" w:fill="FFFFFF" w:themeFill="background1"/>
            <w:tcMar>
              <w:top w:w="15" w:type="dxa"/>
              <w:left w:w="15" w:type="dxa"/>
              <w:right w:w="15" w:type="dxa"/>
            </w:tcMar>
            <w:vAlign w:val="bottom"/>
          </w:tcPr>
          <w:p w14:paraId="543ABCB8"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593" w:type="dxa"/>
            <w:tcBorders>
              <w:top w:val="nil"/>
              <w:left w:val="nil"/>
              <w:bottom w:val="nil"/>
              <w:right w:val="nil"/>
            </w:tcBorders>
            <w:shd w:val="clear" w:color="auto" w:fill="FFFFFF" w:themeFill="background1"/>
            <w:tcMar>
              <w:top w:w="15" w:type="dxa"/>
              <w:left w:w="15" w:type="dxa"/>
              <w:right w:w="15" w:type="dxa"/>
            </w:tcMar>
            <w:vAlign w:val="bottom"/>
          </w:tcPr>
          <w:p w14:paraId="6C66B383"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0.809</w:t>
            </w:r>
          </w:p>
        </w:tc>
      </w:tr>
      <w:tr w:rsidR="00752E6F" w:rsidRPr="008F01FA" w14:paraId="2484FA3F" w14:textId="77777777" w:rsidTr="00BF76E1">
        <w:trPr>
          <w:trHeight w:val="324"/>
        </w:trPr>
        <w:tc>
          <w:tcPr>
            <w:tcW w:w="2273" w:type="dxa"/>
            <w:tcBorders>
              <w:top w:val="nil"/>
              <w:left w:val="nil"/>
              <w:bottom w:val="nil"/>
              <w:right w:val="nil"/>
            </w:tcBorders>
            <w:shd w:val="clear" w:color="auto" w:fill="FFFFFF" w:themeFill="background1"/>
            <w:tcMar>
              <w:top w:w="15" w:type="dxa"/>
              <w:left w:w="15" w:type="dxa"/>
              <w:right w:w="15" w:type="dxa"/>
            </w:tcMar>
            <w:vAlign w:val="bottom"/>
          </w:tcPr>
          <w:p w14:paraId="456B36E5" w14:textId="77777777" w:rsidR="00752E6F" w:rsidRPr="008F01FA" w:rsidRDefault="00752E6F" w:rsidP="00BF76E1">
            <w:pPr>
              <w:spacing w:line="360" w:lineRule="auto"/>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MoCA</w:t>
            </w:r>
          </w:p>
        </w:tc>
        <w:tc>
          <w:tcPr>
            <w:tcW w:w="1559" w:type="dxa"/>
            <w:tcBorders>
              <w:top w:val="nil"/>
              <w:left w:val="nil"/>
              <w:bottom w:val="nil"/>
              <w:right w:val="nil"/>
            </w:tcBorders>
            <w:shd w:val="clear" w:color="auto" w:fill="FFFFFF" w:themeFill="background1"/>
            <w:tcMar>
              <w:top w:w="15" w:type="dxa"/>
              <w:left w:w="15" w:type="dxa"/>
              <w:right w:w="15" w:type="dxa"/>
            </w:tcMar>
            <w:vAlign w:val="bottom"/>
          </w:tcPr>
          <w:p w14:paraId="3D25D0E6"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42" w:type="dxa"/>
            <w:tcBorders>
              <w:top w:val="nil"/>
              <w:left w:val="nil"/>
              <w:bottom w:val="nil"/>
              <w:right w:val="nil"/>
            </w:tcBorders>
            <w:shd w:val="clear" w:color="auto" w:fill="FFFFFF" w:themeFill="background1"/>
            <w:tcMar>
              <w:top w:w="15" w:type="dxa"/>
              <w:left w:w="15" w:type="dxa"/>
              <w:right w:w="15" w:type="dxa"/>
            </w:tcMar>
            <w:vAlign w:val="bottom"/>
          </w:tcPr>
          <w:p w14:paraId="6ECBDBFF"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0.091</w:t>
            </w:r>
          </w:p>
        </w:tc>
        <w:tc>
          <w:tcPr>
            <w:tcW w:w="650" w:type="dxa"/>
            <w:tcBorders>
              <w:top w:val="nil"/>
              <w:left w:val="nil"/>
              <w:bottom w:val="nil"/>
              <w:right w:val="nil"/>
            </w:tcBorders>
            <w:shd w:val="clear" w:color="auto" w:fill="FFFFFF" w:themeFill="background1"/>
            <w:tcMar>
              <w:top w:w="15" w:type="dxa"/>
              <w:left w:w="15" w:type="dxa"/>
              <w:right w:w="15" w:type="dxa"/>
            </w:tcMar>
            <w:vAlign w:val="bottom"/>
          </w:tcPr>
          <w:p w14:paraId="1DC3BAAD"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49" w:type="dxa"/>
            <w:tcBorders>
              <w:top w:val="nil"/>
              <w:left w:val="nil"/>
              <w:bottom w:val="nil"/>
              <w:right w:val="nil"/>
            </w:tcBorders>
            <w:shd w:val="clear" w:color="auto" w:fill="FFFFFF" w:themeFill="background1"/>
            <w:tcMar>
              <w:top w:w="15" w:type="dxa"/>
              <w:left w:w="15" w:type="dxa"/>
              <w:right w:w="15" w:type="dxa"/>
            </w:tcMar>
            <w:vAlign w:val="center"/>
          </w:tcPr>
          <w:p w14:paraId="78DD4E0B"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1,35</w:t>
            </w:r>
          </w:p>
        </w:tc>
        <w:tc>
          <w:tcPr>
            <w:tcW w:w="721" w:type="dxa"/>
            <w:tcBorders>
              <w:top w:val="nil"/>
              <w:left w:val="nil"/>
              <w:bottom w:val="nil"/>
              <w:right w:val="nil"/>
            </w:tcBorders>
            <w:shd w:val="clear" w:color="auto" w:fill="FFFFFF" w:themeFill="background1"/>
            <w:tcMar>
              <w:top w:w="15" w:type="dxa"/>
              <w:left w:w="15" w:type="dxa"/>
              <w:right w:w="15" w:type="dxa"/>
            </w:tcMar>
            <w:vAlign w:val="bottom"/>
          </w:tcPr>
          <w:p w14:paraId="5D07FBF9"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593" w:type="dxa"/>
            <w:tcBorders>
              <w:top w:val="nil"/>
              <w:left w:val="nil"/>
              <w:bottom w:val="nil"/>
              <w:right w:val="nil"/>
            </w:tcBorders>
            <w:shd w:val="clear" w:color="auto" w:fill="FFFFFF" w:themeFill="background1"/>
            <w:tcMar>
              <w:top w:w="15" w:type="dxa"/>
              <w:left w:w="15" w:type="dxa"/>
              <w:right w:w="15" w:type="dxa"/>
            </w:tcMar>
            <w:vAlign w:val="bottom"/>
          </w:tcPr>
          <w:p w14:paraId="165A6297"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0.765</w:t>
            </w:r>
          </w:p>
        </w:tc>
      </w:tr>
      <w:tr w:rsidR="00752E6F" w:rsidRPr="008F01FA" w14:paraId="454283A0" w14:textId="77777777" w:rsidTr="00BF76E1">
        <w:trPr>
          <w:trHeight w:val="282"/>
        </w:trPr>
        <w:tc>
          <w:tcPr>
            <w:tcW w:w="2273"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1C810FFE" w14:textId="77777777" w:rsidR="00752E6F" w:rsidRPr="008F01FA" w:rsidRDefault="00752E6F" w:rsidP="00BF76E1">
            <w:pPr>
              <w:spacing w:line="360" w:lineRule="auto"/>
              <w:rPr>
                <w:rFonts w:ascii="Times New Roman" w:hAnsi="Times New Roman" w:cs="Times New Roman"/>
                <w:i/>
                <w:iCs/>
                <w:color w:val="000000" w:themeColor="text1"/>
                <w:sz w:val="22"/>
                <w:szCs w:val="22"/>
              </w:rPr>
            </w:pPr>
            <w:r w:rsidRPr="008F01FA">
              <w:rPr>
                <w:rFonts w:ascii="Times New Roman" w:hAnsi="Times New Roman" w:cs="Times New Roman"/>
                <w:i/>
                <w:iCs/>
                <w:color w:val="000000" w:themeColor="text1"/>
                <w:sz w:val="22"/>
                <w:szCs w:val="22"/>
              </w:rPr>
              <w:t>LEDD</w:t>
            </w:r>
          </w:p>
        </w:tc>
        <w:tc>
          <w:tcPr>
            <w:tcW w:w="1559"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1E4F333B"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42"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5F6D1B80"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3.768</w:t>
            </w:r>
          </w:p>
        </w:tc>
        <w:tc>
          <w:tcPr>
            <w:tcW w:w="650"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77C4D8C2"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249" w:type="dxa"/>
            <w:tcBorders>
              <w:top w:val="nil"/>
              <w:left w:val="nil"/>
              <w:bottom w:val="double" w:sz="5" w:space="0" w:color="auto"/>
              <w:right w:val="nil"/>
            </w:tcBorders>
            <w:shd w:val="clear" w:color="auto" w:fill="FFFFFF" w:themeFill="background1"/>
            <w:tcMar>
              <w:top w:w="15" w:type="dxa"/>
              <w:left w:w="15" w:type="dxa"/>
              <w:right w:w="15" w:type="dxa"/>
            </w:tcMar>
            <w:vAlign w:val="center"/>
          </w:tcPr>
          <w:p w14:paraId="55BC93D2"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1,34</w:t>
            </w:r>
          </w:p>
        </w:tc>
        <w:tc>
          <w:tcPr>
            <w:tcW w:w="721"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3E7FB72E"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593" w:type="dxa"/>
            <w:tcBorders>
              <w:top w:val="nil"/>
              <w:left w:val="nil"/>
              <w:bottom w:val="double" w:sz="5" w:space="0" w:color="auto"/>
              <w:right w:val="nil"/>
            </w:tcBorders>
            <w:shd w:val="clear" w:color="auto" w:fill="FFFFFF" w:themeFill="background1"/>
            <w:tcMar>
              <w:top w:w="15" w:type="dxa"/>
              <w:left w:w="15" w:type="dxa"/>
              <w:right w:w="15" w:type="dxa"/>
            </w:tcMar>
            <w:vAlign w:val="bottom"/>
          </w:tcPr>
          <w:p w14:paraId="44A33C06"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0.061</w:t>
            </w:r>
          </w:p>
        </w:tc>
      </w:tr>
    </w:tbl>
    <w:p w14:paraId="23C07BFA"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2A60DA0C"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Supplementary Table 2.</w:t>
      </w:r>
      <w:r w:rsidRPr="008F01FA">
        <w:rPr>
          <w:rFonts w:ascii="Times New Roman" w:hAnsi="Times New Roman" w:cs="Times New Roman"/>
          <w:color w:val="000000" w:themeColor="text1"/>
          <w:sz w:val="22"/>
          <w:szCs w:val="22"/>
        </w:rPr>
        <w:t xml:space="preserve"> </w:t>
      </w:r>
      <w:r w:rsidRPr="008F01FA">
        <w:rPr>
          <w:rFonts w:ascii="Times New Roman" w:hAnsi="Times New Roman" w:cs="Times New Roman"/>
          <w:i/>
          <w:iCs/>
          <w:color w:val="000000" w:themeColor="text1"/>
          <w:sz w:val="22"/>
          <w:szCs w:val="22"/>
        </w:rPr>
        <w:t xml:space="preserve">One-way ANOVA results (Welch’s) comparing PD and PDP patients on the relevant clinical variables. The </w:t>
      </w:r>
      <w:proofErr w:type="spellStart"/>
      <w:r w:rsidRPr="008F01FA">
        <w:rPr>
          <w:rFonts w:ascii="Times New Roman" w:hAnsi="Times New Roman" w:cs="Times New Roman"/>
          <w:i/>
          <w:iCs/>
          <w:color w:val="000000" w:themeColor="text1"/>
          <w:sz w:val="22"/>
          <w:szCs w:val="22"/>
        </w:rPr>
        <w:t>df</w:t>
      </w:r>
      <w:proofErr w:type="spellEnd"/>
      <w:r w:rsidRPr="008F01FA">
        <w:rPr>
          <w:rFonts w:ascii="Times New Roman" w:hAnsi="Times New Roman" w:cs="Times New Roman"/>
          <w:i/>
          <w:iCs/>
          <w:color w:val="000000" w:themeColor="text1"/>
          <w:sz w:val="22"/>
          <w:szCs w:val="22"/>
        </w:rPr>
        <w:t xml:space="preserve"> column reflects the presence/absence of the participants who did not have SCOPA-motor or LEDD scores as mentioned in the description of Supplementary Table 1. </w:t>
      </w:r>
    </w:p>
    <w:p w14:paraId="6099C8FC"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We ran a Pearson’s product moment correlational analysis between the clinical variables, finding that age correlated with motor severity (SCOPA) scores in the whole sample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rPr>
        <w:t xml:space="preserve"> = .33,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=.044), and that LEDD correlated with disease duration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rPr>
        <w:t xml:space="preserve">=.38,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=.02) consistently with the literature. LEDD correlates also with SCOPA-motor score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rPr>
        <w:t xml:space="preserve">=.50,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=.002) and total non-motor symptom score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rPr>
        <w:t xml:space="preserve">=.43,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=.01). </w:t>
      </w:r>
    </w:p>
    <w:p w14:paraId="06C06875"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lastRenderedPageBreak/>
        <w:t>We repeated the analysis in the PDP sample only to ascertain whether any of the psychiatric measures correlated with any clinical measures, finding that this was not the case (see Supplementary Figure 1 below). In the PDP sample, LEDD correlated with motor severity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rPr>
        <w:t xml:space="preserve">=.58,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=.01) as in the main sample, and motor severity with disease duration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rPr>
        <w:t xml:space="preserve">=.59,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=.01). </w:t>
      </w:r>
    </w:p>
    <w:p w14:paraId="1E73FC1D"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noProof/>
          <w:color w:val="000000" w:themeColor="text1"/>
          <w:sz w:val="22"/>
          <w:szCs w:val="22"/>
        </w:rPr>
        <w:drawing>
          <wp:inline distT="0" distB="0" distL="0" distR="0" wp14:anchorId="2E56BB79" wp14:editId="5062D045">
            <wp:extent cx="5646572" cy="4894773"/>
            <wp:effectExtent l="0" t="0" r="0" b="0"/>
            <wp:docPr id="1523544309" name="Picture 1523544309"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44309" name="Picture 1523544309" descr="A screenshot of a computer screen&#10;&#10;AI-generated content may be incorrect."/>
                    <pic:cNvPicPr/>
                  </pic:nvPicPr>
                  <pic:blipFill>
                    <a:blip r:embed="rId7" cstate="print">
                      <a:extLst>
                        <a:ext uri="{28A0092B-C50C-407E-A947-70E740481C1C}">
                          <a14:useLocalDpi xmlns:a14="http://schemas.microsoft.com/office/drawing/2010/main" val="0"/>
                        </a:ext>
                      </a:extLst>
                    </a:blip>
                    <a:srcRect l="12666" r="6333"/>
                    <a:stretch>
                      <a:fillRect/>
                    </a:stretch>
                  </pic:blipFill>
                  <pic:spPr>
                    <a:xfrm>
                      <a:off x="0" y="0"/>
                      <a:ext cx="5646572" cy="4894773"/>
                    </a:xfrm>
                    <a:prstGeom prst="rect">
                      <a:avLst/>
                    </a:prstGeom>
                  </pic:spPr>
                </pic:pic>
              </a:graphicData>
            </a:graphic>
          </wp:inline>
        </w:drawing>
      </w:r>
      <w:r w:rsidRPr="008F01FA">
        <w:rPr>
          <w:rFonts w:ascii="Times New Roman" w:hAnsi="Times New Roman" w:cs="Times New Roman"/>
          <w:color w:val="000000" w:themeColor="text1"/>
          <w:sz w:val="22"/>
          <w:szCs w:val="22"/>
        </w:rPr>
        <w:t xml:space="preserve"> </w:t>
      </w:r>
    </w:p>
    <w:p w14:paraId="629BB36F"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b/>
          <w:bCs/>
          <w:i/>
          <w:iCs/>
          <w:color w:val="000000" w:themeColor="text1"/>
          <w:sz w:val="22"/>
          <w:szCs w:val="22"/>
        </w:rPr>
        <w:t>Supplementary Figure 1.</w:t>
      </w:r>
      <w:r w:rsidRPr="008F01FA">
        <w:rPr>
          <w:rFonts w:ascii="Times New Roman" w:hAnsi="Times New Roman" w:cs="Times New Roman"/>
          <w:color w:val="000000" w:themeColor="text1"/>
          <w:sz w:val="22"/>
          <w:szCs w:val="22"/>
        </w:rPr>
        <w:t xml:space="preserve"> </w:t>
      </w:r>
      <w:r w:rsidRPr="008F01FA">
        <w:rPr>
          <w:rFonts w:ascii="Times New Roman" w:hAnsi="Times New Roman" w:cs="Times New Roman"/>
          <w:i/>
          <w:iCs/>
          <w:color w:val="000000" w:themeColor="text1"/>
          <w:sz w:val="22"/>
          <w:szCs w:val="22"/>
        </w:rPr>
        <w:t>Correlation plot presenting the results described in SI; NEVHI and SAPS-PD scores were correlated with each other but not with any other clinical variable. The pink * indicates correlations that were significant with p &lt;.05. All significant correlations were p&lt;.01.</w:t>
      </w:r>
    </w:p>
    <w:p w14:paraId="0A3F8D6F" w14:textId="77777777" w:rsidR="00752E6F" w:rsidRPr="008F01FA" w:rsidRDefault="00752E6F" w:rsidP="00752E6F">
      <w:pPr>
        <w:spacing w:line="360" w:lineRule="auto"/>
        <w:jc w:val="both"/>
        <w:rPr>
          <w:rStyle w:val="normaltextrun"/>
          <w:rFonts w:ascii="Times New Roman" w:hAnsi="Times New Roman" w:cs="Times New Roman"/>
          <w:color w:val="000000" w:themeColor="text1"/>
          <w:sz w:val="22"/>
          <w:szCs w:val="22"/>
        </w:rPr>
      </w:pPr>
    </w:p>
    <w:p w14:paraId="43218236"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Style w:val="normaltextrun"/>
          <w:rFonts w:ascii="Times New Roman" w:hAnsi="Times New Roman" w:cs="Times New Roman"/>
          <w:color w:val="000000" w:themeColor="text1"/>
          <w:sz w:val="22"/>
          <w:szCs w:val="22"/>
        </w:rPr>
        <w:t xml:space="preserve">To assess whether participants had visual hallucinations we used the Neuropsychiatric Inventory (Cummings et al., 1994) at the screening visit. However, to </w:t>
      </w:r>
      <w:r w:rsidRPr="008F01FA">
        <w:rPr>
          <w:rFonts w:ascii="Times New Roman" w:hAnsi="Times New Roman" w:cs="Times New Roman"/>
          <w:color w:val="000000" w:themeColor="text1"/>
          <w:sz w:val="22"/>
          <w:szCs w:val="22"/>
        </w:rPr>
        <w:t>assess the presence and the extent of hallucinations we used the SAPS-PD and the NEVHI. The</w:t>
      </w:r>
      <w:r w:rsidRPr="008F01FA">
        <w:rPr>
          <w:rStyle w:val="normaltextrun"/>
          <w:rFonts w:ascii="Times New Roman" w:hAnsi="Times New Roman" w:cs="Times New Roman"/>
          <w:color w:val="000000" w:themeColor="text1"/>
          <w:sz w:val="22"/>
          <w:szCs w:val="22"/>
        </w:rPr>
        <w:t xml:space="preserve"> Scale for the Assessment of Positive Symptoms-PD (SAPS-PD) was first adapted for PD from schizophrenia (Voss et al., 2013) and is composed of 9 questions on the symptoms that are the most frequently reported in PDP, including: auditory hallucinations, </w:t>
      </w:r>
      <w:r w:rsidRPr="008F01FA">
        <w:rPr>
          <w:rStyle w:val="normaltextrun"/>
          <w:rFonts w:ascii="Times New Roman" w:hAnsi="Times New Roman" w:cs="Times New Roman"/>
          <w:color w:val="000000" w:themeColor="text1"/>
          <w:sz w:val="22"/>
          <w:szCs w:val="22"/>
        </w:rPr>
        <w:lastRenderedPageBreak/>
        <w:t xml:space="preserve">voices conversing, visual hallucinations, somatic/tactile hallucinations, global rating of hallucinations. The SAPS-PD also investigates the presence of delusions. Only one patient presented delusions in our sample, and they retained insight about it. The maximum score for each item is five, for a maximum total score of 25. Participants with &gt;10 had also auditory or somatic hallucinations. Thus, we also computed </w:t>
      </w:r>
      <w:proofErr w:type="gramStart"/>
      <w:r w:rsidRPr="008F01FA">
        <w:rPr>
          <w:rStyle w:val="normaltextrun"/>
          <w:rFonts w:ascii="Times New Roman" w:hAnsi="Times New Roman" w:cs="Times New Roman"/>
          <w:color w:val="000000" w:themeColor="text1"/>
          <w:sz w:val="22"/>
          <w:szCs w:val="22"/>
        </w:rPr>
        <w:t>a multimodal hallucinations</w:t>
      </w:r>
      <w:proofErr w:type="gramEnd"/>
      <w:r w:rsidRPr="008F01FA">
        <w:rPr>
          <w:rStyle w:val="normaltextrun"/>
          <w:rFonts w:ascii="Times New Roman" w:hAnsi="Times New Roman" w:cs="Times New Roman"/>
          <w:color w:val="000000" w:themeColor="text1"/>
          <w:sz w:val="22"/>
          <w:szCs w:val="22"/>
        </w:rPr>
        <w:t xml:space="preserve"> score by summing together all the items that were not related to visual hallucinations and delusions, </w:t>
      </w:r>
      <w:proofErr w:type="gramStart"/>
      <w:r w:rsidRPr="008F01FA">
        <w:rPr>
          <w:rStyle w:val="normaltextrun"/>
          <w:rFonts w:ascii="Times New Roman" w:hAnsi="Times New Roman" w:cs="Times New Roman"/>
          <w:color w:val="000000" w:themeColor="text1"/>
          <w:sz w:val="22"/>
          <w:szCs w:val="22"/>
        </w:rPr>
        <w:t>in order to</w:t>
      </w:r>
      <w:proofErr w:type="gramEnd"/>
      <w:r w:rsidRPr="008F01FA">
        <w:rPr>
          <w:rStyle w:val="normaltextrun"/>
          <w:rFonts w:ascii="Times New Roman" w:hAnsi="Times New Roman" w:cs="Times New Roman"/>
          <w:color w:val="000000" w:themeColor="text1"/>
          <w:sz w:val="22"/>
          <w:szCs w:val="22"/>
        </w:rPr>
        <w:t xml:space="preserve"> explore also this aspect. </w:t>
      </w:r>
    </w:p>
    <w:p w14:paraId="778D35DE"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Style w:val="normaltextrun"/>
          <w:rFonts w:ascii="Times New Roman" w:hAnsi="Times New Roman" w:cs="Times New Roman"/>
          <w:color w:val="000000" w:themeColor="text1"/>
          <w:sz w:val="22"/>
          <w:szCs w:val="22"/>
        </w:rPr>
        <w:t>We also used an adaptation of the NEVHI to assess the phenomenology of visual hallucinations (D’Antonio et al., 2022). The NEVHI is composed of 6 main items assessing different types of VH: complex hallucinations, pareidolia (a specific type of visual illusion), presence, passage, simple hallucinations and any other visual experience of note that the researcher can classify under the relevant section. For each item, there are questions regarding the frequency and duration of the experience, questions on distress, insight and delusions specific to each type of VH. Participants’ scores at the different VH types are also reported in Vignando et al., 2024 in detail. </w:t>
      </w:r>
    </w:p>
    <w:p w14:paraId="7F588732"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Since this adapted version of the NEVHI has no scoring rules, we decided to compute temporal severity by multiplying duration and the frequency of the VH. </w:t>
      </w:r>
      <w:proofErr w:type="gramStart"/>
      <w:r w:rsidRPr="008F01FA">
        <w:rPr>
          <w:rFonts w:ascii="Times New Roman" w:hAnsi="Times New Roman" w:cs="Times New Roman"/>
          <w:color w:val="000000" w:themeColor="text1"/>
          <w:sz w:val="22"/>
          <w:szCs w:val="22"/>
        </w:rPr>
        <w:t>In order to</w:t>
      </w:r>
      <w:proofErr w:type="gramEnd"/>
      <w:r w:rsidRPr="008F01FA">
        <w:rPr>
          <w:rFonts w:ascii="Times New Roman" w:hAnsi="Times New Roman" w:cs="Times New Roman"/>
          <w:color w:val="000000" w:themeColor="text1"/>
          <w:sz w:val="22"/>
          <w:szCs w:val="22"/>
        </w:rPr>
        <w:t xml:space="preserve"> make the results as comparable as possible with those from other studies using the same scale, we used an ordinal scale following what D’Antonio et al., 2022 have done. We multiply the number of minutes spent hallucinating by the number of visual experiences in a month, thus obtaining temporal severity as a continuous measure.  The full procedure used to create this score is reported in detail in Vignando et al., 2024, together with the % of patients experiencing the different VH subtypes. </w:t>
      </w:r>
    </w:p>
    <w:p w14:paraId="02478B9E"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sz w:val="22"/>
          <w:szCs w:val="22"/>
        </w:rPr>
        <w:t>We found a difference in the MNSQ as expected, with mood, attention and perception (including hallucinations) being more affected in PD-VH (discussed in Vignando et al. 2024).</w:t>
      </w:r>
    </w:p>
    <w:p w14:paraId="0DC3E905"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2FCF1646" w14:textId="77777777" w:rsidR="00752E6F" w:rsidRPr="008F01FA" w:rsidRDefault="00752E6F" w:rsidP="00752E6F">
      <w:pPr>
        <w:pStyle w:val="paragraph"/>
        <w:spacing w:before="0" w:beforeAutospacing="0" w:after="0" w:afterAutospacing="0" w:line="360" w:lineRule="auto"/>
        <w:jc w:val="both"/>
        <w:textAlignment w:val="baseline"/>
        <w:rPr>
          <w:b/>
          <w:bCs/>
          <w:i/>
          <w:iCs/>
          <w:color w:val="000000" w:themeColor="text1"/>
          <w:sz w:val="22"/>
          <w:szCs w:val="22"/>
        </w:rPr>
      </w:pPr>
      <w:r w:rsidRPr="008F01FA">
        <w:rPr>
          <w:b/>
          <w:bCs/>
          <w:i/>
          <w:iCs/>
          <w:color w:val="000000" w:themeColor="text1"/>
          <w:sz w:val="22"/>
          <w:szCs w:val="22"/>
        </w:rPr>
        <w:t xml:space="preserve">SI2. EEG task and pre-processing details. </w:t>
      </w:r>
    </w:p>
    <w:p w14:paraId="3696416A" w14:textId="77777777" w:rsidR="00752E6F" w:rsidRPr="008F01FA" w:rsidRDefault="00752E6F" w:rsidP="00752E6F">
      <w:pPr>
        <w:shd w:val="clear" w:color="auto" w:fill="FFFFFF" w:themeFill="background1"/>
        <w:spacing w:after="240" w:line="360" w:lineRule="auto"/>
        <w:jc w:val="both"/>
        <w:rPr>
          <w:rFonts w:ascii="Times New Roman" w:hAnsi="Times New Roman" w:cs="Times New Roman"/>
          <w:color w:val="000000" w:themeColor="text1"/>
          <w:sz w:val="22"/>
          <w:szCs w:val="22"/>
        </w:rPr>
      </w:pPr>
    </w:p>
    <w:p w14:paraId="3D584C03"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sz w:val="22"/>
          <w:szCs w:val="22"/>
        </w:rPr>
        <w:t xml:space="preserve">The task consisted of 1000 trials, with 640 standard trials, 240 frequent deviant trials and 120 rare </w:t>
      </w:r>
      <w:r w:rsidRPr="008F01FA">
        <w:rPr>
          <w:rFonts w:ascii="Times New Roman" w:hAnsi="Times New Roman" w:cs="Times New Roman"/>
          <w:color w:val="000000" w:themeColor="text1"/>
          <w:sz w:val="22"/>
          <w:szCs w:val="22"/>
        </w:rPr>
        <w:t xml:space="preserve">deviant </w:t>
      </w:r>
      <w:r w:rsidRPr="008F01FA">
        <w:rPr>
          <w:rFonts w:ascii="Times New Roman" w:hAnsi="Times New Roman" w:cs="Times New Roman"/>
          <w:color w:val="000000"/>
          <w:sz w:val="22"/>
          <w:szCs w:val="22"/>
        </w:rPr>
        <w:t xml:space="preserve">trials. Based on results of exploratory analyses conducted during our previous ERP study we decided to focus on the standard and rare deviant difference, as the frequent deviant was perceived as not significantly different from the standard. </w:t>
      </w:r>
      <w:r w:rsidRPr="008F01FA">
        <w:rPr>
          <w:rFonts w:ascii="Times New Roman" w:hAnsi="Times New Roman" w:cs="Times New Roman"/>
          <w:color w:val="000000" w:themeColor="text1"/>
          <w:sz w:val="22"/>
          <w:szCs w:val="22"/>
        </w:rPr>
        <w:t xml:space="preserve">The </w:t>
      </w:r>
      <w:r w:rsidRPr="008F01FA">
        <w:rPr>
          <w:rFonts w:ascii="Times New Roman" w:hAnsi="Times New Roman" w:cs="Times New Roman"/>
          <w:color w:val="000000"/>
          <w:sz w:val="22"/>
          <w:szCs w:val="22"/>
        </w:rPr>
        <w:t xml:space="preserve">ERP analysis for the mismatch negativity in this sample, together with the pilot study for the task, has been reported in a previous publication where we show that PD-VH have a reduced or absent </w:t>
      </w:r>
      <w:proofErr w:type="spellStart"/>
      <w:r w:rsidRPr="008F01FA">
        <w:rPr>
          <w:rFonts w:ascii="Times New Roman" w:hAnsi="Times New Roman" w:cs="Times New Roman"/>
          <w:color w:val="000000"/>
          <w:sz w:val="22"/>
          <w:szCs w:val="22"/>
        </w:rPr>
        <w:t>vMMN</w:t>
      </w:r>
      <w:proofErr w:type="spellEnd"/>
      <w:r w:rsidRPr="008F01FA">
        <w:rPr>
          <w:rFonts w:ascii="Times New Roman" w:hAnsi="Times New Roman" w:cs="Times New Roman"/>
          <w:color w:val="000000"/>
          <w:sz w:val="22"/>
          <w:szCs w:val="22"/>
        </w:rPr>
        <w:t xml:space="preserve"> if compared to PD without hallucinations (Vignando et al., </w:t>
      </w:r>
      <w:r w:rsidRPr="008F01FA">
        <w:rPr>
          <w:rFonts w:ascii="Times New Roman" w:hAnsi="Times New Roman" w:cs="Times New Roman"/>
          <w:color w:val="000000" w:themeColor="text1"/>
          <w:sz w:val="22"/>
          <w:szCs w:val="22"/>
        </w:rPr>
        <w:t>2024</w:t>
      </w:r>
      <w:r w:rsidRPr="008F01FA">
        <w:rPr>
          <w:rFonts w:ascii="Times New Roman" w:hAnsi="Times New Roman" w:cs="Times New Roman"/>
          <w:color w:val="000000"/>
          <w:sz w:val="22"/>
          <w:szCs w:val="22"/>
        </w:rPr>
        <w:t xml:space="preserve">). </w:t>
      </w:r>
    </w:p>
    <w:p w14:paraId="7F68D405" w14:textId="77777777" w:rsidR="00752E6F" w:rsidRPr="008F01FA" w:rsidRDefault="00752E6F" w:rsidP="00752E6F">
      <w:pPr>
        <w:shd w:val="clear" w:color="auto" w:fill="FFFFFF" w:themeFill="background1"/>
        <w:spacing w:after="240" w:line="360" w:lineRule="auto"/>
        <w:jc w:val="both"/>
        <w:textAlignment w:val="baseline"/>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An automated script was created for batch preprocessing participants using spm12 and following the procedure recommended in spm12 user manual for EEG data preprocessing for dynamic causal modelling </w:t>
      </w:r>
      <w:r w:rsidRPr="008F01FA">
        <w:rPr>
          <w:rFonts w:ascii="Times New Roman" w:hAnsi="Times New Roman" w:cs="Times New Roman"/>
          <w:color w:val="000000" w:themeColor="text1"/>
          <w:sz w:val="22"/>
          <w:szCs w:val="22"/>
        </w:rPr>
        <w:lastRenderedPageBreak/>
        <w:t xml:space="preserve">and in particular mismatch negativity data (see also Garrido et al., 2009). In brief, upon converting </w:t>
      </w:r>
      <w:proofErr w:type="gramStart"/>
      <w:r w:rsidRPr="008F01FA">
        <w:rPr>
          <w:rFonts w:ascii="Times New Roman" w:hAnsi="Times New Roman" w:cs="Times New Roman"/>
          <w:color w:val="000000" w:themeColor="text1"/>
          <w:sz w:val="22"/>
          <w:szCs w:val="22"/>
        </w:rPr>
        <w:t>the .</w:t>
      </w:r>
      <w:proofErr w:type="spellStart"/>
      <w:r w:rsidRPr="008F01FA">
        <w:rPr>
          <w:rFonts w:ascii="Times New Roman" w:hAnsi="Times New Roman" w:cs="Times New Roman"/>
          <w:color w:val="000000" w:themeColor="text1"/>
          <w:sz w:val="22"/>
          <w:szCs w:val="22"/>
        </w:rPr>
        <w:t>cnt</w:t>
      </w:r>
      <w:proofErr w:type="spellEnd"/>
      <w:proofErr w:type="gramEnd"/>
      <w:r w:rsidRPr="008F01FA">
        <w:rPr>
          <w:rFonts w:ascii="Times New Roman" w:hAnsi="Times New Roman" w:cs="Times New Roman"/>
          <w:color w:val="000000" w:themeColor="text1"/>
          <w:sz w:val="22"/>
          <w:szCs w:val="22"/>
        </w:rPr>
        <w:t xml:space="preserve"> data with </w:t>
      </w:r>
      <w:proofErr w:type="spellStart"/>
      <w:r w:rsidRPr="008F01FA">
        <w:rPr>
          <w:rFonts w:ascii="Times New Roman" w:hAnsi="Times New Roman" w:cs="Times New Roman"/>
          <w:color w:val="000000" w:themeColor="text1"/>
          <w:sz w:val="22"/>
          <w:szCs w:val="22"/>
        </w:rPr>
        <w:t>spm’s</w:t>
      </w:r>
      <w:proofErr w:type="spellEnd"/>
      <w:r w:rsidRPr="008F01FA">
        <w:rPr>
          <w:rFonts w:ascii="Times New Roman" w:hAnsi="Times New Roman" w:cs="Times New Roman"/>
          <w:color w:val="000000" w:themeColor="text1"/>
          <w:sz w:val="22"/>
          <w:szCs w:val="22"/>
        </w:rPr>
        <w:t xml:space="preserve"> </w:t>
      </w:r>
      <w:proofErr w:type="spellStart"/>
      <w:proofErr w:type="gramStart"/>
      <w:r w:rsidRPr="008F01FA">
        <w:rPr>
          <w:rFonts w:ascii="Times New Roman" w:hAnsi="Times New Roman" w:cs="Times New Roman"/>
          <w:color w:val="000000" w:themeColor="text1"/>
          <w:sz w:val="22"/>
          <w:szCs w:val="22"/>
        </w:rPr>
        <w:t>spm.meeg</w:t>
      </w:r>
      <w:proofErr w:type="gramEnd"/>
      <w:r w:rsidRPr="008F01FA">
        <w:rPr>
          <w:rFonts w:ascii="Times New Roman" w:hAnsi="Times New Roman" w:cs="Times New Roman"/>
          <w:color w:val="000000" w:themeColor="text1"/>
          <w:sz w:val="22"/>
          <w:szCs w:val="22"/>
        </w:rPr>
        <w:t>.convert</w:t>
      </w:r>
      <w:proofErr w:type="spellEnd"/>
      <w:r w:rsidRPr="008F01FA">
        <w:rPr>
          <w:rFonts w:ascii="Times New Roman" w:hAnsi="Times New Roman" w:cs="Times New Roman"/>
          <w:color w:val="000000" w:themeColor="text1"/>
          <w:sz w:val="22"/>
          <w:szCs w:val="22"/>
        </w:rPr>
        <w:t xml:space="preserve"> function, we created a custom montage file to exclude eye </w:t>
      </w:r>
      <w:proofErr w:type="gramStart"/>
      <w:r w:rsidRPr="008F01FA">
        <w:rPr>
          <w:rFonts w:ascii="Times New Roman" w:hAnsi="Times New Roman" w:cs="Times New Roman"/>
          <w:color w:val="000000" w:themeColor="text1"/>
          <w:sz w:val="22"/>
          <w:szCs w:val="22"/>
        </w:rPr>
        <w:t>channels</w:t>
      </w:r>
      <w:proofErr w:type="gramEnd"/>
      <w:r w:rsidRPr="008F01FA">
        <w:rPr>
          <w:rFonts w:ascii="Times New Roman" w:hAnsi="Times New Roman" w:cs="Times New Roman"/>
          <w:color w:val="000000" w:themeColor="text1"/>
          <w:sz w:val="22"/>
          <w:szCs w:val="22"/>
        </w:rPr>
        <w:t xml:space="preserve"> </w:t>
      </w:r>
      <w:r w:rsidRPr="008F01FA">
        <w:rPr>
          <w:rFonts w:ascii="Times New Roman" w:hAnsi="Times New Roman" w:cs="Times New Roman"/>
          <w:i/>
          <w:iCs/>
          <w:color w:val="000000" w:themeColor="text1"/>
          <w:sz w:val="22"/>
          <w:szCs w:val="22"/>
        </w:rPr>
        <w:t xml:space="preserve">and a </w:t>
      </w:r>
      <w:r w:rsidRPr="008F01FA">
        <w:rPr>
          <w:rFonts w:ascii="Times New Roman" w:hAnsi="Times New Roman" w:cs="Times New Roman"/>
          <w:color w:val="000000" w:themeColor="text1"/>
          <w:sz w:val="22"/>
          <w:szCs w:val="22"/>
        </w:rPr>
        <w:t xml:space="preserve">trial definition file was created for the interval –100 to 500 (the duration of the task) and for the two conditions of interest (standard, rare deviant), with shift triggers = 0. We used a high-pass filter with cutoff = 0.3, then we down sampled to 500 Hz and lowpass filter with cutoff = 30. We chose a high-pass filter with cutoff =0.1 rather than 0.1 as the data contained some noise and upon inspecting the data after testing the 0.1 </w:t>
      </w:r>
      <w:proofErr w:type="gramStart"/>
      <w:r w:rsidRPr="008F01FA">
        <w:rPr>
          <w:rFonts w:ascii="Times New Roman" w:hAnsi="Times New Roman" w:cs="Times New Roman"/>
          <w:color w:val="000000" w:themeColor="text1"/>
          <w:sz w:val="22"/>
          <w:szCs w:val="22"/>
        </w:rPr>
        <w:t>filter</w:t>
      </w:r>
      <w:proofErr w:type="gramEnd"/>
      <w:r w:rsidRPr="008F01FA">
        <w:rPr>
          <w:rFonts w:ascii="Times New Roman" w:hAnsi="Times New Roman" w:cs="Times New Roman"/>
          <w:color w:val="000000" w:themeColor="text1"/>
          <w:sz w:val="22"/>
          <w:szCs w:val="22"/>
        </w:rPr>
        <w:t xml:space="preserve"> we decided to use 0.3 </w:t>
      </w:r>
      <w:proofErr w:type="gramStart"/>
      <w:r w:rsidRPr="008F01FA">
        <w:rPr>
          <w:rFonts w:ascii="Times New Roman" w:hAnsi="Times New Roman" w:cs="Times New Roman"/>
          <w:color w:val="000000" w:themeColor="text1"/>
          <w:sz w:val="22"/>
          <w:szCs w:val="22"/>
        </w:rPr>
        <w:t>in order to</w:t>
      </w:r>
      <w:proofErr w:type="gramEnd"/>
      <w:r w:rsidRPr="008F01FA">
        <w:rPr>
          <w:rFonts w:ascii="Times New Roman" w:hAnsi="Times New Roman" w:cs="Times New Roman"/>
          <w:color w:val="000000" w:themeColor="text1"/>
          <w:sz w:val="22"/>
          <w:szCs w:val="22"/>
        </w:rPr>
        <w:t xml:space="preserve"> have a cleaner dataset. The trial definition file was used for </w:t>
      </w:r>
      <w:proofErr w:type="spellStart"/>
      <w:proofErr w:type="gramStart"/>
      <w:r w:rsidRPr="008F01FA">
        <w:rPr>
          <w:rFonts w:ascii="Times New Roman" w:hAnsi="Times New Roman" w:cs="Times New Roman"/>
          <w:color w:val="000000" w:themeColor="text1"/>
          <w:sz w:val="22"/>
          <w:szCs w:val="22"/>
        </w:rPr>
        <w:t>epoching</w:t>
      </w:r>
      <w:proofErr w:type="spellEnd"/>
      <w:proofErr w:type="gramEnd"/>
      <w:r w:rsidRPr="008F01FA">
        <w:rPr>
          <w:rFonts w:ascii="Times New Roman" w:hAnsi="Times New Roman" w:cs="Times New Roman"/>
          <w:color w:val="000000" w:themeColor="text1"/>
          <w:sz w:val="22"/>
          <w:szCs w:val="22"/>
        </w:rPr>
        <w:t xml:space="preserve"> and baseline correction was applied pre-stimulus</w:t>
      </w:r>
      <w:r w:rsidRPr="008F01FA">
        <w:rPr>
          <w:rFonts w:ascii="Times New Roman" w:hAnsi="Times New Roman" w:cs="Times New Roman"/>
          <w:color w:val="000000" w:themeColor="text1"/>
          <w:sz w:val="22"/>
          <w:szCs w:val="22"/>
          <w:lang w:val="en-US"/>
        </w:rPr>
        <w:t>.</w:t>
      </w:r>
      <w:r w:rsidRPr="008F01FA">
        <w:rPr>
          <w:rFonts w:ascii="Times New Roman" w:hAnsi="Times New Roman" w:cs="Times New Roman"/>
          <w:color w:val="000000" w:themeColor="text1"/>
          <w:sz w:val="22"/>
          <w:szCs w:val="22"/>
        </w:rPr>
        <w:t xml:space="preserve"> After </w:t>
      </w:r>
      <w:proofErr w:type="spellStart"/>
      <w:r w:rsidRPr="008F01FA">
        <w:rPr>
          <w:rFonts w:ascii="Times New Roman" w:hAnsi="Times New Roman" w:cs="Times New Roman"/>
          <w:color w:val="000000" w:themeColor="text1"/>
          <w:sz w:val="22"/>
          <w:szCs w:val="22"/>
        </w:rPr>
        <w:t>epoching</w:t>
      </w:r>
      <w:proofErr w:type="spellEnd"/>
      <w:r w:rsidRPr="008F01FA">
        <w:rPr>
          <w:rFonts w:ascii="Times New Roman" w:hAnsi="Times New Roman" w:cs="Times New Roman"/>
          <w:color w:val="000000" w:themeColor="text1"/>
          <w:sz w:val="22"/>
          <w:szCs w:val="22"/>
        </w:rPr>
        <w:t xml:space="preserve">, bad trials and channels were visually inspected and marked using the </w:t>
      </w:r>
      <w:proofErr w:type="spellStart"/>
      <w:r w:rsidRPr="008F01FA">
        <w:rPr>
          <w:rFonts w:ascii="Times New Roman" w:hAnsi="Times New Roman" w:cs="Times New Roman"/>
          <w:color w:val="000000" w:themeColor="text1"/>
          <w:sz w:val="22"/>
          <w:szCs w:val="22"/>
        </w:rPr>
        <w:t>Fieldtriep</w:t>
      </w:r>
      <w:proofErr w:type="spellEnd"/>
      <w:r w:rsidRPr="008F01FA">
        <w:rPr>
          <w:rFonts w:ascii="Times New Roman" w:hAnsi="Times New Roman" w:cs="Times New Roman"/>
          <w:color w:val="000000" w:themeColor="text1"/>
          <w:sz w:val="22"/>
          <w:szCs w:val="22"/>
        </w:rPr>
        <w:t xml:space="preserve"> toolbox (</w:t>
      </w:r>
      <w:proofErr w:type="spellStart"/>
      <w:r w:rsidRPr="008F01FA">
        <w:rPr>
          <w:rFonts w:ascii="Times New Roman" w:hAnsi="Times New Roman" w:cs="Times New Roman"/>
          <w:color w:val="000000" w:themeColor="text1"/>
          <w:sz w:val="22"/>
          <w:szCs w:val="22"/>
        </w:rPr>
        <w:t>Oostenveld</w:t>
      </w:r>
      <w:proofErr w:type="spellEnd"/>
      <w:r w:rsidRPr="008F01FA">
        <w:rPr>
          <w:rFonts w:ascii="Times New Roman" w:hAnsi="Times New Roman" w:cs="Times New Roman"/>
          <w:color w:val="000000" w:themeColor="text1"/>
          <w:sz w:val="22"/>
          <w:szCs w:val="22"/>
        </w:rPr>
        <w:t xml:space="preserve"> et al., 2011) and then artefacts were removed with threshold set at 80 as recommended (Garrido et al., 2009). ERPs were then averaged for standard and rare deviant conditions.</w:t>
      </w:r>
    </w:p>
    <w:p w14:paraId="739AC836" w14:textId="77777777" w:rsidR="00752E6F" w:rsidRPr="008F01FA" w:rsidRDefault="00752E6F" w:rsidP="00752E6F">
      <w:pPr>
        <w:shd w:val="clear" w:color="auto" w:fill="FFFFFF" w:themeFill="background1"/>
        <w:spacing w:after="240"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Data was pre-processed with spm12, whereas the ERP analyses reported in the Vignando et al., 2024 publication has been </w:t>
      </w:r>
      <w:proofErr w:type="spellStart"/>
      <w:r w:rsidRPr="008F01FA">
        <w:rPr>
          <w:rFonts w:ascii="Times New Roman" w:hAnsi="Times New Roman" w:cs="Times New Roman"/>
          <w:color w:val="000000" w:themeColor="text1"/>
          <w:sz w:val="22"/>
          <w:szCs w:val="22"/>
        </w:rPr>
        <w:t>preprocessed</w:t>
      </w:r>
      <w:proofErr w:type="spellEnd"/>
      <w:r w:rsidRPr="008F01FA">
        <w:rPr>
          <w:rFonts w:ascii="Times New Roman" w:hAnsi="Times New Roman" w:cs="Times New Roman"/>
          <w:color w:val="000000" w:themeColor="text1"/>
          <w:sz w:val="22"/>
          <w:szCs w:val="22"/>
        </w:rPr>
        <w:t xml:space="preserve"> with a conceptually similar pipeline but with a different toolbox (EEGlab, Delorme et al., 2004; Lopez-Calderon, J., &amp; Luck, S. J. (2014)).</w:t>
      </w:r>
    </w:p>
    <w:p w14:paraId="13FFBE53" w14:textId="77777777" w:rsidR="00752E6F" w:rsidRPr="008F01FA" w:rsidRDefault="00752E6F" w:rsidP="00752E6F">
      <w:pPr>
        <w:pStyle w:val="paragraph"/>
        <w:spacing w:before="0" w:beforeAutospacing="0" w:after="0" w:afterAutospacing="0" w:line="360" w:lineRule="auto"/>
        <w:jc w:val="both"/>
        <w:rPr>
          <w:color w:val="000000" w:themeColor="text1"/>
          <w:sz w:val="22"/>
          <w:szCs w:val="22"/>
        </w:rPr>
      </w:pPr>
    </w:p>
    <w:p w14:paraId="55352F9F" w14:textId="77777777" w:rsidR="00752E6F" w:rsidRPr="008F01FA" w:rsidRDefault="00752E6F" w:rsidP="00752E6F">
      <w:pPr>
        <w:pStyle w:val="paragraph"/>
        <w:spacing w:before="0" w:beforeAutospacing="0" w:after="0" w:afterAutospacing="0" w:line="360" w:lineRule="auto"/>
        <w:ind w:left="720"/>
        <w:jc w:val="both"/>
        <w:textAlignment w:val="baseline"/>
        <w:rPr>
          <w:color w:val="000000" w:themeColor="text1"/>
          <w:sz w:val="22"/>
          <w:szCs w:val="22"/>
        </w:rPr>
      </w:pPr>
    </w:p>
    <w:p w14:paraId="7470CCD0" w14:textId="77777777" w:rsidR="00752E6F" w:rsidRPr="008F01FA"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8F01FA">
        <w:rPr>
          <w:b/>
          <w:bCs/>
          <w:i/>
          <w:iCs/>
          <w:color w:val="000000" w:themeColor="text1"/>
          <w:sz w:val="22"/>
          <w:szCs w:val="22"/>
        </w:rPr>
        <w:t>SI3. Analysis in sensor space.</w:t>
      </w:r>
      <w:r w:rsidRPr="008F01FA">
        <w:rPr>
          <w:color w:val="000000" w:themeColor="text1"/>
          <w:sz w:val="22"/>
          <w:szCs w:val="22"/>
        </w:rPr>
        <w:t xml:space="preserve"> </w:t>
      </w:r>
    </w:p>
    <w:p w14:paraId="266E308A" w14:textId="77777777" w:rsidR="00752E6F" w:rsidRPr="008F01FA" w:rsidRDefault="00752E6F" w:rsidP="00752E6F">
      <w:pPr>
        <w:pStyle w:val="paragraph"/>
        <w:spacing w:before="0" w:beforeAutospacing="0" w:after="0" w:afterAutospacing="0" w:line="360" w:lineRule="auto"/>
        <w:jc w:val="both"/>
        <w:textAlignment w:val="baseline"/>
        <w:rPr>
          <w:rStyle w:val="normaltextrun"/>
          <w:color w:val="000000" w:themeColor="text1"/>
          <w:sz w:val="22"/>
          <w:szCs w:val="22"/>
        </w:rPr>
      </w:pPr>
    </w:p>
    <w:p w14:paraId="6C48E40A" w14:textId="77777777" w:rsidR="00752E6F" w:rsidRPr="008F01FA" w:rsidRDefault="00752E6F" w:rsidP="00752E6F">
      <w:pPr>
        <w:spacing w:line="360" w:lineRule="auto"/>
        <w:jc w:val="both"/>
        <w:textAlignment w:val="baseline"/>
        <w:rPr>
          <w:rFonts w:ascii="Times New Roman" w:hAnsi="Times New Roman" w:cs="Times New Roman"/>
          <w:color w:val="000000" w:themeColor="text1"/>
          <w:sz w:val="22"/>
          <w:szCs w:val="22"/>
          <w:shd w:val="clear" w:color="auto" w:fill="C0C0C0"/>
        </w:rPr>
      </w:pPr>
      <w:r w:rsidRPr="008F01FA">
        <w:rPr>
          <w:rStyle w:val="normaltextrun"/>
          <w:rFonts w:ascii="Times New Roman" w:hAnsi="Times New Roman" w:cs="Times New Roman"/>
          <w:color w:val="000000" w:themeColor="text1"/>
          <w:sz w:val="22"/>
          <w:szCs w:val="22"/>
        </w:rPr>
        <w:t xml:space="preserve">Based on a previous ERP study conducted on this set of data, we had strong hypotheses regarding the regions involved (Vignando et al. 2024), as we found differences in </w:t>
      </w:r>
      <w:proofErr w:type="spellStart"/>
      <w:r w:rsidRPr="008F01FA">
        <w:rPr>
          <w:rStyle w:val="normaltextrun"/>
          <w:rFonts w:ascii="Times New Roman" w:hAnsi="Times New Roman" w:cs="Times New Roman"/>
          <w:color w:val="000000" w:themeColor="text1"/>
          <w:sz w:val="22"/>
          <w:szCs w:val="22"/>
        </w:rPr>
        <w:t>vMMN</w:t>
      </w:r>
      <w:proofErr w:type="spellEnd"/>
      <w:r w:rsidRPr="008F01FA">
        <w:rPr>
          <w:rStyle w:val="normaltextrun"/>
          <w:rFonts w:ascii="Times New Roman" w:hAnsi="Times New Roman" w:cs="Times New Roman"/>
          <w:color w:val="000000" w:themeColor="text1"/>
          <w:sz w:val="22"/>
          <w:szCs w:val="22"/>
        </w:rPr>
        <w:t xml:space="preserve"> amplitude between PDP and PD patients at parieto-occipital and frontal electrodes (POZ, PZ, P2 and F2, F4, F6 corrected for multiple comparisons) at 100-180ms. Nevertheless, </w:t>
      </w:r>
      <w:proofErr w:type="gramStart"/>
      <w:r w:rsidRPr="008F01FA">
        <w:rPr>
          <w:rFonts w:ascii="Times New Roman" w:hAnsi="Times New Roman" w:cs="Times New Roman"/>
          <w:color w:val="000000" w:themeColor="text1"/>
          <w:sz w:val="22"/>
          <w:szCs w:val="22"/>
        </w:rPr>
        <w:t>We</w:t>
      </w:r>
      <w:proofErr w:type="gramEnd"/>
      <w:r w:rsidRPr="008F01FA">
        <w:rPr>
          <w:rFonts w:ascii="Times New Roman" w:hAnsi="Times New Roman" w:cs="Times New Roman"/>
          <w:color w:val="000000" w:themeColor="text1"/>
          <w:sz w:val="22"/>
          <w:szCs w:val="22"/>
        </w:rPr>
        <w:t xml:space="preserve"> decided to perform an analysis in the sensor space to further support the decision of which regions to select for the DCM and to replicate our results with a different technique.</w:t>
      </w:r>
    </w:p>
    <w:p w14:paraId="43613F88" w14:textId="77777777" w:rsidR="00752E6F" w:rsidRPr="008F01FA"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8F01FA">
        <w:rPr>
          <w:rStyle w:val="normaltextrun"/>
          <w:color w:val="000000" w:themeColor="text1"/>
          <w:sz w:val="22"/>
          <w:szCs w:val="22"/>
        </w:rPr>
        <w:t xml:space="preserve">First the </w:t>
      </w:r>
      <w:proofErr w:type="spellStart"/>
      <w:r w:rsidRPr="008F01FA">
        <w:rPr>
          <w:rStyle w:val="normaltextrun"/>
          <w:color w:val="000000" w:themeColor="text1"/>
          <w:sz w:val="22"/>
          <w:szCs w:val="22"/>
        </w:rPr>
        <w:t>preprocessed</w:t>
      </w:r>
      <w:proofErr w:type="spellEnd"/>
      <w:r w:rsidRPr="008F01FA">
        <w:rPr>
          <w:rStyle w:val="normaltextrun"/>
          <w:color w:val="000000" w:themeColor="text1"/>
          <w:sz w:val="22"/>
          <w:szCs w:val="22"/>
        </w:rPr>
        <w:t xml:space="preserve"> files were converted to images using the scalp x time mode, </w:t>
      </w:r>
      <w:proofErr w:type="gramStart"/>
      <w:r w:rsidRPr="008F01FA">
        <w:rPr>
          <w:rStyle w:val="normaltextrun"/>
          <w:color w:val="000000" w:themeColor="text1"/>
          <w:sz w:val="22"/>
          <w:szCs w:val="22"/>
        </w:rPr>
        <w:t>in order to</w:t>
      </w:r>
      <w:proofErr w:type="gramEnd"/>
      <w:r w:rsidRPr="008F01FA">
        <w:rPr>
          <w:rStyle w:val="normaltextrun"/>
          <w:color w:val="000000" w:themeColor="text1"/>
          <w:sz w:val="22"/>
          <w:szCs w:val="22"/>
        </w:rPr>
        <w:t xml:space="preserve"> obtain .</w:t>
      </w:r>
      <w:proofErr w:type="spellStart"/>
      <w:r w:rsidRPr="008F01FA">
        <w:rPr>
          <w:rStyle w:val="normaltextrun"/>
          <w:color w:val="000000" w:themeColor="text1"/>
          <w:sz w:val="22"/>
          <w:szCs w:val="22"/>
        </w:rPr>
        <w:t>nii</w:t>
      </w:r>
      <w:proofErr w:type="spellEnd"/>
      <w:r w:rsidRPr="008F01FA">
        <w:rPr>
          <w:rStyle w:val="normaltextrun"/>
          <w:color w:val="000000" w:themeColor="text1"/>
          <w:sz w:val="22"/>
          <w:szCs w:val="22"/>
        </w:rPr>
        <w:t xml:space="preserve"> files to input in this second-level analysis. </w:t>
      </w:r>
      <w:r w:rsidRPr="008F01FA">
        <w:rPr>
          <w:color w:val="000000" w:themeColor="text1"/>
          <w:sz w:val="22"/>
          <w:szCs w:val="22"/>
        </w:rPr>
        <w:t xml:space="preserve">Sensor space analysis is used to create a 2D space that represents the data from the scalp; this is done by flattening the locations of the electrodes that are then interpolated to create an image where locations where the ERP amplitude between two conditions differed significantly. The use of random filed theory to correct for multiple comparisons across participants and electrodes, the results indicating the source identified for the ERP component at any timepoint is reliable, as this type of correction considers also the spatial correlation across pixels. </w:t>
      </w:r>
    </w:p>
    <w:p w14:paraId="04CF0D77"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We computed a one-sample t-test and defined the F contrast as 0 1 since  the purpose of the analysis is to investigate the locations involved in the generation of the signal and not investigate the standard-deviant </w:t>
      </w:r>
      <w:r w:rsidRPr="008F01FA">
        <w:rPr>
          <w:rFonts w:ascii="Times New Roman" w:hAnsi="Times New Roman" w:cs="Times New Roman"/>
          <w:color w:val="000000" w:themeColor="text1"/>
          <w:sz w:val="22"/>
          <w:szCs w:val="22"/>
        </w:rPr>
        <w:lastRenderedPageBreak/>
        <w:t xml:space="preserve">contrast or a group contrast, as the standard and deviant difference or PD-PDP difference (something that was explored in the previous ERP study). We found that parieto-occipital locations, </w:t>
      </w:r>
      <w:proofErr w:type="gramStart"/>
      <w:r w:rsidRPr="008F01FA">
        <w:rPr>
          <w:rFonts w:ascii="Times New Roman" w:hAnsi="Times New Roman" w:cs="Times New Roman"/>
          <w:color w:val="000000" w:themeColor="text1"/>
          <w:sz w:val="22"/>
          <w:szCs w:val="22"/>
        </w:rPr>
        <w:t>in particular,</w:t>
      </w:r>
      <w:proofErr w:type="gramEnd"/>
      <w:r w:rsidRPr="008F01FA">
        <w:rPr>
          <w:rFonts w:ascii="Times New Roman" w:hAnsi="Times New Roman" w:cs="Times New Roman"/>
          <w:color w:val="000000" w:themeColor="text1"/>
          <w:sz w:val="22"/>
          <w:szCs w:val="22"/>
        </w:rPr>
        <w:t xml:space="preserve"> POZ, were involved in the generation of the signal, which accords well with what found in the ERP analysis. Results are reported in Supplementary Figure 2. </w:t>
      </w:r>
    </w:p>
    <w:p w14:paraId="16444588"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542C27D4"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3D00DD69"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b/>
          <w:bCs/>
          <w:i/>
          <w:iCs/>
          <w:color w:val="000000" w:themeColor="text1"/>
          <w:sz w:val="22"/>
          <w:szCs w:val="22"/>
        </w:rPr>
        <w:t xml:space="preserve">SI4. Additional details on the source reconstruction analysis and coordinate tables. </w:t>
      </w:r>
      <w:r w:rsidRPr="008F01FA">
        <w:rPr>
          <w:rFonts w:ascii="Times New Roman" w:hAnsi="Times New Roman" w:cs="Times New Roman"/>
          <w:color w:val="000000" w:themeColor="text1"/>
          <w:sz w:val="22"/>
          <w:szCs w:val="22"/>
        </w:rPr>
        <w:t>We used the SPM template, as we did not have T1-weighted MRI scans for all participants to co-register the EEG to. The normal cortical mesh option was selected, and we specified the forward model using a boundary element method (BEM), then the inversion was completed.  We obtained individual MIPs (</w:t>
      </w:r>
      <w:proofErr w:type="spellStart"/>
      <w:r w:rsidRPr="008F01FA">
        <w:rPr>
          <w:rFonts w:ascii="Times New Roman" w:hAnsi="Times New Roman" w:cs="Times New Roman"/>
          <w:color w:val="000000" w:themeColor="text1"/>
          <w:sz w:val="22"/>
          <w:szCs w:val="22"/>
        </w:rPr>
        <w:t>maiximum</w:t>
      </w:r>
      <w:proofErr w:type="spellEnd"/>
      <w:r w:rsidRPr="008F01FA">
        <w:rPr>
          <w:rFonts w:ascii="Times New Roman" w:hAnsi="Times New Roman" w:cs="Times New Roman"/>
          <w:color w:val="000000" w:themeColor="text1"/>
          <w:sz w:val="22"/>
          <w:szCs w:val="22"/>
        </w:rPr>
        <w:t xml:space="preserve"> intensity projection) of the activity in the source space and a time series of the activity for each condition. We used this data to </w:t>
      </w:r>
      <w:proofErr w:type="gramStart"/>
      <w:r w:rsidRPr="008F01FA">
        <w:rPr>
          <w:rFonts w:ascii="Times New Roman" w:hAnsi="Times New Roman" w:cs="Times New Roman"/>
          <w:color w:val="000000" w:themeColor="text1"/>
          <w:sz w:val="22"/>
          <w:szCs w:val="22"/>
        </w:rPr>
        <w:t>generate .</w:t>
      </w:r>
      <w:proofErr w:type="spellStart"/>
      <w:r w:rsidRPr="008F01FA">
        <w:rPr>
          <w:rFonts w:ascii="Times New Roman" w:hAnsi="Times New Roman" w:cs="Times New Roman"/>
          <w:color w:val="000000" w:themeColor="text1"/>
          <w:sz w:val="22"/>
          <w:szCs w:val="22"/>
        </w:rPr>
        <w:t>nii</w:t>
      </w:r>
      <w:proofErr w:type="spellEnd"/>
      <w:proofErr w:type="gramEnd"/>
      <w:r w:rsidRPr="008F01FA">
        <w:rPr>
          <w:rFonts w:ascii="Times New Roman" w:hAnsi="Times New Roman" w:cs="Times New Roman"/>
          <w:color w:val="000000" w:themeColor="text1"/>
          <w:sz w:val="22"/>
          <w:szCs w:val="22"/>
        </w:rPr>
        <w:t xml:space="preserve"> images for the 60-400ms interval of interest to be investigated with the DCM analyses. </w:t>
      </w:r>
    </w:p>
    <w:p w14:paraId="653AE679"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The images were used for second level analyses: we specified a one-samples t-test model to investigate the neural correlates of standard and rare deviant images, to further investigate the regions associated to the </w:t>
      </w:r>
      <w:proofErr w:type="spellStart"/>
      <w:r w:rsidRPr="008F01FA">
        <w:rPr>
          <w:rFonts w:ascii="Times New Roman" w:hAnsi="Times New Roman" w:cs="Times New Roman"/>
          <w:color w:val="000000" w:themeColor="text1"/>
          <w:sz w:val="22"/>
          <w:szCs w:val="22"/>
        </w:rPr>
        <w:t>vMMN</w:t>
      </w:r>
      <w:proofErr w:type="spellEnd"/>
      <w:r w:rsidRPr="008F01FA">
        <w:rPr>
          <w:rFonts w:ascii="Times New Roman" w:hAnsi="Times New Roman" w:cs="Times New Roman"/>
          <w:color w:val="000000" w:themeColor="text1"/>
          <w:sz w:val="22"/>
          <w:szCs w:val="22"/>
        </w:rPr>
        <w:t xml:space="preserve"> task and inform our decision as to the coordinates of the DCM dipoles (coordinates are reported in the Supplementary Table 2 below). For this analysis, we used all participants’ scans to identify all possible sources, but we also repeated the source reconstruction for PD only as a sanity check, finding consistent results (results significant for rare (ITG region), no suprathreshold for standard which is expected given the smaller sample size of N=18). We also conducted paired t-tests in PD and PDP separately (rare-standard) to investigate if and where there are specific locations related to standard and deviant differences in each group that needed taking into account (Supplementary Figure 2). We explored possible differences between the frequent deviant and the standard with the same method finding no difference (no suprathreshold clusters p &gt;.05), supporting what we found in our ERP study where no difference between the two was observed in any of the groups.</w:t>
      </w:r>
    </w:p>
    <w:p w14:paraId="1FA8AE4A"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253309CD"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320BCACD" w14:textId="77777777" w:rsidR="00752E6F" w:rsidRPr="008F01FA" w:rsidRDefault="00752E6F" w:rsidP="00752E6F">
      <w:pPr>
        <w:spacing w:line="360" w:lineRule="auto"/>
        <w:jc w:val="both"/>
        <w:rPr>
          <w:rFonts w:ascii="Times New Roman" w:hAnsi="Times New Roman" w:cs="Times New Roman"/>
          <w:b/>
          <w:bCs/>
          <w:i/>
          <w:iCs/>
          <w:color w:val="000000" w:themeColor="text1"/>
          <w:sz w:val="22"/>
          <w:szCs w:val="22"/>
        </w:rPr>
      </w:pPr>
    </w:p>
    <w:tbl>
      <w:tblPr>
        <w:tblW w:w="0" w:type="auto"/>
        <w:tblLayout w:type="fixed"/>
        <w:tblLook w:val="06A0" w:firstRow="1" w:lastRow="0" w:firstColumn="1" w:lastColumn="0" w:noHBand="1" w:noVBand="1"/>
      </w:tblPr>
      <w:tblGrid>
        <w:gridCol w:w="1103"/>
        <w:gridCol w:w="1695"/>
        <w:gridCol w:w="818"/>
        <w:gridCol w:w="1083"/>
        <w:gridCol w:w="1090"/>
        <w:gridCol w:w="1075"/>
        <w:gridCol w:w="1075"/>
        <w:gridCol w:w="1075"/>
      </w:tblGrid>
      <w:tr w:rsidR="00752E6F" w:rsidRPr="008F01FA" w14:paraId="5117E38C" w14:textId="77777777" w:rsidTr="00BF76E1">
        <w:trPr>
          <w:trHeight w:val="315"/>
        </w:trPr>
        <w:tc>
          <w:tcPr>
            <w:tcW w:w="1103"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096FDF56"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Region</w:t>
            </w:r>
          </w:p>
        </w:tc>
        <w:tc>
          <w:tcPr>
            <w:tcW w:w="1695"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23D796F3"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p(FWE-</w:t>
            </w:r>
            <w:proofErr w:type="spellStart"/>
            <w:r w:rsidRPr="008F01FA">
              <w:rPr>
                <w:rFonts w:ascii="Times New Roman" w:hAnsi="Times New Roman" w:cs="Times New Roman"/>
                <w:b/>
                <w:bCs/>
                <w:color w:val="000000" w:themeColor="text1"/>
                <w:sz w:val="22"/>
                <w:szCs w:val="22"/>
              </w:rPr>
              <w:t>corr</w:t>
            </w:r>
            <w:proofErr w:type="spellEnd"/>
            <w:r w:rsidRPr="008F01FA">
              <w:rPr>
                <w:rFonts w:ascii="Times New Roman" w:hAnsi="Times New Roman" w:cs="Times New Roman"/>
                <w:b/>
                <w:bCs/>
                <w:color w:val="000000" w:themeColor="text1"/>
                <w:sz w:val="22"/>
                <w:szCs w:val="22"/>
              </w:rPr>
              <w:t>)</w:t>
            </w:r>
          </w:p>
        </w:tc>
        <w:tc>
          <w:tcPr>
            <w:tcW w:w="818"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20C69E4E"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p(</w:t>
            </w:r>
            <w:proofErr w:type="spellStart"/>
            <w:r w:rsidRPr="008F01FA">
              <w:rPr>
                <w:rFonts w:ascii="Times New Roman" w:hAnsi="Times New Roman" w:cs="Times New Roman"/>
                <w:b/>
                <w:bCs/>
                <w:color w:val="000000" w:themeColor="text1"/>
                <w:sz w:val="22"/>
                <w:szCs w:val="22"/>
              </w:rPr>
              <w:t>unc</w:t>
            </w:r>
            <w:proofErr w:type="spellEnd"/>
            <w:r w:rsidRPr="008F01FA">
              <w:rPr>
                <w:rFonts w:ascii="Times New Roman" w:hAnsi="Times New Roman" w:cs="Times New Roman"/>
                <w:b/>
                <w:bCs/>
                <w:color w:val="000000" w:themeColor="text1"/>
                <w:sz w:val="22"/>
                <w:szCs w:val="22"/>
              </w:rPr>
              <w:t>)</w:t>
            </w:r>
          </w:p>
        </w:tc>
        <w:tc>
          <w:tcPr>
            <w:tcW w:w="1083"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7EB3C862"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F</w:t>
            </w:r>
          </w:p>
        </w:tc>
        <w:tc>
          <w:tcPr>
            <w:tcW w:w="1090"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521B64B1"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Z</w:t>
            </w:r>
          </w:p>
        </w:tc>
        <w:tc>
          <w:tcPr>
            <w:tcW w:w="1075"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7FF2B556"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x</w:t>
            </w:r>
          </w:p>
        </w:tc>
        <w:tc>
          <w:tcPr>
            <w:tcW w:w="1075"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1D2398AF"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y</w:t>
            </w:r>
          </w:p>
        </w:tc>
        <w:tc>
          <w:tcPr>
            <w:tcW w:w="1075" w:type="dxa"/>
            <w:tcBorders>
              <w:top w:val="single" w:sz="4" w:space="0" w:color="auto"/>
              <w:left w:val="nil"/>
              <w:bottom w:val="single" w:sz="4" w:space="0" w:color="auto"/>
              <w:right w:val="nil"/>
            </w:tcBorders>
            <w:shd w:val="clear" w:color="auto" w:fill="FFFFFF" w:themeFill="background1"/>
            <w:tcMar>
              <w:top w:w="15" w:type="dxa"/>
              <w:left w:w="15" w:type="dxa"/>
              <w:right w:w="15" w:type="dxa"/>
            </w:tcMar>
            <w:vAlign w:val="bottom"/>
          </w:tcPr>
          <w:p w14:paraId="79A52F63"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z</w:t>
            </w:r>
          </w:p>
        </w:tc>
      </w:tr>
      <w:tr w:rsidR="00752E6F" w:rsidRPr="008F01FA" w14:paraId="6FF0CF03" w14:textId="77777777" w:rsidTr="00BF76E1">
        <w:trPr>
          <w:trHeight w:val="315"/>
        </w:trPr>
        <w:tc>
          <w:tcPr>
            <w:tcW w:w="1103"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1C8151FF"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Left ITG</w:t>
            </w:r>
          </w:p>
        </w:tc>
        <w:tc>
          <w:tcPr>
            <w:tcW w:w="1695"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283358D6"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0.003</w:t>
            </w:r>
          </w:p>
        </w:tc>
        <w:tc>
          <w:tcPr>
            <w:tcW w:w="818"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54E3E23B"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&lt;.001</w:t>
            </w:r>
          </w:p>
        </w:tc>
        <w:tc>
          <w:tcPr>
            <w:tcW w:w="1083"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456ADF21"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30.28</w:t>
            </w:r>
          </w:p>
        </w:tc>
        <w:tc>
          <w:tcPr>
            <w:tcW w:w="1090"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2FFECBD5"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4.89</w:t>
            </w:r>
          </w:p>
        </w:tc>
        <w:tc>
          <w:tcPr>
            <w:tcW w:w="1075"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5CDE71DC"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-48</w:t>
            </w:r>
          </w:p>
        </w:tc>
        <w:tc>
          <w:tcPr>
            <w:tcW w:w="1075"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5CC2E9B3"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-18</w:t>
            </w:r>
          </w:p>
        </w:tc>
        <w:tc>
          <w:tcPr>
            <w:tcW w:w="1075" w:type="dxa"/>
            <w:tcBorders>
              <w:top w:val="single" w:sz="4" w:space="0" w:color="auto"/>
              <w:left w:val="nil"/>
              <w:bottom w:val="nil"/>
              <w:right w:val="nil"/>
            </w:tcBorders>
            <w:shd w:val="clear" w:color="auto" w:fill="FFFFFF" w:themeFill="background1"/>
            <w:tcMar>
              <w:top w:w="15" w:type="dxa"/>
              <w:left w:w="15" w:type="dxa"/>
              <w:right w:w="15" w:type="dxa"/>
            </w:tcMar>
            <w:vAlign w:val="bottom"/>
          </w:tcPr>
          <w:p w14:paraId="3C8C5DA1"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-32</w:t>
            </w:r>
          </w:p>
        </w:tc>
      </w:tr>
      <w:tr w:rsidR="00752E6F" w:rsidRPr="008F01FA" w14:paraId="3C342EDB" w14:textId="77777777" w:rsidTr="00BF76E1">
        <w:trPr>
          <w:trHeight w:val="315"/>
        </w:trPr>
        <w:tc>
          <w:tcPr>
            <w:tcW w:w="1103" w:type="dxa"/>
            <w:tcBorders>
              <w:top w:val="nil"/>
              <w:left w:val="nil"/>
              <w:bottom w:val="nil"/>
              <w:right w:val="nil"/>
            </w:tcBorders>
            <w:shd w:val="clear" w:color="auto" w:fill="FFFFFF" w:themeFill="background1"/>
            <w:tcMar>
              <w:top w:w="15" w:type="dxa"/>
              <w:left w:w="15" w:type="dxa"/>
              <w:right w:w="15" w:type="dxa"/>
            </w:tcMar>
            <w:vAlign w:val="bottom"/>
          </w:tcPr>
          <w:p w14:paraId="0442AB04"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Right ITG</w:t>
            </w:r>
          </w:p>
        </w:tc>
        <w:tc>
          <w:tcPr>
            <w:tcW w:w="1695" w:type="dxa"/>
            <w:tcBorders>
              <w:top w:val="nil"/>
              <w:left w:val="nil"/>
              <w:bottom w:val="nil"/>
              <w:right w:val="nil"/>
            </w:tcBorders>
            <w:shd w:val="clear" w:color="auto" w:fill="FFFFFF" w:themeFill="background1"/>
            <w:tcMar>
              <w:top w:w="15" w:type="dxa"/>
              <w:left w:w="15" w:type="dxa"/>
              <w:right w:w="15" w:type="dxa"/>
            </w:tcMar>
            <w:vAlign w:val="bottom"/>
          </w:tcPr>
          <w:p w14:paraId="0CA774C6"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0.005</w:t>
            </w:r>
          </w:p>
        </w:tc>
        <w:tc>
          <w:tcPr>
            <w:tcW w:w="818" w:type="dxa"/>
            <w:tcBorders>
              <w:top w:val="nil"/>
              <w:left w:val="nil"/>
              <w:bottom w:val="nil"/>
              <w:right w:val="nil"/>
            </w:tcBorders>
            <w:shd w:val="clear" w:color="auto" w:fill="FFFFFF" w:themeFill="background1"/>
            <w:tcMar>
              <w:top w:w="15" w:type="dxa"/>
              <w:left w:w="15" w:type="dxa"/>
              <w:right w:w="15" w:type="dxa"/>
            </w:tcMar>
            <w:vAlign w:val="bottom"/>
          </w:tcPr>
          <w:p w14:paraId="0F378BE0"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&lt;.001</w:t>
            </w:r>
          </w:p>
        </w:tc>
        <w:tc>
          <w:tcPr>
            <w:tcW w:w="1083" w:type="dxa"/>
            <w:tcBorders>
              <w:top w:val="nil"/>
              <w:left w:val="nil"/>
              <w:bottom w:val="nil"/>
              <w:right w:val="nil"/>
            </w:tcBorders>
            <w:shd w:val="clear" w:color="auto" w:fill="FFFFFF" w:themeFill="background1"/>
            <w:tcMar>
              <w:top w:w="15" w:type="dxa"/>
              <w:left w:w="15" w:type="dxa"/>
              <w:right w:w="15" w:type="dxa"/>
            </w:tcMar>
            <w:vAlign w:val="bottom"/>
          </w:tcPr>
          <w:p w14:paraId="60FDCFD6"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28.17</w:t>
            </w:r>
          </w:p>
        </w:tc>
        <w:tc>
          <w:tcPr>
            <w:tcW w:w="1090" w:type="dxa"/>
            <w:tcBorders>
              <w:top w:val="nil"/>
              <w:left w:val="nil"/>
              <w:bottom w:val="nil"/>
              <w:right w:val="nil"/>
            </w:tcBorders>
            <w:shd w:val="clear" w:color="auto" w:fill="FFFFFF" w:themeFill="background1"/>
            <w:tcMar>
              <w:top w:w="15" w:type="dxa"/>
              <w:left w:w="15" w:type="dxa"/>
              <w:right w:w="15" w:type="dxa"/>
            </w:tcMar>
            <w:vAlign w:val="bottom"/>
          </w:tcPr>
          <w:p w14:paraId="041B3F2E"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4.73</w:t>
            </w:r>
          </w:p>
        </w:tc>
        <w:tc>
          <w:tcPr>
            <w:tcW w:w="1075" w:type="dxa"/>
            <w:tcBorders>
              <w:top w:val="nil"/>
              <w:left w:val="nil"/>
              <w:bottom w:val="nil"/>
              <w:right w:val="nil"/>
            </w:tcBorders>
            <w:shd w:val="clear" w:color="auto" w:fill="FFFFFF" w:themeFill="background1"/>
            <w:tcMar>
              <w:top w:w="15" w:type="dxa"/>
              <w:left w:w="15" w:type="dxa"/>
              <w:right w:w="15" w:type="dxa"/>
            </w:tcMar>
            <w:vAlign w:val="bottom"/>
          </w:tcPr>
          <w:p w14:paraId="2453738C"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54</w:t>
            </w:r>
          </w:p>
        </w:tc>
        <w:tc>
          <w:tcPr>
            <w:tcW w:w="1075" w:type="dxa"/>
            <w:tcBorders>
              <w:top w:val="nil"/>
              <w:left w:val="nil"/>
              <w:bottom w:val="nil"/>
              <w:right w:val="nil"/>
            </w:tcBorders>
            <w:shd w:val="clear" w:color="auto" w:fill="FFFFFF" w:themeFill="background1"/>
            <w:tcMar>
              <w:top w:w="15" w:type="dxa"/>
              <w:left w:w="15" w:type="dxa"/>
              <w:right w:w="15" w:type="dxa"/>
            </w:tcMar>
            <w:vAlign w:val="bottom"/>
          </w:tcPr>
          <w:p w14:paraId="30847F4D"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-18</w:t>
            </w:r>
          </w:p>
        </w:tc>
        <w:tc>
          <w:tcPr>
            <w:tcW w:w="1075" w:type="dxa"/>
            <w:tcBorders>
              <w:top w:val="nil"/>
              <w:left w:val="nil"/>
              <w:bottom w:val="nil"/>
              <w:right w:val="nil"/>
            </w:tcBorders>
            <w:shd w:val="clear" w:color="auto" w:fill="FFFFFF" w:themeFill="background1"/>
            <w:tcMar>
              <w:top w:w="15" w:type="dxa"/>
              <w:left w:w="15" w:type="dxa"/>
              <w:right w:w="15" w:type="dxa"/>
            </w:tcMar>
            <w:vAlign w:val="bottom"/>
          </w:tcPr>
          <w:p w14:paraId="661484B6"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-34</w:t>
            </w:r>
          </w:p>
        </w:tc>
      </w:tr>
      <w:tr w:rsidR="00752E6F" w:rsidRPr="008F01FA" w14:paraId="2C349A2E" w14:textId="77777777" w:rsidTr="00BF76E1">
        <w:trPr>
          <w:trHeight w:val="315"/>
        </w:trPr>
        <w:tc>
          <w:tcPr>
            <w:tcW w:w="1103" w:type="dxa"/>
            <w:tcBorders>
              <w:top w:val="nil"/>
              <w:left w:val="nil"/>
              <w:bottom w:val="nil"/>
              <w:right w:val="nil"/>
            </w:tcBorders>
            <w:shd w:val="clear" w:color="auto" w:fill="FFFFFF" w:themeFill="background1"/>
            <w:tcMar>
              <w:top w:w="15" w:type="dxa"/>
              <w:left w:w="15" w:type="dxa"/>
              <w:right w:w="15" w:type="dxa"/>
            </w:tcMar>
            <w:vAlign w:val="bottom"/>
          </w:tcPr>
          <w:p w14:paraId="38F66140"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Calcarine </w:t>
            </w:r>
          </w:p>
        </w:tc>
        <w:tc>
          <w:tcPr>
            <w:tcW w:w="1695" w:type="dxa"/>
            <w:tcBorders>
              <w:top w:val="nil"/>
              <w:left w:val="nil"/>
              <w:bottom w:val="nil"/>
              <w:right w:val="nil"/>
            </w:tcBorders>
            <w:shd w:val="clear" w:color="auto" w:fill="FFFFFF" w:themeFill="background1"/>
            <w:tcMar>
              <w:top w:w="15" w:type="dxa"/>
              <w:left w:w="15" w:type="dxa"/>
              <w:right w:w="15" w:type="dxa"/>
            </w:tcMar>
            <w:vAlign w:val="bottom"/>
          </w:tcPr>
          <w:p w14:paraId="5EFD97FC"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b/>
                <w:bCs/>
                <w:color w:val="000000" w:themeColor="text1"/>
                <w:sz w:val="22"/>
                <w:szCs w:val="22"/>
              </w:rPr>
              <w:t>0.047</w:t>
            </w:r>
          </w:p>
        </w:tc>
        <w:tc>
          <w:tcPr>
            <w:tcW w:w="818" w:type="dxa"/>
            <w:tcBorders>
              <w:top w:val="nil"/>
              <w:left w:val="nil"/>
              <w:bottom w:val="nil"/>
              <w:right w:val="nil"/>
            </w:tcBorders>
            <w:shd w:val="clear" w:color="auto" w:fill="FFFFFF" w:themeFill="background1"/>
            <w:tcMar>
              <w:top w:w="15" w:type="dxa"/>
              <w:left w:w="15" w:type="dxa"/>
              <w:right w:w="15" w:type="dxa"/>
            </w:tcMar>
            <w:vAlign w:val="bottom"/>
          </w:tcPr>
          <w:p w14:paraId="41BC802E"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&lt;.001</w:t>
            </w:r>
          </w:p>
        </w:tc>
        <w:tc>
          <w:tcPr>
            <w:tcW w:w="1083" w:type="dxa"/>
            <w:tcBorders>
              <w:top w:val="nil"/>
              <w:left w:val="nil"/>
              <w:bottom w:val="nil"/>
              <w:right w:val="nil"/>
            </w:tcBorders>
            <w:shd w:val="clear" w:color="auto" w:fill="FFFFFF" w:themeFill="background1"/>
            <w:tcMar>
              <w:top w:w="15" w:type="dxa"/>
              <w:left w:w="15" w:type="dxa"/>
              <w:right w:w="15" w:type="dxa"/>
            </w:tcMar>
            <w:vAlign w:val="bottom"/>
          </w:tcPr>
          <w:p w14:paraId="778E322F"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21.44</w:t>
            </w:r>
          </w:p>
        </w:tc>
        <w:tc>
          <w:tcPr>
            <w:tcW w:w="1090" w:type="dxa"/>
            <w:tcBorders>
              <w:top w:val="nil"/>
              <w:left w:val="nil"/>
              <w:bottom w:val="nil"/>
              <w:right w:val="nil"/>
            </w:tcBorders>
            <w:shd w:val="clear" w:color="auto" w:fill="FFFFFF" w:themeFill="background1"/>
            <w:tcMar>
              <w:top w:w="15" w:type="dxa"/>
              <w:left w:w="15" w:type="dxa"/>
              <w:right w:w="15" w:type="dxa"/>
            </w:tcMar>
            <w:vAlign w:val="bottom"/>
          </w:tcPr>
          <w:p w14:paraId="25282E3C"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4.17</w:t>
            </w:r>
          </w:p>
        </w:tc>
        <w:tc>
          <w:tcPr>
            <w:tcW w:w="1075" w:type="dxa"/>
            <w:tcBorders>
              <w:top w:val="nil"/>
              <w:left w:val="nil"/>
              <w:bottom w:val="nil"/>
              <w:right w:val="nil"/>
            </w:tcBorders>
            <w:shd w:val="clear" w:color="auto" w:fill="FFFFFF" w:themeFill="background1"/>
            <w:tcMar>
              <w:top w:w="15" w:type="dxa"/>
              <w:left w:w="15" w:type="dxa"/>
              <w:right w:w="15" w:type="dxa"/>
            </w:tcMar>
            <w:vAlign w:val="bottom"/>
          </w:tcPr>
          <w:p w14:paraId="118282B3"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2</w:t>
            </w:r>
          </w:p>
        </w:tc>
        <w:tc>
          <w:tcPr>
            <w:tcW w:w="1075" w:type="dxa"/>
            <w:tcBorders>
              <w:top w:val="nil"/>
              <w:left w:val="nil"/>
              <w:bottom w:val="nil"/>
              <w:right w:val="nil"/>
            </w:tcBorders>
            <w:shd w:val="clear" w:color="auto" w:fill="FFFFFF" w:themeFill="background1"/>
            <w:tcMar>
              <w:top w:w="15" w:type="dxa"/>
              <w:left w:w="15" w:type="dxa"/>
              <w:right w:w="15" w:type="dxa"/>
            </w:tcMar>
            <w:vAlign w:val="bottom"/>
          </w:tcPr>
          <w:p w14:paraId="56DCCAC4"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-86</w:t>
            </w:r>
          </w:p>
        </w:tc>
        <w:tc>
          <w:tcPr>
            <w:tcW w:w="1075" w:type="dxa"/>
            <w:tcBorders>
              <w:top w:val="nil"/>
              <w:left w:val="nil"/>
              <w:bottom w:val="nil"/>
              <w:right w:val="nil"/>
            </w:tcBorders>
            <w:shd w:val="clear" w:color="auto" w:fill="FFFFFF" w:themeFill="background1"/>
            <w:tcMar>
              <w:top w:w="15" w:type="dxa"/>
              <w:left w:w="15" w:type="dxa"/>
              <w:right w:w="15" w:type="dxa"/>
            </w:tcMar>
            <w:vAlign w:val="bottom"/>
          </w:tcPr>
          <w:p w14:paraId="6F5BB4D1"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14</w:t>
            </w:r>
          </w:p>
        </w:tc>
      </w:tr>
      <w:tr w:rsidR="00752E6F" w:rsidRPr="008F01FA" w14:paraId="15E8ED77" w14:textId="77777777" w:rsidTr="00BF76E1">
        <w:trPr>
          <w:trHeight w:val="315"/>
        </w:trPr>
        <w:tc>
          <w:tcPr>
            <w:tcW w:w="1103" w:type="dxa"/>
            <w:tcBorders>
              <w:top w:val="nil"/>
              <w:left w:val="nil"/>
              <w:bottom w:val="nil"/>
              <w:right w:val="nil"/>
            </w:tcBorders>
            <w:shd w:val="clear" w:color="auto" w:fill="FFFFFF" w:themeFill="background1"/>
            <w:tcMar>
              <w:top w:w="15" w:type="dxa"/>
              <w:left w:w="15" w:type="dxa"/>
              <w:right w:w="15" w:type="dxa"/>
            </w:tcMar>
            <w:vAlign w:val="bottom"/>
          </w:tcPr>
          <w:p w14:paraId="790BB1E5"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Left PFC</w:t>
            </w:r>
          </w:p>
        </w:tc>
        <w:tc>
          <w:tcPr>
            <w:tcW w:w="1695" w:type="dxa"/>
            <w:tcBorders>
              <w:top w:val="nil"/>
              <w:left w:val="nil"/>
              <w:bottom w:val="nil"/>
              <w:right w:val="nil"/>
            </w:tcBorders>
            <w:shd w:val="clear" w:color="auto" w:fill="FFFFFF" w:themeFill="background1"/>
            <w:tcMar>
              <w:top w:w="15" w:type="dxa"/>
              <w:left w:w="15" w:type="dxa"/>
              <w:right w:w="15" w:type="dxa"/>
            </w:tcMar>
            <w:vAlign w:val="bottom"/>
          </w:tcPr>
          <w:p w14:paraId="50B4A091"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0.085</w:t>
            </w:r>
          </w:p>
        </w:tc>
        <w:tc>
          <w:tcPr>
            <w:tcW w:w="818" w:type="dxa"/>
            <w:tcBorders>
              <w:top w:val="nil"/>
              <w:left w:val="nil"/>
              <w:bottom w:val="nil"/>
              <w:right w:val="nil"/>
            </w:tcBorders>
            <w:shd w:val="clear" w:color="auto" w:fill="FFFFFF" w:themeFill="background1"/>
            <w:tcMar>
              <w:top w:w="15" w:type="dxa"/>
              <w:left w:w="15" w:type="dxa"/>
              <w:right w:w="15" w:type="dxa"/>
            </w:tcMar>
            <w:vAlign w:val="bottom"/>
          </w:tcPr>
          <w:p w14:paraId="3C80B69D"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&lt;.001</w:t>
            </w:r>
          </w:p>
        </w:tc>
        <w:tc>
          <w:tcPr>
            <w:tcW w:w="1083" w:type="dxa"/>
            <w:tcBorders>
              <w:top w:val="nil"/>
              <w:left w:val="nil"/>
              <w:bottom w:val="nil"/>
              <w:right w:val="nil"/>
            </w:tcBorders>
            <w:shd w:val="clear" w:color="auto" w:fill="FFFFFF" w:themeFill="background1"/>
            <w:tcMar>
              <w:top w:w="15" w:type="dxa"/>
              <w:left w:w="15" w:type="dxa"/>
              <w:right w:w="15" w:type="dxa"/>
            </w:tcMar>
            <w:vAlign w:val="bottom"/>
          </w:tcPr>
          <w:p w14:paraId="30EA7A01"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19.69</w:t>
            </w:r>
          </w:p>
        </w:tc>
        <w:tc>
          <w:tcPr>
            <w:tcW w:w="1090" w:type="dxa"/>
            <w:tcBorders>
              <w:top w:val="nil"/>
              <w:left w:val="nil"/>
              <w:bottom w:val="nil"/>
              <w:right w:val="nil"/>
            </w:tcBorders>
            <w:shd w:val="clear" w:color="auto" w:fill="FFFFFF" w:themeFill="background1"/>
            <w:tcMar>
              <w:top w:w="15" w:type="dxa"/>
              <w:left w:w="15" w:type="dxa"/>
              <w:right w:w="15" w:type="dxa"/>
            </w:tcMar>
            <w:vAlign w:val="bottom"/>
          </w:tcPr>
          <w:p w14:paraId="2E575174"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4</w:t>
            </w:r>
          </w:p>
        </w:tc>
        <w:tc>
          <w:tcPr>
            <w:tcW w:w="1075" w:type="dxa"/>
            <w:tcBorders>
              <w:top w:val="nil"/>
              <w:left w:val="nil"/>
              <w:bottom w:val="nil"/>
              <w:right w:val="nil"/>
            </w:tcBorders>
            <w:shd w:val="clear" w:color="auto" w:fill="FFFFFF" w:themeFill="background1"/>
            <w:tcMar>
              <w:top w:w="15" w:type="dxa"/>
              <w:left w:w="15" w:type="dxa"/>
              <w:right w:w="15" w:type="dxa"/>
            </w:tcMar>
            <w:vAlign w:val="bottom"/>
          </w:tcPr>
          <w:p w14:paraId="66DCA7DB"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-40</w:t>
            </w:r>
          </w:p>
        </w:tc>
        <w:tc>
          <w:tcPr>
            <w:tcW w:w="1075" w:type="dxa"/>
            <w:tcBorders>
              <w:top w:val="nil"/>
              <w:left w:val="nil"/>
              <w:bottom w:val="nil"/>
              <w:right w:val="nil"/>
            </w:tcBorders>
            <w:shd w:val="clear" w:color="auto" w:fill="FFFFFF" w:themeFill="background1"/>
            <w:tcMar>
              <w:top w:w="15" w:type="dxa"/>
              <w:left w:w="15" w:type="dxa"/>
              <w:right w:w="15" w:type="dxa"/>
            </w:tcMar>
            <w:vAlign w:val="bottom"/>
          </w:tcPr>
          <w:p w14:paraId="3A2058CC"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44</w:t>
            </w:r>
          </w:p>
        </w:tc>
        <w:tc>
          <w:tcPr>
            <w:tcW w:w="1075" w:type="dxa"/>
            <w:tcBorders>
              <w:top w:val="nil"/>
              <w:left w:val="nil"/>
              <w:bottom w:val="nil"/>
              <w:right w:val="nil"/>
            </w:tcBorders>
            <w:shd w:val="clear" w:color="auto" w:fill="FFFFFF" w:themeFill="background1"/>
            <w:tcMar>
              <w:top w:w="15" w:type="dxa"/>
              <w:left w:w="15" w:type="dxa"/>
              <w:right w:w="15" w:type="dxa"/>
            </w:tcMar>
            <w:vAlign w:val="bottom"/>
          </w:tcPr>
          <w:p w14:paraId="05FB5498"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-8</w:t>
            </w:r>
          </w:p>
        </w:tc>
      </w:tr>
      <w:tr w:rsidR="00752E6F" w:rsidRPr="008F01FA" w14:paraId="19C8AC53" w14:textId="77777777" w:rsidTr="00BF76E1">
        <w:trPr>
          <w:trHeight w:val="345"/>
        </w:trPr>
        <w:tc>
          <w:tcPr>
            <w:tcW w:w="1103" w:type="dxa"/>
            <w:tcBorders>
              <w:top w:val="double" w:sz="5" w:space="0" w:color="auto"/>
              <w:left w:val="nil"/>
              <w:bottom w:val="nil"/>
              <w:right w:val="nil"/>
            </w:tcBorders>
            <w:shd w:val="clear" w:color="auto" w:fill="FFFFFF" w:themeFill="background1"/>
            <w:tcMar>
              <w:top w:w="15" w:type="dxa"/>
              <w:left w:w="15" w:type="dxa"/>
              <w:right w:w="15" w:type="dxa"/>
            </w:tcMar>
            <w:vAlign w:val="bottom"/>
          </w:tcPr>
          <w:p w14:paraId="23EAA215" w14:textId="77777777" w:rsidR="00752E6F" w:rsidRPr="008F01FA" w:rsidRDefault="00752E6F" w:rsidP="00BF76E1">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lastRenderedPageBreak/>
              <w:t xml:space="preserve"> </w:t>
            </w:r>
          </w:p>
        </w:tc>
        <w:tc>
          <w:tcPr>
            <w:tcW w:w="1695" w:type="dxa"/>
            <w:tcBorders>
              <w:top w:val="double" w:sz="5" w:space="0" w:color="auto"/>
              <w:left w:val="nil"/>
              <w:bottom w:val="nil"/>
              <w:right w:val="nil"/>
            </w:tcBorders>
            <w:shd w:val="clear" w:color="auto" w:fill="FFFFFF" w:themeFill="background1"/>
            <w:tcMar>
              <w:top w:w="15" w:type="dxa"/>
              <w:left w:w="15" w:type="dxa"/>
              <w:right w:w="15" w:type="dxa"/>
            </w:tcMar>
            <w:vAlign w:val="bottom"/>
          </w:tcPr>
          <w:p w14:paraId="7B58CDC7"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818" w:type="dxa"/>
            <w:tcBorders>
              <w:top w:val="double" w:sz="5" w:space="0" w:color="auto"/>
              <w:left w:val="nil"/>
              <w:bottom w:val="nil"/>
              <w:right w:val="nil"/>
            </w:tcBorders>
            <w:shd w:val="clear" w:color="auto" w:fill="FFFFFF" w:themeFill="background1"/>
            <w:tcMar>
              <w:top w:w="15" w:type="dxa"/>
              <w:left w:w="15" w:type="dxa"/>
              <w:right w:w="15" w:type="dxa"/>
            </w:tcMar>
            <w:vAlign w:val="bottom"/>
          </w:tcPr>
          <w:p w14:paraId="18DB3671"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83" w:type="dxa"/>
            <w:tcBorders>
              <w:top w:val="double" w:sz="5" w:space="0" w:color="auto"/>
              <w:left w:val="nil"/>
              <w:bottom w:val="nil"/>
              <w:right w:val="nil"/>
            </w:tcBorders>
            <w:shd w:val="clear" w:color="auto" w:fill="FFFFFF" w:themeFill="background1"/>
            <w:tcMar>
              <w:top w:w="15" w:type="dxa"/>
              <w:left w:w="15" w:type="dxa"/>
              <w:right w:w="15" w:type="dxa"/>
            </w:tcMar>
            <w:vAlign w:val="bottom"/>
          </w:tcPr>
          <w:p w14:paraId="2CC45D27"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90" w:type="dxa"/>
            <w:tcBorders>
              <w:top w:val="double" w:sz="5" w:space="0" w:color="auto"/>
              <w:left w:val="nil"/>
              <w:bottom w:val="nil"/>
              <w:right w:val="nil"/>
            </w:tcBorders>
            <w:shd w:val="clear" w:color="auto" w:fill="FFFFFF" w:themeFill="background1"/>
            <w:tcMar>
              <w:top w:w="15" w:type="dxa"/>
              <w:left w:w="15" w:type="dxa"/>
              <w:right w:w="15" w:type="dxa"/>
            </w:tcMar>
            <w:vAlign w:val="bottom"/>
          </w:tcPr>
          <w:p w14:paraId="04365B51"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75" w:type="dxa"/>
            <w:tcBorders>
              <w:top w:val="double" w:sz="5" w:space="0" w:color="auto"/>
              <w:left w:val="nil"/>
              <w:bottom w:val="nil"/>
              <w:right w:val="nil"/>
            </w:tcBorders>
            <w:shd w:val="clear" w:color="auto" w:fill="FFFFFF" w:themeFill="background1"/>
            <w:tcMar>
              <w:top w:w="15" w:type="dxa"/>
              <w:left w:w="15" w:type="dxa"/>
              <w:right w:w="15" w:type="dxa"/>
            </w:tcMar>
            <w:vAlign w:val="bottom"/>
          </w:tcPr>
          <w:p w14:paraId="3459E41B"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75" w:type="dxa"/>
            <w:tcBorders>
              <w:top w:val="double" w:sz="5" w:space="0" w:color="auto"/>
              <w:left w:val="nil"/>
              <w:bottom w:val="nil"/>
              <w:right w:val="nil"/>
            </w:tcBorders>
            <w:shd w:val="clear" w:color="auto" w:fill="FFFFFF" w:themeFill="background1"/>
            <w:tcMar>
              <w:top w:w="15" w:type="dxa"/>
              <w:left w:w="15" w:type="dxa"/>
              <w:right w:w="15" w:type="dxa"/>
            </w:tcMar>
            <w:vAlign w:val="bottom"/>
          </w:tcPr>
          <w:p w14:paraId="7790A3B1"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 </w:t>
            </w:r>
          </w:p>
        </w:tc>
        <w:tc>
          <w:tcPr>
            <w:tcW w:w="1075" w:type="dxa"/>
            <w:tcBorders>
              <w:top w:val="double" w:sz="5" w:space="0" w:color="auto"/>
              <w:left w:val="nil"/>
              <w:bottom w:val="nil"/>
              <w:right w:val="nil"/>
            </w:tcBorders>
            <w:shd w:val="clear" w:color="auto" w:fill="FFFFFF" w:themeFill="background1"/>
            <w:tcMar>
              <w:top w:w="15" w:type="dxa"/>
              <w:left w:w="15" w:type="dxa"/>
              <w:right w:w="15" w:type="dxa"/>
            </w:tcMar>
            <w:vAlign w:val="bottom"/>
          </w:tcPr>
          <w:p w14:paraId="02E4ACE0" w14:textId="77777777" w:rsidR="00752E6F" w:rsidRPr="008F01FA" w:rsidRDefault="00752E6F" w:rsidP="00BF76E1">
            <w:pPr>
              <w:spacing w:line="360" w:lineRule="auto"/>
              <w:jc w:val="center"/>
              <w:rPr>
                <w:rFonts w:ascii="Times New Roman" w:hAnsi="Times New Roman" w:cs="Times New Roman"/>
                <w:color w:val="000000" w:themeColor="text1"/>
                <w:sz w:val="22"/>
                <w:szCs w:val="22"/>
              </w:rPr>
            </w:pPr>
          </w:p>
        </w:tc>
      </w:tr>
    </w:tbl>
    <w:p w14:paraId="4287A04E"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b/>
          <w:bCs/>
          <w:i/>
          <w:iCs/>
          <w:color w:val="000000" w:themeColor="text1"/>
          <w:sz w:val="22"/>
          <w:szCs w:val="22"/>
        </w:rPr>
        <w:t>Supplementary Table 2</w:t>
      </w:r>
      <w:r w:rsidRPr="008F01FA">
        <w:rPr>
          <w:rFonts w:ascii="Times New Roman" w:hAnsi="Times New Roman" w:cs="Times New Roman"/>
          <w:color w:val="000000" w:themeColor="text1"/>
          <w:sz w:val="22"/>
          <w:szCs w:val="22"/>
        </w:rPr>
        <w:t xml:space="preserve">. </w:t>
      </w:r>
      <w:r w:rsidRPr="008F01FA">
        <w:rPr>
          <w:rFonts w:ascii="Times New Roman" w:hAnsi="Times New Roman" w:cs="Times New Roman"/>
          <w:i/>
          <w:iCs/>
          <w:color w:val="000000" w:themeColor="text1"/>
          <w:sz w:val="22"/>
          <w:szCs w:val="22"/>
        </w:rPr>
        <w:t xml:space="preserve">Peak coordinates for significant clusters found in the source reconstruction analysis. The coordinates here identified helped us determine the dipole coordinates for the DCMs. We also identified a small cluster in the right </w:t>
      </w:r>
      <w:proofErr w:type="spellStart"/>
      <w:r w:rsidRPr="008F01FA">
        <w:rPr>
          <w:rFonts w:ascii="Times New Roman" w:hAnsi="Times New Roman" w:cs="Times New Roman"/>
          <w:i/>
          <w:iCs/>
          <w:color w:val="000000" w:themeColor="text1"/>
          <w:sz w:val="22"/>
          <w:szCs w:val="22"/>
        </w:rPr>
        <w:t>precuneus</w:t>
      </w:r>
      <w:proofErr w:type="spellEnd"/>
      <w:r w:rsidRPr="008F01FA">
        <w:rPr>
          <w:rFonts w:ascii="Times New Roman" w:hAnsi="Times New Roman" w:cs="Times New Roman"/>
          <w:i/>
          <w:iCs/>
          <w:color w:val="000000" w:themeColor="text1"/>
          <w:sz w:val="22"/>
          <w:szCs w:val="22"/>
        </w:rPr>
        <w:t xml:space="preserve"> (not shown) but once corrected the p value was &gt;.1. Nevertheless, this was taken into account when building the dorsal model. </w:t>
      </w:r>
    </w:p>
    <w:p w14:paraId="681DAAFF"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p>
    <w:p w14:paraId="5535F099"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p>
    <w:p w14:paraId="115BF002" w14:textId="77777777" w:rsidR="00752E6F" w:rsidRPr="008F01FA" w:rsidRDefault="00752E6F" w:rsidP="00752E6F">
      <w:pPr>
        <w:spacing w:line="360" w:lineRule="auto"/>
        <w:rPr>
          <w:rFonts w:ascii="Times New Roman" w:hAnsi="Times New Roman" w:cs="Times New Roman"/>
          <w:color w:val="000000" w:themeColor="text1"/>
          <w:sz w:val="22"/>
          <w:szCs w:val="22"/>
        </w:rPr>
      </w:pPr>
      <w:r w:rsidRPr="008F01FA">
        <w:rPr>
          <w:rFonts w:ascii="Times New Roman" w:hAnsi="Times New Roman" w:cs="Times New Roman"/>
          <w:noProof/>
          <w:color w:val="000000" w:themeColor="text1"/>
          <w:sz w:val="22"/>
          <w:szCs w:val="22"/>
        </w:rPr>
        <w:lastRenderedPageBreak/>
        <w:drawing>
          <wp:inline distT="0" distB="0" distL="0" distR="0" wp14:anchorId="79DCD38F" wp14:editId="27AD15C1">
            <wp:extent cx="5419726" cy="6437260"/>
            <wp:effectExtent l="0" t="0" r="0" b="0"/>
            <wp:docPr id="905071531" name="Picture 90507153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071531" name="Picture 905071531" descr="A screenshot of a computer&#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5419726" cy="6437260"/>
                    </a:xfrm>
                    <a:prstGeom prst="rect">
                      <a:avLst/>
                    </a:prstGeom>
                  </pic:spPr>
                </pic:pic>
              </a:graphicData>
            </a:graphic>
          </wp:inline>
        </w:drawing>
      </w:r>
      <w:r w:rsidRPr="008F01FA">
        <w:rPr>
          <w:rFonts w:ascii="Times New Roman" w:hAnsi="Times New Roman" w:cs="Times New Roman"/>
          <w:color w:val="000000" w:themeColor="text1"/>
          <w:sz w:val="22"/>
          <w:szCs w:val="22"/>
        </w:rPr>
        <w:br/>
      </w:r>
      <w:r w:rsidRPr="008F01FA">
        <w:rPr>
          <w:rFonts w:ascii="Times New Roman" w:hAnsi="Times New Roman" w:cs="Times New Roman"/>
          <w:b/>
          <w:bCs/>
          <w:i/>
          <w:iCs/>
          <w:color w:val="000000" w:themeColor="text1"/>
          <w:sz w:val="22"/>
          <w:szCs w:val="22"/>
        </w:rPr>
        <w:t>Supplementary Figure 2</w:t>
      </w:r>
      <w:r w:rsidRPr="008F01FA">
        <w:rPr>
          <w:rFonts w:ascii="Times New Roman" w:hAnsi="Times New Roman" w:cs="Times New Roman"/>
          <w:color w:val="000000" w:themeColor="text1"/>
          <w:sz w:val="22"/>
          <w:szCs w:val="22"/>
        </w:rPr>
        <w:t>.</w:t>
      </w:r>
      <w:r w:rsidRPr="008F01FA">
        <w:rPr>
          <w:rFonts w:ascii="Times New Roman" w:hAnsi="Times New Roman" w:cs="Times New Roman"/>
          <w:i/>
          <w:iCs/>
          <w:color w:val="000000" w:themeColor="text1"/>
          <w:sz w:val="22"/>
          <w:szCs w:val="22"/>
        </w:rPr>
        <w:t xml:space="preserve"> Sensor space analysis and source reconstruction analysis summary and results. a) Source reconstruction procedure. The top row shows the registration to the template and the model inversion using BEM; the * on the mesh represent the electrodes co-registered on the template. The second row shows the MIP of the activity in the source space and the image generated for the signal in the time window of interest (actual data from a participant shown). b) Sensor space analysis results for the task are shown at p&lt;.001 uncorrected and </w:t>
      </w:r>
      <w:proofErr w:type="spellStart"/>
      <w:r w:rsidRPr="008F01FA">
        <w:rPr>
          <w:rFonts w:ascii="Times New Roman" w:hAnsi="Times New Roman" w:cs="Times New Roman"/>
          <w:i/>
          <w:iCs/>
          <w:color w:val="000000" w:themeColor="text1"/>
          <w:sz w:val="22"/>
          <w:szCs w:val="22"/>
        </w:rPr>
        <w:t>pFWE</w:t>
      </w:r>
      <w:proofErr w:type="spellEnd"/>
      <w:r w:rsidRPr="008F01FA">
        <w:rPr>
          <w:rFonts w:ascii="Times New Roman" w:hAnsi="Times New Roman" w:cs="Times New Roman"/>
          <w:i/>
          <w:iCs/>
          <w:color w:val="000000" w:themeColor="text1"/>
          <w:sz w:val="22"/>
          <w:szCs w:val="22"/>
        </w:rPr>
        <w:t xml:space="preserve"> corrected &lt;.05. c) Main results of the source </w:t>
      </w:r>
      <w:r w:rsidRPr="008F01FA">
        <w:rPr>
          <w:rFonts w:ascii="Times New Roman" w:hAnsi="Times New Roman" w:cs="Times New Roman"/>
          <w:i/>
          <w:iCs/>
          <w:color w:val="000000" w:themeColor="text1"/>
          <w:sz w:val="22"/>
          <w:szCs w:val="22"/>
        </w:rPr>
        <w:lastRenderedPageBreak/>
        <w:t>reconstruction (entire sample) for the rare deviant trials are shown (</w:t>
      </w:r>
      <w:proofErr w:type="spellStart"/>
      <w:r w:rsidRPr="008F01FA">
        <w:rPr>
          <w:rFonts w:ascii="Times New Roman" w:hAnsi="Times New Roman" w:cs="Times New Roman"/>
          <w:i/>
          <w:iCs/>
          <w:color w:val="000000" w:themeColor="text1"/>
          <w:sz w:val="22"/>
          <w:szCs w:val="22"/>
        </w:rPr>
        <w:t>pFWE</w:t>
      </w:r>
      <w:proofErr w:type="spellEnd"/>
      <w:r w:rsidRPr="008F01FA">
        <w:rPr>
          <w:rFonts w:ascii="Times New Roman" w:hAnsi="Times New Roman" w:cs="Times New Roman"/>
          <w:i/>
          <w:iCs/>
          <w:color w:val="000000" w:themeColor="text1"/>
          <w:sz w:val="22"/>
          <w:szCs w:val="22"/>
        </w:rPr>
        <w:t xml:space="preserve"> corrected &lt;.05).  The p&lt;.001 MIP and the MIP with the channel locations and FWE &lt;.05.</w:t>
      </w:r>
    </w:p>
    <w:p w14:paraId="0F1328B6"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6D0D997E"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p>
    <w:p w14:paraId="3DC66CA3"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0042786B" w14:textId="77777777" w:rsidR="00752E6F" w:rsidRPr="008F01FA" w:rsidRDefault="00752E6F" w:rsidP="00752E6F">
      <w:pPr>
        <w:spacing w:line="360" w:lineRule="auto"/>
        <w:jc w:val="both"/>
        <w:rPr>
          <w:rFonts w:ascii="Times New Roman" w:hAnsi="Times New Roman" w:cs="Times New Roman"/>
          <w:b/>
          <w:bCs/>
          <w:color w:val="000000" w:themeColor="text1"/>
          <w:sz w:val="22"/>
          <w:szCs w:val="22"/>
        </w:rPr>
      </w:pPr>
    </w:p>
    <w:p w14:paraId="11125420" w14:textId="77777777" w:rsidR="00752E6F" w:rsidRPr="008F01FA" w:rsidRDefault="00752E6F" w:rsidP="00752E6F">
      <w:pPr>
        <w:spacing w:line="360" w:lineRule="auto"/>
        <w:jc w:val="both"/>
        <w:rPr>
          <w:rFonts w:ascii="Times New Roman" w:hAnsi="Times New Roman" w:cs="Times New Roman"/>
          <w:b/>
          <w:bCs/>
          <w:color w:val="000000" w:themeColor="text1"/>
          <w:sz w:val="22"/>
          <w:szCs w:val="22"/>
        </w:rPr>
      </w:pPr>
      <w:r w:rsidRPr="008F01FA">
        <w:rPr>
          <w:rFonts w:ascii="Times New Roman" w:hAnsi="Times New Roman" w:cs="Times New Roman"/>
          <w:b/>
          <w:bCs/>
          <w:color w:val="000000" w:themeColor="text1"/>
          <w:sz w:val="22"/>
          <w:szCs w:val="22"/>
        </w:rPr>
        <w:t xml:space="preserve"> </w:t>
      </w:r>
      <w:r w:rsidRPr="008F01FA">
        <w:rPr>
          <w:rFonts w:ascii="Times New Roman" w:hAnsi="Times New Roman" w:cs="Times New Roman"/>
          <w:noProof/>
          <w:color w:val="000000" w:themeColor="text1"/>
          <w:sz w:val="22"/>
          <w:szCs w:val="22"/>
        </w:rPr>
        <w:drawing>
          <wp:inline distT="0" distB="0" distL="0" distR="0" wp14:anchorId="362849E2" wp14:editId="42A7227E">
            <wp:extent cx="5295898" cy="5724524"/>
            <wp:effectExtent l="0" t="0" r="0" b="0"/>
            <wp:docPr id="1828111408" name="Picture 1828111408" descr="A diagram of a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111408" name="Picture 1828111408" descr="A diagram of a brain&#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295898" cy="5724524"/>
                    </a:xfrm>
                    <a:prstGeom prst="rect">
                      <a:avLst/>
                    </a:prstGeom>
                  </pic:spPr>
                </pic:pic>
              </a:graphicData>
            </a:graphic>
          </wp:inline>
        </w:drawing>
      </w:r>
    </w:p>
    <w:p w14:paraId="07320C66"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b/>
          <w:bCs/>
          <w:color w:val="000000" w:themeColor="text1"/>
          <w:sz w:val="22"/>
          <w:szCs w:val="22"/>
        </w:rPr>
        <w:t xml:space="preserve">Supplementary Figure 3. Ventral models specification. </w:t>
      </w:r>
      <w:r w:rsidRPr="008F01FA">
        <w:rPr>
          <w:rFonts w:ascii="Times New Roman" w:hAnsi="Times New Roman" w:cs="Times New Roman"/>
          <w:i/>
          <w:iCs/>
          <w:color w:val="000000" w:themeColor="text1"/>
          <w:sz w:val="22"/>
          <w:szCs w:val="22"/>
        </w:rPr>
        <w:t xml:space="preserve">Model v1: Forward connections from V1 to ITG, V1 to PFC, ITG to PFC; backward connections from ITG to V1, PFC to ATL were specified. Lateral (intra-hemispheric) connections between regions were also specified between L and R V1 only. The differential connectivity effects matrix (B) was specified with connections from V1 to ITG, V1 to PFC, ITG to PFC, </w:t>
      </w:r>
      <w:r w:rsidRPr="008F01FA">
        <w:rPr>
          <w:rFonts w:ascii="Times New Roman" w:hAnsi="Times New Roman" w:cs="Times New Roman"/>
          <w:i/>
          <w:iCs/>
          <w:color w:val="000000" w:themeColor="text1"/>
          <w:sz w:val="22"/>
          <w:szCs w:val="22"/>
        </w:rPr>
        <w:lastRenderedPageBreak/>
        <w:t xml:space="preserve">PFC to ITG, ITG to V1, and for each region as well. Model v2: Forward connections from V1 to ITG, V1 to PFC, ITG to PFC; backward connections </w:t>
      </w:r>
      <w:proofErr w:type="gramStart"/>
      <w:r w:rsidRPr="008F01FA">
        <w:rPr>
          <w:rFonts w:ascii="Times New Roman" w:hAnsi="Times New Roman" w:cs="Times New Roman"/>
          <w:i/>
          <w:iCs/>
          <w:color w:val="000000" w:themeColor="text1"/>
          <w:sz w:val="22"/>
          <w:szCs w:val="22"/>
        </w:rPr>
        <w:t>from  ITG</w:t>
      </w:r>
      <w:proofErr w:type="gramEnd"/>
      <w:r w:rsidRPr="008F01FA">
        <w:rPr>
          <w:rFonts w:ascii="Times New Roman" w:hAnsi="Times New Roman" w:cs="Times New Roman"/>
          <w:i/>
          <w:iCs/>
          <w:color w:val="000000" w:themeColor="text1"/>
          <w:sz w:val="22"/>
          <w:szCs w:val="22"/>
        </w:rPr>
        <w:t xml:space="preserve"> to V, PFC to ATL, PFC to V were specified. Lateral (intra-hemispheric) connections between regions were also specified between L and R V only. The differential connectivity effects matrix (B) was specified with connections from V1 to ITG, V1 to PFC, ITG to PFC, PFC to ITG, ITG to V1, PFC to V, and for each region as well. model v3: forward connections from V1 to ITG, V1 to PFC, ITG to PFC; backward connections from ITG to V1, PFC to ITG, PFC-V1 were specified. Lateral (intra-hemispheric) connections between regions were also specified between left and right V1, ITG and PFC. Green circles represent connectivity on the same region, testing for self-inhibition or self-excitation during task condition.</w:t>
      </w:r>
    </w:p>
    <w:p w14:paraId="26124C73"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p>
    <w:p w14:paraId="270BA7EF" w14:textId="6514B40E" w:rsidR="00752E6F" w:rsidRPr="008F01FA" w:rsidRDefault="00752E6F" w:rsidP="00752E6F">
      <w:pPr>
        <w:autoSpaceDE w:val="0"/>
        <w:autoSpaceDN w:val="0"/>
        <w:adjustRightInd w:val="0"/>
        <w:spacing w:line="360" w:lineRule="auto"/>
        <w:jc w:val="both"/>
        <w:rPr>
          <w:rFonts w:ascii="Times New Roman" w:hAnsi="Times New Roman" w:cs="Times New Roman"/>
          <w:color w:val="000000"/>
          <w:sz w:val="22"/>
          <w:szCs w:val="22"/>
        </w:rPr>
      </w:pPr>
      <w:r w:rsidRPr="008F01FA">
        <w:rPr>
          <w:rFonts w:ascii="Times New Roman" w:hAnsi="Times New Roman" w:cs="Times New Roman"/>
          <w:b/>
          <w:bCs/>
          <w:i/>
          <w:iCs/>
          <w:color w:val="000000" w:themeColor="text1"/>
          <w:sz w:val="22"/>
          <w:szCs w:val="22"/>
        </w:rPr>
        <w:t xml:space="preserve">Supplementary Information 5. Individual DCMs specification details. </w:t>
      </w:r>
      <w:r w:rsidRPr="008F01FA">
        <w:rPr>
          <w:rFonts w:ascii="Times New Roman" w:hAnsi="Times New Roman" w:cs="Times New Roman"/>
          <w:color w:val="000000"/>
          <w:sz w:val="22"/>
          <w:szCs w:val="22"/>
        </w:rPr>
        <w:t xml:space="preserve">We used an </w:t>
      </w:r>
      <w:r w:rsidRPr="008F01FA">
        <w:rPr>
          <w:rFonts w:ascii="Times New Roman" w:hAnsi="Times New Roman" w:cs="Times New Roman"/>
          <w:i/>
          <w:iCs/>
          <w:color w:val="000000"/>
          <w:sz w:val="22"/>
          <w:szCs w:val="22"/>
        </w:rPr>
        <w:t>ERP</w:t>
      </w:r>
      <w:r w:rsidRPr="008F01FA">
        <w:rPr>
          <w:rFonts w:ascii="Times New Roman" w:hAnsi="Times New Roman" w:cs="Times New Roman"/>
          <w:color w:val="000000"/>
          <w:sz w:val="22"/>
          <w:szCs w:val="22"/>
        </w:rPr>
        <w:t xml:space="preserve"> neuronal mass model, focussing on the 0 to 400ms interval, rare deviant vs. standard. An equivalent current dipole (ECD) was used for each source, with anterior occipital, inferior temporal and dorsolateral prefrontal regions, bilaterally (Figure 2c). All model specification details are provided in SI5, Supplementary Figure 3 and SI9.  For onset parameter we kept the standard 64ms onset as the propagation of the stimulus impulse through the input nodes causes a delay and large responses are usually not observed before 100ms. Modes was set at 8. Receiving areas (input) were V (L and R) specified. Details about all the models are presented in Supplementary Figure 3. Model v3 (fully connected ventral model) was used in the second-level analyses after Bayesian model selection and comprises: forward connections from V1 to ITG, V1 to PFC, ITG to PFC; backward connections from ITG to V1, PFC to ITG, PFC-V1 were specified. Lateral (intra-hemispheric) connections between regions were also specified between left and right V1, ITG and PFC. The differential connectivity effects matrix (B) was specified with connections from V1 to ITG, V1 to PFC, ITG to PFC, PFC to ITG, ITG to V1, and for each region as well. </w:t>
      </w:r>
      <w:r w:rsidRPr="008F01FA">
        <w:rPr>
          <w:rFonts w:ascii="Times New Roman" w:hAnsi="Times New Roman" w:cs="Times New Roman"/>
          <w:color w:val="000000" w:themeColor="text1"/>
          <w:sz w:val="22"/>
          <w:szCs w:val="22"/>
        </w:rPr>
        <w:t xml:space="preserve">The </w:t>
      </w:r>
      <w:r w:rsidRPr="008F01FA">
        <w:rPr>
          <w:rFonts w:ascii="Times New Roman" w:hAnsi="Times New Roman" w:cs="Times New Roman"/>
          <w:color w:val="000000"/>
          <w:sz w:val="22"/>
          <w:szCs w:val="22"/>
        </w:rPr>
        <w:t>dorsal model has the same visual and prefrontal dipoles, but with IPL replacing the ITG and no direct V1 to PFC connections. This choice was determined by results in the source reconstruction analysis (Figure 2 and Supplementary Figure 2) and by the neural correlates typically associated to this task</w:t>
      </w:r>
      <w:r w:rsidRPr="008F01FA">
        <w:rPr>
          <w:rFonts w:ascii="Times New Roman" w:hAnsi="Times New Roman" w:cs="Times New Roman"/>
          <w:color w:val="000000" w:themeColor="text1"/>
          <w:sz w:val="22"/>
          <w:szCs w:val="22"/>
        </w:rPr>
        <w:t xml:space="preserve">. </w:t>
      </w:r>
      <w:r w:rsidRPr="008F01FA">
        <w:rPr>
          <w:rFonts w:ascii="Times New Roman" w:hAnsi="Times New Roman" w:cs="Times New Roman"/>
          <w:color w:val="000000"/>
          <w:sz w:val="22"/>
          <w:szCs w:val="22"/>
        </w:rPr>
        <w:t xml:space="preserve"> </w:t>
      </w:r>
    </w:p>
    <w:p w14:paraId="053644CF"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p>
    <w:p w14:paraId="0DFA6988"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5AAF3FF3"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10353A4D" w14:textId="77777777" w:rsidR="00752E6F" w:rsidRPr="008F01FA"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8F01FA">
        <w:rPr>
          <w:noProof/>
          <w:color w:val="000000" w:themeColor="text1"/>
          <w:sz w:val="22"/>
          <w:szCs w:val="22"/>
        </w:rPr>
        <w:lastRenderedPageBreak/>
        <w:drawing>
          <wp:inline distT="0" distB="0" distL="0" distR="0" wp14:anchorId="20E308E0" wp14:editId="40D84FB1">
            <wp:extent cx="5731510" cy="5414647"/>
            <wp:effectExtent l="0" t="0" r="0" b="0"/>
            <wp:docPr id="661450270" name="Picture 6" descr="A diagram of a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0">
                      <a:extLst>
                        <a:ext uri="{28A0092B-C50C-407E-A947-70E740481C1C}">
                          <a14:useLocalDpi xmlns:a14="http://schemas.microsoft.com/office/drawing/2010/main" val="0"/>
                        </a:ext>
                      </a:extLst>
                    </a:blip>
                    <a:stretch>
                      <a:fillRect/>
                    </a:stretch>
                  </pic:blipFill>
                  <pic:spPr>
                    <a:xfrm>
                      <a:off x="0" y="0"/>
                      <a:ext cx="5731510" cy="5414647"/>
                    </a:xfrm>
                    <a:prstGeom prst="rect">
                      <a:avLst/>
                    </a:prstGeom>
                  </pic:spPr>
                </pic:pic>
              </a:graphicData>
            </a:graphic>
          </wp:inline>
        </w:drawing>
      </w:r>
      <w:r w:rsidRPr="008F01FA">
        <w:rPr>
          <w:rStyle w:val="eop"/>
          <w:color w:val="000000" w:themeColor="text1"/>
          <w:sz w:val="22"/>
          <w:szCs w:val="22"/>
        </w:rPr>
        <w:t> </w:t>
      </w:r>
    </w:p>
    <w:p w14:paraId="650A5A76" w14:textId="77777777" w:rsidR="00752E6F" w:rsidRPr="008F01FA"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8F01FA">
        <w:rPr>
          <w:rStyle w:val="eop"/>
          <w:color w:val="000000" w:themeColor="text1"/>
          <w:sz w:val="22"/>
          <w:szCs w:val="22"/>
        </w:rPr>
        <w:t> </w:t>
      </w:r>
    </w:p>
    <w:p w14:paraId="593D4D70" w14:textId="77777777" w:rsidR="00752E6F" w:rsidRPr="008F01FA" w:rsidRDefault="00752E6F" w:rsidP="00752E6F">
      <w:pPr>
        <w:spacing w:line="360" w:lineRule="auto"/>
        <w:textAlignment w:val="baseline"/>
        <w:rPr>
          <w:rFonts w:ascii="Times New Roman" w:hAnsi="Times New Roman" w:cs="Times New Roman"/>
          <w:color w:val="000000" w:themeColor="text1"/>
          <w:sz w:val="22"/>
          <w:szCs w:val="22"/>
        </w:rPr>
      </w:pPr>
      <w:r w:rsidRPr="008F01FA">
        <w:rPr>
          <w:rStyle w:val="normaltextrun"/>
          <w:rFonts w:ascii="Times New Roman" w:hAnsi="Times New Roman" w:cs="Times New Roman"/>
          <w:b/>
          <w:bCs/>
          <w:color w:val="000000" w:themeColor="text1"/>
          <w:sz w:val="22"/>
          <w:szCs w:val="22"/>
        </w:rPr>
        <w:t xml:space="preserve">Supplementary Figure 4. BMS for ventral models.  </w:t>
      </w:r>
      <w:r w:rsidRPr="008F01FA">
        <w:rPr>
          <w:rStyle w:val="normaltextrun"/>
          <w:rFonts w:ascii="Times New Roman" w:hAnsi="Times New Roman" w:cs="Times New Roman"/>
          <w:i/>
          <w:iCs/>
          <w:color w:val="000000" w:themeColor="text1"/>
          <w:sz w:val="22"/>
          <w:szCs w:val="22"/>
        </w:rPr>
        <w:t>We used Bayesian model selection to decide which of the three ventral models we specified was the winning one to the scope of focussing second-level analyses on a specific DCM.</w:t>
      </w:r>
      <w:r w:rsidRPr="008F01FA">
        <w:rPr>
          <w:rStyle w:val="normaltextrun"/>
          <w:rFonts w:ascii="Times New Roman" w:hAnsi="Times New Roman" w:cs="Times New Roman"/>
          <w:b/>
          <w:bCs/>
          <w:i/>
          <w:iCs/>
          <w:color w:val="000000" w:themeColor="text1"/>
          <w:sz w:val="22"/>
          <w:szCs w:val="22"/>
        </w:rPr>
        <w:t xml:space="preserve"> </w:t>
      </w:r>
      <w:r w:rsidRPr="008F01FA">
        <w:rPr>
          <w:rFonts w:ascii="Times New Roman" w:hAnsi="Times New Roman" w:cs="Times New Roman"/>
          <w:i/>
          <w:iCs/>
          <w:color w:val="000000" w:themeColor="text1"/>
          <w:sz w:val="22"/>
          <w:szCs w:val="22"/>
        </w:rPr>
        <w:t>Within each pathway model, the models were compared using Bayesian model selection.  BMS allows to compare different models of the same data, provided that the electromagnetic model is the same. We used a Fixed Effects (FFX) design as inference method.</w:t>
      </w:r>
      <w:r w:rsidRPr="008F01FA">
        <w:rPr>
          <w:rFonts w:ascii="Times New Roman" w:hAnsi="Times New Roman" w:cs="Times New Roman"/>
          <w:color w:val="000000" w:themeColor="text1"/>
          <w:sz w:val="22"/>
          <w:szCs w:val="22"/>
        </w:rPr>
        <w:t xml:space="preserve"> </w:t>
      </w:r>
      <w:r w:rsidRPr="008F01FA">
        <w:rPr>
          <w:rStyle w:val="normaltextrun"/>
          <w:rFonts w:ascii="Times New Roman" w:hAnsi="Times New Roman" w:cs="Times New Roman"/>
          <w:i/>
          <w:iCs/>
          <w:color w:val="000000" w:themeColor="text1"/>
          <w:sz w:val="22"/>
          <w:szCs w:val="22"/>
        </w:rPr>
        <w:t xml:space="preserve"> Model 3 was the winning </w:t>
      </w:r>
      <w:proofErr w:type="gramStart"/>
      <w:r w:rsidRPr="008F01FA">
        <w:rPr>
          <w:rStyle w:val="normaltextrun"/>
          <w:rFonts w:ascii="Times New Roman" w:hAnsi="Times New Roman" w:cs="Times New Roman"/>
          <w:i/>
          <w:iCs/>
          <w:color w:val="000000" w:themeColor="text1"/>
          <w:sz w:val="22"/>
          <w:szCs w:val="22"/>
        </w:rPr>
        <w:t>model,</w:t>
      </w:r>
      <w:proofErr w:type="gramEnd"/>
      <w:r w:rsidRPr="008F01FA">
        <w:rPr>
          <w:rStyle w:val="normaltextrun"/>
          <w:rFonts w:ascii="Times New Roman" w:hAnsi="Times New Roman" w:cs="Times New Roman"/>
          <w:i/>
          <w:iCs/>
          <w:color w:val="000000" w:themeColor="text1"/>
          <w:sz w:val="22"/>
          <w:szCs w:val="22"/>
        </w:rPr>
        <w:t xml:space="preserve"> thus we proceeded with second-level analyses with model 3, featuring also cross-hemispheric connections. </w:t>
      </w:r>
      <w:r w:rsidRPr="008F01FA">
        <w:rPr>
          <w:rStyle w:val="eop"/>
          <w:rFonts w:ascii="Times New Roman" w:hAnsi="Times New Roman" w:cs="Times New Roman"/>
          <w:color w:val="000000" w:themeColor="text1"/>
          <w:sz w:val="22"/>
          <w:szCs w:val="22"/>
        </w:rPr>
        <w:t> </w:t>
      </w:r>
    </w:p>
    <w:p w14:paraId="1FD0A319"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220DAEA8"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noProof/>
          <w:color w:val="000000" w:themeColor="text1"/>
          <w:sz w:val="22"/>
          <w:szCs w:val="22"/>
        </w:rPr>
        <w:lastRenderedPageBreak/>
        <w:drawing>
          <wp:inline distT="0" distB="0" distL="0" distR="0" wp14:anchorId="45761CBB" wp14:editId="5F390D32">
            <wp:extent cx="5723890" cy="5568846"/>
            <wp:effectExtent l="0" t="0" r="3810" b="0"/>
            <wp:docPr id="1180233160" name="Picture 118023316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b="1396"/>
                    <a:stretch/>
                  </pic:blipFill>
                  <pic:spPr bwMode="auto">
                    <a:xfrm>
                      <a:off x="0" y="0"/>
                      <a:ext cx="5724524" cy="5569463"/>
                    </a:xfrm>
                    <a:prstGeom prst="rect">
                      <a:avLst/>
                    </a:prstGeom>
                    <a:ln>
                      <a:noFill/>
                    </a:ln>
                    <a:extLst>
                      <a:ext uri="{53640926-AAD7-44D8-BBD7-CCE9431645EC}">
                        <a14:shadowObscured xmlns:a14="http://schemas.microsoft.com/office/drawing/2010/main"/>
                      </a:ext>
                    </a:extLst>
                  </pic:spPr>
                </pic:pic>
              </a:graphicData>
            </a:graphic>
          </wp:inline>
        </w:drawing>
      </w:r>
    </w:p>
    <w:p w14:paraId="01F21BD5" w14:textId="77777777" w:rsidR="00752E6F" w:rsidRPr="008F01FA" w:rsidRDefault="00752E6F" w:rsidP="00752E6F">
      <w:pPr>
        <w:tabs>
          <w:tab w:val="left" w:pos="20"/>
          <w:tab w:val="left" w:pos="641"/>
        </w:tabs>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b/>
          <w:bCs/>
          <w:i/>
          <w:iCs/>
          <w:color w:val="000000" w:themeColor="text1"/>
          <w:sz w:val="22"/>
          <w:szCs w:val="22"/>
        </w:rPr>
        <w:t xml:space="preserve">Supplementary Figure 5. Individual DCM model fits. a) </w:t>
      </w:r>
      <w:r w:rsidRPr="008F01FA">
        <w:rPr>
          <w:rFonts w:ascii="Times New Roman" w:hAnsi="Times New Roman" w:cs="Times New Roman"/>
          <w:i/>
          <w:iCs/>
          <w:color w:val="000000" w:themeColor="text1"/>
          <w:sz w:val="22"/>
          <w:szCs w:val="22"/>
        </w:rPr>
        <w:t xml:space="preserve">modes: example of our visual MMN model fits of the first four modes, which are the ones that captured most of the variance (out a total of eight); modes represent the predicted covariance (prior) in the sensor space. Blue = standard; red = deviant; dotted line = original data; full line = model fits. </w:t>
      </w:r>
      <w:proofErr w:type="gramStart"/>
      <w:r w:rsidRPr="008F01FA">
        <w:rPr>
          <w:rFonts w:ascii="Times New Roman" w:hAnsi="Times New Roman" w:cs="Times New Roman"/>
          <w:i/>
          <w:iCs/>
          <w:color w:val="000000" w:themeColor="text1"/>
          <w:sz w:val="22"/>
          <w:szCs w:val="22"/>
        </w:rPr>
        <w:t>b)Scalp</w:t>
      </w:r>
      <w:proofErr w:type="gramEnd"/>
      <w:r w:rsidRPr="008F01FA">
        <w:rPr>
          <w:rFonts w:ascii="Times New Roman" w:hAnsi="Times New Roman" w:cs="Times New Roman"/>
          <w:i/>
          <w:iCs/>
          <w:color w:val="000000" w:themeColor="text1"/>
          <w:sz w:val="22"/>
          <w:szCs w:val="22"/>
        </w:rPr>
        <w:t xml:space="preserve"> maps: example model fits from a participant (c_005) in sensor space. The top row represents scalp maps the EEG data in the rare (deviant) condition; the bottom row represents the EEG data at the same latencies, generated by the model parameters. c)Sources: Dotted line (population 1) = excitatory spiny stellates; dashed lined (population 2) = inhibitory interneurons; soldi line (population 3) = excitatory pyramidal cells. Blue = standard; red = deviant. d) Response: </w:t>
      </w:r>
      <w:proofErr w:type="gramStart"/>
      <w:r w:rsidRPr="008F01FA">
        <w:rPr>
          <w:rFonts w:ascii="Times New Roman" w:hAnsi="Times New Roman" w:cs="Times New Roman"/>
          <w:i/>
          <w:iCs/>
          <w:color w:val="000000" w:themeColor="text1"/>
          <w:sz w:val="22"/>
          <w:szCs w:val="22"/>
        </w:rPr>
        <w:t>left:</w:t>
      </w:r>
      <w:proofErr w:type="gramEnd"/>
      <w:r w:rsidRPr="008F01FA">
        <w:rPr>
          <w:rFonts w:ascii="Times New Roman" w:hAnsi="Times New Roman" w:cs="Times New Roman"/>
          <w:i/>
          <w:iCs/>
          <w:color w:val="000000" w:themeColor="text1"/>
          <w:sz w:val="22"/>
          <w:szCs w:val="22"/>
        </w:rPr>
        <w:t xml:space="preserve">  representation of the data selected by the spatial modes </w:t>
      </w:r>
      <w:proofErr w:type="gramStart"/>
      <w:r w:rsidRPr="008F01FA">
        <w:rPr>
          <w:rFonts w:ascii="Times New Roman" w:hAnsi="Times New Roman" w:cs="Times New Roman"/>
          <w:i/>
          <w:iCs/>
          <w:color w:val="000000" w:themeColor="text1"/>
          <w:sz w:val="22"/>
          <w:szCs w:val="22"/>
        </w:rPr>
        <w:t>back-projected</w:t>
      </w:r>
      <w:proofErr w:type="gramEnd"/>
      <w:r w:rsidRPr="008F01FA">
        <w:rPr>
          <w:rFonts w:ascii="Times New Roman" w:hAnsi="Times New Roman" w:cs="Times New Roman"/>
          <w:i/>
          <w:iCs/>
          <w:color w:val="000000" w:themeColor="text1"/>
          <w:sz w:val="22"/>
          <w:szCs w:val="22"/>
        </w:rPr>
        <w:t xml:space="preserve"> into sensor space. Each line represents the activity of a single channel. First column = observed data; second column = model </w:t>
      </w:r>
      <w:r w:rsidRPr="008F01FA">
        <w:rPr>
          <w:rFonts w:ascii="Times New Roman" w:hAnsi="Times New Roman" w:cs="Times New Roman"/>
          <w:i/>
          <w:iCs/>
          <w:color w:val="000000" w:themeColor="text1"/>
          <w:sz w:val="22"/>
          <w:szCs w:val="22"/>
        </w:rPr>
        <w:lastRenderedPageBreak/>
        <w:t>predictions. Right: The same data plotted as time as a function of channels; top= standard; bottom = rare (deviant).</w:t>
      </w:r>
    </w:p>
    <w:p w14:paraId="402261B7"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020B9130"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10CD918B"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r w:rsidRPr="008F01FA">
        <w:rPr>
          <w:rFonts w:ascii="Times New Roman" w:hAnsi="Times New Roman" w:cs="Times New Roman"/>
          <w:noProof/>
          <w:sz w:val="22"/>
          <w:szCs w:val="22"/>
        </w:rPr>
        <w:drawing>
          <wp:inline distT="0" distB="0" distL="0" distR="0" wp14:anchorId="2ABC1A25" wp14:editId="0D43D543">
            <wp:extent cx="5724524" cy="4057650"/>
            <wp:effectExtent l="0" t="0" r="0" b="0"/>
            <wp:docPr id="2124751045" name="Picture 2124751045" descr="A diagram of a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51045" name="Picture 2124751045" descr="A diagram of a brain&#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724524" cy="4057650"/>
                    </a:xfrm>
                    <a:prstGeom prst="rect">
                      <a:avLst/>
                    </a:prstGeom>
                  </pic:spPr>
                </pic:pic>
              </a:graphicData>
            </a:graphic>
          </wp:inline>
        </w:drawing>
      </w:r>
      <w:r w:rsidRPr="008F01FA">
        <w:rPr>
          <w:rFonts w:ascii="Times New Roman" w:hAnsi="Times New Roman" w:cs="Times New Roman"/>
          <w:b/>
          <w:bCs/>
          <w:i/>
          <w:iCs/>
          <w:color w:val="000000" w:themeColor="text1"/>
          <w:sz w:val="22"/>
          <w:szCs w:val="22"/>
        </w:rPr>
        <w:t>Supplementary Figure 6.</w:t>
      </w:r>
      <w:r w:rsidRPr="008F01FA">
        <w:rPr>
          <w:rFonts w:ascii="Times New Roman" w:hAnsi="Times New Roman" w:cs="Times New Roman"/>
          <w:i/>
          <w:iCs/>
          <w:color w:val="000000" w:themeColor="text1"/>
          <w:sz w:val="22"/>
          <w:szCs w:val="22"/>
        </w:rPr>
        <w:t xml:space="preserve"> Ventral model – task connectivity in PD-</w:t>
      </w:r>
      <w:proofErr w:type="spellStart"/>
      <w:r w:rsidRPr="008F01FA">
        <w:rPr>
          <w:rFonts w:ascii="Times New Roman" w:hAnsi="Times New Roman" w:cs="Times New Roman"/>
          <w:i/>
          <w:iCs/>
          <w:color w:val="000000" w:themeColor="text1"/>
          <w:sz w:val="22"/>
          <w:szCs w:val="22"/>
        </w:rPr>
        <w:t>noVH</w:t>
      </w:r>
      <w:proofErr w:type="spellEnd"/>
      <w:r w:rsidRPr="008F01FA">
        <w:rPr>
          <w:rFonts w:ascii="Times New Roman" w:hAnsi="Times New Roman" w:cs="Times New Roman"/>
          <w:i/>
          <w:iCs/>
          <w:color w:val="000000" w:themeColor="text1"/>
          <w:sz w:val="22"/>
          <w:szCs w:val="22"/>
        </w:rPr>
        <w:t xml:space="preserve"> only. We decided to explore the effect of the task itself without including patients with hallucinations since our ERP study has shown that PD patients with VH did not have a MMN or had a very reduced one. When focussing on the difference between the standard and the deviant in PD, we found that the task was associated increased connectivity (self) in left PFC and increased V1 to ITG bilateral activity. </w:t>
      </w:r>
    </w:p>
    <w:p w14:paraId="39553054"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p>
    <w:p w14:paraId="142BE527" w14:textId="77777777" w:rsidR="00752E6F" w:rsidRPr="008F01FA" w:rsidRDefault="00752E6F" w:rsidP="00752E6F">
      <w:pPr>
        <w:spacing w:line="360" w:lineRule="auto"/>
        <w:jc w:val="both"/>
        <w:rPr>
          <w:rFonts w:ascii="Times New Roman" w:hAnsi="Times New Roman" w:cs="Times New Roman"/>
          <w:b/>
          <w:bCs/>
          <w:i/>
          <w:iCs/>
          <w:color w:val="000000" w:themeColor="text1"/>
          <w:sz w:val="22"/>
          <w:szCs w:val="22"/>
        </w:rPr>
      </w:pPr>
      <w:r w:rsidRPr="008F01FA">
        <w:rPr>
          <w:rFonts w:ascii="Times New Roman" w:hAnsi="Times New Roman" w:cs="Times New Roman"/>
          <w:b/>
          <w:bCs/>
          <w:i/>
          <w:iCs/>
          <w:color w:val="000000" w:themeColor="text1"/>
          <w:sz w:val="22"/>
          <w:szCs w:val="22"/>
        </w:rPr>
        <w:t xml:space="preserve">Supplementary Information 6. PEB analysis specification and recursive PEB additional details. </w:t>
      </w:r>
    </w:p>
    <w:p w14:paraId="7302CC73" w14:textId="77777777" w:rsidR="00752E6F" w:rsidRPr="008F01FA" w:rsidRDefault="00752E6F" w:rsidP="00752E6F">
      <w:pPr>
        <w:autoSpaceDE w:val="0"/>
        <w:autoSpaceDN w:val="0"/>
        <w:adjustRightInd w:val="0"/>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sz w:val="22"/>
          <w:szCs w:val="22"/>
        </w:rPr>
        <w:t>PEB was carried out (Friston et al., 2016; Zeidman et al, 2019)</w:t>
      </w:r>
      <w:r w:rsidRPr="008F01FA">
        <w:rPr>
          <w:rFonts w:ascii="Times New Roman" w:hAnsi="Times New Roman" w:cs="Times New Roman"/>
          <w:color w:val="000000" w:themeColor="text1"/>
          <w:sz w:val="22"/>
          <w:szCs w:val="22"/>
        </w:rPr>
        <w:t xml:space="preserve"> at this stage.</w:t>
      </w:r>
      <w:r w:rsidRPr="008F01FA">
        <w:rPr>
          <w:rFonts w:ascii="Times New Roman" w:hAnsi="Times New Roman" w:cs="Times New Roman"/>
          <w:color w:val="000000"/>
          <w:sz w:val="22"/>
          <w:szCs w:val="22"/>
        </w:rPr>
        <w:t xml:space="preserve"> </w:t>
      </w:r>
      <w:r w:rsidRPr="008F01FA">
        <w:rPr>
          <w:rFonts w:ascii="Times New Roman" w:hAnsi="Times New Roman" w:cs="Times New Roman"/>
          <w:color w:val="000000" w:themeColor="text1"/>
          <w:sz w:val="22"/>
          <w:szCs w:val="22"/>
        </w:rPr>
        <w:t>W</w:t>
      </w:r>
      <w:r w:rsidRPr="008F01FA" w:rsidDel="00E80CE8">
        <w:rPr>
          <w:rFonts w:ascii="Times New Roman" w:hAnsi="Times New Roman" w:cs="Times New Roman"/>
          <w:color w:val="000000" w:themeColor="text1"/>
          <w:sz w:val="22"/>
          <w:szCs w:val="22"/>
        </w:rPr>
        <w:t xml:space="preserve">e took the modulatory parameters of the individual </w:t>
      </w:r>
      <w:r w:rsidRPr="008F01FA">
        <w:rPr>
          <w:rFonts w:ascii="Times New Roman" w:hAnsi="Times New Roman" w:cs="Times New Roman"/>
          <w:color w:val="000000" w:themeColor="text1"/>
          <w:sz w:val="22"/>
          <w:szCs w:val="22"/>
        </w:rPr>
        <w:t>DCMs to</w:t>
      </w:r>
      <w:r w:rsidRPr="008F01FA">
        <w:rPr>
          <w:rFonts w:ascii="Times New Roman" w:hAnsi="Times New Roman" w:cs="Times New Roman"/>
          <w:color w:val="000000"/>
          <w:sz w:val="22"/>
          <w:szCs w:val="22"/>
        </w:rPr>
        <w:t xml:space="preserve"> the group level and used them to fit a PEB </w:t>
      </w:r>
      <w:r w:rsidRPr="008F01FA" w:rsidDel="00E80CE8">
        <w:rPr>
          <w:rFonts w:ascii="Times New Roman" w:hAnsi="Times New Roman" w:cs="Times New Roman"/>
          <w:color w:val="000000" w:themeColor="text1"/>
          <w:sz w:val="22"/>
          <w:szCs w:val="22"/>
        </w:rPr>
        <w:t>model</w:t>
      </w:r>
      <w:r w:rsidRPr="008F01FA">
        <w:rPr>
          <w:rFonts w:ascii="Times New Roman" w:hAnsi="Times New Roman" w:cs="Times New Roman"/>
          <w:color w:val="000000" w:themeColor="text1"/>
          <w:sz w:val="22"/>
          <w:szCs w:val="22"/>
        </w:rPr>
        <w:t xml:space="preserve"> (a type of</w:t>
      </w:r>
      <w:r w:rsidRPr="008F01FA">
        <w:rPr>
          <w:rFonts w:ascii="Times New Roman" w:hAnsi="Times New Roman" w:cs="Times New Roman"/>
          <w:color w:val="000000"/>
          <w:sz w:val="22"/>
          <w:szCs w:val="22"/>
        </w:rPr>
        <w:t xml:space="preserve"> Bayesian linear regression.) We fitted a general linear model (GLM) to the connection strengths estimated with the first level analyses and with covariates: mean, group (PD-VH (-1) or PD (1)) and age</w:t>
      </w:r>
      <w:r w:rsidRPr="008F01FA">
        <w:rPr>
          <w:rFonts w:ascii="Times New Roman" w:hAnsi="Times New Roman" w:cs="Times New Roman"/>
          <w:color w:val="000000" w:themeColor="text1"/>
          <w:sz w:val="22"/>
          <w:szCs w:val="22"/>
        </w:rPr>
        <w:t xml:space="preserve">. The GLM has one regression parameter per covariate per connection.  </w:t>
      </w:r>
      <w:r w:rsidRPr="008F01FA">
        <w:rPr>
          <w:rFonts w:ascii="Times New Roman" w:hAnsi="Times New Roman" w:cs="Times New Roman"/>
          <w:color w:val="000000"/>
          <w:sz w:val="22"/>
          <w:szCs w:val="22"/>
        </w:rPr>
        <w:t xml:space="preserve">Model inversion was carried out with </w:t>
      </w:r>
      <w:proofErr w:type="spellStart"/>
      <w:r w:rsidRPr="008F01FA">
        <w:rPr>
          <w:rFonts w:ascii="Times New Roman" w:hAnsi="Times New Roman" w:cs="Times New Roman"/>
          <w:i/>
          <w:iCs/>
          <w:sz w:val="22"/>
          <w:szCs w:val="22"/>
        </w:rPr>
        <w:t>spm_dcm_fit</w:t>
      </w:r>
      <w:proofErr w:type="spellEnd"/>
      <w:r w:rsidRPr="008F01FA">
        <w:rPr>
          <w:rFonts w:ascii="Times New Roman" w:hAnsi="Times New Roman" w:cs="Times New Roman"/>
          <w:sz w:val="22"/>
          <w:szCs w:val="22"/>
        </w:rPr>
        <w:t xml:space="preserve">; and </w:t>
      </w:r>
      <w:proofErr w:type="spellStart"/>
      <w:r w:rsidRPr="008F01FA">
        <w:rPr>
          <w:rFonts w:ascii="Times New Roman" w:hAnsi="Times New Roman" w:cs="Times New Roman"/>
          <w:i/>
          <w:iCs/>
          <w:sz w:val="22"/>
          <w:szCs w:val="22"/>
        </w:rPr>
        <w:t>spm_dcm_bmr</w:t>
      </w:r>
      <w:proofErr w:type="spellEnd"/>
      <w:r w:rsidRPr="008F01FA">
        <w:rPr>
          <w:rFonts w:ascii="Times New Roman" w:hAnsi="Times New Roman" w:cs="Times New Roman"/>
          <w:sz w:val="22"/>
          <w:szCs w:val="22"/>
        </w:rPr>
        <w:t xml:space="preserve"> and </w:t>
      </w:r>
      <w:proofErr w:type="spellStart"/>
      <w:r w:rsidRPr="008F01FA">
        <w:rPr>
          <w:rFonts w:ascii="Times New Roman" w:hAnsi="Times New Roman" w:cs="Times New Roman"/>
          <w:i/>
          <w:iCs/>
          <w:sz w:val="22"/>
          <w:szCs w:val="22"/>
        </w:rPr>
        <w:t>spm_dcm_peb</w:t>
      </w:r>
      <w:proofErr w:type="spellEnd"/>
      <w:r w:rsidRPr="008F01FA">
        <w:rPr>
          <w:rFonts w:ascii="Times New Roman" w:hAnsi="Times New Roman" w:cs="Times New Roman"/>
          <w:sz w:val="22"/>
          <w:szCs w:val="22"/>
        </w:rPr>
        <w:t xml:space="preserve"> were used to perform Bayesian model reduction and to generate model </w:t>
      </w:r>
      <w:r w:rsidRPr="008F01FA">
        <w:rPr>
          <w:rFonts w:ascii="Times New Roman" w:hAnsi="Times New Roman" w:cs="Times New Roman"/>
          <w:sz w:val="22"/>
          <w:szCs w:val="22"/>
        </w:rPr>
        <w:lastRenderedPageBreak/>
        <w:t xml:space="preserve">posteriors, respectively. Finally, </w:t>
      </w:r>
      <w:r w:rsidRPr="008F01FA">
        <w:rPr>
          <w:rFonts w:ascii="Times New Roman" w:hAnsi="Times New Roman" w:cs="Times New Roman"/>
          <w:color w:val="000000"/>
          <w:sz w:val="22"/>
          <w:szCs w:val="22"/>
        </w:rPr>
        <w:t xml:space="preserve">we used Bayesian model averaging </w:t>
      </w:r>
      <w:proofErr w:type="spellStart"/>
      <w:r w:rsidRPr="008F01FA">
        <w:rPr>
          <w:rFonts w:ascii="Times New Roman" w:hAnsi="Times New Roman" w:cs="Times New Roman"/>
          <w:i/>
          <w:iCs/>
          <w:sz w:val="22"/>
          <w:szCs w:val="22"/>
        </w:rPr>
        <w:t>spm_dcm_bma</w:t>
      </w:r>
      <w:proofErr w:type="spellEnd"/>
      <w:r w:rsidRPr="008F01FA">
        <w:rPr>
          <w:rFonts w:ascii="Times New Roman" w:hAnsi="Times New Roman" w:cs="Times New Roman"/>
          <w:sz w:val="22"/>
          <w:szCs w:val="22"/>
        </w:rPr>
        <w:t xml:space="preserve"> </w:t>
      </w:r>
      <w:r w:rsidRPr="008F01FA">
        <w:rPr>
          <w:rFonts w:ascii="Times New Roman" w:hAnsi="Times New Roman" w:cs="Times New Roman"/>
          <w:color w:val="000000"/>
          <w:sz w:val="22"/>
          <w:szCs w:val="22"/>
        </w:rPr>
        <w:t xml:space="preserve">to investigate group-level differences between patients with and without psychosis. We analysed the different B “task modulatory” matrix separately and A “baseline” matrix (forward, backward, inter-hemispheric connectivity). </w:t>
      </w:r>
      <w:r w:rsidRPr="008F01FA">
        <w:rPr>
          <w:rFonts w:ascii="Times New Roman" w:hAnsi="Times New Roman" w:cs="Times New Roman"/>
          <w:color w:val="000000" w:themeColor="text1"/>
          <w:sz w:val="22"/>
          <w:szCs w:val="22"/>
        </w:rPr>
        <w:t xml:space="preserve">To understand which of the parameters contributed best to explaining variance between DCMs, we also created a model space to carry out PEB analyses recursively with specific parameters specified. By switching on and off some specific parameters and then comparing the models we can explore the effect of given connectivity features in a more direct manner. The model specified were both extrinsic (fully connected, forward, backward, forward and self-connections, backward and self), intrinsic (coupling parameter G, timing parameter T, modulatory parameter M, gain S) and a combination of extrinsic and intrinsic (full, forward, backward together with G or T). Bayesian model comparison at second level was then explored and the </w:t>
      </w:r>
      <w:proofErr w:type="spellStart"/>
      <w:r w:rsidRPr="008F01FA">
        <w:rPr>
          <w:rFonts w:ascii="Times New Roman" w:hAnsi="Times New Roman" w:cs="Times New Roman"/>
          <w:color w:val="000000" w:themeColor="text1"/>
          <w:sz w:val="22"/>
          <w:szCs w:val="22"/>
        </w:rPr>
        <w:t>paratamised</w:t>
      </w:r>
      <w:proofErr w:type="spellEnd"/>
      <w:r w:rsidRPr="008F01FA">
        <w:rPr>
          <w:rFonts w:ascii="Times New Roman" w:hAnsi="Times New Roman" w:cs="Times New Roman"/>
          <w:color w:val="000000" w:themeColor="text1"/>
          <w:sz w:val="22"/>
          <w:szCs w:val="22"/>
        </w:rPr>
        <w:t xml:space="preserve"> winning 2</w:t>
      </w:r>
      <w:r w:rsidRPr="008F01FA">
        <w:rPr>
          <w:rFonts w:ascii="Times New Roman" w:hAnsi="Times New Roman" w:cs="Times New Roman"/>
          <w:color w:val="000000" w:themeColor="text1"/>
          <w:sz w:val="22"/>
          <w:szCs w:val="22"/>
          <w:vertAlign w:val="superscript"/>
        </w:rPr>
        <w:t>nd</w:t>
      </w:r>
      <w:r w:rsidRPr="008F01FA">
        <w:rPr>
          <w:rFonts w:ascii="Times New Roman" w:hAnsi="Times New Roman" w:cs="Times New Roman"/>
          <w:color w:val="000000" w:themeColor="text1"/>
          <w:sz w:val="22"/>
          <w:szCs w:val="22"/>
        </w:rPr>
        <w:t xml:space="preserve"> level model was further examined with Bayesian model reduction (RMA). This allowed us to identify parameter changes associated with the main effect of </w:t>
      </w:r>
      <w:proofErr w:type="spellStart"/>
      <w:r w:rsidRPr="008F01FA">
        <w:rPr>
          <w:rFonts w:ascii="Times New Roman" w:hAnsi="Times New Roman" w:cs="Times New Roman"/>
          <w:color w:val="000000" w:themeColor="text1"/>
          <w:sz w:val="22"/>
          <w:szCs w:val="22"/>
        </w:rPr>
        <w:t>vMMN</w:t>
      </w:r>
      <w:proofErr w:type="spellEnd"/>
      <w:r w:rsidRPr="008F01FA">
        <w:rPr>
          <w:rFonts w:ascii="Times New Roman" w:hAnsi="Times New Roman" w:cs="Times New Roman"/>
          <w:color w:val="000000" w:themeColor="text1"/>
          <w:sz w:val="22"/>
          <w:szCs w:val="22"/>
        </w:rPr>
        <w:t xml:space="preserve"> in the two groups. We also explored task connectivity in PD-</w:t>
      </w:r>
      <w:proofErr w:type="spellStart"/>
      <w:r w:rsidRPr="008F01FA">
        <w:rPr>
          <w:rFonts w:ascii="Times New Roman" w:hAnsi="Times New Roman" w:cs="Times New Roman"/>
          <w:color w:val="000000" w:themeColor="text1"/>
          <w:sz w:val="22"/>
          <w:szCs w:val="22"/>
        </w:rPr>
        <w:t>noVH</w:t>
      </w:r>
      <w:proofErr w:type="spellEnd"/>
      <w:r w:rsidRPr="008F01FA">
        <w:rPr>
          <w:rFonts w:ascii="Times New Roman" w:hAnsi="Times New Roman" w:cs="Times New Roman"/>
          <w:color w:val="000000" w:themeColor="text1"/>
          <w:sz w:val="22"/>
          <w:szCs w:val="22"/>
        </w:rPr>
        <w:t xml:space="preserve"> (without psychosis only) to isolate the effect of task, as we previously showed that this group had an MMN (</w:t>
      </w:r>
      <w:r w:rsidRPr="008F01FA">
        <w:rPr>
          <w:rFonts w:ascii="Times New Roman" w:hAnsi="Times New Roman" w:cs="Times New Roman"/>
          <w:b/>
          <w:bCs/>
          <w:color w:val="000000" w:themeColor="text1"/>
          <w:sz w:val="22"/>
          <w:szCs w:val="22"/>
        </w:rPr>
        <w:t>Supplementary Figure 6</w:t>
      </w:r>
      <w:r w:rsidRPr="008F01FA">
        <w:rPr>
          <w:rFonts w:ascii="Times New Roman" w:hAnsi="Times New Roman" w:cs="Times New Roman"/>
          <w:color w:val="000000" w:themeColor="text1"/>
          <w:sz w:val="22"/>
          <w:szCs w:val="22"/>
        </w:rPr>
        <w:t>).</w:t>
      </w:r>
    </w:p>
    <w:p w14:paraId="4D6A5C53" w14:textId="77777777" w:rsidR="00752E6F" w:rsidRPr="008F01FA" w:rsidRDefault="00752E6F" w:rsidP="00752E6F">
      <w:pPr>
        <w:spacing w:line="360" w:lineRule="auto"/>
        <w:jc w:val="both"/>
        <w:rPr>
          <w:rFonts w:ascii="Times New Roman" w:hAnsi="Times New Roman" w:cs="Times New Roman"/>
          <w:b/>
          <w:bCs/>
          <w:i/>
          <w:iCs/>
          <w:color w:val="000000" w:themeColor="text1"/>
          <w:sz w:val="22"/>
          <w:szCs w:val="22"/>
        </w:rPr>
      </w:pPr>
      <w:r w:rsidRPr="008F01FA">
        <w:rPr>
          <w:rFonts w:ascii="Times New Roman" w:hAnsi="Times New Roman" w:cs="Times New Roman"/>
          <w:b/>
          <w:bCs/>
          <w:i/>
          <w:iCs/>
          <w:noProof/>
          <w:color w:val="000000" w:themeColor="text1"/>
          <w:sz w:val="22"/>
          <w:szCs w:val="22"/>
        </w:rPr>
        <w:lastRenderedPageBreak/>
        <w:drawing>
          <wp:inline distT="0" distB="0" distL="0" distR="0" wp14:anchorId="7E591A51" wp14:editId="3B53915C">
            <wp:extent cx="5943600" cy="6525895"/>
            <wp:effectExtent l="0" t="0" r="0" b="1905"/>
            <wp:docPr id="20032368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236882" name="Picture 2003236882"/>
                    <pic:cNvPicPr/>
                  </pic:nvPicPr>
                  <pic:blipFill>
                    <a:blip r:embed="rId13"/>
                    <a:stretch>
                      <a:fillRect/>
                    </a:stretch>
                  </pic:blipFill>
                  <pic:spPr>
                    <a:xfrm>
                      <a:off x="0" y="0"/>
                      <a:ext cx="5943600" cy="6525895"/>
                    </a:xfrm>
                    <a:prstGeom prst="rect">
                      <a:avLst/>
                    </a:prstGeom>
                  </pic:spPr>
                </pic:pic>
              </a:graphicData>
            </a:graphic>
          </wp:inline>
        </w:drawing>
      </w:r>
    </w:p>
    <w:p w14:paraId="0464C26F"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b/>
          <w:bCs/>
          <w:i/>
          <w:iCs/>
          <w:color w:val="000000" w:themeColor="text1"/>
          <w:sz w:val="22"/>
          <w:szCs w:val="22"/>
        </w:rPr>
        <w:t>Supplementary Figure 7. Recursive PEB results.</w:t>
      </w:r>
      <w:r w:rsidRPr="008F01FA">
        <w:rPr>
          <w:rFonts w:ascii="Times New Roman" w:hAnsi="Times New Roman" w:cs="Times New Roman"/>
          <w:i/>
          <w:iCs/>
          <w:color w:val="000000" w:themeColor="text1"/>
          <w:sz w:val="22"/>
          <w:szCs w:val="22"/>
        </w:rPr>
        <w:t xml:space="preserve"> a) Connectivity task matrix for the recursive PEB result for the effect of VH.  b) visual representation of the recursive PEB winning model (brains created using </w:t>
      </w:r>
      <w:proofErr w:type="spellStart"/>
      <w:r w:rsidRPr="008F01FA">
        <w:rPr>
          <w:rFonts w:ascii="Times New Roman" w:hAnsi="Times New Roman" w:cs="Times New Roman"/>
          <w:i/>
          <w:iCs/>
          <w:color w:val="000000" w:themeColor="text1"/>
          <w:sz w:val="22"/>
          <w:szCs w:val="22"/>
        </w:rPr>
        <w:t>BrainNet</w:t>
      </w:r>
      <w:proofErr w:type="spellEnd"/>
      <w:r w:rsidRPr="008F01FA">
        <w:rPr>
          <w:rFonts w:ascii="Times New Roman" w:hAnsi="Times New Roman" w:cs="Times New Roman"/>
          <w:i/>
          <w:iCs/>
          <w:color w:val="000000" w:themeColor="text1"/>
          <w:sz w:val="22"/>
          <w:szCs w:val="22"/>
        </w:rPr>
        <w:t xml:space="preserve"> viewer); c) top row: free energy ranking and posterior probability for the different models specified (task connectivity matrix); bottom row: same information but specifically when taking into account connection strength (Ep) for VH. d) parameters coefficients for the connections with pp&gt;.99 to differ in VH vs </w:t>
      </w:r>
      <w:proofErr w:type="spellStart"/>
      <w:r w:rsidRPr="008F01FA">
        <w:rPr>
          <w:rFonts w:ascii="Times New Roman" w:hAnsi="Times New Roman" w:cs="Times New Roman"/>
          <w:i/>
          <w:iCs/>
          <w:color w:val="000000" w:themeColor="text1"/>
          <w:sz w:val="22"/>
          <w:szCs w:val="22"/>
        </w:rPr>
        <w:t>noVH</w:t>
      </w:r>
      <w:proofErr w:type="spellEnd"/>
      <w:r w:rsidRPr="008F01FA">
        <w:rPr>
          <w:rFonts w:ascii="Times New Roman" w:hAnsi="Times New Roman" w:cs="Times New Roman"/>
          <w:i/>
          <w:iCs/>
          <w:color w:val="000000" w:themeColor="text1"/>
          <w:sz w:val="22"/>
          <w:szCs w:val="22"/>
        </w:rPr>
        <w:t xml:space="preserve"> patients for task connectivity; e) </w:t>
      </w:r>
      <w:proofErr w:type="spellStart"/>
      <w:r w:rsidRPr="008F01FA">
        <w:rPr>
          <w:rFonts w:ascii="Times New Roman" w:hAnsi="Times New Roman" w:cs="Times New Roman"/>
          <w:i/>
          <w:iCs/>
          <w:color w:val="000000" w:themeColor="text1"/>
          <w:sz w:val="22"/>
          <w:szCs w:val="22"/>
        </w:rPr>
        <w:t>sina</w:t>
      </w:r>
      <w:proofErr w:type="spellEnd"/>
      <w:r w:rsidRPr="008F01FA">
        <w:rPr>
          <w:rFonts w:ascii="Times New Roman" w:hAnsi="Times New Roman" w:cs="Times New Roman"/>
          <w:i/>
          <w:iCs/>
          <w:color w:val="000000" w:themeColor="text1"/>
          <w:sz w:val="22"/>
          <w:szCs w:val="22"/>
        </w:rPr>
        <w:t xml:space="preserve"> and box and whisker plots showing the distribution of Ep in PD with and without VH for each connection found differing in the model (the plots </w:t>
      </w:r>
      <w:r w:rsidRPr="008F01FA">
        <w:rPr>
          <w:rFonts w:ascii="Times New Roman" w:hAnsi="Times New Roman" w:cs="Times New Roman"/>
          <w:i/>
          <w:iCs/>
          <w:color w:val="000000" w:themeColor="text1"/>
          <w:sz w:val="22"/>
          <w:szCs w:val="22"/>
        </w:rPr>
        <w:lastRenderedPageBreak/>
        <w:t xml:space="preserve">are colour coded with the colour of the node from which the connection starts; </w:t>
      </w:r>
      <w:proofErr w:type="spellStart"/>
      <w:r w:rsidRPr="008F01FA">
        <w:rPr>
          <w:rFonts w:ascii="Times New Roman" w:hAnsi="Times New Roman" w:cs="Times New Roman"/>
          <w:i/>
          <w:iCs/>
          <w:color w:val="000000" w:themeColor="text1"/>
          <w:sz w:val="22"/>
          <w:szCs w:val="22"/>
        </w:rPr>
        <w:t>noVH</w:t>
      </w:r>
      <w:proofErr w:type="spellEnd"/>
      <w:r w:rsidRPr="008F01FA">
        <w:rPr>
          <w:rFonts w:ascii="Times New Roman" w:hAnsi="Times New Roman" w:cs="Times New Roman"/>
          <w:i/>
          <w:iCs/>
          <w:color w:val="000000" w:themeColor="text1"/>
          <w:sz w:val="22"/>
          <w:szCs w:val="22"/>
        </w:rPr>
        <w:t xml:space="preserve"> patients = black dots; VH patients = white dots; the boxplots indicate the mean and the quantiles).</w:t>
      </w:r>
    </w:p>
    <w:p w14:paraId="2883CD7B"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636EA127" w14:textId="77777777" w:rsidR="00752E6F" w:rsidRDefault="00752E6F" w:rsidP="00752E6F">
      <w:pPr>
        <w:spacing w:line="360" w:lineRule="auto"/>
        <w:jc w:val="both"/>
        <w:rPr>
          <w:rFonts w:ascii="Times New Roman" w:hAnsi="Times New Roman" w:cs="Times New Roman"/>
          <w:b/>
          <w:bCs/>
          <w:i/>
          <w:iCs/>
          <w:color w:val="000000" w:themeColor="text1"/>
          <w:sz w:val="22"/>
          <w:szCs w:val="22"/>
        </w:rPr>
      </w:pPr>
      <w:r w:rsidRPr="008F01FA">
        <w:rPr>
          <w:rFonts w:ascii="Times New Roman" w:hAnsi="Times New Roman" w:cs="Times New Roman"/>
          <w:b/>
          <w:bCs/>
          <w:i/>
          <w:iCs/>
          <w:color w:val="000000" w:themeColor="text1"/>
          <w:sz w:val="22"/>
          <w:szCs w:val="22"/>
        </w:rPr>
        <w:t>Supplementary Information 7. Individual regression analyses: hallucination subtype severity and effective connectivity</w:t>
      </w:r>
      <w:r>
        <w:rPr>
          <w:rFonts w:ascii="Times New Roman" w:hAnsi="Times New Roman" w:cs="Times New Roman"/>
          <w:b/>
          <w:bCs/>
          <w:i/>
          <w:iCs/>
          <w:color w:val="000000" w:themeColor="text1"/>
          <w:sz w:val="22"/>
          <w:szCs w:val="22"/>
        </w:rPr>
        <w:t xml:space="preserve"> additional details and statistics. </w:t>
      </w:r>
    </w:p>
    <w:p w14:paraId="26293B39" w14:textId="77777777" w:rsidR="00752E6F" w:rsidRPr="008F01FA" w:rsidRDefault="00752E6F" w:rsidP="00752E6F">
      <w:pPr>
        <w:autoSpaceDE w:val="0"/>
        <w:autoSpaceDN w:val="0"/>
        <w:adjustRightInd w:val="0"/>
        <w:spacing w:line="360" w:lineRule="auto"/>
        <w:jc w:val="both"/>
        <w:rPr>
          <w:rFonts w:ascii="Times New Roman" w:hAnsi="Times New Roman" w:cs="Times New Roman"/>
          <w:color w:val="000000" w:themeColor="text1"/>
          <w:kern w:val="0"/>
          <w:sz w:val="22"/>
          <w:szCs w:val="22"/>
        </w:rPr>
      </w:pPr>
      <w:r>
        <w:rPr>
          <w:rFonts w:ascii="Times New Roman" w:hAnsi="Times New Roman" w:cs="Times New Roman"/>
          <w:b/>
          <w:bCs/>
          <w:i/>
          <w:iCs/>
          <w:color w:val="000000" w:themeColor="text1"/>
          <w:sz w:val="22"/>
          <w:szCs w:val="22"/>
        </w:rPr>
        <w:t xml:space="preserve">Matrix B (task). </w:t>
      </w:r>
      <w:r w:rsidRPr="008F01FA">
        <w:rPr>
          <w:rFonts w:ascii="Times New Roman" w:hAnsi="Times New Roman" w:cs="Times New Roman"/>
          <w:color w:val="000000" w:themeColor="text1"/>
          <w:kern w:val="0"/>
          <w:sz w:val="22"/>
          <w:szCs w:val="22"/>
        </w:rPr>
        <w:t>For the task matrix (Figure4B; SI7)</w:t>
      </w:r>
      <w:r>
        <w:rPr>
          <w:rFonts w:ascii="Times New Roman" w:hAnsi="Times New Roman" w:cs="Times New Roman"/>
          <w:color w:val="000000" w:themeColor="text1"/>
          <w:kern w:val="0"/>
          <w:sz w:val="22"/>
          <w:szCs w:val="22"/>
        </w:rPr>
        <w:t>, decreased</w:t>
      </w:r>
      <w:r w:rsidRPr="008F01FA">
        <w:rPr>
          <w:rFonts w:ascii="Times New Roman" w:hAnsi="Times New Roman" w:cs="Times New Roman"/>
          <w:color w:val="000000" w:themeColor="text1"/>
          <w:kern w:val="0"/>
          <w:sz w:val="22"/>
          <w:szCs w:val="22"/>
        </w:rPr>
        <w:t xml:space="preserve"> top-down connectivity (</w:t>
      </w:r>
      <w:proofErr w:type="spellStart"/>
      <w:r w:rsidRPr="008F01FA">
        <w:rPr>
          <w:rFonts w:ascii="Times New Roman" w:hAnsi="Times New Roman" w:cs="Times New Roman"/>
          <w:color w:val="000000" w:themeColor="text1"/>
          <w:kern w:val="0"/>
          <w:sz w:val="22"/>
          <w:szCs w:val="22"/>
        </w:rPr>
        <w:t>rPFC</w:t>
      </w:r>
      <w:proofErr w:type="spellEnd"/>
      <w:r w:rsidRPr="008F01FA">
        <w:rPr>
          <w:rFonts w:ascii="Times New Roman" w:hAnsi="Times New Roman" w:cs="Times New Roman"/>
          <w:color w:val="000000" w:themeColor="text1"/>
          <w:kern w:val="0"/>
          <w:sz w:val="22"/>
          <w:szCs w:val="22"/>
        </w:rPr>
        <w:t xml:space="preserve"> </w:t>
      </w:r>
      <w:r w:rsidRPr="008F01FA">
        <w:rPr>
          <w:rFonts w:ascii="Times New Roman" w:hAnsi="Times New Roman" w:cs="Times New Roman"/>
          <w:color w:val="000000" w:themeColor="text1"/>
          <w:kern w:val="0"/>
          <w:sz w:val="22"/>
          <w:szCs w:val="22"/>
        </w:rPr>
        <w:sym w:font="Wingdings" w:char="F0E0"/>
      </w:r>
      <w:r w:rsidRPr="008F01FA">
        <w:rPr>
          <w:rFonts w:ascii="Times New Roman" w:hAnsi="Times New Roman" w:cs="Times New Roman"/>
          <w:color w:val="000000" w:themeColor="text1"/>
          <w:kern w:val="0"/>
          <w:sz w:val="22"/>
          <w:szCs w:val="22"/>
        </w:rPr>
        <w:t xml:space="preserve"> </w:t>
      </w:r>
      <w:proofErr w:type="spellStart"/>
      <w:r w:rsidRPr="008F01FA">
        <w:rPr>
          <w:rFonts w:ascii="Times New Roman" w:hAnsi="Times New Roman" w:cs="Times New Roman"/>
          <w:color w:val="000000" w:themeColor="text1"/>
          <w:kern w:val="0"/>
          <w:sz w:val="22"/>
          <w:szCs w:val="22"/>
        </w:rPr>
        <w:t>r</w:t>
      </w:r>
      <w:proofErr w:type="spellEnd"/>
      <w:r w:rsidRPr="008F01FA">
        <w:rPr>
          <w:rFonts w:ascii="Times New Roman" w:hAnsi="Times New Roman" w:cs="Times New Roman"/>
          <w:color w:val="000000" w:themeColor="text1"/>
          <w:kern w:val="0"/>
          <w:sz w:val="22"/>
          <w:szCs w:val="22"/>
        </w:rPr>
        <w:t xml:space="preserve"> ITG) negatively correlates with the NEVHI score for complex visual hallucinations (CVH) [</w:t>
      </w:r>
      <w:r w:rsidRPr="008F01FA">
        <w:rPr>
          <w:rFonts w:ascii="Times New Roman" w:hAnsi="Times New Roman" w:cs="Times New Roman"/>
          <w:i/>
          <w:iCs/>
          <w:color w:val="000000" w:themeColor="text1"/>
          <w:kern w:val="0"/>
          <w:sz w:val="22"/>
          <w:szCs w:val="22"/>
        </w:rPr>
        <w:t>F</w:t>
      </w:r>
      <w:r w:rsidRPr="008F01FA">
        <w:rPr>
          <w:rFonts w:ascii="Times New Roman" w:hAnsi="Times New Roman" w:cs="Times New Roman"/>
          <w:color w:val="000000" w:themeColor="text1"/>
          <w:kern w:val="0"/>
          <w:sz w:val="22"/>
          <w:szCs w:val="22"/>
        </w:rPr>
        <w:t xml:space="preserve">(1,18) = 4.63, </w:t>
      </w:r>
      <w:r w:rsidRPr="008F01FA">
        <w:rPr>
          <w:rFonts w:ascii="Times New Roman" w:hAnsi="Times New Roman" w:cs="Times New Roman"/>
          <w:i/>
          <w:iCs/>
          <w:color w:val="000000" w:themeColor="text1"/>
          <w:kern w:val="0"/>
          <w:sz w:val="22"/>
          <w:szCs w:val="22"/>
        </w:rPr>
        <w:t>t</w:t>
      </w:r>
      <w:r w:rsidRPr="008F01FA">
        <w:rPr>
          <w:rFonts w:ascii="Times New Roman" w:hAnsi="Times New Roman" w:cs="Times New Roman"/>
          <w:color w:val="000000" w:themeColor="text1"/>
          <w:kern w:val="0"/>
          <w:sz w:val="22"/>
          <w:szCs w:val="22"/>
        </w:rPr>
        <w:t xml:space="preserve"> = -2.15, </w:t>
      </w:r>
      <w:r w:rsidRPr="008F01FA">
        <w:rPr>
          <w:rFonts w:ascii="Times New Roman" w:hAnsi="Times New Roman" w:cs="Times New Roman"/>
          <w:i/>
          <w:iCs/>
          <w:color w:val="000000" w:themeColor="text1"/>
          <w:kern w:val="0"/>
          <w:sz w:val="22"/>
          <w:szCs w:val="22"/>
        </w:rPr>
        <w:t>R</w:t>
      </w:r>
      <w:r w:rsidRPr="008F01FA">
        <w:rPr>
          <w:rFonts w:ascii="Times New Roman" w:hAnsi="Times New Roman" w:cs="Times New Roman"/>
          <w:i/>
          <w:iCs/>
          <w:color w:val="000000" w:themeColor="text1"/>
          <w:kern w:val="0"/>
          <w:sz w:val="22"/>
          <w:szCs w:val="22"/>
          <w:vertAlign w:val="superscript"/>
        </w:rPr>
        <w:t>2</w:t>
      </w:r>
      <w:r w:rsidRPr="008F01FA">
        <w:rPr>
          <w:rFonts w:ascii="Times New Roman" w:hAnsi="Times New Roman" w:cs="Times New Roman"/>
          <w:color w:val="000000" w:themeColor="text1"/>
          <w:kern w:val="0"/>
          <w:sz w:val="22"/>
          <w:szCs w:val="22"/>
        </w:rPr>
        <w:t xml:space="preserve"> = .2, CI (-4, -.04), </w:t>
      </w:r>
      <w:r w:rsidRPr="008F01FA">
        <w:rPr>
          <w:rFonts w:ascii="Times New Roman" w:hAnsi="Times New Roman" w:cs="Times New Roman"/>
          <w:i/>
          <w:iCs/>
          <w:color w:val="000000" w:themeColor="text1"/>
          <w:kern w:val="0"/>
          <w:sz w:val="22"/>
          <w:szCs w:val="22"/>
        </w:rPr>
        <w:t>p</w:t>
      </w:r>
      <w:r w:rsidRPr="008F01FA">
        <w:rPr>
          <w:rFonts w:ascii="Times New Roman" w:hAnsi="Times New Roman" w:cs="Times New Roman"/>
          <w:color w:val="000000" w:themeColor="text1"/>
          <w:kern w:val="0"/>
          <w:sz w:val="22"/>
          <w:szCs w:val="22"/>
        </w:rPr>
        <w:t xml:space="preserve"> =.04, </w:t>
      </w:r>
      <w:proofErr w:type="spellStart"/>
      <w:r w:rsidRPr="008F01FA">
        <w:rPr>
          <w:rFonts w:ascii="Times New Roman" w:hAnsi="Times New Roman" w:cs="Times New Roman"/>
          <w:i/>
          <w:iCs/>
          <w:color w:val="000000" w:themeColor="text1"/>
          <w:kern w:val="0"/>
          <w:sz w:val="22"/>
          <w:szCs w:val="22"/>
        </w:rPr>
        <w:t>p</w:t>
      </w:r>
      <w:r w:rsidRPr="008F01FA">
        <w:rPr>
          <w:rFonts w:ascii="Times New Roman" w:hAnsi="Times New Roman" w:cs="Times New Roman"/>
          <w:color w:val="000000" w:themeColor="text1"/>
          <w:kern w:val="0"/>
          <w:sz w:val="22"/>
          <w:szCs w:val="22"/>
        </w:rPr>
        <w:t>FDR</w:t>
      </w:r>
      <w:proofErr w:type="spellEnd"/>
      <w:r w:rsidRPr="008F01FA">
        <w:rPr>
          <w:rFonts w:ascii="Times New Roman" w:hAnsi="Times New Roman" w:cs="Times New Roman"/>
          <w:color w:val="000000" w:themeColor="text1"/>
          <w:kern w:val="0"/>
          <w:sz w:val="22"/>
          <w:szCs w:val="22"/>
        </w:rPr>
        <w:t xml:space="preserve"> =.06 ; Pearson’s </w:t>
      </w:r>
      <w:r w:rsidRPr="008F01FA">
        <w:rPr>
          <w:rFonts w:ascii="Times New Roman" w:hAnsi="Times New Roman" w:cs="Times New Roman"/>
          <w:i/>
          <w:iCs/>
          <w:color w:val="000000" w:themeColor="text1"/>
          <w:kern w:val="0"/>
          <w:sz w:val="22"/>
          <w:szCs w:val="22"/>
        </w:rPr>
        <w:t>r</w:t>
      </w:r>
      <w:r w:rsidRPr="008F01FA">
        <w:rPr>
          <w:rFonts w:ascii="Times New Roman" w:hAnsi="Times New Roman" w:cs="Times New Roman"/>
          <w:color w:val="000000" w:themeColor="text1"/>
          <w:kern w:val="0"/>
          <w:sz w:val="22"/>
          <w:szCs w:val="22"/>
        </w:rPr>
        <w:t>= -.45]; a similar pattern is observed for lV1</w:t>
      </w:r>
      <w:r w:rsidRPr="008F01FA">
        <w:rPr>
          <w:rFonts w:ascii="Times New Roman" w:hAnsi="Times New Roman" w:cs="Times New Roman"/>
          <w:color w:val="000000" w:themeColor="text1"/>
          <w:kern w:val="0"/>
          <w:sz w:val="22"/>
          <w:szCs w:val="22"/>
        </w:rPr>
        <w:sym w:font="Wingdings" w:char="F0E0"/>
      </w:r>
      <w:proofErr w:type="spellStart"/>
      <w:r w:rsidRPr="008F01FA">
        <w:rPr>
          <w:rFonts w:ascii="Times New Roman" w:hAnsi="Times New Roman" w:cs="Times New Roman"/>
          <w:color w:val="000000" w:themeColor="text1"/>
          <w:kern w:val="0"/>
          <w:sz w:val="22"/>
          <w:szCs w:val="22"/>
        </w:rPr>
        <w:t>lITG</w:t>
      </w:r>
      <w:proofErr w:type="spellEnd"/>
      <w:r w:rsidRPr="008F01FA">
        <w:rPr>
          <w:rFonts w:ascii="Times New Roman" w:hAnsi="Times New Roman" w:cs="Times New Roman"/>
          <w:color w:val="000000" w:themeColor="text1"/>
          <w:kern w:val="0"/>
          <w:sz w:val="22"/>
          <w:szCs w:val="22"/>
        </w:rPr>
        <w:t xml:space="preserve"> [</w:t>
      </w:r>
      <w:r w:rsidRPr="008F01FA">
        <w:rPr>
          <w:rFonts w:ascii="Times New Roman" w:hAnsi="Times New Roman" w:cs="Times New Roman"/>
          <w:i/>
          <w:iCs/>
          <w:color w:val="000000" w:themeColor="text1"/>
          <w:kern w:val="0"/>
          <w:sz w:val="22"/>
          <w:szCs w:val="22"/>
        </w:rPr>
        <w:t>F</w:t>
      </w:r>
      <w:r w:rsidRPr="008F01FA">
        <w:rPr>
          <w:rFonts w:ascii="Times New Roman" w:hAnsi="Times New Roman" w:cs="Times New Roman"/>
          <w:color w:val="000000" w:themeColor="text1"/>
          <w:kern w:val="0"/>
          <w:sz w:val="22"/>
          <w:szCs w:val="22"/>
        </w:rPr>
        <w:t xml:space="preserve">(1,17) = 5.07, </w:t>
      </w:r>
      <w:r w:rsidRPr="008F01FA">
        <w:rPr>
          <w:rFonts w:ascii="Times New Roman" w:hAnsi="Times New Roman" w:cs="Times New Roman"/>
          <w:i/>
          <w:iCs/>
          <w:color w:val="000000" w:themeColor="text1"/>
          <w:kern w:val="0"/>
          <w:sz w:val="22"/>
          <w:szCs w:val="22"/>
        </w:rPr>
        <w:t>t</w:t>
      </w:r>
      <w:r w:rsidRPr="008F01FA">
        <w:rPr>
          <w:rFonts w:ascii="Times New Roman" w:hAnsi="Times New Roman" w:cs="Times New Roman"/>
          <w:color w:val="000000" w:themeColor="text1"/>
          <w:kern w:val="0"/>
          <w:sz w:val="22"/>
          <w:szCs w:val="22"/>
        </w:rPr>
        <w:t xml:space="preserve"> = -2.52, </w:t>
      </w:r>
      <w:r w:rsidRPr="008F01FA">
        <w:rPr>
          <w:rFonts w:ascii="Times New Roman" w:hAnsi="Times New Roman" w:cs="Times New Roman"/>
          <w:i/>
          <w:iCs/>
          <w:color w:val="000000" w:themeColor="text1"/>
          <w:kern w:val="0"/>
          <w:sz w:val="22"/>
          <w:szCs w:val="22"/>
        </w:rPr>
        <w:t>R</w:t>
      </w:r>
      <w:r w:rsidRPr="008F01FA">
        <w:rPr>
          <w:rFonts w:ascii="Times New Roman" w:hAnsi="Times New Roman" w:cs="Times New Roman"/>
          <w:i/>
          <w:iCs/>
          <w:color w:val="000000" w:themeColor="text1"/>
          <w:kern w:val="0"/>
          <w:sz w:val="22"/>
          <w:szCs w:val="22"/>
          <w:vertAlign w:val="superscript"/>
        </w:rPr>
        <w:t>2</w:t>
      </w:r>
      <w:r w:rsidRPr="008F01FA">
        <w:rPr>
          <w:rFonts w:ascii="Times New Roman" w:hAnsi="Times New Roman" w:cs="Times New Roman"/>
          <w:color w:val="000000" w:themeColor="text1"/>
          <w:kern w:val="0"/>
          <w:sz w:val="22"/>
          <w:szCs w:val="22"/>
        </w:rPr>
        <w:t xml:space="preserve"> = .23, CI (-3.47, -.11), </w:t>
      </w:r>
      <w:r w:rsidRPr="008F01FA">
        <w:rPr>
          <w:rFonts w:ascii="Times New Roman" w:hAnsi="Times New Roman" w:cs="Times New Roman"/>
          <w:i/>
          <w:iCs/>
          <w:color w:val="000000" w:themeColor="text1"/>
          <w:kern w:val="0"/>
          <w:sz w:val="22"/>
          <w:szCs w:val="22"/>
        </w:rPr>
        <w:t>p</w:t>
      </w:r>
      <w:r w:rsidRPr="008F01FA">
        <w:rPr>
          <w:rFonts w:ascii="Times New Roman" w:hAnsi="Times New Roman" w:cs="Times New Roman"/>
          <w:color w:val="000000" w:themeColor="text1"/>
          <w:kern w:val="0"/>
          <w:sz w:val="22"/>
          <w:szCs w:val="22"/>
        </w:rPr>
        <w:t xml:space="preserve"> =.037, </w:t>
      </w:r>
      <w:proofErr w:type="spellStart"/>
      <w:r w:rsidRPr="008F01FA">
        <w:rPr>
          <w:rFonts w:ascii="Times New Roman" w:hAnsi="Times New Roman" w:cs="Times New Roman"/>
          <w:color w:val="000000" w:themeColor="text1"/>
          <w:kern w:val="0"/>
          <w:sz w:val="22"/>
          <w:szCs w:val="22"/>
        </w:rPr>
        <w:t>pFDR</w:t>
      </w:r>
      <w:proofErr w:type="spellEnd"/>
      <w:r w:rsidRPr="008F01FA">
        <w:rPr>
          <w:rFonts w:ascii="Times New Roman" w:hAnsi="Times New Roman" w:cs="Times New Roman"/>
          <w:color w:val="000000" w:themeColor="text1"/>
          <w:kern w:val="0"/>
          <w:sz w:val="22"/>
          <w:szCs w:val="22"/>
        </w:rPr>
        <w:t xml:space="preserve"> =.06; Pearson’s </w:t>
      </w:r>
      <w:r w:rsidRPr="008F01FA">
        <w:rPr>
          <w:rFonts w:ascii="Times New Roman" w:hAnsi="Times New Roman" w:cs="Times New Roman"/>
          <w:i/>
          <w:iCs/>
          <w:color w:val="000000" w:themeColor="text1"/>
          <w:kern w:val="0"/>
          <w:sz w:val="22"/>
          <w:szCs w:val="22"/>
        </w:rPr>
        <w:t>r</w:t>
      </w:r>
      <w:r w:rsidRPr="008F01FA">
        <w:rPr>
          <w:rFonts w:ascii="Times New Roman" w:hAnsi="Times New Roman" w:cs="Times New Roman"/>
          <w:color w:val="000000" w:themeColor="text1"/>
          <w:kern w:val="0"/>
          <w:sz w:val="22"/>
          <w:szCs w:val="22"/>
        </w:rPr>
        <w:t xml:space="preserve">= -.48] the more severe the CVH, the more reduced the connectivity. </w:t>
      </w:r>
      <w:r w:rsidRPr="008F01FA">
        <w:rPr>
          <w:rFonts w:ascii="Times New Roman" w:hAnsi="Times New Roman" w:cs="Times New Roman"/>
          <w:color w:val="000000" w:themeColor="text1"/>
          <w:sz w:val="22"/>
          <w:szCs w:val="22"/>
        </w:rPr>
        <w:t xml:space="preserve">The severity of </w:t>
      </w:r>
      <w:r w:rsidRPr="008F01FA">
        <w:rPr>
          <w:rFonts w:ascii="Times New Roman" w:hAnsi="Times New Roman" w:cs="Times New Roman"/>
          <w:color w:val="000000" w:themeColor="text1"/>
          <w:kern w:val="0"/>
          <w:sz w:val="22"/>
          <w:szCs w:val="22"/>
        </w:rPr>
        <w:t>CVH</w:t>
      </w:r>
      <w:r w:rsidRPr="008F01FA">
        <w:rPr>
          <w:rFonts w:ascii="Times New Roman" w:hAnsi="Times New Roman" w:cs="Times New Roman"/>
          <w:color w:val="000000" w:themeColor="text1"/>
          <w:sz w:val="22"/>
          <w:szCs w:val="22"/>
        </w:rPr>
        <w:t xml:space="preserve"> is positively predicted by </w:t>
      </w:r>
      <w:r w:rsidRPr="008F01FA">
        <w:rPr>
          <w:rFonts w:ascii="Times New Roman" w:hAnsi="Times New Roman" w:cs="Times New Roman"/>
          <w:color w:val="000000" w:themeColor="text1"/>
          <w:kern w:val="0"/>
          <w:sz w:val="22"/>
          <w:szCs w:val="22"/>
        </w:rPr>
        <w:t xml:space="preserve">bottom-up connectivity (rV1 </w:t>
      </w:r>
      <w:r w:rsidRPr="008F01FA">
        <w:rPr>
          <w:rFonts w:ascii="Times New Roman" w:hAnsi="Times New Roman" w:cs="Times New Roman"/>
          <w:color w:val="000000" w:themeColor="text1"/>
          <w:kern w:val="0"/>
          <w:sz w:val="22"/>
          <w:szCs w:val="22"/>
        </w:rPr>
        <w:sym w:font="Wingdings" w:char="F0E0"/>
      </w:r>
      <w:r w:rsidRPr="008F01FA">
        <w:rPr>
          <w:rFonts w:ascii="Times New Roman" w:hAnsi="Times New Roman" w:cs="Times New Roman"/>
          <w:color w:val="000000" w:themeColor="text1"/>
          <w:kern w:val="0"/>
          <w:sz w:val="22"/>
          <w:szCs w:val="22"/>
        </w:rPr>
        <w:t xml:space="preserve"> </w:t>
      </w:r>
      <w:proofErr w:type="spellStart"/>
      <w:r w:rsidRPr="008F01FA">
        <w:rPr>
          <w:rFonts w:ascii="Times New Roman" w:hAnsi="Times New Roman" w:cs="Times New Roman"/>
          <w:color w:val="000000" w:themeColor="text1"/>
          <w:kern w:val="0"/>
          <w:sz w:val="22"/>
          <w:szCs w:val="22"/>
        </w:rPr>
        <w:t>rPFC</w:t>
      </w:r>
      <w:proofErr w:type="spellEnd"/>
      <w:r w:rsidRPr="008F01FA">
        <w:rPr>
          <w:rFonts w:ascii="Times New Roman" w:hAnsi="Times New Roman" w:cs="Times New Roman"/>
          <w:color w:val="000000" w:themeColor="text1"/>
          <w:kern w:val="0"/>
          <w:sz w:val="22"/>
          <w:szCs w:val="22"/>
        </w:rPr>
        <w:t>)  [</w:t>
      </w:r>
      <w:r w:rsidRPr="008F01FA">
        <w:rPr>
          <w:rFonts w:ascii="Times New Roman" w:hAnsi="Times New Roman" w:cs="Times New Roman"/>
          <w:i/>
          <w:iCs/>
          <w:color w:val="000000" w:themeColor="text1"/>
          <w:kern w:val="0"/>
          <w:sz w:val="22"/>
          <w:szCs w:val="22"/>
        </w:rPr>
        <w:t>F</w:t>
      </w:r>
      <w:r w:rsidRPr="008F01FA">
        <w:rPr>
          <w:rFonts w:ascii="Times New Roman" w:hAnsi="Times New Roman" w:cs="Times New Roman"/>
          <w:color w:val="000000" w:themeColor="text1"/>
          <w:kern w:val="0"/>
          <w:sz w:val="22"/>
          <w:szCs w:val="22"/>
        </w:rPr>
        <w:t xml:space="preserve">(1,17)=10.27, </w:t>
      </w:r>
      <w:r w:rsidRPr="008F01FA">
        <w:rPr>
          <w:rFonts w:ascii="Times New Roman" w:hAnsi="Times New Roman" w:cs="Times New Roman"/>
          <w:i/>
          <w:iCs/>
          <w:color w:val="000000" w:themeColor="text1"/>
          <w:kern w:val="0"/>
          <w:sz w:val="22"/>
          <w:szCs w:val="22"/>
        </w:rPr>
        <w:t>t</w:t>
      </w:r>
      <w:r w:rsidRPr="008F01FA">
        <w:rPr>
          <w:rFonts w:ascii="Times New Roman" w:hAnsi="Times New Roman" w:cs="Times New Roman"/>
          <w:color w:val="000000" w:themeColor="text1"/>
          <w:kern w:val="0"/>
          <w:sz w:val="22"/>
          <w:szCs w:val="22"/>
        </w:rPr>
        <w:t xml:space="preserve"> = 3.2, </w:t>
      </w:r>
      <w:r w:rsidRPr="008F01FA">
        <w:rPr>
          <w:rFonts w:ascii="Times New Roman" w:hAnsi="Times New Roman" w:cs="Times New Roman"/>
          <w:i/>
          <w:iCs/>
          <w:color w:val="000000" w:themeColor="text1"/>
          <w:kern w:val="0"/>
          <w:sz w:val="22"/>
          <w:szCs w:val="22"/>
        </w:rPr>
        <w:t>R</w:t>
      </w:r>
      <w:r w:rsidRPr="008F01FA">
        <w:rPr>
          <w:rFonts w:ascii="Times New Roman" w:hAnsi="Times New Roman" w:cs="Times New Roman"/>
          <w:i/>
          <w:iCs/>
          <w:color w:val="000000" w:themeColor="text1"/>
          <w:kern w:val="0"/>
          <w:sz w:val="22"/>
          <w:szCs w:val="22"/>
          <w:vertAlign w:val="superscript"/>
        </w:rPr>
        <w:t>2</w:t>
      </w:r>
      <w:r w:rsidRPr="008F01FA">
        <w:rPr>
          <w:rFonts w:ascii="Times New Roman" w:hAnsi="Times New Roman" w:cs="Times New Roman"/>
          <w:color w:val="000000" w:themeColor="text1"/>
          <w:kern w:val="0"/>
          <w:sz w:val="22"/>
          <w:szCs w:val="22"/>
        </w:rPr>
        <w:t xml:space="preserve"> =.38  , CI(0.53, 2.57), </w:t>
      </w:r>
      <w:r w:rsidRPr="008F01FA">
        <w:rPr>
          <w:rFonts w:ascii="Times New Roman" w:hAnsi="Times New Roman" w:cs="Times New Roman"/>
          <w:i/>
          <w:iCs/>
          <w:color w:val="000000" w:themeColor="text1"/>
          <w:kern w:val="0"/>
          <w:sz w:val="22"/>
          <w:szCs w:val="22"/>
        </w:rPr>
        <w:t xml:space="preserve">p </w:t>
      </w:r>
      <w:r w:rsidRPr="008F01FA">
        <w:rPr>
          <w:rFonts w:ascii="Times New Roman" w:hAnsi="Times New Roman" w:cs="Times New Roman"/>
          <w:color w:val="000000" w:themeColor="text1"/>
          <w:kern w:val="0"/>
          <w:sz w:val="22"/>
          <w:szCs w:val="22"/>
        </w:rPr>
        <w:t xml:space="preserve">=.005, </w:t>
      </w:r>
      <w:proofErr w:type="spellStart"/>
      <w:r w:rsidRPr="008F01FA">
        <w:rPr>
          <w:rFonts w:ascii="Times New Roman" w:hAnsi="Times New Roman" w:cs="Times New Roman"/>
          <w:i/>
          <w:iCs/>
          <w:color w:val="000000" w:themeColor="text1"/>
          <w:kern w:val="0"/>
          <w:sz w:val="22"/>
          <w:szCs w:val="22"/>
        </w:rPr>
        <w:t>pFDR</w:t>
      </w:r>
      <w:proofErr w:type="spellEnd"/>
      <w:r w:rsidRPr="008F01FA">
        <w:rPr>
          <w:rFonts w:ascii="Times New Roman" w:hAnsi="Times New Roman" w:cs="Times New Roman"/>
          <w:color w:val="000000" w:themeColor="text1"/>
          <w:kern w:val="0"/>
          <w:sz w:val="22"/>
          <w:szCs w:val="22"/>
        </w:rPr>
        <w:t xml:space="preserve"> = .015; Pearson’s </w:t>
      </w:r>
      <w:r w:rsidRPr="008F01FA">
        <w:rPr>
          <w:rFonts w:ascii="Times New Roman" w:hAnsi="Times New Roman" w:cs="Times New Roman"/>
          <w:i/>
          <w:iCs/>
          <w:color w:val="000000" w:themeColor="text1"/>
          <w:kern w:val="0"/>
          <w:sz w:val="22"/>
          <w:szCs w:val="22"/>
        </w:rPr>
        <w:t>r</w:t>
      </w:r>
      <w:r w:rsidRPr="008F01FA">
        <w:rPr>
          <w:rFonts w:ascii="Times New Roman" w:hAnsi="Times New Roman" w:cs="Times New Roman"/>
          <w:color w:val="000000" w:themeColor="text1"/>
          <w:kern w:val="0"/>
          <w:sz w:val="22"/>
          <w:szCs w:val="22"/>
        </w:rPr>
        <w:t>= .61</w:t>
      </w:r>
      <w:r w:rsidRPr="008F01FA">
        <w:rPr>
          <w:rFonts w:ascii="Times New Roman" w:hAnsi="Times New Roman" w:cs="Times New Roman"/>
          <w:color w:val="000000" w:themeColor="text1"/>
          <w:sz w:val="22"/>
          <w:szCs w:val="22"/>
        </w:rPr>
        <w:t xml:space="preserve">] and rV1 </w:t>
      </w:r>
      <w:r w:rsidRPr="008F01FA">
        <w:rPr>
          <w:rFonts w:ascii="Times New Roman" w:hAnsi="Times New Roman" w:cs="Times New Roman"/>
          <w:color w:val="000000" w:themeColor="text1"/>
          <w:sz w:val="22"/>
          <w:szCs w:val="22"/>
        </w:rPr>
        <w:sym w:font="Wingdings" w:char="F0E0"/>
      </w:r>
      <w:r w:rsidRPr="008F01FA">
        <w:rPr>
          <w:rFonts w:ascii="Times New Roman" w:hAnsi="Times New Roman" w:cs="Times New Roman"/>
          <w:color w:val="000000" w:themeColor="text1"/>
          <w:sz w:val="22"/>
          <w:szCs w:val="22"/>
        </w:rPr>
        <w:t xml:space="preserve"> </w:t>
      </w:r>
      <w:proofErr w:type="spellStart"/>
      <w:r w:rsidRPr="008F01FA">
        <w:rPr>
          <w:rFonts w:ascii="Times New Roman" w:hAnsi="Times New Roman" w:cs="Times New Roman"/>
          <w:color w:val="000000" w:themeColor="text1"/>
          <w:sz w:val="22"/>
          <w:szCs w:val="22"/>
        </w:rPr>
        <w:t>rITG</w:t>
      </w:r>
      <w:proofErr w:type="spellEnd"/>
      <w:r w:rsidRPr="008F01FA">
        <w:rPr>
          <w:rFonts w:ascii="Times New Roman" w:hAnsi="Times New Roman" w:cs="Times New Roman"/>
          <w:color w:val="000000" w:themeColor="text1"/>
          <w:sz w:val="22"/>
          <w:szCs w:val="22"/>
        </w:rPr>
        <w:t xml:space="preserve"> </w:t>
      </w:r>
      <w:r w:rsidRPr="008F01FA">
        <w:rPr>
          <w:rFonts w:ascii="Times New Roman" w:hAnsi="Times New Roman" w:cs="Times New Roman"/>
          <w:color w:val="000000" w:themeColor="text1"/>
          <w:kern w:val="0"/>
          <w:sz w:val="22"/>
          <w:szCs w:val="22"/>
        </w:rPr>
        <w:t>[</w:t>
      </w:r>
      <w:r w:rsidRPr="008F01FA">
        <w:rPr>
          <w:rFonts w:ascii="Times New Roman" w:hAnsi="Times New Roman" w:cs="Times New Roman"/>
          <w:i/>
          <w:iCs/>
          <w:color w:val="000000" w:themeColor="text1"/>
          <w:kern w:val="0"/>
          <w:sz w:val="22"/>
          <w:szCs w:val="22"/>
        </w:rPr>
        <w:t>F</w:t>
      </w:r>
      <w:r w:rsidRPr="008F01FA">
        <w:rPr>
          <w:rFonts w:ascii="Times New Roman" w:hAnsi="Times New Roman" w:cs="Times New Roman"/>
          <w:color w:val="000000" w:themeColor="text1"/>
          <w:kern w:val="0"/>
          <w:sz w:val="22"/>
          <w:szCs w:val="22"/>
        </w:rPr>
        <w:t xml:space="preserve">(1,17)=11.38, </w:t>
      </w:r>
      <w:r w:rsidRPr="008F01FA">
        <w:rPr>
          <w:rFonts w:ascii="Times New Roman" w:hAnsi="Times New Roman" w:cs="Times New Roman"/>
          <w:i/>
          <w:iCs/>
          <w:color w:val="000000" w:themeColor="text1"/>
          <w:kern w:val="0"/>
          <w:sz w:val="22"/>
          <w:szCs w:val="22"/>
        </w:rPr>
        <w:t>t</w:t>
      </w:r>
      <w:r w:rsidRPr="008F01FA">
        <w:rPr>
          <w:rFonts w:ascii="Times New Roman" w:hAnsi="Times New Roman" w:cs="Times New Roman"/>
          <w:color w:val="000000" w:themeColor="text1"/>
          <w:kern w:val="0"/>
          <w:sz w:val="22"/>
          <w:szCs w:val="22"/>
        </w:rPr>
        <w:t xml:space="preserve"> = 3.37, </w:t>
      </w:r>
      <w:r w:rsidRPr="008F01FA">
        <w:rPr>
          <w:rFonts w:ascii="Times New Roman" w:hAnsi="Times New Roman" w:cs="Times New Roman"/>
          <w:i/>
          <w:iCs/>
          <w:color w:val="000000" w:themeColor="text1"/>
          <w:kern w:val="0"/>
          <w:sz w:val="22"/>
          <w:szCs w:val="22"/>
        </w:rPr>
        <w:t>R</w:t>
      </w:r>
      <w:r w:rsidRPr="008F01FA">
        <w:rPr>
          <w:rFonts w:ascii="Times New Roman" w:hAnsi="Times New Roman" w:cs="Times New Roman"/>
          <w:i/>
          <w:iCs/>
          <w:color w:val="000000" w:themeColor="text1"/>
          <w:kern w:val="0"/>
          <w:sz w:val="22"/>
          <w:szCs w:val="22"/>
          <w:vertAlign w:val="superscript"/>
        </w:rPr>
        <w:t>2</w:t>
      </w:r>
      <w:r w:rsidRPr="008F01FA">
        <w:rPr>
          <w:rFonts w:ascii="Times New Roman" w:hAnsi="Times New Roman" w:cs="Times New Roman"/>
          <w:i/>
          <w:iCs/>
          <w:color w:val="000000" w:themeColor="text1"/>
          <w:kern w:val="0"/>
          <w:sz w:val="22"/>
          <w:szCs w:val="22"/>
        </w:rPr>
        <w:t xml:space="preserve"> </w:t>
      </w:r>
      <w:r w:rsidRPr="008F01FA">
        <w:rPr>
          <w:rFonts w:ascii="Times New Roman" w:hAnsi="Times New Roman" w:cs="Times New Roman"/>
          <w:color w:val="000000" w:themeColor="text1"/>
          <w:kern w:val="0"/>
          <w:sz w:val="22"/>
          <w:szCs w:val="22"/>
        </w:rPr>
        <w:t xml:space="preserve">=.4  , CI(0.44, 1.91), </w:t>
      </w:r>
      <w:r w:rsidRPr="008F01FA">
        <w:rPr>
          <w:rFonts w:ascii="Times New Roman" w:hAnsi="Times New Roman" w:cs="Times New Roman"/>
          <w:i/>
          <w:iCs/>
          <w:color w:val="000000" w:themeColor="text1"/>
          <w:kern w:val="0"/>
          <w:sz w:val="22"/>
          <w:szCs w:val="22"/>
        </w:rPr>
        <w:t>p</w:t>
      </w:r>
      <w:r w:rsidRPr="008F01FA">
        <w:rPr>
          <w:rFonts w:ascii="Times New Roman" w:hAnsi="Times New Roman" w:cs="Times New Roman"/>
          <w:color w:val="000000" w:themeColor="text1"/>
          <w:kern w:val="0"/>
          <w:sz w:val="22"/>
          <w:szCs w:val="22"/>
        </w:rPr>
        <w:t xml:space="preserve"> =.003, </w:t>
      </w:r>
      <w:proofErr w:type="spellStart"/>
      <w:r w:rsidRPr="008F01FA">
        <w:rPr>
          <w:rFonts w:ascii="Times New Roman" w:hAnsi="Times New Roman" w:cs="Times New Roman"/>
          <w:i/>
          <w:iCs/>
          <w:color w:val="000000" w:themeColor="text1"/>
          <w:kern w:val="0"/>
          <w:sz w:val="22"/>
          <w:szCs w:val="22"/>
        </w:rPr>
        <w:t>pFDR</w:t>
      </w:r>
      <w:proofErr w:type="spellEnd"/>
      <w:r w:rsidRPr="008F01FA">
        <w:rPr>
          <w:rFonts w:ascii="Times New Roman" w:hAnsi="Times New Roman" w:cs="Times New Roman"/>
          <w:color w:val="000000" w:themeColor="text1"/>
          <w:kern w:val="0"/>
          <w:sz w:val="22"/>
          <w:szCs w:val="22"/>
        </w:rPr>
        <w:t xml:space="preserve"> = .015; Pearson’s </w:t>
      </w:r>
      <w:r w:rsidRPr="008F01FA">
        <w:rPr>
          <w:rFonts w:ascii="Times New Roman" w:hAnsi="Times New Roman" w:cs="Times New Roman"/>
          <w:i/>
          <w:iCs/>
          <w:color w:val="000000" w:themeColor="text1"/>
          <w:kern w:val="0"/>
          <w:sz w:val="22"/>
          <w:szCs w:val="22"/>
        </w:rPr>
        <w:t>r</w:t>
      </w:r>
      <w:r w:rsidRPr="008F01FA">
        <w:rPr>
          <w:rFonts w:ascii="Times New Roman" w:hAnsi="Times New Roman" w:cs="Times New Roman"/>
          <w:color w:val="000000" w:themeColor="text1"/>
          <w:kern w:val="0"/>
          <w:sz w:val="22"/>
          <w:szCs w:val="22"/>
        </w:rPr>
        <w:t>= .44] (all analyses underwent outlier detection with Cook’s distance).MH severity correlates negatively with connectivity (decreased in PD-VH) from left PFC to left V1 [</w:t>
      </w:r>
      <w:r w:rsidRPr="008F01FA">
        <w:rPr>
          <w:rFonts w:ascii="Times New Roman" w:hAnsi="Times New Roman" w:cs="Times New Roman"/>
          <w:i/>
          <w:iCs/>
          <w:color w:val="000000" w:themeColor="text1"/>
          <w:kern w:val="0"/>
          <w:sz w:val="22"/>
          <w:szCs w:val="22"/>
        </w:rPr>
        <w:t>F</w:t>
      </w:r>
      <w:r w:rsidRPr="008F01FA">
        <w:rPr>
          <w:rFonts w:ascii="Times New Roman" w:hAnsi="Times New Roman" w:cs="Times New Roman"/>
          <w:color w:val="000000" w:themeColor="text1"/>
          <w:kern w:val="0"/>
          <w:sz w:val="22"/>
          <w:szCs w:val="22"/>
        </w:rPr>
        <w:t xml:space="preserve">(1,17)=8.15, </w:t>
      </w:r>
      <w:r w:rsidRPr="008F01FA">
        <w:rPr>
          <w:rFonts w:ascii="Times New Roman" w:hAnsi="Times New Roman" w:cs="Times New Roman"/>
          <w:i/>
          <w:iCs/>
          <w:color w:val="000000" w:themeColor="text1"/>
          <w:kern w:val="0"/>
          <w:sz w:val="22"/>
          <w:szCs w:val="22"/>
        </w:rPr>
        <w:t>t</w:t>
      </w:r>
      <w:r w:rsidRPr="008F01FA">
        <w:rPr>
          <w:rFonts w:ascii="Times New Roman" w:hAnsi="Times New Roman" w:cs="Times New Roman"/>
          <w:color w:val="000000" w:themeColor="text1"/>
          <w:kern w:val="0"/>
          <w:sz w:val="22"/>
          <w:szCs w:val="22"/>
        </w:rPr>
        <w:t xml:space="preserve"> = -2.85, </w:t>
      </w:r>
      <w:r w:rsidRPr="008F01FA">
        <w:rPr>
          <w:rFonts w:ascii="Times New Roman" w:hAnsi="Times New Roman" w:cs="Times New Roman"/>
          <w:i/>
          <w:iCs/>
          <w:color w:val="000000" w:themeColor="text1"/>
          <w:kern w:val="0"/>
          <w:sz w:val="22"/>
          <w:szCs w:val="22"/>
        </w:rPr>
        <w:t>R</w:t>
      </w:r>
      <w:r w:rsidRPr="008F01FA">
        <w:rPr>
          <w:rFonts w:ascii="Times New Roman" w:hAnsi="Times New Roman" w:cs="Times New Roman"/>
          <w:i/>
          <w:iCs/>
          <w:color w:val="000000" w:themeColor="text1"/>
          <w:kern w:val="0"/>
          <w:sz w:val="22"/>
          <w:szCs w:val="22"/>
          <w:vertAlign w:val="superscript"/>
        </w:rPr>
        <w:t>2</w:t>
      </w:r>
      <w:r w:rsidRPr="008F01FA">
        <w:rPr>
          <w:rFonts w:ascii="Times New Roman" w:hAnsi="Times New Roman" w:cs="Times New Roman"/>
          <w:color w:val="000000" w:themeColor="text1"/>
          <w:kern w:val="0"/>
          <w:sz w:val="22"/>
          <w:szCs w:val="22"/>
        </w:rPr>
        <w:t xml:space="preserve"> = .32,  CI(-17.29, -2.57) </w:t>
      </w:r>
      <w:r w:rsidRPr="008F01FA">
        <w:rPr>
          <w:rFonts w:ascii="Times New Roman" w:hAnsi="Times New Roman" w:cs="Times New Roman"/>
          <w:i/>
          <w:iCs/>
          <w:color w:val="000000" w:themeColor="text1"/>
          <w:kern w:val="0"/>
          <w:sz w:val="22"/>
          <w:szCs w:val="22"/>
        </w:rPr>
        <w:t>p</w:t>
      </w:r>
      <w:r w:rsidRPr="008F01FA">
        <w:rPr>
          <w:rFonts w:ascii="Times New Roman" w:hAnsi="Times New Roman" w:cs="Times New Roman"/>
          <w:color w:val="000000" w:themeColor="text1"/>
          <w:kern w:val="0"/>
          <w:sz w:val="22"/>
          <w:szCs w:val="22"/>
        </w:rPr>
        <w:t xml:space="preserve">=.011, Pearson’s </w:t>
      </w:r>
      <w:r w:rsidRPr="008F01FA">
        <w:rPr>
          <w:rFonts w:ascii="Times New Roman" w:hAnsi="Times New Roman" w:cs="Times New Roman"/>
          <w:i/>
          <w:iCs/>
          <w:color w:val="000000" w:themeColor="text1"/>
          <w:kern w:val="0"/>
          <w:sz w:val="22"/>
          <w:szCs w:val="22"/>
        </w:rPr>
        <w:t>r</w:t>
      </w:r>
      <w:r w:rsidRPr="008F01FA">
        <w:rPr>
          <w:rFonts w:ascii="Times New Roman" w:hAnsi="Times New Roman" w:cs="Times New Roman"/>
          <w:color w:val="000000" w:themeColor="text1"/>
          <w:kern w:val="0"/>
          <w:sz w:val="22"/>
          <w:szCs w:val="22"/>
        </w:rPr>
        <w:t xml:space="preserve">= -.31, </w:t>
      </w:r>
      <w:proofErr w:type="spellStart"/>
      <w:r w:rsidRPr="008F01FA">
        <w:rPr>
          <w:rFonts w:ascii="Times New Roman" w:hAnsi="Times New Roman" w:cs="Times New Roman"/>
          <w:i/>
          <w:iCs/>
          <w:color w:val="000000" w:themeColor="text1"/>
          <w:kern w:val="0"/>
          <w:sz w:val="22"/>
          <w:szCs w:val="22"/>
        </w:rPr>
        <w:t>pFDR</w:t>
      </w:r>
      <w:proofErr w:type="spellEnd"/>
      <w:r w:rsidRPr="008F01FA">
        <w:rPr>
          <w:rFonts w:ascii="Times New Roman" w:hAnsi="Times New Roman" w:cs="Times New Roman"/>
          <w:color w:val="000000" w:themeColor="text1"/>
          <w:kern w:val="0"/>
          <w:sz w:val="22"/>
          <w:szCs w:val="22"/>
        </w:rPr>
        <w:t xml:space="preserve"> &lt;.1]. Baseline matrix results are in part reported in Figure 4D and in detail in SI7, together with details on MH subtypes. </w:t>
      </w:r>
    </w:p>
    <w:p w14:paraId="16D1BC52" w14:textId="77777777" w:rsidR="00752E6F" w:rsidRDefault="00752E6F" w:rsidP="00752E6F">
      <w:pPr>
        <w:spacing w:line="360" w:lineRule="auto"/>
        <w:jc w:val="both"/>
        <w:rPr>
          <w:rFonts w:ascii="Times New Roman" w:hAnsi="Times New Roman" w:cs="Times New Roman"/>
          <w:b/>
          <w:bCs/>
          <w:i/>
          <w:iCs/>
          <w:color w:val="000000" w:themeColor="text1"/>
          <w:sz w:val="22"/>
          <w:szCs w:val="22"/>
        </w:rPr>
      </w:pPr>
    </w:p>
    <w:p w14:paraId="07325BA0" w14:textId="77777777" w:rsidR="00752E6F" w:rsidRPr="008F01FA" w:rsidRDefault="00752E6F" w:rsidP="00752E6F">
      <w:pPr>
        <w:spacing w:line="360" w:lineRule="auto"/>
        <w:jc w:val="both"/>
        <w:rPr>
          <w:rFonts w:ascii="Times New Roman" w:eastAsia="Times" w:hAnsi="Times New Roman" w:cs="Times New Roman"/>
          <w:color w:val="000000" w:themeColor="text1"/>
          <w:sz w:val="22"/>
          <w:szCs w:val="22"/>
        </w:rPr>
      </w:pPr>
      <w:r>
        <w:rPr>
          <w:rFonts w:ascii="Times New Roman" w:hAnsi="Times New Roman" w:cs="Times New Roman"/>
          <w:b/>
          <w:bCs/>
          <w:i/>
          <w:iCs/>
          <w:color w:val="000000" w:themeColor="text1"/>
          <w:sz w:val="22"/>
          <w:szCs w:val="22"/>
        </w:rPr>
        <w:t>M</w:t>
      </w:r>
      <w:r w:rsidRPr="008F01FA">
        <w:rPr>
          <w:rFonts w:ascii="Times New Roman" w:hAnsi="Times New Roman" w:cs="Times New Roman"/>
          <w:b/>
          <w:bCs/>
          <w:i/>
          <w:iCs/>
          <w:color w:val="000000" w:themeColor="text1"/>
          <w:sz w:val="22"/>
          <w:szCs w:val="22"/>
        </w:rPr>
        <w:t xml:space="preserve">atrix A (baseline). </w:t>
      </w:r>
      <w:r w:rsidRPr="008F01FA">
        <w:rPr>
          <w:rFonts w:ascii="Times New Roman" w:eastAsia="Times" w:hAnsi="Times New Roman" w:cs="Times New Roman"/>
          <w:color w:val="000000" w:themeColor="text1"/>
          <w:sz w:val="22"/>
          <w:szCs w:val="22"/>
        </w:rPr>
        <w:t>When exploring this relationship for the baseline (A) matrix, we found that connectivity (increased in PD-VH) from to right V left V1 positively correlates with complex VH [F(1,16)=</w:t>
      </w:r>
      <w:r w:rsidRPr="008F01FA">
        <w:rPr>
          <w:rFonts w:ascii="Times New Roman" w:eastAsia="Times" w:hAnsi="Times New Roman" w:cs="Times New Roman"/>
          <w:sz w:val="22"/>
          <w:szCs w:val="22"/>
        </w:rPr>
        <w:t xml:space="preserve"> 6.525</w:t>
      </w:r>
      <w:r w:rsidRPr="008F01FA">
        <w:rPr>
          <w:rFonts w:ascii="Times New Roman" w:eastAsia="Times" w:hAnsi="Times New Roman" w:cs="Times New Roman"/>
          <w:color w:val="000000" w:themeColor="text1"/>
          <w:sz w:val="22"/>
          <w:szCs w:val="22"/>
        </w:rPr>
        <w:t xml:space="preserve"> , t = 2.55, p =.02, CI (</w:t>
      </w:r>
      <w:r w:rsidRPr="008F01FA">
        <w:rPr>
          <w:rFonts w:ascii="Times New Roman" w:eastAsia="Times" w:hAnsi="Times New Roman" w:cs="Times New Roman"/>
          <w:sz w:val="22"/>
          <w:szCs w:val="22"/>
        </w:rPr>
        <w:t>0.089</w:t>
      </w:r>
      <w:r w:rsidRPr="008F01FA">
        <w:rPr>
          <w:rFonts w:ascii="Times New Roman" w:eastAsia="Times" w:hAnsi="Times New Roman" w:cs="Times New Roman"/>
          <w:color w:val="000000" w:themeColor="text1"/>
          <w:sz w:val="22"/>
          <w:szCs w:val="22"/>
        </w:rPr>
        <w:t>, 0.96), Pearson’s r= .53,</w:t>
      </w:r>
      <w:r w:rsidRPr="008F01FA">
        <w:rPr>
          <w:rFonts w:ascii="Times New Roman" w:eastAsia="Times" w:hAnsi="Times New Roman" w:cs="Times New Roman"/>
          <w:i/>
          <w:iCs/>
          <w:color w:val="000000" w:themeColor="text1"/>
          <w:sz w:val="22"/>
          <w:szCs w:val="22"/>
        </w:rPr>
        <w:t xml:space="preserve"> </w:t>
      </w:r>
      <w:proofErr w:type="spellStart"/>
      <w:r w:rsidRPr="008F01FA">
        <w:rPr>
          <w:rFonts w:ascii="Times New Roman" w:eastAsia="Times" w:hAnsi="Times New Roman" w:cs="Times New Roman"/>
          <w:i/>
          <w:iCs/>
          <w:color w:val="000000" w:themeColor="text1"/>
          <w:sz w:val="22"/>
          <w:szCs w:val="22"/>
        </w:rPr>
        <w:t>p</w:t>
      </w:r>
      <w:r w:rsidRPr="008F01FA">
        <w:rPr>
          <w:rFonts w:ascii="Times New Roman" w:eastAsia="Times" w:hAnsi="Times New Roman" w:cs="Times New Roman"/>
          <w:color w:val="000000" w:themeColor="text1"/>
          <w:sz w:val="22"/>
          <w:szCs w:val="22"/>
        </w:rPr>
        <w:t>FDR</w:t>
      </w:r>
      <w:proofErr w:type="spellEnd"/>
      <w:r w:rsidRPr="008F01FA">
        <w:rPr>
          <w:rFonts w:ascii="Times New Roman" w:eastAsia="Times" w:hAnsi="Times New Roman" w:cs="Times New Roman"/>
          <w:color w:val="000000" w:themeColor="text1"/>
          <w:sz w:val="22"/>
          <w:szCs w:val="22"/>
        </w:rPr>
        <w:t xml:space="preserve"> = .1] and a trend from leftV1 to right V1 [F(1,16)=</w:t>
      </w:r>
      <w:r w:rsidRPr="008F01FA">
        <w:rPr>
          <w:rFonts w:ascii="Times New Roman" w:eastAsia="Times" w:hAnsi="Times New Roman" w:cs="Times New Roman"/>
          <w:sz w:val="22"/>
          <w:szCs w:val="22"/>
        </w:rPr>
        <w:t xml:space="preserve"> 6.525</w:t>
      </w:r>
      <w:r w:rsidRPr="008F01FA">
        <w:rPr>
          <w:rFonts w:ascii="Times New Roman" w:eastAsia="Times" w:hAnsi="Times New Roman" w:cs="Times New Roman"/>
          <w:color w:val="000000" w:themeColor="text1"/>
          <w:sz w:val="22"/>
          <w:szCs w:val="22"/>
        </w:rPr>
        <w:t xml:space="preserve"> , t = 2.05, p =.05, CI (</w:t>
      </w:r>
      <w:r w:rsidRPr="008F01FA">
        <w:rPr>
          <w:rFonts w:ascii="Times New Roman" w:eastAsia="Times" w:hAnsi="Times New Roman" w:cs="Times New Roman"/>
          <w:sz w:val="22"/>
          <w:szCs w:val="22"/>
        </w:rPr>
        <w:t>-0.04</w:t>
      </w:r>
      <w:r w:rsidRPr="008F01FA">
        <w:rPr>
          <w:rFonts w:ascii="Times New Roman" w:eastAsia="Times" w:hAnsi="Times New Roman" w:cs="Times New Roman"/>
          <w:color w:val="000000" w:themeColor="text1"/>
          <w:sz w:val="22"/>
          <w:szCs w:val="22"/>
        </w:rPr>
        <w:t>, 2.85; note the CI crosses the zero thus we do not consider this a robust result), Pearson’s r= .45,</w:t>
      </w:r>
      <w:r w:rsidRPr="008F01FA">
        <w:rPr>
          <w:rFonts w:ascii="Times New Roman" w:eastAsia="Times" w:hAnsi="Times New Roman" w:cs="Times New Roman"/>
          <w:i/>
          <w:iCs/>
          <w:color w:val="000000" w:themeColor="text1"/>
          <w:sz w:val="22"/>
          <w:szCs w:val="22"/>
        </w:rPr>
        <w:t xml:space="preserve"> </w:t>
      </w:r>
      <w:proofErr w:type="spellStart"/>
      <w:r w:rsidRPr="008F01FA">
        <w:rPr>
          <w:rFonts w:ascii="Times New Roman" w:eastAsia="Times" w:hAnsi="Times New Roman" w:cs="Times New Roman"/>
          <w:i/>
          <w:iCs/>
          <w:color w:val="000000" w:themeColor="text1"/>
          <w:sz w:val="22"/>
          <w:szCs w:val="22"/>
        </w:rPr>
        <w:t>p</w:t>
      </w:r>
      <w:r w:rsidRPr="008F01FA">
        <w:rPr>
          <w:rFonts w:ascii="Times New Roman" w:eastAsia="Times" w:hAnsi="Times New Roman" w:cs="Times New Roman"/>
          <w:color w:val="000000" w:themeColor="text1"/>
          <w:sz w:val="22"/>
          <w:szCs w:val="22"/>
        </w:rPr>
        <w:t>FDR</w:t>
      </w:r>
      <w:proofErr w:type="spellEnd"/>
      <w:r w:rsidRPr="008F01FA">
        <w:rPr>
          <w:rFonts w:ascii="Times New Roman" w:eastAsia="Times" w:hAnsi="Times New Roman" w:cs="Times New Roman"/>
          <w:color w:val="000000" w:themeColor="text1"/>
          <w:sz w:val="22"/>
          <w:szCs w:val="22"/>
        </w:rPr>
        <w:t xml:space="preserve"> = .2]. </w:t>
      </w:r>
    </w:p>
    <w:p w14:paraId="31F1C7B1" w14:textId="77777777" w:rsidR="00752E6F" w:rsidRPr="008F01FA" w:rsidRDefault="00752E6F" w:rsidP="00752E6F">
      <w:pPr>
        <w:spacing w:line="360" w:lineRule="auto"/>
        <w:jc w:val="both"/>
        <w:rPr>
          <w:rFonts w:ascii="Times New Roman" w:eastAsia="Times" w:hAnsi="Times New Roman" w:cs="Times New Roman"/>
          <w:color w:val="000000" w:themeColor="text1"/>
          <w:sz w:val="22"/>
          <w:szCs w:val="22"/>
        </w:rPr>
      </w:pPr>
      <w:r w:rsidRPr="008F01FA">
        <w:rPr>
          <w:rFonts w:ascii="Times New Roman" w:eastAsia="Times" w:hAnsi="Times New Roman" w:cs="Times New Roman"/>
          <w:color w:val="000000" w:themeColor="text1"/>
          <w:sz w:val="22"/>
          <w:szCs w:val="22"/>
        </w:rPr>
        <w:t xml:space="preserve">No significant results are found for minor VH upon outlier removal. </w:t>
      </w:r>
    </w:p>
    <w:p w14:paraId="23869E7B" w14:textId="77777777" w:rsidR="00752E6F" w:rsidRPr="008F01FA" w:rsidRDefault="00752E6F" w:rsidP="00752E6F">
      <w:pPr>
        <w:autoSpaceDE w:val="0"/>
        <w:autoSpaceDN w:val="0"/>
        <w:adjustRightInd w:val="0"/>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We also computed an exploratory multimodal hallucination score using the data provided by the SAPS-PD questionnaire. Multimodality correlates with increased connectivity from left V1 to PFC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1,</w:t>
      </w:r>
      <w:proofErr w:type="gramStart"/>
      <w:r w:rsidRPr="008F01FA">
        <w:rPr>
          <w:rFonts w:ascii="Times New Roman" w:hAnsi="Times New Roman" w:cs="Times New Roman"/>
          <w:color w:val="000000" w:themeColor="text1"/>
          <w:sz w:val="22"/>
          <w:szCs w:val="22"/>
        </w:rPr>
        <w:t>17)=</w:t>
      </w:r>
      <w:proofErr w:type="gramEnd"/>
      <w:r w:rsidRPr="008F01FA">
        <w:rPr>
          <w:rFonts w:ascii="Times New Roman" w:hAnsi="Times New Roman" w:cs="Times New Roman"/>
          <w:color w:val="000000" w:themeColor="text1"/>
          <w:sz w:val="22"/>
          <w:szCs w:val="22"/>
        </w:rPr>
        <w:t xml:space="preserve">15.37, t = </w:t>
      </w:r>
      <w:r w:rsidRPr="008F01FA">
        <w:rPr>
          <w:rFonts w:ascii="Times New Roman" w:eastAsia="Helvetica Neue" w:hAnsi="Times New Roman" w:cs="Times New Roman"/>
          <w:sz w:val="22"/>
          <w:szCs w:val="22"/>
        </w:rPr>
        <w:t>3.920</w:t>
      </w:r>
      <w:r w:rsidRPr="008F01FA">
        <w:rPr>
          <w:rFonts w:ascii="Times New Roman" w:hAnsi="Times New Roman" w:cs="Times New Roman"/>
          <w:color w:val="000000" w:themeColor="text1"/>
          <w:sz w:val="22"/>
          <w:szCs w:val="22"/>
        </w:rPr>
        <w:t xml:space="preserve">, p =.001, </w:t>
      </w:r>
      <w:proofErr w:type="spellStart"/>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FDR</w:t>
      </w:r>
      <w:proofErr w:type="spellEnd"/>
      <w:r w:rsidRPr="008F01FA">
        <w:rPr>
          <w:rFonts w:ascii="Times New Roman" w:hAnsi="Times New Roman" w:cs="Times New Roman"/>
          <w:color w:val="000000" w:themeColor="text1"/>
          <w:sz w:val="22"/>
          <w:szCs w:val="22"/>
        </w:rPr>
        <w:t xml:space="preserve"> = .01, CI (1.23, 4.11), Pearson’s r= .69]. When visually inspecting hallucinations modality, we see that all patients have VH, and most of the patients who hallucinate in other sensory domains have auditory ones (only one patient, who had tactile hallucinations, also had olfactory) (Figure 6b, c and d). </w:t>
      </w:r>
    </w:p>
    <w:p w14:paraId="7E7A8B9A" w14:textId="77777777" w:rsidR="00752E6F" w:rsidRPr="008F01FA" w:rsidRDefault="00752E6F" w:rsidP="00752E6F">
      <w:pPr>
        <w:autoSpaceDE w:val="0"/>
        <w:autoSpaceDN w:val="0"/>
        <w:adjustRightInd w:val="0"/>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For all models one (and the same) outlier was removed using Cook’s distance (correlations were significant before outlier removal and remained significant after).</w:t>
      </w:r>
    </w:p>
    <w:p w14:paraId="3E4A989E"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To explore minor VH subtypes (passage, presence and pareidolia), we ran the same type of models. For what concerns the MMN task (matrix B), we only found presence VH being predicted by LPFC to LV1 (decreased in PD-VH)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1,</w:t>
      </w:r>
      <w:proofErr w:type="gramStart"/>
      <w:r w:rsidRPr="008F01FA">
        <w:rPr>
          <w:rFonts w:ascii="Times New Roman" w:hAnsi="Times New Roman" w:cs="Times New Roman"/>
          <w:color w:val="000000" w:themeColor="text1"/>
          <w:sz w:val="22"/>
          <w:szCs w:val="22"/>
        </w:rPr>
        <w:t>18)=</w:t>
      </w:r>
      <w:proofErr w:type="gramEnd"/>
      <w:r w:rsidRPr="008F01FA">
        <w:rPr>
          <w:rFonts w:ascii="Times New Roman" w:hAnsi="Times New Roman" w:cs="Times New Roman"/>
          <w:color w:val="000000" w:themeColor="text1"/>
          <w:sz w:val="22"/>
          <w:szCs w:val="22"/>
        </w:rPr>
        <w:t>5.04, 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.22, p=.037, </w:t>
      </w:r>
      <w:proofErr w:type="spellStart"/>
      <w:r w:rsidRPr="008F01FA">
        <w:rPr>
          <w:rFonts w:ascii="Times New Roman" w:hAnsi="Times New Roman" w:cs="Times New Roman"/>
          <w:color w:val="000000" w:themeColor="text1"/>
          <w:sz w:val="22"/>
          <w:szCs w:val="22"/>
        </w:rPr>
        <w:t>pFDR</w:t>
      </w:r>
      <w:proofErr w:type="spellEnd"/>
      <w:r w:rsidRPr="008F01FA">
        <w:rPr>
          <w:rFonts w:ascii="Times New Roman" w:hAnsi="Times New Roman" w:cs="Times New Roman"/>
          <w:color w:val="000000" w:themeColor="text1"/>
          <w:sz w:val="22"/>
          <w:szCs w:val="22"/>
        </w:rPr>
        <w:t xml:space="preserve"> &gt; .05] so the lower the connectivity the </w:t>
      </w:r>
      <w:r w:rsidRPr="008F01FA">
        <w:rPr>
          <w:rFonts w:ascii="Times New Roman" w:hAnsi="Times New Roman" w:cs="Times New Roman"/>
          <w:color w:val="000000" w:themeColor="text1"/>
          <w:sz w:val="22"/>
          <w:szCs w:val="22"/>
        </w:rPr>
        <w:lastRenderedPageBreak/>
        <w:t>higher the severity scores, however upon outlier removal the model is no longer significant. For pareidolia we find a positive relationship with increased connectivity from RV1 to RITG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1,</w:t>
      </w:r>
      <w:proofErr w:type="gramStart"/>
      <w:r w:rsidRPr="008F01FA">
        <w:rPr>
          <w:rFonts w:ascii="Times New Roman" w:hAnsi="Times New Roman" w:cs="Times New Roman"/>
          <w:color w:val="000000" w:themeColor="text1"/>
          <w:sz w:val="22"/>
          <w:szCs w:val="22"/>
        </w:rPr>
        <w:t>18)=</w:t>
      </w:r>
      <w:proofErr w:type="gramEnd"/>
      <w:r w:rsidRPr="008F01FA">
        <w:rPr>
          <w:rFonts w:ascii="Times New Roman" w:hAnsi="Times New Roman" w:cs="Times New Roman"/>
          <w:color w:val="000000" w:themeColor="text1"/>
          <w:sz w:val="22"/>
          <w:szCs w:val="22"/>
        </w:rPr>
        <w:t>5.57, 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.24, p=.03, </w:t>
      </w:r>
      <w:proofErr w:type="spellStart"/>
      <w:r w:rsidRPr="008F01FA">
        <w:rPr>
          <w:rFonts w:ascii="Times New Roman" w:hAnsi="Times New Roman" w:cs="Times New Roman"/>
          <w:color w:val="000000" w:themeColor="text1"/>
          <w:sz w:val="22"/>
          <w:szCs w:val="22"/>
        </w:rPr>
        <w:t>pFDR</w:t>
      </w:r>
      <w:proofErr w:type="spellEnd"/>
      <w:r w:rsidRPr="008F01FA">
        <w:rPr>
          <w:rFonts w:ascii="Times New Roman" w:hAnsi="Times New Roman" w:cs="Times New Roman"/>
          <w:color w:val="000000" w:themeColor="text1"/>
          <w:sz w:val="22"/>
          <w:szCs w:val="22"/>
        </w:rPr>
        <w:t xml:space="preserve"> &gt; .05], however after removing one outlier this is no longer the case.  For the baseline matrix we find a positive relationship with increased cross-hemispheric connectivity from left </w:t>
      </w:r>
      <w:proofErr w:type="spellStart"/>
      <w:r w:rsidRPr="008F01FA">
        <w:rPr>
          <w:rFonts w:ascii="Times New Roman" w:hAnsi="Times New Roman" w:cs="Times New Roman"/>
          <w:color w:val="000000" w:themeColor="text1"/>
          <w:sz w:val="22"/>
          <w:szCs w:val="22"/>
        </w:rPr>
        <w:t>ot</w:t>
      </w:r>
      <w:proofErr w:type="spellEnd"/>
      <w:r w:rsidRPr="008F01FA">
        <w:rPr>
          <w:rFonts w:ascii="Times New Roman" w:hAnsi="Times New Roman" w:cs="Times New Roman"/>
          <w:color w:val="000000" w:themeColor="text1"/>
          <w:sz w:val="22"/>
          <w:szCs w:val="22"/>
        </w:rPr>
        <w:t xml:space="preserve"> right V1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1,</w:t>
      </w:r>
      <w:proofErr w:type="gramStart"/>
      <w:r w:rsidRPr="008F01FA">
        <w:rPr>
          <w:rFonts w:ascii="Times New Roman" w:hAnsi="Times New Roman" w:cs="Times New Roman"/>
          <w:color w:val="000000" w:themeColor="text1"/>
          <w:sz w:val="22"/>
          <w:szCs w:val="22"/>
        </w:rPr>
        <w:t>18)=</w:t>
      </w:r>
      <w:proofErr w:type="gramEnd"/>
      <w:r w:rsidRPr="008F01FA">
        <w:rPr>
          <w:rFonts w:ascii="Times New Roman" w:hAnsi="Times New Roman" w:cs="Times New Roman"/>
          <w:color w:val="000000" w:themeColor="text1"/>
          <w:sz w:val="22"/>
          <w:szCs w:val="22"/>
        </w:rPr>
        <w:t>20.16, 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.53, p=.0002, </w:t>
      </w:r>
      <w:proofErr w:type="spellStart"/>
      <w:r w:rsidRPr="008F01FA">
        <w:rPr>
          <w:rFonts w:ascii="Times New Roman" w:hAnsi="Times New Roman" w:cs="Times New Roman"/>
          <w:color w:val="000000" w:themeColor="text1"/>
          <w:sz w:val="22"/>
          <w:szCs w:val="22"/>
        </w:rPr>
        <w:t>pFDR</w:t>
      </w:r>
      <w:proofErr w:type="spellEnd"/>
      <w:r w:rsidRPr="008F01FA">
        <w:rPr>
          <w:rFonts w:ascii="Times New Roman" w:hAnsi="Times New Roman" w:cs="Times New Roman"/>
          <w:color w:val="000000" w:themeColor="text1"/>
          <w:sz w:val="22"/>
          <w:szCs w:val="22"/>
        </w:rPr>
        <w:t xml:space="preserve">&lt;.05] and pareidolia, but as in the previous case, upon outlier removal this is no longer true. </w:t>
      </w:r>
    </w:p>
    <w:p w14:paraId="4ECDC109"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467355BA"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51ACAA25"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680824A8" w14:textId="77777777" w:rsidR="00752E6F" w:rsidRDefault="00752E6F" w:rsidP="00752E6F">
      <w:pPr>
        <w:autoSpaceDE w:val="0"/>
        <w:autoSpaceDN w:val="0"/>
        <w:adjustRightInd w:val="0"/>
        <w:spacing w:line="360" w:lineRule="auto"/>
        <w:rPr>
          <w:rFonts w:ascii="Times New Roman" w:hAnsi="Times New Roman" w:cs="Times New Roman"/>
          <w:b/>
          <w:bCs/>
          <w:i/>
          <w:iCs/>
          <w:color w:val="000000" w:themeColor="text1"/>
          <w:sz w:val="22"/>
          <w:szCs w:val="22"/>
        </w:rPr>
      </w:pPr>
      <w:r w:rsidRPr="008F01FA">
        <w:rPr>
          <w:rFonts w:ascii="Times New Roman" w:hAnsi="Times New Roman" w:cs="Times New Roman"/>
          <w:b/>
          <w:bCs/>
          <w:i/>
          <w:iCs/>
          <w:color w:val="000000" w:themeColor="text1"/>
          <w:sz w:val="22"/>
          <w:szCs w:val="22"/>
        </w:rPr>
        <w:t>Supplementary Information 8. Details on ML Multiple regression models with LOOCV</w:t>
      </w:r>
    </w:p>
    <w:p w14:paraId="1B732B5B" w14:textId="77777777" w:rsidR="00752E6F" w:rsidRPr="008F01FA" w:rsidDel="00474058" w:rsidRDefault="00752E6F" w:rsidP="00752E6F">
      <w:pPr>
        <w:autoSpaceDE w:val="0"/>
        <w:autoSpaceDN w:val="0"/>
        <w:adjustRightInd w:val="0"/>
        <w:spacing w:line="360" w:lineRule="auto"/>
        <w:rPr>
          <w:rFonts w:ascii="Times New Roman" w:hAnsi="Times New Roman" w:cs="Times New Roman"/>
          <w:i/>
          <w:iCs/>
          <w:color w:val="000000" w:themeColor="text1"/>
          <w:sz w:val="22"/>
          <w:szCs w:val="22"/>
        </w:rPr>
      </w:pPr>
    </w:p>
    <w:p w14:paraId="2C53123C" w14:textId="77777777" w:rsidR="00752E6F" w:rsidRPr="008F01FA" w:rsidRDefault="00752E6F" w:rsidP="00752E6F">
      <w:pPr>
        <w:autoSpaceDE w:val="0"/>
        <w:autoSpaceDN w:val="0"/>
        <w:adjustRightInd w:val="0"/>
        <w:spacing w:line="360" w:lineRule="auto"/>
        <w:ind w:firstLine="720"/>
        <w:jc w:val="both"/>
        <w:rPr>
          <w:rFonts w:ascii="Times New Roman" w:hAnsi="Times New Roman" w:cs="Times New Roman"/>
          <w:color w:val="000000" w:themeColor="text1"/>
          <w:sz w:val="22"/>
          <w:szCs w:val="22"/>
        </w:rPr>
      </w:pPr>
      <w:r w:rsidRPr="008F01FA">
        <w:rPr>
          <w:rFonts w:ascii="Times New Roman" w:hAnsi="Times New Roman" w:cs="Times New Roman"/>
          <w:i/>
          <w:iCs/>
          <w:color w:val="000000" w:themeColor="text1"/>
          <w:sz w:val="22"/>
          <w:szCs w:val="22"/>
        </w:rPr>
        <w:t xml:space="preserve">Complex VH. </w:t>
      </w:r>
      <w:r w:rsidRPr="008F01FA">
        <w:rPr>
          <w:rFonts w:ascii="Times New Roman" w:hAnsi="Times New Roman" w:cs="Times New Roman"/>
          <w:color w:val="000000" w:themeColor="text1"/>
          <w:sz w:val="22"/>
          <w:szCs w:val="22"/>
        </w:rPr>
        <w:t xml:space="preserve">For task connectivity (B), we found that complex VH were best predicted by connections rV1-rPFC (increased), </w:t>
      </w:r>
      <w:proofErr w:type="spellStart"/>
      <w:r w:rsidRPr="008F01FA">
        <w:rPr>
          <w:rFonts w:ascii="Times New Roman" w:hAnsi="Times New Roman" w:cs="Times New Roman"/>
          <w:color w:val="000000" w:themeColor="text1"/>
          <w:sz w:val="22"/>
          <w:szCs w:val="22"/>
        </w:rPr>
        <w:t>rPFC-rITG</w:t>
      </w:r>
      <w:proofErr w:type="spellEnd"/>
      <w:r w:rsidRPr="008F01FA">
        <w:rPr>
          <w:rFonts w:ascii="Times New Roman" w:hAnsi="Times New Roman" w:cs="Times New Roman"/>
          <w:color w:val="000000" w:themeColor="text1"/>
          <w:sz w:val="22"/>
          <w:szCs w:val="22"/>
        </w:rPr>
        <w:t xml:space="preserve"> (decreased), which were related to complex VH severity (Figure 6), plus increased rV1 to </w:t>
      </w:r>
      <w:proofErr w:type="spellStart"/>
      <w:r w:rsidRPr="008F01FA">
        <w:rPr>
          <w:rFonts w:ascii="Times New Roman" w:hAnsi="Times New Roman" w:cs="Times New Roman"/>
          <w:color w:val="000000" w:themeColor="text1"/>
          <w:sz w:val="22"/>
          <w:szCs w:val="22"/>
        </w:rPr>
        <w:t>rITG</w:t>
      </w:r>
      <w:proofErr w:type="spellEnd"/>
      <w:r w:rsidRPr="008F01FA">
        <w:rPr>
          <w:rFonts w:ascii="Times New Roman" w:hAnsi="Times New Roman" w:cs="Times New Roman"/>
          <w:color w:val="000000" w:themeColor="text1"/>
          <w:sz w:val="22"/>
          <w:szCs w:val="22"/>
        </w:rPr>
        <w:t xml:space="preserve"> connectivity (not found in the individual correlations) [multiple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0.58, adjusted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0.49,</w:t>
      </w:r>
      <w:r w:rsidRPr="008F01FA">
        <w:rPr>
          <w:rFonts w:ascii="Times New Roman" w:hAnsi="Times New Roman" w:cs="Times New Roman"/>
          <w:color w:val="000000" w:themeColor="text1"/>
          <w:sz w:val="22"/>
          <w:szCs w:val="22"/>
          <w:vertAlign w:val="superscript"/>
        </w:rPr>
        <w:t xml:space="preserve"> </w:t>
      </w:r>
      <w:r w:rsidRPr="00BF76E1">
        <w:rPr>
          <w:rFonts w:ascii="Times New Roman" w:hAnsi="Times New Roman" w:cs="Times New Roman"/>
          <w:color w:val="000000" w:themeColor="text1"/>
          <w:sz w:val="22"/>
          <w:szCs w:val="22"/>
        </w:rPr>
        <w:t>F</w:t>
      </w:r>
      <w:r w:rsidRPr="008F01FA">
        <w:rPr>
          <w:rFonts w:ascii="Times New Roman" w:hAnsi="Times New Roman" w:cs="Times New Roman"/>
          <w:color w:val="000000" w:themeColor="text1"/>
          <w:sz w:val="22"/>
          <w:szCs w:val="22"/>
        </w:rPr>
        <w:t xml:space="preserve">(3,15) = 6.86,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-value: 0.0039 RMSE =1.89, MAE = 1.77,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=.36 ; note: one outlier was removed with Cook’s distance in a multiple regression model before running the LOOCV based on the analysis presented in the previous section]. </w:t>
      </w:r>
      <w:r w:rsidRPr="008F01FA">
        <w:rPr>
          <w:rFonts w:ascii="Times New Roman" w:hAnsi="Times New Roman" w:cs="Times New Roman"/>
          <w:sz w:val="22"/>
          <w:szCs w:val="22"/>
        </w:rPr>
        <w:t xml:space="preserve">The BIC was 84.29, with a better fit than the model including all connections had BIC = 94.82. </w:t>
      </w:r>
      <w:r w:rsidRPr="008F01FA">
        <w:rPr>
          <w:rFonts w:ascii="Times New Roman" w:hAnsi="Times New Roman" w:cs="Times New Roman"/>
          <w:i/>
          <w:iCs/>
          <w:color w:val="000000" w:themeColor="text1"/>
          <w:sz w:val="22"/>
          <w:szCs w:val="22"/>
        </w:rPr>
        <w:t>MH</w:t>
      </w:r>
      <w:r w:rsidRPr="008F01FA">
        <w:rPr>
          <w:rFonts w:ascii="Times New Roman" w:hAnsi="Times New Roman" w:cs="Times New Roman"/>
          <w:color w:val="000000" w:themeColor="text1"/>
          <w:sz w:val="22"/>
          <w:szCs w:val="22"/>
        </w:rPr>
        <w:t xml:space="preserve"> were best predicted by both lV1-rV1and left PFC-V1together [multiple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0.40, adjusted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.32,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 xml:space="preserve">2,16) = 5.28,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 0.01, RMSE = 5.64, MAE = 4.3,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=.11, BIC = 120.56]</w:t>
      </w:r>
      <w:r w:rsidRPr="008F01FA">
        <w:rPr>
          <w:rStyle w:val="FootnoteReference"/>
          <w:rFonts w:ascii="Times New Roman" w:hAnsi="Times New Roman" w:cs="Times New Roman"/>
          <w:color w:val="000000" w:themeColor="text1"/>
          <w:sz w:val="22"/>
          <w:szCs w:val="22"/>
        </w:rPr>
        <w:footnoteReference w:id="1"/>
      </w:r>
      <w:r w:rsidRPr="008F01FA">
        <w:rPr>
          <w:rFonts w:ascii="Times New Roman" w:hAnsi="Times New Roman" w:cs="Times New Roman"/>
          <w:color w:val="000000" w:themeColor="text1"/>
          <w:sz w:val="22"/>
          <w:szCs w:val="22"/>
        </w:rPr>
        <w:t>.</w:t>
      </w:r>
    </w:p>
    <w:p w14:paraId="09EF48EA" w14:textId="77777777" w:rsidR="00752E6F" w:rsidRPr="008F01FA" w:rsidRDefault="00752E6F" w:rsidP="00752E6F">
      <w:pPr>
        <w:autoSpaceDE w:val="0"/>
        <w:autoSpaceDN w:val="0"/>
        <w:adjustRightInd w:val="0"/>
        <w:spacing w:line="360" w:lineRule="auto"/>
        <w:ind w:firstLine="720"/>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For the baseline connectivity (A), we found that </w:t>
      </w:r>
      <w:r w:rsidRPr="008F01FA">
        <w:rPr>
          <w:rFonts w:ascii="Times New Roman" w:hAnsi="Times New Roman" w:cs="Times New Roman"/>
          <w:i/>
          <w:iCs/>
          <w:color w:val="000000" w:themeColor="text1"/>
          <w:sz w:val="22"/>
          <w:szCs w:val="22"/>
        </w:rPr>
        <w:t>complex VH</w:t>
      </w:r>
      <w:r w:rsidRPr="008F01FA">
        <w:rPr>
          <w:rFonts w:ascii="Times New Roman" w:hAnsi="Times New Roman" w:cs="Times New Roman"/>
          <w:color w:val="000000" w:themeColor="text1"/>
          <w:sz w:val="22"/>
          <w:szCs w:val="22"/>
        </w:rPr>
        <w:t xml:space="preserve"> were best predicted by 4 (LPFC – LITG, RPFC- RV1, LV1-RV1, RV1-LV1) of the 10 connections that were related to complex VH severity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0.57, adjusted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.45, F(4,15) = 4.914,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 0.009, RMSE = 2.79, MAE = 1.87, BIC = 92.75]. The best contributors of the model are the increased connectivity between V1 (in both directions) and </w:t>
      </w:r>
      <w:proofErr w:type="spellStart"/>
      <w:r w:rsidRPr="008F01FA">
        <w:rPr>
          <w:rFonts w:ascii="Times New Roman" w:hAnsi="Times New Roman" w:cs="Times New Roman"/>
          <w:color w:val="000000" w:themeColor="text1"/>
          <w:sz w:val="22"/>
          <w:szCs w:val="22"/>
        </w:rPr>
        <w:t>rPFC</w:t>
      </w:r>
      <w:proofErr w:type="spellEnd"/>
      <w:r w:rsidRPr="008F01FA">
        <w:rPr>
          <w:rFonts w:ascii="Times New Roman" w:hAnsi="Times New Roman" w:cs="Times New Roman"/>
          <w:color w:val="000000" w:themeColor="text1"/>
          <w:sz w:val="22"/>
          <w:szCs w:val="22"/>
        </w:rPr>
        <w:t xml:space="preserve"> to rV1, and the decrease in connectivity from left PFC to IT)</w:t>
      </w:r>
      <w:r w:rsidRPr="008F01FA">
        <w:rPr>
          <w:rStyle w:val="FootnoteReference"/>
          <w:rFonts w:ascii="Times New Roman" w:hAnsi="Times New Roman" w:cs="Times New Roman"/>
          <w:color w:val="000000" w:themeColor="text1"/>
          <w:sz w:val="22"/>
          <w:szCs w:val="22"/>
        </w:rPr>
        <w:footnoteReference w:id="2"/>
      </w:r>
      <w:r w:rsidRPr="008F01FA">
        <w:rPr>
          <w:rFonts w:ascii="Times New Roman" w:hAnsi="Times New Roman" w:cs="Times New Roman"/>
          <w:color w:val="000000" w:themeColor="text1"/>
          <w:sz w:val="22"/>
          <w:szCs w:val="22"/>
        </w:rPr>
        <w:t xml:space="preserve">. </w:t>
      </w:r>
    </w:p>
    <w:p w14:paraId="3BCCE691" w14:textId="77777777" w:rsidR="00752E6F" w:rsidRPr="008F01FA" w:rsidRDefault="00752E6F" w:rsidP="00752E6F">
      <w:pPr>
        <w:autoSpaceDE w:val="0"/>
        <w:autoSpaceDN w:val="0"/>
        <w:adjustRightInd w:val="0"/>
        <w:spacing w:line="360" w:lineRule="auto"/>
        <w:ind w:firstLine="720"/>
        <w:jc w:val="both"/>
        <w:rPr>
          <w:rFonts w:ascii="Times New Roman" w:hAnsi="Times New Roman" w:cs="Times New Roman"/>
          <w:color w:val="000000" w:themeColor="text1"/>
          <w:sz w:val="22"/>
          <w:szCs w:val="22"/>
        </w:rPr>
      </w:pPr>
      <w:r w:rsidRPr="008F01FA">
        <w:rPr>
          <w:rFonts w:ascii="Times New Roman" w:hAnsi="Times New Roman" w:cs="Times New Roman"/>
          <w:i/>
          <w:iCs/>
          <w:color w:val="000000" w:themeColor="text1"/>
          <w:sz w:val="22"/>
          <w:szCs w:val="22"/>
        </w:rPr>
        <w:t>Minor VH</w:t>
      </w:r>
      <w:r w:rsidRPr="008F01FA">
        <w:rPr>
          <w:rFonts w:ascii="Times New Roman" w:hAnsi="Times New Roman" w:cs="Times New Roman"/>
          <w:color w:val="000000" w:themeColor="text1"/>
          <w:sz w:val="22"/>
          <w:szCs w:val="22"/>
        </w:rPr>
        <w:t>, were predicted by left PFC-V1 and increased connectivity from left V1 to rV1 proved also fitting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w:t>
      </w:r>
      <w:proofErr w:type="gramStart"/>
      <w:r w:rsidRPr="008F01FA">
        <w:rPr>
          <w:rFonts w:ascii="Times New Roman" w:hAnsi="Times New Roman" w:cs="Times New Roman"/>
          <w:color w:val="000000" w:themeColor="text1"/>
          <w:sz w:val="22"/>
          <w:szCs w:val="22"/>
        </w:rPr>
        <w:t>=  0.42,  adjusted</w:t>
      </w:r>
      <w:proofErr w:type="gramEnd"/>
      <w:r w:rsidRPr="008F01FA">
        <w:rPr>
          <w:rFonts w:ascii="Times New Roman" w:hAnsi="Times New Roman" w:cs="Times New Roman"/>
          <w:color w:val="000000" w:themeColor="text1"/>
          <w:sz w:val="22"/>
          <w:szCs w:val="22"/>
        </w:rPr>
        <w:t xml:space="preserve"> 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.35,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 =.008, RMSE = 7.39, MAE = 4.83]).</w:t>
      </w:r>
      <w:r w:rsidRPr="008F01FA" w:rsidDel="00314B04">
        <w:rPr>
          <w:rFonts w:ascii="Times New Roman" w:hAnsi="Times New Roman" w:cs="Times New Roman"/>
          <w:color w:val="000000" w:themeColor="text1"/>
          <w:sz w:val="22"/>
          <w:szCs w:val="22"/>
        </w:rPr>
        <w:t xml:space="preserve"> </w:t>
      </w:r>
      <w:r w:rsidRPr="008F01FA">
        <w:rPr>
          <w:rFonts w:ascii="Times New Roman" w:hAnsi="Times New Roman" w:cs="Times New Roman"/>
          <w:color w:val="000000" w:themeColor="text1"/>
          <w:sz w:val="22"/>
          <w:szCs w:val="22"/>
        </w:rPr>
        <w:t xml:space="preserve"> We repeated the models including MoCA to see if global cognitive status affected the models; results did not vary (Supplementary </w:t>
      </w:r>
      <w:r w:rsidRPr="008F01FA">
        <w:rPr>
          <w:rFonts w:ascii="Times New Roman" w:hAnsi="Times New Roman" w:cs="Times New Roman"/>
          <w:color w:val="000000" w:themeColor="text1"/>
          <w:sz w:val="22"/>
          <w:szCs w:val="22"/>
        </w:rPr>
        <w:lastRenderedPageBreak/>
        <w:t>Information6</w:t>
      </w:r>
      <w:r w:rsidRPr="008F01FA" w:rsidDel="004C7ADB">
        <w:rPr>
          <w:rFonts w:ascii="Times New Roman" w:hAnsi="Times New Roman" w:cs="Times New Roman"/>
          <w:color w:val="000000" w:themeColor="text1"/>
          <w:sz w:val="22"/>
          <w:szCs w:val="22"/>
        </w:rPr>
        <w:t xml:space="preserve">). We repeated the procedure including LEDD as a covariate, and the results were unchanged (SI6). </w:t>
      </w:r>
    </w:p>
    <w:p w14:paraId="3EB60CF0" w14:textId="77777777" w:rsidR="00752E6F" w:rsidRPr="008F01FA" w:rsidRDefault="00752E6F" w:rsidP="00752E6F">
      <w:pPr>
        <w:spacing w:line="360" w:lineRule="auto"/>
        <w:ind w:firstLine="720"/>
        <w:jc w:val="both"/>
        <w:rPr>
          <w:rFonts w:ascii="Times New Roman" w:hAnsi="Times New Roman" w:cs="Times New Roman"/>
          <w:color w:val="000000" w:themeColor="text1"/>
          <w:sz w:val="22"/>
          <w:szCs w:val="22"/>
        </w:rPr>
      </w:pPr>
      <w:r w:rsidRPr="008F01FA">
        <w:rPr>
          <w:rFonts w:ascii="Times New Roman" w:hAnsi="Times New Roman" w:cs="Times New Roman"/>
          <w:i/>
          <w:iCs/>
          <w:color w:val="000000" w:themeColor="text1"/>
          <w:sz w:val="22"/>
          <w:szCs w:val="22"/>
        </w:rPr>
        <w:t>Multimodal hallucinations</w:t>
      </w:r>
      <w:r w:rsidRPr="008F01FA">
        <w:rPr>
          <w:rFonts w:ascii="Times New Roman" w:hAnsi="Times New Roman" w:cs="Times New Roman"/>
          <w:color w:val="000000" w:themeColor="text1"/>
          <w:sz w:val="22"/>
          <w:szCs w:val="22"/>
        </w:rPr>
        <w:t xml:space="preserve"> had as most significant predictor the left V1-PFC connectivity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0.37,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 xml:space="preserve">1,18) = 10.64,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 0.004, RMSE = 2.55, MAE = 2.15], the connection that we found uniquely associated to this measure. However, when </w:t>
      </w:r>
      <w:r w:rsidRPr="008F01FA">
        <w:rPr>
          <w:rFonts w:ascii="Times New Roman" w:hAnsi="Times New Roman" w:cs="Times New Roman"/>
          <w:i/>
          <w:iCs/>
          <w:color w:val="000000" w:themeColor="text1"/>
          <w:sz w:val="22"/>
          <w:szCs w:val="22"/>
        </w:rPr>
        <w:t>7</w:t>
      </w:r>
      <w:r w:rsidRPr="008F01FA">
        <w:rPr>
          <w:rFonts w:ascii="Times New Roman" w:hAnsi="Times New Roman" w:cs="Times New Roman"/>
          <w:color w:val="000000" w:themeColor="text1"/>
          <w:sz w:val="22"/>
          <w:szCs w:val="22"/>
        </w:rPr>
        <w:t xml:space="preserve"> out of the 10 connections (LV.LPFC+ RV.RIT+ RV.RPFC+  LITG.LV1+LPFC.LV+ LPFC.LIT+ LV1.RV1) found differing between PD-VH and PD-</w:t>
      </w:r>
      <w:proofErr w:type="spellStart"/>
      <w:r w:rsidRPr="008F01FA">
        <w:rPr>
          <w:rFonts w:ascii="Times New Roman" w:hAnsi="Times New Roman" w:cs="Times New Roman"/>
          <w:color w:val="000000" w:themeColor="text1"/>
          <w:sz w:val="22"/>
          <w:szCs w:val="22"/>
        </w:rPr>
        <w:t>noVH</w:t>
      </w:r>
      <w:proofErr w:type="spellEnd"/>
      <w:r w:rsidRPr="008F01FA">
        <w:rPr>
          <w:rFonts w:ascii="Times New Roman" w:hAnsi="Times New Roman" w:cs="Times New Roman"/>
          <w:color w:val="000000" w:themeColor="text1"/>
          <w:sz w:val="22"/>
          <w:szCs w:val="22"/>
        </w:rPr>
        <w:t xml:space="preserve"> patients were entered as predictors of multimodality of hallucinations, the overall model was significant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0.68, adjustedr2=.5, F(7,12) = 2.54,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 = 0.023, RMSE = 3.6, MAE = 2.9], BIC=104.76].  When investigating whether this result could be related to a global cognitive impairment, we found that global cognition as measured by MoCA did not correlate with temporal severity of complex VH, SAPS-PD, minor VH or multimodality of hallucinations (Supplementary Figure 1). When running the model</w:t>
      </w:r>
      <w:r w:rsidRPr="008F01FA">
        <w:rPr>
          <w:rFonts w:ascii="Times New Roman" w:hAnsi="Times New Roman" w:cs="Times New Roman"/>
          <w:i/>
          <w:iCs/>
          <w:color w:val="000000" w:themeColor="text1"/>
          <w:sz w:val="22"/>
          <w:szCs w:val="22"/>
        </w:rPr>
        <w:t xml:space="preserve"> </w:t>
      </w:r>
      <w:r w:rsidRPr="008F01FA">
        <w:rPr>
          <w:rFonts w:ascii="Times New Roman" w:hAnsi="Times New Roman" w:cs="Times New Roman"/>
          <w:color w:val="000000" w:themeColor="text1"/>
          <w:sz w:val="22"/>
          <w:szCs w:val="22"/>
        </w:rPr>
        <w:t>with MoCA as covariate the results changed</w:t>
      </w:r>
      <w:r w:rsidRPr="008F01FA">
        <w:rPr>
          <w:rFonts w:ascii="Times New Roman" w:hAnsi="Times New Roman" w:cs="Times New Roman"/>
          <w:i/>
          <w:iCs/>
          <w:color w:val="000000" w:themeColor="text1"/>
          <w:sz w:val="22"/>
          <w:szCs w:val="22"/>
        </w:rPr>
        <w:t xml:space="preserve"> </w:t>
      </w:r>
      <w:r w:rsidRPr="008F01FA">
        <w:rPr>
          <w:rFonts w:ascii="Times New Roman" w:hAnsi="Times New Roman" w:cs="Times New Roman"/>
          <w:color w:val="000000" w:themeColor="text1"/>
          <w:sz w:val="22"/>
          <w:szCs w:val="22"/>
        </w:rPr>
        <w:t>[</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w:t>
      </w:r>
      <w:proofErr w:type="gramStart"/>
      <w:r w:rsidRPr="008F01FA">
        <w:rPr>
          <w:rFonts w:ascii="Times New Roman" w:hAnsi="Times New Roman" w:cs="Times New Roman"/>
          <w:color w:val="000000" w:themeColor="text1"/>
          <w:sz w:val="22"/>
          <w:szCs w:val="22"/>
        </w:rPr>
        <w:t>=  0.69</w:t>
      </w:r>
      <w:proofErr w:type="gramEnd"/>
      <w:r w:rsidRPr="008F01FA">
        <w:rPr>
          <w:rFonts w:ascii="Times New Roman" w:hAnsi="Times New Roman" w:cs="Times New Roman"/>
          <w:color w:val="000000" w:themeColor="text1"/>
          <w:sz w:val="22"/>
          <w:szCs w:val="22"/>
        </w:rPr>
        <w:t xml:space="preserve">,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 xml:space="preserve">9,10) = 2.54,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 = 0.05, RMSE = 3.5, MAE = 2.84].   When further investigating this strong reduction in significance, by</w:t>
      </w:r>
      <w:r w:rsidRPr="008F01FA">
        <w:rPr>
          <w:rFonts w:ascii="Times New Roman" w:hAnsi="Times New Roman" w:cs="Times New Roman"/>
          <w:i/>
          <w:iCs/>
          <w:color w:val="000000" w:themeColor="text1"/>
          <w:sz w:val="22"/>
          <w:szCs w:val="22"/>
        </w:rPr>
        <w:t xml:space="preserve"> </w:t>
      </w:r>
      <w:r w:rsidRPr="008F01FA">
        <w:rPr>
          <w:rFonts w:ascii="Times New Roman" w:hAnsi="Times New Roman" w:cs="Times New Roman"/>
          <w:color w:val="000000" w:themeColor="text1"/>
          <w:sz w:val="22"/>
          <w:szCs w:val="22"/>
        </w:rPr>
        <w:t>splitting in bottom-up and top-down connections to better understand the contribution of global cognition, a model with top-down connections only was not significant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i/>
          <w:iCs/>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.14, adjusted</w:t>
      </w:r>
      <w:r w:rsidRPr="008F01FA">
        <w:rPr>
          <w:rFonts w:ascii="Times New Roman" w:hAnsi="Times New Roman" w:cs="Times New Roman"/>
          <w:i/>
          <w:iCs/>
          <w:color w:val="000000" w:themeColor="text1"/>
          <w:sz w:val="22"/>
          <w:szCs w:val="22"/>
        </w:rPr>
        <w:t xml:space="preserve"> R</w:t>
      </w:r>
      <w:r w:rsidRPr="008F01FA">
        <w:rPr>
          <w:rFonts w:ascii="Times New Roman" w:hAnsi="Times New Roman" w:cs="Times New Roman"/>
          <w:i/>
          <w:iCs/>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-.08, F(4,15), = 0.63, p=.64, RMSE = 3.69, MAE = 3.02],  whereas a model with bottom-up (left V1-PFC, right V1 to PFC and RIT) was significant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.47, adjusted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0.33, F(4,15) = 3.302, p =.039, RMSE = 3.25, MAE = 2.58] .  </w:t>
      </w:r>
    </w:p>
    <w:p w14:paraId="691B18DE"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4F95FA01" w14:textId="77777777" w:rsidR="00752E6F" w:rsidRPr="008F01FA" w:rsidRDefault="00752E6F" w:rsidP="00752E6F">
      <w:pPr>
        <w:spacing w:line="360" w:lineRule="auto"/>
        <w:jc w:val="both"/>
        <w:rPr>
          <w:rFonts w:ascii="Times New Roman" w:hAnsi="Times New Roman" w:cs="Times New Roman"/>
          <w:b/>
          <w:bCs/>
          <w:i/>
          <w:iCs/>
          <w:color w:val="000000" w:themeColor="text1"/>
          <w:sz w:val="22"/>
          <w:szCs w:val="22"/>
        </w:rPr>
      </w:pPr>
      <w:r w:rsidRPr="008F01FA">
        <w:rPr>
          <w:rFonts w:ascii="Times New Roman" w:hAnsi="Times New Roman" w:cs="Times New Roman"/>
          <w:b/>
          <w:bCs/>
          <w:i/>
          <w:iCs/>
          <w:color w:val="000000" w:themeColor="text1"/>
          <w:sz w:val="22"/>
          <w:szCs w:val="22"/>
        </w:rPr>
        <w:t xml:space="preserve">LOOCV models with multiple connections and MoCA as a covariate. </w:t>
      </w:r>
    </w:p>
    <w:p w14:paraId="47A4CDC8" w14:textId="77777777" w:rsidR="00752E6F" w:rsidRPr="008F01FA" w:rsidRDefault="00752E6F" w:rsidP="00752E6F">
      <w:pPr>
        <w:spacing w:line="360" w:lineRule="auto"/>
        <w:ind w:firstLine="720"/>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Task connectivity (B), </w:t>
      </w:r>
      <w:r w:rsidRPr="008F01FA">
        <w:rPr>
          <w:rFonts w:ascii="Times New Roman" w:hAnsi="Times New Roman" w:cs="Times New Roman"/>
          <w:i/>
          <w:iCs/>
          <w:color w:val="000000" w:themeColor="text1"/>
          <w:sz w:val="22"/>
          <w:szCs w:val="22"/>
        </w:rPr>
        <w:t>Complex VH. E</w:t>
      </w:r>
      <w:r w:rsidRPr="008F01FA">
        <w:rPr>
          <w:rFonts w:ascii="Times New Roman" w:hAnsi="Times New Roman" w:cs="Times New Roman"/>
          <w:color w:val="000000" w:themeColor="text1"/>
          <w:sz w:val="22"/>
          <w:szCs w:val="22"/>
        </w:rPr>
        <w:t xml:space="preserve">e found that complex VH were best predicted by connections </w:t>
      </w:r>
      <w:r w:rsidRPr="008F01FA">
        <w:rPr>
          <w:rFonts w:ascii="Times New Roman" w:hAnsi="Times New Roman" w:cs="Times New Roman"/>
          <w:strike/>
          <w:color w:val="000000" w:themeColor="text1"/>
          <w:sz w:val="22"/>
          <w:szCs w:val="22"/>
        </w:rPr>
        <w:t xml:space="preserve"> (</w:t>
      </w:r>
      <w:r w:rsidRPr="008F01FA">
        <w:rPr>
          <w:rFonts w:ascii="Times New Roman" w:hAnsi="Times New Roman" w:cs="Times New Roman"/>
          <w:color w:val="000000" w:themeColor="text1"/>
          <w:sz w:val="22"/>
          <w:szCs w:val="22"/>
        </w:rPr>
        <w:t xml:space="preserve">rV1-rPFC (increased), </w:t>
      </w:r>
      <w:proofErr w:type="spellStart"/>
      <w:r w:rsidRPr="008F01FA">
        <w:rPr>
          <w:rFonts w:ascii="Times New Roman" w:hAnsi="Times New Roman" w:cs="Times New Roman"/>
          <w:color w:val="000000" w:themeColor="text1"/>
          <w:sz w:val="22"/>
          <w:szCs w:val="22"/>
        </w:rPr>
        <w:t>rPFC-rITG</w:t>
      </w:r>
      <w:proofErr w:type="spellEnd"/>
      <w:r w:rsidRPr="008F01FA">
        <w:rPr>
          <w:rFonts w:ascii="Times New Roman" w:hAnsi="Times New Roman" w:cs="Times New Roman"/>
          <w:color w:val="000000" w:themeColor="text1"/>
          <w:sz w:val="22"/>
          <w:szCs w:val="22"/>
        </w:rPr>
        <w:t xml:space="preserve"> (decreased), increased rV1 to </w:t>
      </w:r>
      <w:proofErr w:type="spellStart"/>
      <w:r w:rsidRPr="008F01FA">
        <w:rPr>
          <w:rFonts w:ascii="Times New Roman" w:hAnsi="Times New Roman" w:cs="Times New Roman"/>
          <w:color w:val="000000" w:themeColor="text1"/>
          <w:sz w:val="22"/>
          <w:szCs w:val="22"/>
        </w:rPr>
        <w:t>rITG</w:t>
      </w:r>
      <w:proofErr w:type="spellEnd"/>
      <w:r w:rsidRPr="008F01FA">
        <w:rPr>
          <w:rFonts w:ascii="Times New Roman" w:hAnsi="Times New Roman" w:cs="Times New Roman"/>
          <w:color w:val="000000" w:themeColor="text1"/>
          <w:sz w:val="22"/>
          <w:szCs w:val="22"/>
        </w:rPr>
        <w:t xml:space="preserve"> connectivity (not found in the individual correlations) with MoCA as a covariate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0.6, adjusted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 xml:space="preserve">2 </w:t>
      </w:r>
      <w:r w:rsidRPr="008F01FA">
        <w:rPr>
          <w:rFonts w:ascii="Times New Roman" w:hAnsi="Times New Roman" w:cs="Times New Roman"/>
          <w:color w:val="000000" w:themeColor="text1"/>
          <w:sz w:val="22"/>
          <w:szCs w:val="22"/>
        </w:rPr>
        <w:t xml:space="preserve">=  0.48, F= (4,14) = 5.22,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-value: 0.009, RMSE =1.91, MAE = 1.65; MoCA coefficient =.42], confirming the results reported in the main text. </w:t>
      </w:r>
      <w:r w:rsidRPr="008F01FA">
        <w:rPr>
          <w:rFonts w:ascii="Times New Roman" w:hAnsi="Times New Roman" w:cs="Times New Roman"/>
          <w:i/>
          <w:iCs/>
          <w:color w:val="000000" w:themeColor="text1"/>
          <w:sz w:val="22"/>
          <w:szCs w:val="22"/>
        </w:rPr>
        <w:t>Minor VH</w:t>
      </w:r>
      <w:r w:rsidRPr="008F01FA">
        <w:rPr>
          <w:rFonts w:ascii="Times New Roman" w:hAnsi="Times New Roman" w:cs="Times New Roman"/>
          <w:color w:val="000000" w:themeColor="text1"/>
          <w:sz w:val="22"/>
          <w:szCs w:val="22"/>
        </w:rPr>
        <w:t xml:space="preserve"> were best predicted by both lV1-rV1and left PFC-V1together with MoCA as a covariate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w:t>
      </w:r>
      <w:proofErr w:type="gramStart"/>
      <w:r w:rsidRPr="008F01FA">
        <w:rPr>
          <w:rFonts w:ascii="Times New Roman" w:hAnsi="Times New Roman" w:cs="Times New Roman"/>
          <w:color w:val="000000" w:themeColor="text1"/>
          <w:sz w:val="22"/>
          <w:szCs w:val="22"/>
        </w:rPr>
        <w:t>=  0.49</w:t>
      </w:r>
      <w:proofErr w:type="gramEnd"/>
      <w:r w:rsidRPr="008F01FA">
        <w:rPr>
          <w:rFonts w:ascii="Times New Roman" w:hAnsi="Times New Roman" w:cs="Times New Roman"/>
          <w:color w:val="000000" w:themeColor="text1"/>
          <w:sz w:val="22"/>
          <w:szCs w:val="22"/>
        </w:rPr>
        <w:t xml:space="preserve">, adjusted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.4,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 xml:space="preserve">3,15) = 4.96,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0.014, RMSE = 6.47, MAE = 4.88; MoCA coefficient was =.1] confirming the results reported in the main text.</w:t>
      </w:r>
    </w:p>
    <w:p w14:paraId="18774E32" w14:textId="77777777" w:rsidR="00752E6F" w:rsidRPr="008F01FA" w:rsidRDefault="00752E6F" w:rsidP="00752E6F">
      <w:pPr>
        <w:spacing w:line="360" w:lineRule="auto"/>
        <w:ind w:firstLine="720"/>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Baseline matrix (A). C</w:t>
      </w:r>
      <w:r w:rsidRPr="008F01FA">
        <w:rPr>
          <w:rFonts w:ascii="Times New Roman" w:hAnsi="Times New Roman" w:cs="Times New Roman"/>
          <w:i/>
          <w:iCs/>
          <w:color w:val="000000" w:themeColor="text1"/>
          <w:sz w:val="22"/>
          <w:szCs w:val="22"/>
        </w:rPr>
        <w:t>omplex VH</w:t>
      </w:r>
      <w:r w:rsidRPr="008F01FA">
        <w:rPr>
          <w:rFonts w:ascii="Times New Roman" w:hAnsi="Times New Roman" w:cs="Times New Roman"/>
          <w:color w:val="000000" w:themeColor="text1"/>
          <w:sz w:val="22"/>
          <w:szCs w:val="22"/>
        </w:rPr>
        <w:t xml:space="preserve"> were best predicted by LPFC – LITG, RPFC- RV1, LV1-RV1, RV1-LV1 connectivity also when adding MoCA as a covariate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w:t>
      </w:r>
      <w:proofErr w:type="gramStart"/>
      <w:r w:rsidRPr="008F01FA">
        <w:rPr>
          <w:rFonts w:ascii="Times New Roman" w:hAnsi="Times New Roman" w:cs="Times New Roman"/>
          <w:color w:val="000000" w:themeColor="text1"/>
          <w:sz w:val="22"/>
          <w:szCs w:val="22"/>
        </w:rPr>
        <w:t>=  0.58</w:t>
      </w:r>
      <w:proofErr w:type="gramEnd"/>
      <w:r w:rsidRPr="008F01FA">
        <w:rPr>
          <w:rFonts w:ascii="Times New Roman" w:hAnsi="Times New Roman" w:cs="Times New Roman"/>
          <w:color w:val="000000" w:themeColor="text1"/>
          <w:sz w:val="22"/>
          <w:szCs w:val="22"/>
        </w:rPr>
        <w:t xml:space="preserve">, adjusted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strike/>
          <w:color w:val="000000" w:themeColor="text1"/>
          <w:sz w:val="22"/>
          <w:szCs w:val="22"/>
        </w:rPr>
        <w:t>r2</w:t>
      </w:r>
      <w:r w:rsidRPr="008F01FA">
        <w:rPr>
          <w:rFonts w:ascii="Times New Roman" w:hAnsi="Times New Roman" w:cs="Times New Roman"/>
          <w:color w:val="000000" w:themeColor="text1"/>
          <w:sz w:val="22"/>
          <w:szCs w:val="22"/>
        </w:rPr>
        <w:t xml:space="preserve"> = .44,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 xml:space="preserve">4,15) = 4.02,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0.017, RMSE = 2.75, MAE = 1.9] confirming the results reported in the main text.</w:t>
      </w:r>
    </w:p>
    <w:p w14:paraId="33FF9427" w14:textId="77777777" w:rsidR="00752E6F" w:rsidRPr="008F01FA" w:rsidRDefault="00752E6F" w:rsidP="00752E6F">
      <w:pPr>
        <w:spacing w:line="360" w:lineRule="auto"/>
        <w:ind w:firstLine="720"/>
        <w:jc w:val="both"/>
        <w:rPr>
          <w:rFonts w:ascii="Times New Roman" w:hAnsi="Times New Roman" w:cs="Times New Roman"/>
          <w:color w:val="000000" w:themeColor="text1"/>
          <w:sz w:val="22"/>
          <w:szCs w:val="22"/>
        </w:rPr>
      </w:pPr>
      <w:r w:rsidRPr="008F01FA">
        <w:rPr>
          <w:rFonts w:ascii="Times New Roman" w:hAnsi="Times New Roman" w:cs="Times New Roman"/>
          <w:i/>
          <w:iCs/>
          <w:color w:val="000000" w:themeColor="text1"/>
          <w:sz w:val="22"/>
          <w:szCs w:val="22"/>
        </w:rPr>
        <w:t>Minor VH</w:t>
      </w:r>
      <w:r w:rsidRPr="008F01FA">
        <w:rPr>
          <w:rFonts w:ascii="Times New Roman" w:hAnsi="Times New Roman" w:cs="Times New Roman"/>
          <w:color w:val="000000" w:themeColor="text1"/>
          <w:sz w:val="22"/>
          <w:szCs w:val="22"/>
        </w:rPr>
        <w:t>, were best predicted by PFC-V1 and increased connectivity from left V1 to rV1 proved also fitting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 xml:space="preserve">3,15) =5.26,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w:t>
      </w:r>
      <w:proofErr w:type="gramStart"/>
      <w:r w:rsidRPr="008F01FA">
        <w:rPr>
          <w:rFonts w:ascii="Times New Roman" w:hAnsi="Times New Roman" w:cs="Times New Roman"/>
          <w:color w:val="000000" w:themeColor="text1"/>
          <w:sz w:val="22"/>
          <w:szCs w:val="22"/>
        </w:rPr>
        <w:t>=  0.51,  adjusted</w:t>
      </w:r>
      <w:proofErr w:type="gramEnd"/>
      <w:r w:rsidRPr="008F01FA">
        <w:rPr>
          <w:rFonts w:ascii="Times New Roman" w:hAnsi="Times New Roman" w:cs="Times New Roman"/>
          <w:color w:val="000000" w:themeColor="text1"/>
          <w:sz w:val="22"/>
          <w:szCs w:val="22"/>
        </w:rPr>
        <w:t xml:space="preserve"> 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.41,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 =.01, RMSE = 5.19, MAE = 4.12]) confirming the results reported in the main text.</w:t>
      </w:r>
    </w:p>
    <w:p w14:paraId="6EE37AA6" w14:textId="77777777" w:rsidR="00752E6F" w:rsidRPr="008F01FA" w:rsidRDefault="00752E6F" w:rsidP="00752E6F">
      <w:pPr>
        <w:spacing w:line="360" w:lineRule="auto"/>
        <w:ind w:firstLine="720"/>
        <w:jc w:val="both"/>
        <w:rPr>
          <w:rFonts w:ascii="Times New Roman" w:hAnsi="Times New Roman" w:cs="Times New Roman"/>
          <w:color w:val="000000" w:themeColor="text1"/>
          <w:sz w:val="22"/>
          <w:szCs w:val="22"/>
        </w:rPr>
      </w:pPr>
    </w:p>
    <w:p w14:paraId="27E53462" w14:textId="77777777" w:rsidR="00752E6F" w:rsidRPr="008F01FA" w:rsidRDefault="00752E6F" w:rsidP="00752E6F">
      <w:pPr>
        <w:spacing w:line="360" w:lineRule="auto"/>
        <w:jc w:val="both"/>
        <w:rPr>
          <w:rFonts w:ascii="Times New Roman" w:hAnsi="Times New Roman" w:cs="Times New Roman"/>
          <w:b/>
          <w:bCs/>
          <w:i/>
          <w:iCs/>
          <w:color w:val="000000" w:themeColor="text1"/>
          <w:sz w:val="22"/>
          <w:szCs w:val="22"/>
        </w:rPr>
      </w:pPr>
      <w:r w:rsidRPr="008F01FA">
        <w:rPr>
          <w:rFonts w:ascii="Times New Roman" w:hAnsi="Times New Roman" w:cs="Times New Roman"/>
          <w:b/>
          <w:bCs/>
          <w:i/>
          <w:iCs/>
          <w:color w:val="000000" w:themeColor="text1"/>
          <w:sz w:val="22"/>
          <w:szCs w:val="22"/>
        </w:rPr>
        <w:t>LOOCV models with multiple connections and LEDD as a covariate.</w:t>
      </w:r>
    </w:p>
    <w:p w14:paraId="1F1753AB" w14:textId="77777777" w:rsidR="00752E6F" w:rsidRPr="008F01FA" w:rsidRDefault="00752E6F" w:rsidP="00752E6F">
      <w:pPr>
        <w:shd w:val="clear" w:color="auto" w:fill="FFFFFF" w:themeFill="background1"/>
        <w:spacing w:line="360" w:lineRule="auto"/>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lastRenderedPageBreak/>
        <w:t xml:space="preserve">Task connectivity (B), </w:t>
      </w:r>
      <w:r w:rsidRPr="008F01FA">
        <w:rPr>
          <w:rFonts w:ascii="Times New Roman" w:hAnsi="Times New Roman" w:cs="Times New Roman"/>
          <w:i/>
          <w:iCs/>
          <w:color w:val="000000" w:themeColor="text1"/>
          <w:sz w:val="22"/>
          <w:szCs w:val="22"/>
        </w:rPr>
        <w:t>Complex VH. E</w:t>
      </w:r>
      <w:r w:rsidRPr="008F01FA">
        <w:rPr>
          <w:rFonts w:ascii="Times New Roman" w:hAnsi="Times New Roman" w:cs="Times New Roman"/>
          <w:color w:val="000000" w:themeColor="text1"/>
          <w:sz w:val="22"/>
          <w:szCs w:val="22"/>
        </w:rPr>
        <w:t xml:space="preserve">e found that complex VH were best predicted by </w:t>
      </w:r>
      <w:proofErr w:type="gramStart"/>
      <w:r w:rsidRPr="008F01FA">
        <w:rPr>
          <w:rFonts w:ascii="Times New Roman" w:hAnsi="Times New Roman" w:cs="Times New Roman"/>
          <w:color w:val="000000" w:themeColor="text1"/>
          <w:sz w:val="22"/>
          <w:szCs w:val="22"/>
        </w:rPr>
        <w:t xml:space="preserve">connections </w:t>
      </w:r>
      <w:r w:rsidRPr="008F01FA">
        <w:rPr>
          <w:rFonts w:ascii="Times New Roman" w:hAnsi="Times New Roman" w:cs="Times New Roman"/>
          <w:strike/>
          <w:color w:val="000000" w:themeColor="text1"/>
          <w:sz w:val="22"/>
          <w:szCs w:val="22"/>
        </w:rPr>
        <w:t xml:space="preserve"> (</w:t>
      </w:r>
      <w:proofErr w:type="gramEnd"/>
      <w:r w:rsidRPr="008F01FA">
        <w:rPr>
          <w:rFonts w:ascii="Times New Roman" w:hAnsi="Times New Roman" w:cs="Times New Roman"/>
          <w:color w:val="000000" w:themeColor="text1"/>
          <w:sz w:val="22"/>
          <w:szCs w:val="22"/>
        </w:rPr>
        <w:t xml:space="preserve">rV1-rPFC (increased), </w:t>
      </w:r>
      <w:proofErr w:type="spellStart"/>
      <w:r w:rsidRPr="008F01FA">
        <w:rPr>
          <w:rFonts w:ascii="Times New Roman" w:hAnsi="Times New Roman" w:cs="Times New Roman"/>
          <w:color w:val="000000" w:themeColor="text1"/>
          <w:sz w:val="22"/>
          <w:szCs w:val="22"/>
        </w:rPr>
        <w:t>rPFC-rITG</w:t>
      </w:r>
      <w:proofErr w:type="spellEnd"/>
      <w:r w:rsidRPr="008F01FA">
        <w:rPr>
          <w:rFonts w:ascii="Times New Roman" w:hAnsi="Times New Roman" w:cs="Times New Roman"/>
          <w:color w:val="000000" w:themeColor="text1"/>
          <w:sz w:val="22"/>
          <w:szCs w:val="22"/>
        </w:rPr>
        <w:t xml:space="preserve"> (decreased), increased rV1 to </w:t>
      </w:r>
      <w:proofErr w:type="spellStart"/>
      <w:r w:rsidRPr="008F01FA">
        <w:rPr>
          <w:rFonts w:ascii="Times New Roman" w:hAnsi="Times New Roman" w:cs="Times New Roman"/>
          <w:color w:val="000000" w:themeColor="text1"/>
          <w:sz w:val="22"/>
          <w:szCs w:val="22"/>
        </w:rPr>
        <w:t>rITG</w:t>
      </w:r>
      <w:proofErr w:type="spellEnd"/>
      <w:r w:rsidRPr="008F01FA">
        <w:rPr>
          <w:rFonts w:ascii="Times New Roman" w:hAnsi="Times New Roman" w:cs="Times New Roman"/>
          <w:color w:val="000000" w:themeColor="text1"/>
          <w:sz w:val="22"/>
          <w:szCs w:val="22"/>
        </w:rPr>
        <w:t xml:space="preserve"> connectivity (not found in the individual correlations) also when adding LEDD as a covariate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w:t>
      </w:r>
      <w:proofErr w:type="gramStart"/>
      <w:r w:rsidRPr="008F01FA">
        <w:rPr>
          <w:rFonts w:ascii="Times New Roman" w:hAnsi="Times New Roman" w:cs="Times New Roman"/>
          <w:color w:val="000000" w:themeColor="text1"/>
          <w:sz w:val="22"/>
          <w:szCs w:val="22"/>
        </w:rPr>
        <w:t>=  0.58</w:t>
      </w:r>
      <w:proofErr w:type="gramEnd"/>
      <w:r w:rsidRPr="008F01FA">
        <w:rPr>
          <w:rFonts w:ascii="Times New Roman" w:hAnsi="Times New Roman" w:cs="Times New Roman"/>
          <w:color w:val="000000" w:themeColor="text1"/>
          <w:sz w:val="22"/>
          <w:szCs w:val="22"/>
        </w:rPr>
        <w:t xml:space="preserve">, adjusted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 xml:space="preserve">2 </w:t>
      </w:r>
      <w:proofErr w:type="gramStart"/>
      <w:r w:rsidRPr="008F01FA">
        <w:rPr>
          <w:rFonts w:ascii="Times New Roman" w:hAnsi="Times New Roman" w:cs="Times New Roman"/>
          <w:color w:val="000000" w:themeColor="text1"/>
          <w:sz w:val="22"/>
          <w:szCs w:val="22"/>
        </w:rPr>
        <w:t>=  0.46</w:t>
      </w:r>
      <w:proofErr w:type="gramEnd"/>
      <w:r w:rsidRPr="008F01FA">
        <w:rPr>
          <w:rFonts w:ascii="Times New Roman" w:hAnsi="Times New Roman" w:cs="Times New Roman"/>
          <w:color w:val="000000" w:themeColor="text1"/>
          <w:sz w:val="22"/>
          <w:szCs w:val="22"/>
        </w:rPr>
        <w:t xml:space="preserve">, F= (4,14) = .58,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-value: 0.012; LEDD coefficient =.93]. </w:t>
      </w:r>
      <w:r w:rsidRPr="008F01FA">
        <w:rPr>
          <w:rFonts w:ascii="Times New Roman" w:hAnsi="Times New Roman" w:cs="Times New Roman"/>
          <w:i/>
          <w:iCs/>
          <w:color w:val="000000" w:themeColor="text1"/>
          <w:sz w:val="22"/>
          <w:szCs w:val="22"/>
        </w:rPr>
        <w:t>Minor VH</w:t>
      </w:r>
      <w:r w:rsidRPr="008F01FA">
        <w:rPr>
          <w:rFonts w:ascii="Times New Roman" w:hAnsi="Times New Roman" w:cs="Times New Roman"/>
          <w:color w:val="000000" w:themeColor="text1"/>
          <w:sz w:val="22"/>
          <w:szCs w:val="22"/>
        </w:rPr>
        <w:t xml:space="preserve"> were predicted by both lV1-rV1and left PFC-V1 as reported in the main text, which holds when adding LEDD as a </w:t>
      </w:r>
      <w:proofErr w:type="gramStart"/>
      <w:r w:rsidRPr="008F01FA">
        <w:rPr>
          <w:rFonts w:ascii="Times New Roman" w:hAnsi="Times New Roman" w:cs="Times New Roman"/>
          <w:color w:val="000000" w:themeColor="text1"/>
          <w:sz w:val="22"/>
          <w:szCs w:val="22"/>
        </w:rPr>
        <w:t>covariate  [</w:t>
      </w:r>
      <w:proofErr w:type="gramEnd"/>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w:t>
      </w:r>
      <w:proofErr w:type="gramStart"/>
      <w:r w:rsidRPr="008F01FA">
        <w:rPr>
          <w:rFonts w:ascii="Times New Roman" w:hAnsi="Times New Roman" w:cs="Times New Roman"/>
          <w:color w:val="000000" w:themeColor="text1"/>
          <w:sz w:val="22"/>
          <w:szCs w:val="22"/>
        </w:rPr>
        <w:t>=  0.42</w:t>
      </w:r>
      <w:proofErr w:type="gramEnd"/>
      <w:r w:rsidRPr="008F01FA">
        <w:rPr>
          <w:rFonts w:ascii="Times New Roman" w:hAnsi="Times New Roman" w:cs="Times New Roman"/>
          <w:color w:val="000000" w:themeColor="text1"/>
          <w:sz w:val="22"/>
          <w:szCs w:val="22"/>
        </w:rPr>
        <w:t xml:space="preserve">, adjusted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 xml:space="preserve">2 </w:t>
      </w:r>
      <w:proofErr w:type="gramStart"/>
      <w:r w:rsidRPr="008F01FA">
        <w:rPr>
          <w:rFonts w:ascii="Times New Roman" w:hAnsi="Times New Roman" w:cs="Times New Roman"/>
          <w:color w:val="000000" w:themeColor="text1"/>
          <w:sz w:val="22"/>
          <w:szCs w:val="22"/>
        </w:rPr>
        <w:t>=  0.3</w:t>
      </w:r>
      <w:proofErr w:type="gramEnd"/>
      <w:r w:rsidRPr="008F01FA">
        <w:rPr>
          <w:rFonts w:ascii="Times New Roman" w:hAnsi="Times New Roman" w:cs="Times New Roman"/>
          <w:color w:val="000000" w:themeColor="text1"/>
          <w:sz w:val="22"/>
          <w:szCs w:val="22"/>
        </w:rPr>
        <w:t xml:space="preserve">, F= (3,15) = 3.6,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-value: 0.039, RMSE =5.98, MAE = 4.66; LEDD coefficient was .47]. </w:t>
      </w:r>
    </w:p>
    <w:p w14:paraId="5CF18636" w14:textId="77777777" w:rsidR="00752E6F" w:rsidRPr="008F01FA" w:rsidRDefault="00752E6F" w:rsidP="00752E6F">
      <w:pPr>
        <w:shd w:val="clear" w:color="auto" w:fill="FFFFFF" w:themeFill="background1"/>
        <w:spacing w:line="360" w:lineRule="auto"/>
        <w:rPr>
          <w:rFonts w:ascii="Times New Roman" w:hAnsi="Times New Roman" w:cs="Times New Roman"/>
          <w:color w:val="000000" w:themeColor="text1"/>
          <w:sz w:val="22"/>
          <w:szCs w:val="22"/>
        </w:rPr>
      </w:pPr>
    </w:p>
    <w:p w14:paraId="38B69D36" w14:textId="77777777" w:rsidR="00752E6F" w:rsidRPr="008F01FA" w:rsidRDefault="00752E6F" w:rsidP="00752E6F">
      <w:pPr>
        <w:spacing w:line="360" w:lineRule="auto"/>
        <w:ind w:firstLine="720"/>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Baseline matrix (A). C</w:t>
      </w:r>
      <w:r w:rsidRPr="008F01FA">
        <w:rPr>
          <w:rFonts w:ascii="Times New Roman" w:hAnsi="Times New Roman" w:cs="Times New Roman"/>
          <w:i/>
          <w:iCs/>
          <w:color w:val="000000" w:themeColor="text1"/>
          <w:sz w:val="22"/>
          <w:szCs w:val="22"/>
        </w:rPr>
        <w:t>omplex VH</w:t>
      </w:r>
      <w:r w:rsidRPr="008F01FA">
        <w:rPr>
          <w:rFonts w:ascii="Times New Roman" w:hAnsi="Times New Roman" w:cs="Times New Roman"/>
          <w:color w:val="000000" w:themeColor="text1"/>
          <w:sz w:val="22"/>
          <w:szCs w:val="22"/>
        </w:rPr>
        <w:t xml:space="preserve"> were best predicted by LPFC – LITG, RPFC- RV1, LV1-RV1, RV1-LV1 connectivity also when adding LEDD as a covariate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w:t>
      </w:r>
      <w:proofErr w:type="gramStart"/>
      <w:r w:rsidRPr="008F01FA">
        <w:rPr>
          <w:rFonts w:ascii="Times New Roman" w:hAnsi="Times New Roman" w:cs="Times New Roman"/>
          <w:color w:val="000000" w:themeColor="text1"/>
          <w:sz w:val="22"/>
          <w:szCs w:val="22"/>
        </w:rPr>
        <w:t>=  0.57</w:t>
      </w:r>
      <w:proofErr w:type="gramEnd"/>
      <w:r w:rsidRPr="008F01FA">
        <w:rPr>
          <w:rFonts w:ascii="Times New Roman" w:hAnsi="Times New Roman" w:cs="Times New Roman"/>
          <w:color w:val="000000" w:themeColor="text1"/>
          <w:sz w:val="22"/>
          <w:szCs w:val="22"/>
        </w:rPr>
        <w:t xml:space="preserve">, adjusted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strike/>
          <w:color w:val="000000" w:themeColor="text1"/>
          <w:sz w:val="22"/>
          <w:szCs w:val="22"/>
        </w:rPr>
        <w:t>r2</w:t>
      </w:r>
      <w:r w:rsidRPr="008F01FA">
        <w:rPr>
          <w:rFonts w:ascii="Times New Roman" w:hAnsi="Times New Roman" w:cs="Times New Roman"/>
          <w:color w:val="000000" w:themeColor="text1"/>
          <w:sz w:val="22"/>
          <w:szCs w:val="22"/>
        </w:rPr>
        <w:t xml:space="preserve"> = .42,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 xml:space="preserve">5,14) = 3.8,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 0.022, RMSE = 2.9, MAE = 2.01]. </w:t>
      </w:r>
      <w:r w:rsidRPr="008F01FA">
        <w:rPr>
          <w:rFonts w:ascii="Times New Roman" w:hAnsi="Times New Roman" w:cs="Times New Roman"/>
          <w:i/>
          <w:iCs/>
          <w:color w:val="000000" w:themeColor="text1"/>
          <w:sz w:val="22"/>
          <w:szCs w:val="22"/>
        </w:rPr>
        <w:t>Minor VH</w:t>
      </w:r>
      <w:r w:rsidRPr="008F01FA">
        <w:rPr>
          <w:rFonts w:ascii="Times New Roman" w:hAnsi="Times New Roman" w:cs="Times New Roman"/>
          <w:color w:val="000000" w:themeColor="text1"/>
          <w:sz w:val="22"/>
          <w:szCs w:val="22"/>
        </w:rPr>
        <w:t xml:space="preserve">, were </w:t>
      </w:r>
      <w:r w:rsidRPr="008F01FA">
        <w:rPr>
          <w:rFonts w:ascii="Times New Roman" w:hAnsi="Times New Roman" w:cs="Times New Roman"/>
          <w:strike/>
          <w:color w:val="000000" w:themeColor="text1"/>
          <w:sz w:val="22"/>
          <w:szCs w:val="22"/>
        </w:rPr>
        <w:t xml:space="preserve">best </w:t>
      </w:r>
      <w:r w:rsidRPr="008F01FA">
        <w:rPr>
          <w:rFonts w:ascii="Times New Roman" w:hAnsi="Times New Roman" w:cs="Times New Roman"/>
          <w:color w:val="000000" w:themeColor="text1"/>
          <w:sz w:val="22"/>
          <w:szCs w:val="22"/>
        </w:rPr>
        <w:t>predicted by PFC-V1 and increased connectivity from left V1 to rV1 also when including LEDD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 xml:space="preserve">3,16) =3.9,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w:t>
      </w:r>
      <w:proofErr w:type="gramStart"/>
      <w:r w:rsidRPr="008F01FA">
        <w:rPr>
          <w:rFonts w:ascii="Times New Roman" w:hAnsi="Times New Roman" w:cs="Times New Roman"/>
          <w:color w:val="000000" w:themeColor="text1"/>
          <w:sz w:val="22"/>
          <w:szCs w:val="22"/>
        </w:rPr>
        <w:t>=  0.42,  adjusted</w:t>
      </w:r>
      <w:proofErr w:type="gramEnd"/>
      <w:r w:rsidRPr="008F01FA">
        <w:rPr>
          <w:rFonts w:ascii="Times New Roman" w:hAnsi="Times New Roman" w:cs="Times New Roman"/>
          <w:color w:val="000000" w:themeColor="text1"/>
          <w:sz w:val="22"/>
          <w:szCs w:val="22"/>
        </w:rPr>
        <w:t xml:space="preserve"> 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.3,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 =.03, RMSE = 7.65, MAE = 5.13]), confirming what reported in the main text. </w:t>
      </w:r>
    </w:p>
    <w:p w14:paraId="50B9E10E" w14:textId="77777777" w:rsidR="00752E6F" w:rsidRPr="008F01FA" w:rsidRDefault="00752E6F" w:rsidP="00752E6F">
      <w:pPr>
        <w:spacing w:line="360" w:lineRule="auto"/>
        <w:ind w:firstLine="720"/>
        <w:jc w:val="both"/>
        <w:rPr>
          <w:rFonts w:ascii="Times New Roman" w:hAnsi="Times New Roman" w:cs="Times New Roman"/>
          <w:color w:val="000000" w:themeColor="text1"/>
          <w:sz w:val="22"/>
          <w:szCs w:val="22"/>
        </w:rPr>
      </w:pPr>
      <w:proofErr w:type="gramStart"/>
      <w:r w:rsidRPr="008F01FA">
        <w:rPr>
          <w:rFonts w:ascii="Times New Roman" w:hAnsi="Times New Roman" w:cs="Times New Roman"/>
          <w:color w:val="000000" w:themeColor="text1"/>
          <w:sz w:val="22"/>
          <w:szCs w:val="22"/>
        </w:rPr>
        <w:t>Also</w:t>
      </w:r>
      <w:proofErr w:type="gramEnd"/>
      <w:r w:rsidRPr="008F01FA">
        <w:rPr>
          <w:rFonts w:ascii="Times New Roman" w:hAnsi="Times New Roman" w:cs="Times New Roman"/>
          <w:color w:val="000000" w:themeColor="text1"/>
          <w:sz w:val="22"/>
          <w:szCs w:val="22"/>
        </w:rPr>
        <w:t xml:space="preserve"> multimodal hallucinations results were confirmed with </w:t>
      </w:r>
      <w:proofErr w:type="gramStart"/>
      <w:r w:rsidRPr="008F01FA">
        <w:rPr>
          <w:rFonts w:ascii="Times New Roman" w:hAnsi="Times New Roman" w:cs="Times New Roman"/>
          <w:color w:val="000000" w:themeColor="text1"/>
          <w:sz w:val="22"/>
          <w:szCs w:val="22"/>
        </w:rPr>
        <w:t>predictors  (LV.LPFC</w:t>
      </w:r>
      <w:proofErr w:type="gramEnd"/>
      <w:r w:rsidRPr="008F01FA">
        <w:rPr>
          <w:rFonts w:ascii="Times New Roman" w:hAnsi="Times New Roman" w:cs="Times New Roman"/>
          <w:color w:val="000000" w:themeColor="text1"/>
          <w:sz w:val="22"/>
          <w:szCs w:val="22"/>
        </w:rPr>
        <w:t xml:space="preserve">+ RV.RIT+ </w:t>
      </w:r>
      <w:proofErr w:type="gramStart"/>
      <w:r w:rsidRPr="008F01FA">
        <w:rPr>
          <w:rFonts w:ascii="Times New Roman" w:hAnsi="Times New Roman" w:cs="Times New Roman"/>
          <w:color w:val="000000" w:themeColor="text1"/>
          <w:sz w:val="22"/>
          <w:szCs w:val="22"/>
        </w:rPr>
        <w:t>RV.RPFC</w:t>
      </w:r>
      <w:proofErr w:type="gramEnd"/>
      <w:r w:rsidRPr="008F01FA">
        <w:rPr>
          <w:rFonts w:ascii="Times New Roman" w:hAnsi="Times New Roman" w:cs="Times New Roman"/>
          <w:color w:val="000000" w:themeColor="text1"/>
          <w:sz w:val="22"/>
          <w:szCs w:val="22"/>
        </w:rPr>
        <w:t>+ LITG.LV1+LPFC.LV+ LPFC.LIT+ LV1.RV1) and LEDD [</w:t>
      </w:r>
      <w:proofErr w:type="gramStart"/>
      <w:r w:rsidRPr="008F01FA">
        <w:rPr>
          <w:rFonts w:ascii="Times New Roman" w:hAnsi="Times New Roman" w:cs="Times New Roman"/>
          <w:color w:val="000000" w:themeColor="text1"/>
          <w:sz w:val="22"/>
          <w:szCs w:val="22"/>
        </w:rPr>
        <w:t>F(</w:t>
      </w:r>
      <w:proofErr w:type="gramEnd"/>
      <w:r w:rsidRPr="008F01FA">
        <w:rPr>
          <w:rFonts w:ascii="Times New Roman" w:hAnsi="Times New Roman" w:cs="Times New Roman"/>
          <w:color w:val="000000" w:themeColor="text1"/>
          <w:sz w:val="22"/>
          <w:szCs w:val="22"/>
        </w:rPr>
        <w:t xml:space="preserve">3,16) =3.4, </w:t>
      </w:r>
      <w:r w:rsidRPr="008F01FA">
        <w:rPr>
          <w:rFonts w:ascii="Times New Roman" w:hAnsi="Times New Roman" w:cs="Times New Roman"/>
          <w:i/>
          <w:iCs/>
          <w:color w:val="000000" w:themeColor="text1"/>
          <w:sz w:val="22"/>
          <w:szCs w:val="22"/>
        </w:rPr>
        <w:t>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w:t>
      </w:r>
      <w:proofErr w:type="gramStart"/>
      <w:r w:rsidRPr="008F01FA">
        <w:rPr>
          <w:rFonts w:ascii="Times New Roman" w:hAnsi="Times New Roman" w:cs="Times New Roman"/>
          <w:color w:val="000000" w:themeColor="text1"/>
          <w:sz w:val="22"/>
          <w:szCs w:val="22"/>
        </w:rPr>
        <w:t>=  0.71,  adjusted</w:t>
      </w:r>
      <w:proofErr w:type="gramEnd"/>
      <w:r w:rsidRPr="008F01FA">
        <w:rPr>
          <w:rFonts w:ascii="Times New Roman" w:hAnsi="Times New Roman" w:cs="Times New Roman"/>
          <w:color w:val="000000" w:themeColor="text1"/>
          <w:sz w:val="22"/>
          <w:szCs w:val="22"/>
        </w:rPr>
        <w:t xml:space="preserve"> R2 = .5,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 =.032, RMSE = 3.68, MAE = 2.83])</w:t>
      </w:r>
    </w:p>
    <w:p w14:paraId="05FBB805" w14:textId="77777777" w:rsidR="00752E6F" w:rsidRPr="008F01FA" w:rsidRDefault="00752E6F" w:rsidP="00752E6F">
      <w:pPr>
        <w:spacing w:line="360" w:lineRule="auto"/>
        <w:ind w:firstLine="720"/>
        <w:jc w:val="both"/>
        <w:rPr>
          <w:rFonts w:ascii="Times New Roman" w:hAnsi="Times New Roman" w:cs="Times New Roman"/>
          <w:color w:val="000000" w:themeColor="text1"/>
          <w:sz w:val="22"/>
          <w:szCs w:val="22"/>
        </w:rPr>
      </w:pPr>
    </w:p>
    <w:p w14:paraId="24CF5ACE" w14:textId="77777777" w:rsidR="00752E6F" w:rsidRPr="008F01FA" w:rsidRDefault="00752E6F" w:rsidP="00752E6F">
      <w:pPr>
        <w:spacing w:line="360" w:lineRule="auto"/>
        <w:jc w:val="both"/>
        <w:rPr>
          <w:rFonts w:ascii="Times New Roman" w:hAnsi="Times New Roman" w:cs="Times New Roman"/>
          <w:b/>
          <w:bCs/>
          <w:i/>
          <w:iCs/>
          <w:color w:val="000000" w:themeColor="text1"/>
          <w:sz w:val="22"/>
          <w:szCs w:val="22"/>
        </w:rPr>
      </w:pPr>
      <w:r w:rsidRPr="008F01FA">
        <w:rPr>
          <w:rFonts w:ascii="Times New Roman" w:hAnsi="Times New Roman" w:cs="Times New Roman"/>
          <w:b/>
          <w:bCs/>
          <w:i/>
          <w:iCs/>
          <w:color w:val="000000" w:themeColor="text1"/>
          <w:sz w:val="22"/>
          <w:szCs w:val="22"/>
        </w:rPr>
        <w:t xml:space="preserve">Supplementary Information 9. Additional details on neural sources analyses. </w:t>
      </w:r>
    </w:p>
    <w:p w14:paraId="41DB5326" w14:textId="77777777" w:rsidR="00752E6F" w:rsidRPr="008F01FA" w:rsidRDefault="00752E6F" w:rsidP="00752E6F">
      <w:pPr>
        <w:spacing w:line="360" w:lineRule="auto"/>
        <w:jc w:val="both"/>
        <w:rPr>
          <w:rFonts w:ascii="Times New Roman" w:hAnsi="Times New Roman" w:cs="Times New Roman"/>
          <w:b/>
          <w:bCs/>
          <w:i/>
          <w:iCs/>
          <w:color w:val="000000" w:themeColor="text1"/>
          <w:sz w:val="22"/>
          <w:szCs w:val="22"/>
        </w:rPr>
      </w:pPr>
    </w:p>
    <w:p w14:paraId="1611A921" w14:textId="40D0C571" w:rsidR="00752E6F" w:rsidRPr="008F01FA" w:rsidRDefault="00752E6F" w:rsidP="00752E6F">
      <w:pPr>
        <w:autoSpaceDE w:val="0"/>
        <w:autoSpaceDN w:val="0"/>
        <w:adjustRightInd w:val="0"/>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i/>
          <w:iCs/>
          <w:color w:val="000000" w:themeColor="text1"/>
          <w:sz w:val="22"/>
          <w:szCs w:val="22"/>
        </w:rPr>
        <w:t>Difference in activity for rare (deviant) – standard trials in the different neural populations contributing to the DCM model, based on complex VH severity</w:t>
      </w:r>
      <w:r w:rsidR="00751DBE">
        <w:rPr>
          <w:rFonts w:ascii="Times New Roman" w:hAnsi="Times New Roman" w:cs="Times New Roman"/>
          <w:i/>
          <w:iCs/>
          <w:color w:val="000000" w:themeColor="text1"/>
          <w:sz w:val="22"/>
          <w:szCs w:val="22"/>
        </w:rPr>
        <w:t xml:space="preserve">. </w:t>
      </w:r>
      <w:r w:rsidRPr="008F01FA">
        <w:rPr>
          <w:rFonts w:ascii="Times New Roman" w:hAnsi="Times New Roman" w:cs="Times New Roman"/>
          <w:sz w:val="22"/>
          <w:szCs w:val="22"/>
        </w:rPr>
        <w:t>We computed the multiple regression models with total estimated activity for all 6 regions as predictors to check if results were consistent and we find the model with all regions not being significant [F(6,13) = 1.26, R</w:t>
      </w:r>
      <w:r w:rsidRPr="008F01FA">
        <w:rPr>
          <w:rFonts w:ascii="Times New Roman" w:hAnsi="Times New Roman" w:cs="Times New Roman"/>
          <w:sz w:val="22"/>
          <w:szCs w:val="22"/>
          <w:vertAlign w:val="superscript"/>
        </w:rPr>
        <w:t>2</w:t>
      </w:r>
      <w:r w:rsidRPr="008F01FA">
        <w:rPr>
          <w:rFonts w:ascii="Times New Roman" w:hAnsi="Times New Roman" w:cs="Times New Roman"/>
          <w:sz w:val="22"/>
          <w:szCs w:val="22"/>
        </w:rPr>
        <w:t xml:space="preserve"> = .37, adjusted r</w:t>
      </w:r>
      <w:r w:rsidRPr="008F01FA">
        <w:rPr>
          <w:rFonts w:ascii="Times New Roman" w:hAnsi="Times New Roman" w:cs="Times New Roman"/>
          <w:sz w:val="22"/>
          <w:szCs w:val="22"/>
          <w:vertAlign w:val="superscript"/>
        </w:rPr>
        <w:t>2</w:t>
      </w:r>
      <w:r w:rsidRPr="008F01FA">
        <w:rPr>
          <w:rFonts w:ascii="Times New Roman" w:hAnsi="Times New Roman" w:cs="Times New Roman"/>
          <w:sz w:val="22"/>
          <w:szCs w:val="22"/>
        </w:rPr>
        <w:t xml:space="preserve"> = .08, intercept = 0.0005, </w:t>
      </w:r>
      <w:r w:rsidRPr="008F01FA">
        <w:rPr>
          <w:rFonts w:ascii="Times New Roman" w:hAnsi="Times New Roman" w:cs="Times New Roman"/>
          <w:i/>
          <w:iCs/>
          <w:sz w:val="22"/>
          <w:szCs w:val="22"/>
        </w:rPr>
        <w:t>p</w:t>
      </w:r>
      <w:r w:rsidRPr="008F01FA">
        <w:rPr>
          <w:rFonts w:ascii="Times New Roman" w:hAnsi="Times New Roman" w:cs="Times New Roman"/>
          <w:sz w:val="22"/>
          <w:szCs w:val="22"/>
        </w:rPr>
        <w:t xml:space="preserve"> = .3 ] but we observed a trend towards significance for the left ITG (t =2.006. </w:t>
      </w:r>
      <w:r w:rsidRPr="008F01FA">
        <w:rPr>
          <w:rFonts w:ascii="Times New Roman" w:hAnsi="Times New Roman" w:cs="Times New Roman"/>
          <w:i/>
          <w:iCs/>
          <w:sz w:val="22"/>
          <w:szCs w:val="22"/>
        </w:rPr>
        <w:t>p</w:t>
      </w:r>
      <w:r w:rsidRPr="008F01FA">
        <w:rPr>
          <w:rFonts w:ascii="Times New Roman" w:hAnsi="Times New Roman" w:cs="Times New Roman"/>
          <w:sz w:val="22"/>
          <w:szCs w:val="22"/>
        </w:rPr>
        <w:t xml:space="preserve">=.066).  </w:t>
      </w:r>
      <w:r w:rsidRPr="008F01FA">
        <w:rPr>
          <w:rFonts w:ascii="Times New Roman" w:hAnsi="Times New Roman" w:cs="Times New Roman"/>
          <w:color w:val="000000" w:themeColor="text1"/>
          <w:sz w:val="22"/>
          <w:szCs w:val="22"/>
        </w:rPr>
        <w:t xml:space="preserve">Thus, we proceeded to explore the neural population activity in this </w:t>
      </w:r>
      <w:r w:rsidRPr="008F01FA" w:rsidDel="00F802A7">
        <w:rPr>
          <w:rFonts w:ascii="Times New Roman" w:hAnsi="Times New Roman" w:cs="Times New Roman"/>
          <w:color w:val="000000" w:themeColor="text1"/>
          <w:sz w:val="22"/>
          <w:szCs w:val="22"/>
        </w:rPr>
        <w:t>region</w:t>
      </w:r>
      <w:r w:rsidRPr="008F01FA">
        <w:rPr>
          <w:rFonts w:ascii="Times New Roman" w:hAnsi="Times New Roman" w:cs="Times New Roman"/>
          <w:color w:val="000000" w:themeColor="text1"/>
          <w:sz w:val="22"/>
          <w:szCs w:val="22"/>
        </w:rPr>
        <w:t xml:space="preserve">, with the same model for estimated inhibitory interneurons, spiny and pyramidal activity using them as separate predictors. The first left ITG model, with the sum of all three populations was significant </w:t>
      </w:r>
      <w:r w:rsidRPr="008F01FA">
        <w:rPr>
          <w:rFonts w:ascii="Times New Roman" w:hAnsi="Times New Roman" w:cs="Times New Roman"/>
          <w:sz w:val="22"/>
          <w:szCs w:val="22"/>
        </w:rPr>
        <w:t>[</w:t>
      </w:r>
      <w:proofErr w:type="gramStart"/>
      <w:r w:rsidRPr="008F01FA">
        <w:rPr>
          <w:rFonts w:ascii="Times New Roman" w:hAnsi="Times New Roman" w:cs="Times New Roman"/>
          <w:sz w:val="22"/>
          <w:szCs w:val="22"/>
        </w:rPr>
        <w:t>F(</w:t>
      </w:r>
      <w:proofErr w:type="gramEnd"/>
      <w:r w:rsidRPr="008F01FA">
        <w:rPr>
          <w:rFonts w:ascii="Times New Roman" w:hAnsi="Times New Roman" w:cs="Times New Roman"/>
          <w:sz w:val="22"/>
          <w:szCs w:val="22"/>
        </w:rPr>
        <w:t>3,</w:t>
      </w:r>
      <w:proofErr w:type="gramStart"/>
      <w:r w:rsidRPr="008F01FA">
        <w:rPr>
          <w:rFonts w:ascii="Times New Roman" w:hAnsi="Times New Roman" w:cs="Times New Roman"/>
          <w:sz w:val="22"/>
          <w:szCs w:val="22"/>
        </w:rPr>
        <w:t>16)=</w:t>
      </w:r>
      <w:proofErr w:type="gramEnd"/>
      <w:r w:rsidRPr="008F01FA">
        <w:rPr>
          <w:rFonts w:ascii="Times New Roman" w:hAnsi="Times New Roman" w:cs="Times New Roman"/>
          <w:sz w:val="22"/>
          <w:szCs w:val="22"/>
        </w:rPr>
        <w:t>5.41, R</w:t>
      </w:r>
      <w:r w:rsidRPr="008F01FA">
        <w:rPr>
          <w:rFonts w:ascii="Times New Roman" w:hAnsi="Times New Roman" w:cs="Times New Roman"/>
          <w:sz w:val="22"/>
          <w:szCs w:val="22"/>
          <w:vertAlign w:val="superscript"/>
        </w:rPr>
        <w:t>2</w:t>
      </w:r>
      <w:r w:rsidRPr="008F01FA">
        <w:rPr>
          <w:rFonts w:ascii="Times New Roman" w:hAnsi="Times New Roman" w:cs="Times New Roman"/>
          <w:sz w:val="22"/>
          <w:szCs w:val="22"/>
        </w:rPr>
        <w:t xml:space="preserve"> = .24, adjusted = 0.2</w:t>
      </w:r>
      <w:proofErr w:type="gramStart"/>
      <w:r w:rsidRPr="008F01FA">
        <w:rPr>
          <w:rFonts w:ascii="Times New Roman" w:hAnsi="Times New Roman" w:cs="Times New Roman"/>
          <w:sz w:val="22"/>
          <w:szCs w:val="22"/>
        </w:rPr>
        <w:t xml:space="preserve">,  </w:t>
      </w:r>
      <w:r w:rsidRPr="008F01FA">
        <w:rPr>
          <w:rFonts w:ascii="Times New Roman" w:hAnsi="Times New Roman" w:cs="Times New Roman"/>
          <w:i/>
          <w:iCs/>
          <w:sz w:val="22"/>
          <w:szCs w:val="22"/>
        </w:rPr>
        <w:t>p</w:t>
      </w:r>
      <w:proofErr w:type="gramEnd"/>
      <w:r w:rsidRPr="008F01FA">
        <w:rPr>
          <w:rFonts w:ascii="Times New Roman" w:hAnsi="Times New Roman" w:cs="Times New Roman"/>
          <w:sz w:val="22"/>
          <w:szCs w:val="22"/>
        </w:rPr>
        <w:t xml:space="preserve">= .03, RMSE = 2.22, MAE = 1.79]; </w:t>
      </w:r>
      <w:proofErr w:type="gramStart"/>
      <w:r w:rsidRPr="008F01FA">
        <w:rPr>
          <w:rFonts w:ascii="Times New Roman" w:hAnsi="Times New Roman" w:cs="Times New Roman"/>
          <w:sz w:val="22"/>
          <w:szCs w:val="22"/>
        </w:rPr>
        <w:t>however</w:t>
      </w:r>
      <w:proofErr w:type="gramEnd"/>
      <w:r w:rsidRPr="008F01FA">
        <w:rPr>
          <w:rFonts w:ascii="Times New Roman" w:hAnsi="Times New Roman" w:cs="Times New Roman"/>
          <w:sz w:val="22"/>
          <w:szCs w:val="22"/>
        </w:rPr>
        <w:t xml:space="preserve"> when using all three populations separately as predictors the model was not significant. In order to explore this result, we removed the parameters with the worst coefficients (pyramidal cells, inhibitory interneurons), finding that s</w:t>
      </w:r>
      <w:r w:rsidRPr="008F01FA">
        <w:rPr>
          <w:rFonts w:ascii="Times New Roman" w:hAnsi="Times New Roman" w:cs="Times New Roman"/>
          <w:color w:val="000000" w:themeColor="text1"/>
          <w:sz w:val="22"/>
          <w:szCs w:val="22"/>
        </w:rPr>
        <w:t>piny excitatory cells estimated activity in left ITG for deviant-standard positively relates to complex VH severity</w:t>
      </w:r>
      <w:r w:rsidRPr="008F01FA">
        <w:rPr>
          <w:rFonts w:ascii="Times New Roman" w:hAnsi="Times New Roman" w:cs="Times New Roman"/>
          <w:sz w:val="22"/>
          <w:szCs w:val="22"/>
        </w:rPr>
        <w:t xml:space="preserve"> [F(1,18)= 5.863, r2 = .25, adjusted = 0.2, </w:t>
      </w:r>
      <w:r w:rsidRPr="008F01FA">
        <w:rPr>
          <w:rFonts w:ascii="Times New Roman" w:hAnsi="Times New Roman" w:cs="Times New Roman"/>
          <w:i/>
          <w:iCs/>
          <w:sz w:val="22"/>
          <w:szCs w:val="22"/>
        </w:rPr>
        <w:t>p</w:t>
      </w:r>
      <w:r w:rsidRPr="008F01FA">
        <w:rPr>
          <w:rFonts w:ascii="Times New Roman" w:hAnsi="Times New Roman" w:cs="Times New Roman"/>
          <w:sz w:val="22"/>
          <w:szCs w:val="22"/>
        </w:rPr>
        <w:t xml:space="preserve">=.026, RMSE = 2.20, MAE = 1.74, BIC = 94.9], meaning that the more positive the activity for deviant-standard, the more the VH, similarly to what we previously found in out ERP study (Vignando et al., 2024) </w:t>
      </w:r>
      <w:r w:rsidRPr="008F01FA" w:rsidDel="00F5581E">
        <w:rPr>
          <w:rFonts w:ascii="Times New Roman" w:hAnsi="Times New Roman" w:cs="Times New Roman"/>
          <w:sz w:val="22"/>
          <w:szCs w:val="22"/>
        </w:rPr>
        <w:t xml:space="preserve">the model using a standard linear regression (as this method cannot be used on LOOCV </w:t>
      </w:r>
      <w:r w:rsidRPr="008F01FA" w:rsidDel="00E15D72">
        <w:rPr>
          <w:rFonts w:ascii="Times New Roman" w:hAnsi="Times New Roman" w:cs="Times New Roman"/>
          <w:color w:val="000000" w:themeColor="text1"/>
          <w:sz w:val="22"/>
          <w:szCs w:val="22"/>
        </w:rPr>
        <w:t xml:space="preserve">removing outliers based on Cook’s distance, we find that spiny excitatory cells estimated activity positively relates to complex VH </w:t>
      </w:r>
      <w:r w:rsidRPr="008F01FA" w:rsidDel="00F5581E">
        <w:rPr>
          <w:rFonts w:ascii="Times New Roman" w:hAnsi="Times New Roman" w:cs="Times New Roman"/>
          <w:color w:val="000000" w:themeColor="text1"/>
          <w:sz w:val="22"/>
          <w:szCs w:val="22"/>
        </w:rPr>
        <w:lastRenderedPageBreak/>
        <w:t>[F(1,17</w:t>
      </w:r>
      <w:r w:rsidRPr="008F01FA">
        <w:rPr>
          <w:rFonts w:ascii="Times New Roman" w:hAnsi="Times New Roman" w:cs="Times New Roman"/>
          <w:i/>
          <w:iCs/>
          <w:color w:val="000000" w:themeColor="text1"/>
          <w:sz w:val="22"/>
          <w:szCs w:val="22"/>
        </w:rPr>
        <w:t>9.088</w:t>
      </w:r>
      <w:r w:rsidRPr="008F01FA">
        <w:rPr>
          <w:rFonts w:ascii="Times New Roman" w:hAnsi="Times New Roman" w:cs="Times New Roman"/>
          <w:color w:val="000000" w:themeColor="text1"/>
          <w:sz w:val="22"/>
          <w:szCs w:val="22"/>
        </w:rPr>
        <w:t xml:space="preserve">, t = 5.43,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=.008, </w:t>
      </w:r>
      <w:proofErr w:type="spellStart"/>
      <w:r w:rsidRPr="008F01FA">
        <w:rPr>
          <w:rFonts w:ascii="Times New Roman" w:hAnsi="Times New Roman" w:cs="Times New Roman"/>
          <w:color w:val="000000" w:themeColor="text1"/>
          <w:sz w:val="22"/>
          <w:szCs w:val="22"/>
        </w:rPr>
        <w:t>st</w:t>
      </w:r>
      <w:proofErr w:type="spellEnd"/>
      <w:r w:rsidRPr="008F01FA">
        <w:rPr>
          <w:rFonts w:ascii="Times New Roman" w:hAnsi="Times New Roman" w:cs="Times New Roman"/>
          <w:color w:val="000000" w:themeColor="text1"/>
          <w:sz w:val="22"/>
          <w:szCs w:val="22"/>
        </w:rPr>
        <w:t xml:space="preserve"> error =0.46, residual = </w:t>
      </w:r>
      <w:r w:rsidRPr="008F01FA">
        <w:rPr>
          <w:rFonts w:ascii="Times New Roman" w:hAnsi="Times New Roman" w:cs="Times New Roman"/>
          <w:i/>
          <w:iCs/>
          <w:color w:val="000000" w:themeColor="text1"/>
          <w:sz w:val="22"/>
          <w:szCs w:val="22"/>
        </w:rPr>
        <w:t xml:space="preserve">1.867 , </w:t>
      </w:r>
      <w:r w:rsidRPr="008F01FA">
        <w:rPr>
          <w:rFonts w:ascii="Times New Roman" w:hAnsi="Times New Roman" w:cs="Times New Roman"/>
          <w:color w:val="000000" w:themeColor="text1"/>
          <w:sz w:val="22"/>
          <w:szCs w:val="22"/>
        </w:rPr>
        <w:t>intercept =2.52, R</w:t>
      </w:r>
      <w:r w:rsidRPr="008F01FA">
        <w:rPr>
          <w:rFonts w:ascii="Times New Roman" w:hAnsi="Times New Roman" w:cs="Times New Roman"/>
          <w:color w:val="000000" w:themeColor="text1"/>
          <w:sz w:val="22"/>
          <w:szCs w:val="22"/>
          <w:vertAlign w:val="superscript"/>
        </w:rPr>
        <w:t>2</w:t>
      </w:r>
      <w:r w:rsidRPr="008F01FA">
        <w:rPr>
          <w:rFonts w:ascii="Times New Roman" w:hAnsi="Times New Roman" w:cs="Times New Roman"/>
          <w:color w:val="000000" w:themeColor="text1"/>
          <w:sz w:val="22"/>
          <w:szCs w:val="22"/>
        </w:rPr>
        <w:t xml:space="preserve"> = 0.35].   This result is found solely for complex VH. We tested the same model for minor VH and multimodal hallucinations score, finding no significant results. The result is in line with the finding from the recursive PEB analysis that ss for left ITG was reduced in PD-VH at task, if compared to PD. </w:t>
      </w:r>
    </w:p>
    <w:p w14:paraId="3E92260A" w14:textId="77777777" w:rsidR="00752E6F" w:rsidRPr="008F01FA" w:rsidRDefault="00752E6F" w:rsidP="00752E6F">
      <w:pPr>
        <w:autoSpaceDE w:val="0"/>
        <w:autoSpaceDN w:val="0"/>
        <w:adjustRightInd w:val="0"/>
        <w:spacing w:line="360" w:lineRule="auto"/>
        <w:jc w:val="both"/>
        <w:rPr>
          <w:rFonts w:ascii="Times New Roman" w:hAnsi="Times New Roman" w:cs="Times New Roman"/>
          <w:color w:val="000000" w:themeColor="text1"/>
          <w:sz w:val="22"/>
          <w:szCs w:val="22"/>
        </w:rPr>
      </w:pPr>
    </w:p>
    <w:p w14:paraId="07CA1950"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Following the analysis of neural populations, we also explored whether there was a difference between PD and PDP for the left ITG based on the results of the regression models. When looking at the activity for each component with paired t-tests for standard vs deviant within each group, we find a difference for PD (</w:t>
      </w:r>
      <w:r w:rsidRPr="008F01FA">
        <w:rPr>
          <w:rFonts w:ascii="Times New Roman" w:hAnsi="Times New Roman" w:cs="Times New Roman"/>
          <w:i/>
          <w:iCs/>
          <w:color w:val="000000" w:themeColor="text1"/>
          <w:sz w:val="22"/>
          <w:szCs w:val="22"/>
        </w:rPr>
        <w:t>p</w:t>
      </w:r>
      <w:r w:rsidRPr="008F01FA">
        <w:rPr>
          <w:rFonts w:ascii="Times New Roman" w:hAnsi="Times New Roman" w:cs="Times New Roman"/>
          <w:color w:val="000000" w:themeColor="text1"/>
          <w:sz w:val="22"/>
          <w:szCs w:val="22"/>
        </w:rPr>
        <w:t xml:space="preserve"> =.04) but not for PDP (p=.14) for inhibitory interneurons, suggesting that they might be involved in the </w:t>
      </w:r>
      <w:proofErr w:type="spellStart"/>
      <w:r w:rsidRPr="008F01FA">
        <w:rPr>
          <w:rFonts w:ascii="Times New Roman" w:hAnsi="Times New Roman" w:cs="Times New Roman"/>
          <w:color w:val="000000" w:themeColor="text1"/>
          <w:sz w:val="22"/>
          <w:szCs w:val="22"/>
        </w:rPr>
        <w:t>vMMN</w:t>
      </w:r>
      <w:proofErr w:type="spellEnd"/>
      <w:r w:rsidRPr="008F01FA">
        <w:rPr>
          <w:rFonts w:ascii="Times New Roman" w:hAnsi="Times New Roman" w:cs="Times New Roman"/>
          <w:color w:val="000000" w:themeColor="text1"/>
          <w:sz w:val="22"/>
          <w:szCs w:val="22"/>
        </w:rPr>
        <w:t xml:space="preserve"> detection, but no difference is observed for spiny activity.  </w:t>
      </w:r>
    </w:p>
    <w:p w14:paraId="6F39D712"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18FCB28C"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315A52A4"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712136BD"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noProof/>
          <w:color w:val="000000" w:themeColor="text1"/>
          <w:sz w:val="22"/>
          <w:szCs w:val="22"/>
        </w:rPr>
        <w:drawing>
          <wp:inline distT="0" distB="0" distL="0" distR="0" wp14:anchorId="0FFC3A89" wp14:editId="5A5E5184">
            <wp:extent cx="5943600" cy="3419475"/>
            <wp:effectExtent l="0" t="0" r="0" b="0"/>
            <wp:docPr id="1757745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45013" name="Picture 1757745013"/>
                    <pic:cNvPicPr/>
                  </pic:nvPicPr>
                  <pic:blipFill>
                    <a:blip r:embed="rId14"/>
                    <a:stretch>
                      <a:fillRect/>
                    </a:stretch>
                  </pic:blipFill>
                  <pic:spPr>
                    <a:xfrm>
                      <a:off x="0" y="0"/>
                      <a:ext cx="5943600" cy="3419475"/>
                    </a:xfrm>
                    <a:prstGeom prst="rect">
                      <a:avLst/>
                    </a:prstGeom>
                  </pic:spPr>
                </pic:pic>
              </a:graphicData>
            </a:graphic>
          </wp:inline>
        </w:drawing>
      </w:r>
    </w:p>
    <w:p w14:paraId="223DF6B6" w14:textId="77777777" w:rsidR="00752E6F" w:rsidRPr="00BF76E1" w:rsidRDefault="00752E6F" w:rsidP="00752E6F">
      <w:pPr>
        <w:autoSpaceDE w:val="0"/>
        <w:autoSpaceDN w:val="0"/>
        <w:adjustRightInd w:val="0"/>
        <w:jc w:val="both"/>
        <w:rPr>
          <w:rFonts w:ascii="Times New Roman" w:hAnsi="Times New Roman" w:cs="Times New Roman"/>
          <w:kern w:val="0"/>
          <w:sz w:val="22"/>
          <w:szCs w:val="22"/>
        </w:rPr>
      </w:pPr>
      <w:r w:rsidRPr="00BF76E1">
        <w:rPr>
          <w:rFonts w:ascii="Times New Roman" w:hAnsi="Times New Roman" w:cs="Times New Roman"/>
          <w:b/>
          <w:bCs/>
          <w:i/>
          <w:iCs/>
          <w:kern w:val="0"/>
          <w:sz w:val="22"/>
          <w:szCs w:val="22"/>
        </w:rPr>
        <w:t>Supplementary Figure8. Neural populations estimates and complex VH.</w:t>
      </w:r>
      <w:r w:rsidRPr="00BF76E1">
        <w:rPr>
          <w:rFonts w:ascii="Times New Roman" w:hAnsi="Times New Roman" w:cs="Times New Roman"/>
          <w:i/>
          <w:iCs/>
          <w:kern w:val="0"/>
          <w:sz w:val="22"/>
          <w:szCs w:val="22"/>
        </w:rPr>
        <w:t xml:space="preserve"> A) Top row: estimated neural activity for PD and PD-VH for inhibitory interneurons (left) and spiny stellate cells (right): cyan = difference (rare – standard), pink = rare, green = standard; bottom row: interneuron and spiny stellate cells activity estimated by the DCM (pink = rare, green = standard) (representation using the activity of a PD-VH and a PD patient). The data points are the values extracted from each individual DCM after model inversion for the 0-400ms for each estimated neural population and each region; the ones plotted and used for the analyses are for the 100-250ms interval, the latencies of interest for the </w:t>
      </w:r>
      <w:proofErr w:type="spellStart"/>
      <w:r w:rsidRPr="00BF76E1">
        <w:rPr>
          <w:rFonts w:ascii="Times New Roman" w:hAnsi="Times New Roman" w:cs="Times New Roman"/>
          <w:i/>
          <w:iCs/>
          <w:kern w:val="0"/>
          <w:sz w:val="22"/>
          <w:szCs w:val="22"/>
        </w:rPr>
        <w:t>vMMN</w:t>
      </w:r>
      <w:proofErr w:type="spellEnd"/>
      <w:r w:rsidRPr="00BF76E1">
        <w:rPr>
          <w:rFonts w:ascii="Times New Roman" w:hAnsi="Times New Roman" w:cs="Times New Roman"/>
          <w:i/>
          <w:iCs/>
          <w:kern w:val="0"/>
          <w:sz w:val="22"/>
          <w:szCs w:val="22"/>
        </w:rPr>
        <w:t xml:space="preserve">. x axis = time </w:t>
      </w:r>
      <w:proofErr w:type="spellStart"/>
      <w:r w:rsidRPr="00BF76E1">
        <w:rPr>
          <w:rFonts w:ascii="Times New Roman" w:hAnsi="Times New Roman" w:cs="Times New Roman"/>
          <w:i/>
          <w:iCs/>
          <w:kern w:val="0"/>
          <w:sz w:val="22"/>
          <w:szCs w:val="22"/>
        </w:rPr>
        <w:t>ms</w:t>
      </w:r>
      <w:proofErr w:type="spellEnd"/>
      <w:r w:rsidRPr="00BF76E1">
        <w:rPr>
          <w:rFonts w:ascii="Times New Roman" w:hAnsi="Times New Roman" w:cs="Times New Roman"/>
          <w:i/>
          <w:iCs/>
          <w:kern w:val="0"/>
          <w:sz w:val="22"/>
          <w:szCs w:val="22"/>
        </w:rPr>
        <w:t xml:space="preserve">; y axis = estimated neural activity (DCM-derived estimates). B) Scatter plot showing CVH severity score plotted as a function of left ITG ss cells estimated activity: based on results of a multiple regression model </w:t>
      </w:r>
      <w:r w:rsidRPr="00BF76E1">
        <w:rPr>
          <w:rFonts w:ascii="Times New Roman" w:hAnsi="Times New Roman" w:cs="Times New Roman"/>
          <w:i/>
          <w:iCs/>
          <w:kern w:val="0"/>
          <w:sz w:val="22"/>
          <w:szCs w:val="22"/>
        </w:rPr>
        <w:lastRenderedPageBreak/>
        <w:t>with total estimated activity for all 6 regions as predictors (SI9) we proceeded to explore the neural population activity in the left ITG we compared differences in activity for rare (deviant) – standard trials in the different neural populations contributing to the DCM model, based on CVH severity, finding that spiny excitatory cells estimated activity in left ITG for deviant-standard positively relates to severity, suggesting that the more positive the activity for deviant-standard, the more the VH (SI9). x axis = CVH severity score; y axis = estimated neural activity (DCM-derived estimates). We confirmed our result using a standard linear regression removing outliers based on Cook’s distance; all details in full are reported in SI9, where we also describe additional exploratory analyses related differences in standard-deviant trials in PD-</w:t>
      </w:r>
      <w:proofErr w:type="spellStart"/>
      <w:r w:rsidRPr="00BF76E1">
        <w:rPr>
          <w:rFonts w:ascii="Times New Roman" w:hAnsi="Times New Roman" w:cs="Times New Roman"/>
          <w:i/>
          <w:iCs/>
          <w:kern w:val="0"/>
          <w:sz w:val="22"/>
          <w:szCs w:val="22"/>
        </w:rPr>
        <w:t>noVH</w:t>
      </w:r>
      <w:proofErr w:type="spellEnd"/>
      <w:r w:rsidRPr="00BF76E1">
        <w:rPr>
          <w:rFonts w:ascii="Times New Roman" w:hAnsi="Times New Roman" w:cs="Times New Roman"/>
          <w:i/>
          <w:iCs/>
          <w:kern w:val="0"/>
          <w:sz w:val="22"/>
          <w:szCs w:val="22"/>
        </w:rPr>
        <w:t xml:space="preserve"> and PD-VH in these regions where we explored neural predictors of hallucinations severity.</w:t>
      </w:r>
    </w:p>
    <w:p w14:paraId="3E2E55F2" w14:textId="77777777" w:rsidR="00752E6F" w:rsidRPr="00BF76E1" w:rsidRDefault="00752E6F" w:rsidP="00752E6F">
      <w:pPr>
        <w:autoSpaceDE w:val="0"/>
        <w:autoSpaceDN w:val="0"/>
        <w:adjustRightInd w:val="0"/>
        <w:jc w:val="both"/>
        <w:rPr>
          <w:rFonts w:ascii="Times New Roman" w:hAnsi="Times New Roman" w:cs="Times New Roman"/>
          <w:kern w:val="0"/>
          <w:sz w:val="22"/>
          <w:szCs w:val="22"/>
        </w:rPr>
      </w:pPr>
      <w:r w:rsidRPr="00BF76E1">
        <w:rPr>
          <w:rFonts w:ascii="Times New Roman" w:hAnsi="Times New Roman" w:cs="Times New Roman"/>
          <w:kern w:val="0"/>
          <w:sz w:val="22"/>
          <w:szCs w:val="22"/>
        </w:rPr>
        <w:t> </w:t>
      </w:r>
    </w:p>
    <w:p w14:paraId="12A3F6BD"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p>
    <w:p w14:paraId="373D71A0" w14:textId="77777777" w:rsidR="00752E6F" w:rsidRPr="008F01FA" w:rsidRDefault="00752E6F" w:rsidP="00752E6F">
      <w:pPr>
        <w:spacing w:line="360" w:lineRule="auto"/>
        <w:jc w:val="both"/>
        <w:rPr>
          <w:rFonts w:ascii="Times New Roman" w:hAnsi="Times New Roman" w:cs="Times New Roman"/>
          <w:i/>
          <w:iCs/>
          <w:color w:val="000000" w:themeColor="text1"/>
          <w:sz w:val="22"/>
          <w:szCs w:val="22"/>
        </w:rPr>
      </w:pPr>
    </w:p>
    <w:p w14:paraId="4B3CCD1C" w14:textId="77777777" w:rsidR="00752E6F" w:rsidRPr="008F01FA" w:rsidRDefault="00752E6F" w:rsidP="00752E6F">
      <w:pPr>
        <w:spacing w:line="360" w:lineRule="auto"/>
        <w:jc w:val="both"/>
        <w:rPr>
          <w:rFonts w:ascii="Times New Roman" w:hAnsi="Times New Roman" w:cs="Times New Roman"/>
          <w:b/>
          <w:bCs/>
          <w:i/>
          <w:iCs/>
          <w:color w:val="000000" w:themeColor="text1"/>
          <w:sz w:val="22"/>
          <w:szCs w:val="22"/>
        </w:rPr>
      </w:pPr>
      <w:r w:rsidRPr="008F01FA">
        <w:rPr>
          <w:rFonts w:ascii="Times New Roman" w:hAnsi="Times New Roman" w:cs="Times New Roman"/>
          <w:b/>
          <w:bCs/>
          <w:i/>
          <w:iCs/>
          <w:color w:val="000000" w:themeColor="text1"/>
          <w:sz w:val="22"/>
          <w:szCs w:val="22"/>
        </w:rPr>
        <w:t xml:space="preserve">Supplementary Information 10. Simulations details. </w:t>
      </w:r>
    </w:p>
    <w:p w14:paraId="769577AC"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To understand more clearly the role of intrinsic coupling in the results pertaining to the previous sections and on the PEB analysis where specific parameter changes were found associated to the inhibitory to excitatory coupling, we simulated model outputs for the coupling parameters to apply perturbations associated to having VH, to modulate the inhibition-to-excitation coupling parameter (G) and examine how connectivity changes with psychosis. To this aim, we start with the grand mean model inversion and modulate the coupling parameters of all regions to the values estimated in the PEB analysis, to see how much of the measured effect of VH is reproducible by modulating the parameter. To do this, we also extracted the psychosis factor from the design matrix and used it to estimate how such changes related to the psychosis/hallucinations factor. We also extracted the estimate of probability for the psychosis factor as derived from the PEB analysis, that is the magnitude and direction of the difference in connectivity between the two groups; this factor is a measure of how </w:t>
      </w:r>
      <w:proofErr w:type="gramStart"/>
      <w:r w:rsidRPr="008F01FA">
        <w:rPr>
          <w:rFonts w:ascii="Times New Roman" w:hAnsi="Times New Roman" w:cs="Times New Roman"/>
          <w:color w:val="000000" w:themeColor="text1"/>
          <w:sz w:val="22"/>
          <w:szCs w:val="22"/>
        </w:rPr>
        <w:t>having VH</w:t>
      </w:r>
      <w:proofErr w:type="gramEnd"/>
      <w:r w:rsidRPr="008F01FA">
        <w:rPr>
          <w:rFonts w:ascii="Times New Roman" w:hAnsi="Times New Roman" w:cs="Times New Roman"/>
          <w:color w:val="000000" w:themeColor="text1"/>
          <w:sz w:val="22"/>
          <w:szCs w:val="22"/>
        </w:rPr>
        <w:t xml:space="preserve"> is expected to affect the strength of connectivity parameters.  We did this for all regions and examine effects in state space and time. We present model predictions for simulated increasing G parameter changes (10 steps, 0.5 range to attain to physiologically realistic changes and local changes) in time space and state space (Friston et al., 2010). To visualise how these connectivity changes disclose in time-resolved EEG activity in PDP and PD we use heatmaps and time series plots. The heatmaps show time-resolved effects of hallucinations on the neural populations of interest across the ventral visual network in our paradigm</w:t>
      </w:r>
      <w:r w:rsidRPr="008F01FA" w:rsidDel="00AD2689">
        <w:rPr>
          <w:rFonts w:ascii="Times New Roman" w:hAnsi="Times New Roman" w:cs="Times New Roman"/>
          <w:color w:val="000000" w:themeColor="text1"/>
          <w:sz w:val="22"/>
          <w:szCs w:val="22"/>
        </w:rPr>
        <w:t xml:space="preserve"> </w:t>
      </w:r>
      <w:r w:rsidRPr="008F01FA">
        <w:rPr>
          <w:rFonts w:ascii="Times New Roman" w:hAnsi="Times New Roman" w:cs="Times New Roman"/>
          <w:color w:val="000000" w:themeColor="text1"/>
          <w:sz w:val="22"/>
          <w:szCs w:val="22"/>
        </w:rPr>
        <w:t xml:space="preserve">(details: x-axis = peristimulus time, y-axis = degree of change in G (ii to excitatory) scaled based on effect of psychosis). To quantify differences in excitatory and inhibitory activity for each region quantifying them with the time resolved AUC method, computing the AUC using a trapezoid function. To quantify the state space changes observed with the increasing parameter changes, we compute state spare area differences for each region for PD-VH and PD and compare them statistically with a paired t-test. All analyses were carried out in </w:t>
      </w:r>
      <w:proofErr w:type="spellStart"/>
      <w:r w:rsidRPr="008F01FA">
        <w:rPr>
          <w:rFonts w:ascii="Times New Roman" w:hAnsi="Times New Roman" w:cs="Times New Roman"/>
          <w:color w:val="000000" w:themeColor="text1"/>
          <w:sz w:val="22"/>
          <w:szCs w:val="22"/>
        </w:rPr>
        <w:t>MatLAB</w:t>
      </w:r>
      <w:proofErr w:type="spellEnd"/>
      <w:r w:rsidRPr="008F01FA">
        <w:rPr>
          <w:rFonts w:ascii="Times New Roman" w:hAnsi="Times New Roman" w:cs="Times New Roman"/>
          <w:color w:val="000000" w:themeColor="text1"/>
          <w:sz w:val="22"/>
          <w:szCs w:val="22"/>
        </w:rPr>
        <w:t xml:space="preserve"> 2023b.  </w:t>
      </w:r>
    </w:p>
    <w:p w14:paraId="5F1CECC8"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 xml:space="preserve">When examining results from the simulations, the inhibitory simulated activity shows an initial increase and significant later dip in activity bilaterally, but especially for left V1. Inhibitory signalling may be </w:t>
      </w:r>
      <w:r w:rsidRPr="008F01FA">
        <w:rPr>
          <w:rFonts w:ascii="Times New Roman" w:hAnsi="Times New Roman" w:cs="Times New Roman"/>
          <w:color w:val="000000" w:themeColor="text1"/>
          <w:sz w:val="22"/>
          <w:szCs w:val="22"/>
        </w:rPr>
        <w:lastRenderedPageBreak/>
        <w:t>disrupted early on in visual processing altering the E/I balance in the process. A similar pattern is observed for the ITG bilaterally, supporting the e/I balance disruption also at higher levels of visual processing. PFC show decreases after 200ms, however smaller. These differences are quantified by the AUC analysis (Figure 8B).  In the MMN and P300 latencies, PD-VH show a strong decrease in both activity types in V1, with left V1 being particularly affected and the ITG also shows a similar pattern, with little disinhibition in RITG in the MMN latencies, but a particular strong disinhibition observed for left ITG; disinhibition is also observed for the PFC bilaterally. The AUC differences show a decrease in ii and excitatory activity for both these visual processing regions and are consistent with the heatmaps suggesting that PD-VH is associated to reduced activity of both types. We computed statistical differences for the time-resolved AUC in the relevant latencies, the p values are reported in the tables below:</w:t>
      </w:r>
    </w:p>
    <w:tbl>
      <w:tblPr>
        <w:tblW w:w="9857" w:type="dxa"/>
        <w:tblLook w:val="04A0" w:firstRow="1" w:lastRow="0" w:firstColumn="1" w:lastColumn="0" w:noHBand="0" w:noVBand="1"/>
      </w:tblPr>
      <w:tblGrid>
        <w:gridCol w:w="1232"/>
        <w:gridCol w:w="1233"/>
        <w:gridCol w:w="1232"/>
        <w:gridCol w:w="1232"/>
        <w:gridCol w:w="1232"/>
        <w:gridCol w:w="1232"/>
        <w:gridCol w:w="1232"/>
        <w:gridCol w:w="1232"/>
      </w:tblGrid>
      <w:tr w:rsidR="00752E6F" w:rsidRPr="008F01FA" w14:paraId="12B311E2" w14:textId="77777777" w:rsidTr="00BF76E1">
        <w:trPr>
          <w:trHeight w:val="282"/>
        </w:trPr>
        <w:tc>
          <w:tcPr>
            <w:tcW w:w="1232" w:type="dxa"/>
            <w:tcBorders>
              <w:top w:val="nil"/>
              <w:left w:val="nil"/>
              <w:bottom w:val="nil"/>
              <w:right w:val="nil"/>
            </w:tcBorders>
            <w:shd w:val="clear" w:color="auto" w:fill="auto"/>
            <w:noWrap/>
            <w:vAlign w:val="bottom"/>
            <w:hideMark/>
          </w:tcPr>
          <w:p w14:paraId="73B492B0"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716C6890"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66F45B77"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4765C783"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26A3B9EB"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7220313A"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580D7B80"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1847B9E4" w14:textId="77777777" w:rsidR="00752E6F" w:rsidRPr="008F01FA" w:rsidRDefault="00752E6F" w:rsidP="00BF76E1">
            <w:pPr>
              <w:rPr>
                <w:rFonts w:ascii="Times New Roman" w:hAnsi="Times New Roman" w:cs="Times New Roman"/>
                <w:sz w:val="22"/>
                <w:szCs w:val="22"/>
              </w:rPr>
            </w:pPr>
          </w:p>
        </w:tc>
      </w:tr>
      <w:tr w:rsidR="00752E6F" w:rsidRPr="008F01FA" w14:paraId="2C19D1F8" w14:textId="77777777" w:rsidTr="00BF76E1">
        <w:trPr>
          <w:trHeight w:val="282"/>
        </w:trPr>
        <w:tc>
          <w:tcPr>
            <w:tcW w:w="2465" w:type="dxa"/>
            <w:gridSpan w:val="2"/>
            <w:tcBorders>
              <w:top w:val="single" w:sz="4" w:space="0" w:color="auto"/>
              <w:left w:val="nil"/>
              <w:bottom w:val="single" w:sz="4" w:space="0" w:color="auto"/>
              <w:right w:val="nil"/>
            </w:tcBorders>
            <w:shd w:val="clear" w:color="auto" w:fill="auto"/>
            <w:noWrap/>
            <w:vAlign w:val="bottom"/>
            <w:hideMark/>
          </w:tcPr>
          <w:p w14:paraId="7AC1CB76"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 xml:space="preserve">Time resolved AUC - ii </w:t>
            </w:r>
          </w:p>
        </w:tc>
        <w:tc>
          <w:tcPr>
            <w:tcW w:w="1232" w:type="dxa"/>
            <w:tcBorders>
              <w:top w:val="single" w:sz="4" w:space="0" w:color="auto"/>
              <w:left w:val="nil"/>
              <w:bottom w:val="single" w:sz="4" w:space="0" w:color="auto"/>
              <w:right w:val="nil"/>
            </w:tcBorders>
            <w:shd w:val="clear" w:color="auto" w:fill="auto"/>
            <w:noWrap/>
            <w:vAlign w:val="bottom"/>
            <w:hideMark/>
          </w:tcPr>
          <w:p w14:paraId="77A76F31"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single" w:sz="4" w:space="0" w:color="auto"/>
              <w:left w:val="nil"/>
              <w:bottom w:val="single" w:sz="4" w:space="0" w:color="auto"/>
              <w:right w:val="nil"/>
            </w:tcBorders>
            <w:shd w:val="clear" w:color="000000" w:fill="FFFFFF"/>
            <w:noWrap/>
            <w:vAlign w:val="bottom"/>
            <w:hideMark/>
          </w:tcPr>
          <w:p w14:paraId="6D619845"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single" w:sz="4" w:space="0" w:color="auto"/>
              <w:left w:val="nil"/>
              <w:bottom w:val="single" w:sz="4" w:space="0" w:color="auto"/>
              <w:right w:val="nil"/>
            </w:tcBorders>
            <w:shd w:val="clear" w:color="000000" w:fill="FFFFFF"/>
            <w:noWrap/>
            <w:vAlign w:val="bottom"/>
            <w:hideMark/>
          </w:tcPr>
          <w:p w14:paraId="541B7771"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single" w:sz="4" w:space="0" w:color="auto"/>
              <w:left w:val="nil"/>
              <w:bottom w:val="single" w:sz="4" w:space="0" w:color="auto"/>
              <w:right w:val="nil"/>
            </w:tcBorders>
            <w:shd w:val="clear" w:color="000000" w:fill="FFFFFF"/>
            <w:noWrap/>
            <w:vAlign w:val="bottom"/>
            <w:hideMark/>
          </w:tcPr>
          <w:p w14:paraId="3CC204F0"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single" w:sz="4" w:space="0" w:color="auto"/>
              <w:left w:val="nil"/>
              <w:bottom w:val="single" w:sz="4" w:space="0" w:color="auto"/>
              <w:right w:val="nil"/>
            </w:tcBorders>
            <w:shd w:val="clear" w:color="000000" w:fill="FFFFFF"/>
            <w:noWrap/>
            <w:vAlign w:val="bottom"/>
            <w:hideMark/>
          </w:tcPr>
          <w:p w14:paraId="7A4451B0"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single" w:sz="4" w:space="0" w:color="auto"/>
              <w:left w:val="nil"/>
              <w:bottom w:val="single" w:sz="4" w:space="0" w:color="auto"/>
              <w:right w:val="nil"/>
            </w:tcBorders>
            <w:shd w:val="clear" w:color="auto" w:fill="auto"/>
            <w:noWrap/>
            <w:vAlign w:val="bottom"/>
            <w:hideMark/>
          </w:tcPr>
          <w:p w14:paraId="29FEB95C"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r>
      <w:tr w:rsidR="00752E6F" w:rsidRPr="008F01FA" w14:paraId="2E3B5D9D" w14:textId="77777777" w:rsidTr="00BF76E1">
        <w:trPr>
          <w:trHeight w:val="282"/>
        </w:trPr>
        <w:tc>
          <w:tcPr>
            <w:tcW w:w="1232" w:type="dxa"/>
            <w:tcBorders>
              <w:top w:val="nil"/>
              <w:left w:val="nil"/>
              <w:bottom w:val="single" w:sz="4" w:space="0" w:color="auto"/>
              <w:right w:val="nil"/>
            </w:tcBorders>
            <w:shd w:val="clear" w:color="auto" w:fill="auto"/>
            <w:noWrap/>
            <w:vAlign w:val="bottom"/>
            <w:hideMark/>
          </w:tcPr>
          <w:p w14:paraId="7598DEDF" w14:textId="77777777" w:rsidR="00752E6F" w:rsidRPr="008F01FA" w:rsidRDefault="00752E6F" w:rsidP="00BF76E1">
            <w:pP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Region</w:t>
            </w:r>
          </w:p>
        </w:tc>
        <w:tc>
          <w:tcPr>
            <w:tcW w:w="1232" w:type="dxa"/>
            <w:tcBorders>
              <w:top w:val="nil"/>
              <w:left w:val="nil"/>
              <w:bottom w:val="single" w:sz="4" w:space="0" w:color="auto"/>
              <w:right w:val="nil"/>
            </w:tcBorders>
            <w:shd w:val="clear" w:color="auto" w:fill="auto"/>
            <w:noWrap/>
            <w:vAlign w:val="bottom"/>
            <w:hideMark/>
          </w:tcPr>
          <w:p w14:paraId="04AB11AB" w14:textId="77777777" w:rsidR="00752E6F" w:rsidRPr="008F01FA" w:rsidRDefault="00752E6F" w:rsidP="00BF76E1">
            <w:pP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0ms</w:t>
            </w:r>
          </w:p>
        </w:tc>
        <w:tc>
          <w:tcPr>
            <w:tcW w:w="1232" w:type="dxa"/>
            <w:tcBorders>
              <w:top w:val="nil"/>
              <w:left w:val="nil"/>
              <w:bottom w:val="single" w:sz="4" w:space="0" w:color="auto"/>
              <w:right w:val="nil"/>
            </w:tcBorders>
            <w:shd w:val="clear" w:color="auto" w:fill="auto"/>
            <w:noWrap/>
            <w:vAlign w:val="bottom"/>
            <w:hideMark/>
          </w:tcPr>
          <w:p w14:paraId="31D17BF4" w14:textId="77777777" w:rsidR="00752E6F" w:rsidRPr="008F01FA" w:rsidRDefault="00752E6F" w:rsidP="00BF76E1">
            <w:pP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50ms</w:t>
            </w:r>
          </w:p>
        </w:tc>
        <w:tc>
          <w:tcPr>
            <w:tcW w:w="1232" w:type="dxa"/>
            <w:tcBorders>
              <w:top w:val="nil"/>
              <w:left w:val="nil"/>
              <w:bottom w:val="single" w:sz="4" w:space="0" w:color="auto"/>
              <w:right w:val="nil"/>
            </w:tcBorders>
            <w:shd w:val="clear" w:color="000000" w:fill="C0E6F5"/>
            <w:noWrap/>
            <w:vAlign w:val="bottom"/>
            <w:hideMark/>
          </w:tcPr>
          <w:p w14:paraId="4C8D0746" w14:textId="77777777" w:rsidR="00752E6F" w:rsidRPr="008F01FA" w:rsidRDefault="00752E6F" w:rsidP="00BF76E1">
            <w:pP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100ms</w:t>
            </w:r>
          </w:p>
        </w:tc>
        <w:tc>
          <w:tcPr>
            <w:tcW w:w="1232" w:type="dxa"/>
            <w:tcBorders>
              <w:top w:val="nil"/>
              <w:left w:val="nil"/>
              <w:bottom w:val="single" w:sz="4" w:space="0" w:color="auto"/>
              <w:right w:val="nil"/>
            </w:tcBorders>
            <w:shd w:val="clear" w:color="000000" w:fill="C0E6F5"/>
            <w:noWrap/>
            <w:vAlign w:val="bottom"/>
            <w:hideMark/>
          </w:tcPr>
          <w:p w14:paraId="595CD4C8" w14:textId="77777777" w:rsidR="00752E6F" w:rsidRPr="008F01FA" w:rsidRDefault="00752E6F" w:rsidP="00BF76E1">
            <w:pP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150ms</w:t>
            </w:r>
          </w:p>
        </w:tc>
        <w:tc>
          <w:tcPr>
            <w:tcW w:w="1232" w:type="dxa"/>
            <w:tcBorders>
              <w:top w:val="nil"/>
              <w:left w:val="nil"/>
              <w:bottom w:val="single" w:sz="4" w:space="0" w:color="auto"/>
              <w:right w:val="nil"/>
            </w:tcBorders>
            <w:shd w:val="clear" w:color="000000" w:fill="C0E6F5"/>
            <w:noWrap/>
            <w:vAlign w:val="bottom"/>
            <w:hideMark/>
          </w:tcPr>
          <w:p w14:paraId="595BDA04" w14:textId="77777777" w:rsidR="00752E6F" w:rsidRPr="008F01FA" w:rsidRDefault="00752E6F" w:rsidP="00BF76E1">
            <w:pP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200ms</w:t>
            </w:r>
          </w:p>
        </w:tc>
        <w:tc>
          <w:tcPr>
            <w:tcW w:w="1232" w:type="dxa"/>
            <w:tcBorders>
              <w:top w:val="nil"/>
              <w:left w:val="nil"/>
              <w:bottom w:val="single" w:sz="4" w:space="0" w:color="auto"/>
              <w:right w:val="nil"/>
            </w:tcBorders>
            <w:shd w:val="clear" w:color="000000" w:fill="C0E6F5"/>
            <w:noWrap/>
            <w:vAlign w:val="bottom"/>
            <w:hideMark/>
          </w:tcPr>
          <w:p w14:paraId="33C7B1BB" w14:textId="77777777" w:rsidR="00752E6F" w:rsidRPr="008F01FA" w:rsidRDefault="00752E6F" w:rsidP="00BF76E1">
            <w:pP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250ms</w:t>
            </w:r>
          </w:p>
        </w:tc>
        <w:tc>
          <w:tcPr>
            <w:tcW w:w="1232" w:type="dxa"/>
            <w:tcBorders>
              <w:top w:val="nil"/>
              <w:left w:val="nil"/>
              <w:bottom w:val="single" w:sz="4" w:space="0" w:color="auto"/>
              <w:right w:val="nil"/>
            </w:tcBorders>
            <w:shd w:val="clear" w:color="auto" w:fill="auto"/>
            <w:noWrap/>
            <w:vAlign w:val="bottom"/>
            <w:hideMark/>
          </w:tcPr>
          <w:p w14:paraId="0EFA2A74" w14:textId="77777777" w:rsidR="00752E6F" w:rsidRPr="008F01FA" w:rsidRDefault="00752E6F" w:rsidP="00BF76E1">
            <w:pP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300ms</w:t>
            </w:r>
          </w:p>
        </w:tc>
      </w:tr>
      <w:tr w:rsidR="00752E6F" w:rsidRPr="008F01FA" w14:paraId="5A17D2DB" w14:textId="77777777" w:rsidTr="00BF76E1">
        <w:trPr>
          <w:trHeight w:val="282"/>
        </w:trPr>
        <w:tc>
          <w:tcPr>
            <w:tcW w:w="1232" w:type="dxa"/>
            <w:tcBorders>
              <w:top w:val="nil"/>
              <w:left w:val="nil"/>
              <w:bottom w:val="nil"/>
              <w:right w:val="nil"/>
            </w:tcBorders>
            <w:shd w:val="clear" w:color="auto" w:fill="auto"/>
            <w:noWrap/>
            <w:vAlign w:val="bottom"/>
            <w:hideMark/>
          </w:tcPr>
          <w:p w14:paraId="36830FBA"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LV1</w:t>
            </w:r>
          </w:p>
        </w:tc>
        <w:tc>
          <w:tcPr>
            <w:tcW w:w="1232" w:type="dxa"/>
            <w:tcBorders>
              <w:top w:val="nil"/>
              <w:left w:val="nil"/>
              <w:bottom w:val="nil"/>
              <w:right w:val="nil"/>
            </w:tcBorders>
            <w:shd w:val="clear" w:color="auto" w:fill="auto"/>
            <w:noWrap/>
            <w:vAlign w:val="bottom"/>
            <w:hideMark/>
          </w:tcPr>
          <w:p w14:paraId="5CFF152E"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0.15</w:t>
            </w:r>
          </w:p>
        </w:tc>
        <w:tc>
          <w:tcPr>
            <w:tcW w:w="1232" w:type="dxa"/>
            <w:tcBorders>
              <w:top w:val="nil"/>
              <w:left w:val="nil"/>
              <w:bottom w:val="nil"/>
              <w:right w:val="nil"/>
            </w:tcBorders>
            <w:shd w:val="clear" w:color="auto" w:fill="auto"/>
            <w:noWrap/>
            <w:vAlign w:val="bottom"/>
            <w:hideMark/>
          </w:tcPr>
          <w:p w14:paraId="40DC71E8"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640AB63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09FD02CC"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4A610308"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06BE2938"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auto" w:fill="auto"/>
            <w:noWrap/>
            <w:vAlign w:val="bottom"/>
            <w:hideMark/>
          </w:tcPr>
          <w:p w14:paraId="483FFE9E"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r>
      <w:tr w:rsidR="00752E6F" w:rsidRPr="008F01FA" w14:paraId="235DAB1E" w14:textId="77777777" w:rsidTr="00BF76E1">
        <w:trPr>
          <w:trHeight w:val="282"/>
        </w:trPr>
        <w:tc>
          <w:tcPr>
            <w:tcW w:w="1232" w:type="dxa"/>
            <w:tcBorders>
              <w:top w:val="nil"/>
              <w:left w:val="nil"/>
              <w:bottom w:val="nil"/>
              <w:right w:val="nil"/>
            </w:tcBorders>
            <w:shd w:val="clear" w:color="auto" w:fill="auto"/>
            <w:noWrap/>
            <w:vAlign w:val="bottom"/>
            <w:hideMark/>
          </w:tcPr>
          <w:p w14:paraId="5F010522"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RV1</w:t>
            </w:r>
          </w:p>
        </w:tc>
        <w:tc>
          <w:tcPr>
            <w:tcW w:w="1232" w:type="dxa"/>
            <w:tcBorders>
              <w:top w:val="nil"/>
              <w:left w:val="nil"/>
              <w:bottom w:val="nil"/>
              <w:right w:val="nil"/>
            </w:tcBorders>
            <w:shd w:val="clear" w:color="auto" w:fill="auto"/>
            <w:noWrap/>
            <w:vAlign w:val="bottom"/>
            <w:hideMark/>
          </w:tcPr>
          <w:p w14:paraId="452EC09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0.08</w:t>
            </w:r>
          </w:p>
        </w:tc>
        <w:tc>
          <w:tcPr>
            <w:tcW w:w="1232" w:type="dxa"/>
            <w:tcBorders>
              <w:top w:val="nil"/>
              <w:left w:val="nil"/>
              <w:bottom w:val="nil"/>
              <w:right w:val="nil"/>
            </w:tcBorders>
            <w:shd w:val="clear" w:color="auto" w:fill="auto"/>
            <w:noWrap/>
            <w:vAlign w:val="bottom"/>
            <w:hideMark/>
          </w:tcPr>
          <w:p w14:paraId="2D9E6500"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3095812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72895C7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0.02</w:t>
            </w:r>
          </w:p>
        </w:tc>
        <w:tc>
          <w:tcPr>
            <w:tcW w:w="1232" w:type="dxa"/>
            <w:tcBorders>
              <w:top w:val="nil"/>
              <w:left w:val="nil"/>
              <w:bottom w:val="nil"/>
              <w:right w:val="nil"/>
            </w:tcBorders>
            <w:shd w:val="clear" w:color="000000" w:fill="C0E6F5"/>
            <w:noWrap/>
            <w:vAlign w:val="bottom"/>
            <w:hideMark/>
          </w:tcPr>
          <w:p w14:paraId="1AACEECA"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77517FA4"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auto" w:fill="auto"/>
            <w:noWrap/>
            <w:vAlign w:val="bottom"/>
            <w:hideMark/>
          </w:tcPr>
          <w:p w14:paraId="0C9AA2A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r>
      <w:tr w:rsidR="00752E6F" w:rsidRPr="008F01FA" w14:paraId="31639438" w14:textId="77777777" w:rsidTr="00BF76E1">
        <w:trPr>
          <w:trHeight w:val="282"/>
        </w:trPr>
        <w:tc>
          <w:tcPr>
            <w:tcW w:w="1232" w:type="dxa"/>
            <w:tcBorders>
              <w:top w:val="nil"/>
              <w:left w:val="nil"/>
              <w:bottom w:val="nil"/>
              <w:right w:val="nil"/>
            </w:tcBorders>
            <w:shd w:val="clear" w:color="auto" w:fill="auto"/>
            <w:noWrap/>
            <w:vAlign w:val="bottom"/>
            <w:hideMark/>
          </w:tcPr>
          <w:p w14:paraId="5B7A7351"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LITG</w:t>
            </w:r>
          </w:p>
        </w:tc>
        <w:tc>
          <w:tcPr>
            <w:tcW w:w="1232" w:type="dxa"/>
            <w:tcBorders>
              <w:top w:val="nil"/>
              <w:left w:val="nil"/>
              <w:bottom w:val="nil"/>
              <w:right w:val="nil"/>
            </w:tcBorders>
            <w:shd w:val="clear" w:color="auto" w:fill="auto"/>
            <w:noWrap/>
            <w:vAlign w:val="bottom"/>
            <w:hideMark/>
          </w:tcPr>
          <w:p w14:paraId="03A6C6F7"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0.05</w:t>
            </w:r>
          </w:p>
        </w:tc>
        <w:tc>
          <w:tcPr>
            <w:tcW w:w="1232" w:type="dxa"/>
            <w:tcBorders>
              <w:top w:val="nil"/>
              <w:left w:val="nil"/>
              <w:bottom w:val="nil"/>
              <w:right w:val="nil"/>
            </w:tcBorders>
            <w:shd w:val="clear" w:color="auto" w:fill="auto"/>
            <w:noWrap/>
            <w:vAlign w:val="bottom"/>
            <w:hideMark/>
          </w:tcPr>
          <w:p w14:paraId="302BB1B8"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174DBE5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1C8B783B" w14:textId="77777777" w:rsidR="00752E6F" w:rsidRPr="008F01FA" w:rsidRDefault="00752E6F" w:rsidP="00BF76E1">
            <w:pPr>
              <w:jc w:val="center"/>
              <w:rPr>
                <w:rFonts w:ascii="Times New Roman" w:hAnsi="Times New Roman" w:cs="Times New Roman"/>
                <w:color w:val="A6A6A6"/>
                <w:sz w:val="22"/>
                <w:szCs w:val="22"/>
              </w:rPr>
            </w:pPr>
            <w:r w:rsidRPr="008F01FA">
              <w:rPr>
                <w:rFonts w:ascii="Times New Roman" w:hAnsi="Times New Roman" w:cs="Times New Roman"/>
                <w:color w:val="A6A6A6"/>
                <w:sz w:val="22"/>
                <w:szCs w:val="22"/>
              </w:rPr>
              <w:t>0.44</w:t>
            </w:r>
          </w:p>
        </w:tc>
        <w:tc>
          <w:tcPr>
            <w:tcW w:w="1232" w:type="dxa"/>
            <w:tcBorders>
              <w:top w:val="nil"/>
              <w:left w:val="nil"/>
              <w:bottom w:val="nil"/>
              <w:right w:val="nil"/>
            </w:tcBorders>
            <w:shd w:val="clear" w:color="000000" w:fill="C0E6F5"/>
            <w:noWrap/>
            <w:vAlign w:val="bottom"/>
            <w:hideMark/>
          </w:tcPr>
          <w:p w14:paraId="2D902F80"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0.0001</w:t>
            </w:r>
          </w:p>
        </w:tc>
        <w:tc>
          <w:tcPr>
            <w:tcW w:w="1232" w:type="dxa"/>
            <w:tcBorders>
              <w:top w:val="nil"/>
              <w:left w:val="nil"/>
              <w:bottom w:val="nil"/>
              <w:right w:val="nil"/>
            </w:tcBorders>
            <w:shd w:val="clear" w:color="000000" w:fill="C0E6F5"/>
            <w:noWrap/>
            <w:vAlign w:val="bottom"/>
            <w:hideMark/>
          </w:tcPr>
          <w:p w14:paraId="0F7B0098"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auto" w:fill="auto"/>
            <w:noWrap/>
            <w:vAlign w:val="bottom"/>
            <w:hideMark/>
          </w:tcPr>
          <w:p w14:paraId="7CD2787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r>
      <w:tr w:rsidR="00752E6F" w:rsidRPr="008F01FA" w14:paraId="591A25A9" w14:textId="77777777" w:rsidTr="00BF76E1">
        <w:trPr>
          <w:trHeight w:val="282"/>
        </w:trPr>
        <w:tc>
          <w:tcPr>
            <w:tcW w:w="1232" w:type="dxa"/>
            <w:tcBorders>
              <w:top w:val="nil"/>
              <w:left w:val="nil"/>
              <w:bottom w:val="nil"/>
              <w:right w:val="nil"/>
            </w:tcBorders>
            <w:shd w:val="clear" w:color="auto" w:fill="auto"/>
            <w:noWrap/>
            <w:vAlign w:val="bottom"/>
            <w:hideMark/>
          </w:tcPr>
          <w:p w14:paraId="5439E3E9"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RITG</w:t>
            </w:r>
          </w:p>
        </w:tc>
        <w:tc>
          <w:tcPr>
            <w:tcW w:w="1232" w:type="dxa"/>
            <w:tcBorders>
              <w:top w:val="nil"/>
              <w:left w:val="nil"/>
              <w:bottom w:val="nil"/>
              <w:right w:val="nil"/>
            </w:tcBorders>
            <w:shd w:val="clear" w:color="auto" w:fill="auto"/>
            <w:noWrap/>
            <w:vAlign w:val="bottom"/>
            <w:hideMark/>
          </w:tcPr>
          <w:p w14:paraId="4BE94AFE"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0.93</w:t>
            </w:r>
          </w:p>
        </w:tc>
        <w:tc>
          <w:tcPr>
            <w:tcW w:w="1232" w:type="dxa"/>
            <w:tcBorders>
              <w:top w:val="nil"/>
              <w:left w:val="nil"/>
              <w:bottom w:val="nil"/>
              <w:right w:val="nil"/>
            </w:tcBorders>
            <w:shd w:val="clear" w:color="auto" w:fill="auto"/>
            <w:noWrap/>
            <w:vAlign w:val="bottom"/>
            <w:hideMark/>
          </w:tcPr>
          <w:p w14:paraId="4FEEDAF3"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19526C9A"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0A1D1F00"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1A3AE85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0.0075</w:t>
            </w:r>
          </w:p>
        </w:tc>
        <w:tc>
          <w:tcPr>
            <w:tcW w:w="1232" w:type="dxa"/>
            <w:tcBorders>
              <w:top w:val="nil"/>
              <w:left w:val="nil"/>
              <w:bottom w:val="nil"/>
              <w:right w:val="nil"/>
            </w:tcBorders>
            <w:shd w:val="clear" w:color="000000" w:fill="C0E6F5"/>
            <w:noWrap/>
            <w:vAlign w:val="bottom"/>
            <w:hideMark/>
          </w:tcPr>
          <w:p w14:paraId="60EF306F"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auto" w:fill="auto"/>
            <w:noWrap/>
            <w:vAlign w:val="bottom"/>
            <w:hideMark/>
          </w:tcPr>
          <w:p w14:paraId="5321F754"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r>
      <w:tr w:rsidR="00752E6F" w:rsidRPr="008F01FA" w14:paraId="20C2C9F8" w14:textId="77777777" w:rsidTr="00BF76E1">
        <w:trPr>
          <w:trHeight w:val="282"/>
        </w:trPr>
        <w:tc>
          <w:tcPr>
            <w:tcW w:w="1232" w:type="dxa"/>
            <w:tcBorders>
              <w:top w:val="nil"/>
              <w:left w:val="nil"/>
              <w:bottom w:val="nil"/>
              <w:right w:val="nil"/>
            </w:tcBorders>
            <w:shd w:val="clear" w:color="auto" w:fill="auto"/>
            <w:noWrap/>
            <w:vAlign w:val="bottom"/>
            <w:hideMark/>
          </w:tcPr>
          <w:p w14:paraId="5B239D8F"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LPFC</w:t>
            </w:r>
          </w:p>
        </w:tc>
        <w:tc>
          <w:tcPr>
            <w:tcW w:w="1232" w:type="dxa"/>
            <w:tcBorders>
              <w:top w:val="nil"/>
              <w:left w:val="nil"/>
              <w:bottom w:val="nil"/>
              <w:right w:val="nil"/>
            </w:tcBorders>
            <w:shd w:val="clear" w:color="auto" w:fill="auto"/>
            <w:noWrap/>
            <w:vAlign w:val="bottom"/>
            <w:hideMark/>
          </w:tcPr>
          <w:p w14:paraId="006056A3"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0.1613</w:t>
            </w:r>
          </w:p>
        </w:tc>
        <w:tc>
          <w:tcPr>
            <w:tcW w:w="1232" w:type="dxa"/>
            <w:tcBorders>
              <w:top w:val="nil"/>
              <w:left w:val="nil"/>
              <w:bottom w:val="nil"/>
              <w:right w:val="nil"/>
            </w:tcBorders>
            <w:shd w:val="clear" w:color="auto" w:fill="auto"/>
            <w:noWrap/>
            <w:vAlign w:val="bottom"/>
            <w:hideMark/>
          </w:tcPr>
          <w:p w14:paraId="0AE85CF9"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0.0001</w:t>
            </w:r>
          </w:p>
        </w:tc>
        <w:tc>
          <w:tcPr>
            <w:tcW w:w="1232" w:type="dxa"/>
            <w:tcBorders>
              <w:top w:val="nil"/>
              <w:left w:val="nil"/>
              <w:bottom w:val="nil"/>
              <w:right w:val="nil"/>
            </w:tcBorders>
            <w:shd w:val="clear" w:color="000000" w:fill="C0E6F5"/>
            <w:noWrap/>
            <w:vAlign w:val="bottom"/>
            <w:hideMark/>
          </w:tcPr>
          <w:p w14:paraId="0F4360F4"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26EB1DB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24E0B397"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5B567478"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auto" w:fill="auto"/>
            <w:noWrap/>
            <w:vAlign w:val="bottom"/>
            <w:hideMark/>
          </w:tcPr>
          <w:p w14:paraId="1EBF022A"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r>
      <w:tr w:rsidR="00752E6F" w:rsidRPr="008F01FA" w14:paraId="56877DD7" w14:textId="77777777" w:rsidTr="00BF76E1">
        <w:trPr>
          <w:trHeight w:val="300"/>
        </w:trPr>
        <w:tc>
          <w:tcPr>
            <w:tcW w:w="1232" w:type="dxa"/>
            <w:tcBorders>
              <w:top w:val="nil"/>
              <w:left w:val="nil"/>
              <w:bottom w:val="double" w:sz="6" w:space="0" w:color="auto"/>
              <w:right w:val="nil"/>
            </w:tcBorders>
            <w:shd w:val="clear" w:color="auto" w:fill="auto"/>
            <w:noWrap/>
            <w:vAlign w:val="bottom"/>
            <w:hideMark/>
          </w:tcPr>
          <w:p w14:paraId="6BCAF839"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RPFC</w:t>
            </w:r>
          </w:p>
        </w:tc>
        <w:tc>
          <w:tcPr>
            <w:tcW w:w="1232" w:type="dxa"/>
            <w:tcBorders>
              <w:top w:val="nil"/>
              <w:left w:val="nil"/>
              <w:bottom w:val="double" w:sz="6" w:space="0" w:color="auto"/>
              <w:right w:val="nil"/>
            </w:tcBorders>
            <w:shd w:val="clear" w:color="auto" w:fill="auto"/>
            <w:noWrap/>
            <w:vAlign w:val="bottom"/>
            <w:hideMark/>
          </w:tcPr>
          <w:p w14:paraId="64A1875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0.0066</w:t>
            </w:r>
          </w:p>
        </w:tc>
        <w:tc>
          <w:tcPr>
            <w:tcW w:w="1232" w:type="dxa"/>
            <w:tcBorders>
              <w:top w:val="nil"/>
              <w:left w:val="nil"/>
              <w:bottom w:val="double" w:sz="6" w:space="0" w:color="auto"/>
              <w:right w:val="nil"/>
            </w:tcBorders>
            <w:shd w:val="clear" w:color="auto" w:fill="auto"/>
            <w:noWrap/>
            <w:vAlign w:val="bottom"/>
            <w:hideMark/>
          </w:tcPr>
          <w:p w14:paraId="23D1C5FC"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double" w:sz="6" w:space="0" w:color="auto"/>
              <w:right w:val="nil"/>
            </w:tcBorders>
            <w:shd w:val="clear" w:color="000000" w:fill="C0E6F5"/>
            <w:noWrap/>
            <w:vAlign w:val="bottom"/>
            <w:hideMark/>
          </w:tcPr>
          <w:p w14:paraId="41A522EC"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0.0027</w:t>
            </w:r>
          </w:p>
        </w:tc>
        <w:tc>
          <w:tcPr>
            <w:tcW w:w="1232" w:type="dxa"/>
            <w:tcBorders>
              <w:top w:val="nil"/>
              <w:left w:val="nil"/>
              <w:bottom w:val="double" w:sz="6" w:space="0" w:color="auto"/>
              <w:right w:val="nil"/>
            </w:tcBorders>
            <w:shd w:val="clear" w:color="000000" w:fill="C0E6F5"/>
            <w:noWrap/>
            <w:vAlign w:val="bottom"/>
            <w:hideMark/>
          </w:tcPr>
          <w:p w14:paraId="7739916C"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double" w:sz="6" w:space="0" w:color="auto"/>
              <w:right w:val="nil"/>
            </w:tcBorders>
            <w:shd w:val="clear" w:color="000000" w:fill="C0E6F5"/>
            <w:noWrap/>
            <w:vAlign w:val="bottom"/>
            <w:hideMark/>
          </w:tcPr>
          <w:p w14:paraId="768CC654"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double" w:sz="6" w:space="0" w:color="auto"/>
              <w:right w:val="nil"/>
            </w:tcBorders>
            <w:shd w:val="clear" w:color="000000" w:fill="C0E6F5"/>
            <w:noWrap/>
            <w:vAlign w:val="bottom"/>
            <w:hideMark/>
          </w:tcPr>
          <w:p w14:paraId="11A18C83"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0.044</w:t>
            </w:r>
          </w:p>
        </w:tc>
        <w:tc>
          <w:tcPr>
            <w:tcW w:w="1232" w:type="dxa"/>
            <w:tcBorders>
              <w:top w:val="nil"/>
              <w:left w:val="nil"/>
              <w:bottom w:val="double" w:sz="6" w:space="0" w:color="auto"/>
              <w:right w:val="nil"/>
            </w:tcBorders>
            <w:shd w:val="clear" w:color="auto" w:fill="auto"/>
            <w:noWrap/>
            <w:vAlign w:val="bottom"/>
            <w:hideMark/>
          </w:tcPr>
          <w:p w14:paraId="7D984B23"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r>
      <w:tr w:rsidR="00752E6F" w:rsidRPr="008F01FA" w14:paraId="5B1A460A" w14:textId="77777777" w:rsidTr="00BF76E1">
        <w:trPr>
          <w:trHeight w:val="300"/>
        </w:trPr>
        <w:tc>
          <w:tcPr>
            <w:tcW w:w="1232" w:type="dxa"/>
            <w:tcBorders>
              <w:top w:val="nil"/>
              <w:left w:val="nil"/>
              <w:bottom w:val="nil"/>
              <w:right w:val="nil"/>
            </w:tcBorders>
            <w:shd w:val="clear" w:color="000000" w:fill="FFFFFF"/>
            <w:noWrap/>
            <w:vAlign w:val="bottom"/>
            <w:hideMark/>
          </w:tcPr>
          <w:p w14:paraId="26F3922D"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693B7F7E"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2A96F8F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7CDAD12E"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7197D8A7"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695F841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105C39B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3D1EA12E"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r>
      <w:tr w:rsidR="00752E6F" w:rsidRPr="008F01FA" w14:paraId="774BF314" w14:textId="77777777" w:rsidTr="00BF76E1">
        <w:trPr>
          <w:trHeight w:val="282"/>
        </w:trPr>
        <w:tc>
          <w:tcPr>
            <w:tcW w:w="1232" w:type="dxa"/>
            <w:tcBorders>
              <w:top w:val="nil"/>
              <w:left w:val="nil"/>
              <w:bottom w:val="nil"/>
              <w:right w:val="nil"/>
            </w:tcBorders>
            <w:shd w:val="clear" w:color="000000" w:fill="FFFFFF"/>
            <w:noWrap/>
            <w:vAlign w:val="bottom"/>
            <w:hideMark/>
          </w:tcPr>
          <w:p w14:paraId="19FDCFCB"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39195046"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1B2969BE"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1ECA6F79"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5723397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7D5F7EA3"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538A243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759BDBCB"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r>
      <w:tr w:rsidR="00752E6F" w:rsidRPr="008F01FA" w14:paraId="3AD1F469" w14:textId="77777777" w:rsidTr="00BF76E1">
        <w:trPr>
          <w:trHeight w:val="282"/>
        </w:trPr>
        <w:tc>
          <w:tcPr>
            <w:tcW w:w="1232" w:type="dxa"/>
            <w:tcBorders>
              <w:top w:val="nil"/>
              <w:left w:val="nil"/>
              <w:bottom w:val="nil"/>
              <w:right w:val="nil"/>
            </w:tcBorders>
            <w:shd w:val="clear" w:color="000000" w:fill="FFFFFF"/>
            <w:noWrap/>
            <w:vAlign w:val="bottom"/>
            <w:hideMark/>
          </w:tcPr>
          <w:p w14:paraId="37B93B87"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582D8E39"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66B5F4E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6D82083A"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30829AFF"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1D81012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7915165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nil"/>
              <w:left w:val="nil"/>
              <w:bottom w:val="nil"/>
              <w:right w:val="nil"/>
            </w:tcBorders>
            <w:shd w:val="clear" w:color="000000" w:fill="FFFFFF"/>
            <w:noWrap/>
            <w:vAlign w:val="bottom"/>
            <w:hideMark/>
          </w:tcPr>
          <w:p w14:paraId="39061EA2"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r>
      <w:tr w:rsidR="00752E6F" w:rsidRPr="008F01FA" w14:paraId="2BC44B12" w14:textId="77777777" w:rsidTr="00BF76E1">
        <w:trPr>
          <w:trHeight w:val="282"/>
        </w:trPr>
        <w:tc>
          <w:tcPr>
            <w:tcW w:w="2465" w:type="dxa"/>
            <w:gridSpan w:val="2"/>
            <w:tcBorders>
              <w:top w:val="single" w:sz="4" w:space="0" w:color="auto"/>
              <w:left w:val="nil"/>
              <w:bottom w:val="single" w:sz="4" w:space="0" w:color="auto"/>
              <w:right w:val="nil"/>
            </w:tcBorders>
            <w:shd w:val="clear" w:color="auto" w:fill="auto"/>
            <w:noWrap/>
            <w:vAlign w:val="bottom"/>
            <w:hideMark/>
          </w:tcPr>
          <w:p w14:paraId="239A2588"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Time resolved AUC - ex</w:t>
            </w:r>
          </w:p>
        </w:tc>
        <w:tc>
          <w:tcPr>
            <w:tcW w:w="1232" w:type="dxa"/>
            <w:tcBorders>
              <w:top w:val="single" w:sz="4" w:space="0" w:color="auto"/>
              <w:left w:val="nil"/>
              <w:bottom w:val="single" w:sz="4" w:space="0" w:color="auto"/>
              <w:right w:val="nil"/>
            </w:tcBorders>
            <w:shd w:val="clear" w:color="auto" w:fill="auto"/>
            <w:noWrap/>
            <w:vAlign w:val="bottom"/>
            <w:hideMark/>
          </w:tcPr>
          <w:p w14:paraId="6B9E8D86"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single" w:sz="4" w:space="0" w:color="auto"/>
              <w:left w:val="nil"/>
              <w:bottom w:val="single" w:sz="4" w:space="0" w:color="auto"/>
              <w:right w:val="nil"/>
            </w:tcBorders>
            <w:shd w:val="clear" w:color="000000" w:fill="FFFFFF"/>
            <w:noWrap/>
            <w:vAlign w:val="bottom"/>
            <w:hideMark/>
          </w:tcPr>
          <w:p w14:paraId="3CA8339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single" w:sz="4" w:space="0" w:color="auto"/>
              <w:left w:val="nil"/>
              <w:bottom w:val="single" w:sz="4" w:space="0" w:color="auto"/>
              <w:right w:val="nil"/>
            </w:tcBorders>
            <w:shd w:val="clear" w:color="000000" w:fill="FFFFFF"/>
            <w:noWrap/>
            <w:vAlign w:val="bottom"/>
            <w:hideMark/>
          </w:tcPr>
          <w:p w14:paraId="1BCFB62B"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single" w:sz="4" w:space="0" w:color="auto"/>
              <w:left w:val="nil"/>
              <w:bottom w:val="single" w:sz="4" w:space="0" w:color="auto"/>
              <w:right w:val="nil"/>
            </w:tcBorders>
            <w:shd w:val="clear" w:color="000000" w:fill="FFFFFF"/>
            <w:noWrap/>
            <w:vAlign w:val="bottom"/>
            <w:hideMark/>
          </w:tcPr>
          <w:p w14:paraId="0A8C5DB3"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single" w:sz="4" w:space="0" w:color="auto"/>
              <w:left w:val="nil"/>
              <w:bottom w:val="single" w:sz="4" w:space="0" w:color="auto"/>
              <w:right w:val="nil"/>
            </w:tcBorders>
            <w:shd w:val="clear" w:color="000000" w:fill="FFFFFF"/>
            <w:noWrap/>
            <w:vAlign w:val="bottom"/>
            <w:hideMark/>
          </w:tcPr>
          <w:p w14:paraId="45F359D8"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c>
          <w:tcPr>
            <w:tcW w:w="1232" w:type="dxa"/>
            <w:tcBorders>
              <w:top w:val="single" w:sz="4" w:space="0" w:color="auto"/>
              <w:left w:val="nil"/>
              <w:bottom w:val="single" w:sz="4" w:space="0" w:color="auto"/>
              <w:right w:val="nil"/>
            </w:tcBorders>
            <w:shd w:val="clear" w:color="auto" w:fill="auto"/>
            <w:noWrap/>
            <w:vAlign w:val="bottom"/>
            <w:hideMark/>
          </w:tcPr>
          <w:p w14:paraId="23CA87B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 </w:t>
            </w:r>
          </w:p>
        </w:tc>
      </w:tr>
      <w:tr w:rsidR="00752E6F" w:rsidRPr="008F01FA" w14:paraId="32B629C8" w14:textId="77777777" w:rsidTr="00BF76E1">
        <w:trPr>
          <w:trHeight w:val="282"/>
        </w:trPr>
        <w:tc>
          <w:tcPr>
            <w:tcW w:w="1232" w:type="dxa"/>
            <w:tcBorders>
              <w:top w:val="nil"/>
              <w:left w:val="nil"/>
              <w:bottom w:val="single" w:sz="4" w:space="0" w:color="auto"/>
              <w:right w:val="nil"/>
            </w:tcBorders>
            <w:shd w:val="clear" w:color="auto" w:fill="auto"/>
            <w:noWrap/>
            <w:vAlign w:val="bottom"/>
            <w:hideMark/>
          </w:tcPr>
          <w:p w14:paraId="2480CD1A" w14:textId="77777777" w:rsidR="00752E6F" w:rsidRPr="008F01FA" w:rsidRDefault="00752E6F" w:rsidP="00BF76E1">
            <w:pP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Region</w:t>
            </w:r>
          </w:p>
        </w:tc>
        <w:tc>
          <w:tcPr>
            <w:tcW w:w="1232" w:type="dxa"/>
            <w:tcBorders>
              <w:top w:val="nil"/>
              <w:left w:val="nil"/>
              <w:bottom w:val="single" w:sz="4" w:space="0" w:color="auto"/>
              <w:right w:val="nil"/>
            </w:tcBorders>
            <w:shd w:val="clear" w:color="auto" w:fill="auto"/>
            <w:noWrap/>
            <w:vAlign w:val="bottom"/>
            <w:hideMark/>
          </w:tcPr>
          <w:p w14:paraId="7C4936EF"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0ms</w:t>
            </w:r>
          </w:p>
        </w:tc>
        <w:tc>
          <w:tcPr>
            <w:tcW w:w="1232" w:type="dxa"/>
            <w:tcBorders>
              <w:top w:val="nil"/>
              <w:left w:val="nil"/>
              <w:bottom w:val="single" w:sz="4" w:space="0" w:color="auto"/>
              <w:right w:val="nil"/>
            </w:tcBorders>
            <w:shd w:val="clear" w:color="auto" w:fill="auto"/>
            <w:noWrap/>
            <w:vAlign w:val="bottom"/>
            <w:hideMark/>
          </w:tcPr>
          <w:p w14:paraId="1FCD5C86"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50ms</w:t>
            </w:r>
          </w:p>
        </w:tc>
        <w:tc>
          <w:tcPr>
            <w:tcW w:w="1232" w:type="dxa"/>
            <w:tcBorders>
              <w:top w:val="nil"/>
              <w:left w:val="nil"/>
              <w:bottom w:val="single" w:sz="4" w:space="0" w:color="auto"/>
              <w:right w:val="nil"/>
            </w:tcBorders>
            <w:shd w:val="clear" w:color="000000" w:fill="C0E6F5"/>
            <w:noWrap/>
            <w:vAlign w:val="bottom"/>
            <w:hideMark/>
          </w:tcPr>
          <w:p w14:paraId="24633129"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100ms</w:t>
            </w:r>
          </w:p>
        </w:tc>
        <w:tc>
          <w:tcPr>
            <w:tcW w:w="1232" w:type="dxa"/>
            <w:tcBorders>
              <w:top w:val="nil"/>
              <w:left w:val="nil"/>
              <w:bottom w:val="single" w:sz="4" w:space="0" w:color="auto"/>
              <w:right w:val="nil"/>
            </w:tcBorders>
            <w:shd w:val="clear" w:color="000000" w:fill="C0E6F5"/>
            <w:noWrap/>
            <w:vAlign w:val="bottom"/>
            <w:hideMark/>
          </w:tcPr>
          <w:p w14:paraId="0C61B961"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150ms</w:t>
            </w:r>
          </w:p>
        </w:tc>
        <w:tc>
          <w:tcPr>
            <w:tcW w:w="1232" w:type="dxa"/>
            <w:tcBorders>
              <w:top w:val="nil"/>
              <w:left w:val="nil"/>
              <w:bottom w:val="single" w:sz="4" w:space="0" w:color="auto"/>
              <w:right w:val="nil"/>
            </w:tcBorders>
            <w:shd w:val="clear" w:color="000000" w:fill="C0E6F5"/>
            <w:noWrap/>
            <w:vAlign w:val="bottom"/>
            <w:hideMark/>
          </w:tcPr>
          <w:p w14:paraId="1C117CA8"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200ms</w:t>
            </w:r>
          </w:p>
        </w:tc>
        <w:tc>
          <w:tcPr>
            <w:tcW w:w="1232" w:type="dxa"/>
            <w:tcBorders>
              <w:top w:val="nil"/>
              <w:left w:val="nil"/>
              <w:bottom w:val="single" w:sz="4" w:space="0" w:color="auto"/>
              <w:right w:val="nil"/>
            </w:tcBorders>
            <w:shd w:val="clear" w:color="000000" w:fill="C0E6F5"/>
            <w:noWrap/>
            <w:vAlign w:val="bottom"/>
            <w:hideMark/>
          </w:tcPr>
          <w:p w14:paraId="65E7F845"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250ms</w:t>
            </w:r>
          </w:p>
        </w:tc>
        <w:tc>
          <w:tcPr>
            <w:tcW w:w="1232" w:type="dxa"/>
            <w:tcBorders>
              <w:top w:val="nil"/>
              <w:left w:val="nil"/>
              <w:bottom w:val="single" w:sz="4" w:space="0" w:color="auto"/>
              <w:right w:val="nil"/>
            </w:tcBorders>
            <w:shd w:val="clear" w:color="auto" w:fill="auto"/>
            <w:noWrap/>
            <w:vAlign w:val="bottom"/>
            <w:hideMark/>
          </w:tcPr>
          <w:p w14:paraId="0F2C5499"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300ms</w:t>
            </w:r>
          </w:p>
        </w:tc>
      </w:tr>
      <w:tr w:rsidR="00752E6F" w:rsidRPr="008F01FA" w14:paraId="627CA362" w14:textId="77777777" w:rsidTr="00BF76E1">
        <w:trPr>
          <w:trHeight w:val="282"/>
        </w:trPr>
        <w:tc>
          <w:tcPr>
            <w:tcW w:w="1232" w:type="dxa"/>
            <w:tcBorders>
              <w:top w:val="nil"/>
              <w:left w:val="nil"/>
              <w:bottom w:val="nil"/>
              <w:right w:val="nil"/>
            </w:tcBorders>
            <w:shd w:val="clear" w:color="auto" w:fill="auto"/>
            <w:noWrap/>
            <w:vAlign w:val="bottom"/>
            <w:hideMark/>
          </w:tcPr>
          <w:p w14:paraId="116D99FA"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LV1</w:t>
            </w:r>
          </w:p>
        </w:tc>
        <w:tc>
          <w:tcPr>
            <w:tcW w:w="1232" w:type="dxa"/>
            <w:tcBorders>
              <w:top w:val="nil"/>
              <w:left w:val="nil"/>
              <w:bottom w:val="nil"/>
              <w:right w:val="nil"/>
            </w:tcBorders>
            <w:shd w:val="clear" w:color="auto" w:fill="auto"/>
            <w:noWrap/>
            <w:vAlign w:val="bottom"/>
            <w:hideMark/>
          </w:tcPr>
          <w:p w14:paraId="34B8C7C4"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0.0441</w:t>
            </w:r>
          </w:p>
        </w:tc>
        <w:tc>
          <w:tcPr>
            <w:tcW w:w="1232" w:type="dxa"/>
            <w:tcBorders>
              <w:top w:val="nil"/>
              <w:left w:val="nil"/>
              <w:bottom w:val="nil"/>
              <w:right w:val="nil"/>
            </w:tcBorders>
            <w:shd w:val="clear" w:color="auto" w:fill="auto"/>
            <w:noWrap/>
            <w:vAlign w:val="bottom"/>
            <w:hideMark/>
          </w:tcPr>
          <w:p w14:paraId="2FD469AB"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02E69932"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638FBEFF"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1C9F2072"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1FAC7DCC"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auto" w:fill="auto"/>
            <w:noWrap/>
            <w:vAlign w:val="bottom"/>
            <w:hideMark/>
          </w:tcPr>
          <w:p w14:paraId="3762C06B"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r>
      <w:tr w:rsidR="00752E6F" w:rsidRPr="008F01FA" w14:paraId="75CD97DD" w14:textId="77777777" w:rsidTr="00BF76E1">
        <w:trPr>
          <w:trHeight w:val="282"/>
        </w:trPr>
        <w:tc>
          <w:tcPr>
            <w:tcW w:w="1232" w:type="dxa"/>
            <w:tcBorders>
              <w:top w:val="nil"/>
              <w:left w:val="nil"/>
              <w:bottom w:val="nil"/>
              <w:right w:val="nil"/>
            </w:tcBorders>
            <w:shd w:val="clear" w:color="auto" w:fill="auto"/>
            <w:noWrap/>
            <w:vAlign w:val="bottom"/>
            <w:hideMark/>
          </w:tcPr>
          <w:p w14:paraId="6294D0A0"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RV1</w:t>
            </w:r>
          </w:p>
        </w:tc>
        <w:tc>
          <w:tcPr>
            <w:tcW w:w="1232" w:type="dxa"/>
            <w:tcBorders>
              <w:top w:val="nil"/>
              <w:left w:val="nil"/>
              <w:bottom w:val="nil"/>
              <w:right w:val="nil"/>
            </w:tcBorders>
            <w:shd w:val="clear" w:color="auto" w:fill="auto"/>
            <w:noWrap/>
            <w:vAlign w:val="bottom"/>
            <w:hideMark/>
          </w:tcPr>
          <w:p w14:paraId="021464CB"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0.0027</w:t>
            </w:r>
          </w:p>
        </w:tc>
        <w:tc>
          <w:tcPr>
            <w:tcW w:w="1232" w:type="dxa"/>
            <w:tcBorders>
              <w:top w:val="nil"/>
              <w:left w:val="nil"/>
              <w:bottom w:val="nil"/>
              <w:right w:val="nil"/>
            </w:tcBorders>
            <w:shd w:val="clear" w:color="auto" w:fill="auto"/>
            <w:noWrap/>
            <w:vAlign w:val="bottom"/>
            <w:hideMark/>
          </w:tcPr>
          <w:p w14:paraId="636B6AFA"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0.0004</w:t>
            </w:r>
          </w:p>
        </w:tc>
        <w:tc>
          <w:tcPr>
            <w:tcW w:w="1232" w:type="dxa"/>
            <w:tcBorders>
              <w:top w:val="nil"/>
              <w:left w:val="nil"/>
              <w:bottom w:val="nil"/>
              <w:right w:val="nil"/>
            </w:tcBorders>
            <w:shd w:val="clear" w:color="000000" w:fill="C0E6F5"/>
            <w:noWrap/>
            <w:vAlign w:val="bottom"/>
            <w:hideMark/>
          </w:tcPr>
          <w:p w14:paraId="2AF3F19C"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6B88B0A8"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75EE05B4"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475DC127"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auto" w:fill="auto"/>
            <w:noWrap/>
            <w:vAlign w:val="bottom"/>
            <w:hideMark/>
          </w:tcPr>
          <w:p w14:paraId="72C7CB42"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r>
      <w:tr w:rsidR="00752E6F" w:rsidRPr="008F01FA" w14:paraId="0F63236E" w14:textId="77777777" w:rsidTr="00BF76E1">
        <w:trPr>
          <w:trHeight w:val="282"/>
        </w:trPr>
        <w:tc>
          <w:tcPr>
            <w:tcW w:w="1232" w:type="dxa"/>
            <w:tcBorders>
              <w:top w:val="nil"/>
              <w:left w:val="nil"/>
              <w:bottom w:val="nil"/>
              <w:right w:val="nil"/>
            </w:tcBorders>
            <w:shd w:val="clear" w:color="auto" w:fill="auto"/>
            <w:noWrap/>
            <w:vAlign w:val="bottom"/>
            <w:hideMark/>
          </w:tcPr>
          <w:p w14:paraId="6B47E0E9"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LITG</w:t>
            </w:r>
          </w:p>
        </w:tc>
        <w:tc>
          <w:tcPr>
            <w:tcW w:w="1232" w:type="dxa"/>
            <w:tcBorders>
              <w:top w:val="nil"/>
              <w:left w:val="nil"/>
              <w:bottom w:val="nil"/>
              <w:right w:val="nil"/>
            </w:tcBorders>
            <w:shd w:val="clear" w:color="auto" w:fill="auto"/>
            <w:noWrap/>
            <w:vAlign w:val="bottom"/>
            <w:hideMark/>
          </w:tcPr>
          <w:p w14:paraId="3F8C2C93"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0.0008</w:t>
            </w:r>
          </w:p>
        </w:tc>
        <w:tc>
          <w:tcPr>
            <w:tcW w:w="1232" w:type="dxa"/>
            <w:tcBorders>
              <w:top w:val="nil"/>
              <w:left w:val="nil"/>
              <w:bottom w:val="nil"/>
              <w:right w:val="nil"/>
            </w:tcBorders>
            <w:shd w:val="clear" w:color="auto" w:fill="auto"/>
            <w:noWrap/>
            <w:vAlign w:val="bottom"/>
            <w:hideMark/>
          </w:tcPr>
          <w:p w14:paraId="7F96ECD3"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5C084A4B"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451711D0"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0.0001</w:t>
            </w:r>
          </w:p>
        </w:tc>
        <w:tc>
          <w:tcPr>
            <w:tcW w:w="1232" w:type="dxa"/>
            <w:tcBorders>
              <w:top w:val="nil"/>
              <w:left w:val="nil"/>
              <w:bottom w:val="nil"/>
              <w:right w:val="nil"/>
            </w:tcBorders>
            <w:shd w:val="clear" w:color="000000" w:fill="C0E6F5"/>
            <w:noWrap/>
            <w:vAlign w:val="bottom"/>
            <w:hideMark/>
          </w:tcPr>
          <w:p w14:paraId="211327F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0.003</w:t>
            </w:r>
          </w:p>
        </w:tc>
        <w:tc>
          <w:tcPr>
            <w:tcW w:w="1232" w:type="dxa"/>
            <w:tcBorders>
              <w:top w:val="nil"/>
              <w:left w:val="nil"/>
              <w:bottom w:val="nil"/>
              <w:right w:val="nil"/>
            </w:tcBorders>
            <w:shd w:val="clear" w:color="000000" w:fill="C0E6F5"/>
            <w:noWrap/>
            <w:vAlign w:val="bottom"/>
            <w:hideMark/>
          </w:tcPr>
          <w:p w14:paraId="76F1DD10"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0.0001</w:t>
            </w:r>
          </w:p>
        </w:tc>
        <w:tc>
          <w:tcPr>
            <w:tcW w:w="1232" w:type="dxa"/>
            <w:tcBorders>
              <w:top w:val="nil"/>
              <w:left w:val="nil"/>
              <w:bottom w:val="nil"/>
              <w:right w:val="nil"/>
            </w:tcBorders>
            <w:shd w:val="clear" w:color="auto" w:fill="auto"/>
            <w:noWrap/>
            <w:vAlign w:val="bottom"/>
            <w:hideMark/>
          </w:tcPr>
          <w:p w14:paraId="37BAABF2"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r>
      <w:tr w:rsidR="00752E6F" w:rsidRPr="008F01FA" w14:paraId="7569C5CB" w14:textId="77777777" w:rsidTr="00BF76E1">
        <w:trPr>
          <w:trHeight w:val="282"/>
        </w:trPr>
        <w:tc>
          <w:tcPr>
            <w:tcW w:w="1232" w:type="dxa"/>
            <w:tcBorders>
              <w:top w:val="nil"/>
              <w:left w:val="nil"/>
              <w:bottom w:val="nil"/>
              <w:right w:val="nil"/>
            </w:tcBorders>
            <w:shd w:val="clear" w:color="auto" w:fill="auto"/>
            <w:noWrap/>
            <w:vAlign w:val="bottom"/>
            <w:hideMark/>
          </w:tcPr>
          <w:p w14:paraId="6952F57F"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RITG</w:t>
            </w:r>
          </w:p>
        </w:tc>
        <w:tc>
          <w:tcPr>
            <w:tcW w:w="1232" w:type="dxa"/>
            <w:tcBorders>
              <w:top w:val="nil"/>
              <w:left w:val="nil"/>
              <w:bottom w:val="nil"/>
              <w:right w:val="nil"/>
            </w:tcBorders>
            <w:shd w:val="clear" w:color="auto" w:fill="auto"/>
            <w:noWrap/>
            <w:vAlign w:val="bottom"/>
            <w:hideMark/>
          </w:tcPr>
          <w:p w14:paraId="2EA0EE5E"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0.9</w:t>
            </w:r>
          </w:p>
        </w:tc>
        <w:tc>
          <w:tcPr>
            <w:tcW w:w="1232" w:type="dxa"/>
            <w:tcBorders>
              <w:top w:val="nil"/>
              <w:left w:val="nil"/>
              <w:bottom w:val="nil"/>
              <w:right w:val="nil"/>
            </w:tcBorders>
            <w:shd w:val="clear" w:color="auto" w:fill="auto"/>
            <w:noWrap/>
            <w:vAlign w:val="bottom"/>
            <w:hideMark/>
          </w:tcPr>
          <w:p w14:paraId="6EE54ED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6E0E348B"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3202996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0.0001</w:t>
            </w:r>
          </w:p>
        </w:tc>
        <w:tc>
          <w:tcPr>
            <w:tcW w:w="1232" w:type="dxa"/>
            <w:tcBorders>
              <w:top w:val="nil"/>
              <w:left w:val="nil"/>
              <w:bottom w:val="nil"/>
              <w:right w:val="nil"/>
            </w:tcBorders>
            <w:shd w:val="clear" w:color="000000" w:fill="C0E6F5"/>
            <w:noWrap/>
            <w:vAlign w:val="bottom"/>
            <w:hideMark/>
          </w:tcPr>
          <w:p w14:paraId="28C2F2D6"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59EAB1F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0.02</w:t>
            </w:r>
          </w:p>
        </w:tc>
        <w:tc>
          <w:tcPr>
            <w:tcW w:w="1232" w:type="dxa"/>
            <w:tcBorders>
              <w:top w:val="nil"/>
              <w:left w:val="nil"/>
              <w:bottom w:val="nil"/>
              <w:right w:val="nil"/>
            </w:tcBorders>
            <w:shd w:val="clear" w:color="auto" w:fill="auto"/>
            <w:noWrap/>
            <w:vAlign w:val="bottom"/>
            <w:hideMark/>
          </w:tcPr>
          <w:p w14:paraId="1BBB243C"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r>
      <w:tr w:rsidR="00752E6F" w:rsidRPr="008F01FA" w14:paraId="4D1A481A" w14:textId="77777777" w:rsidTr="00BF76E1">
        <w:trPr>
          <w:trHeight w:val="282"/>
        </w:trPr>
        <w:tc>
          <w:tcPr>
            <w:tcW w:w="1232" w:type="dxa"/>
            <w:tcBorders>
              <w:top w:val="nil"/>
              <w:left w:val="nil"/>
              <w:bottom w:val="nil"/>
              <w:right w:val="nil"/>
            </w:tcBorders>
            <w:shd w:val="clear" w:color="auto" w:fill="auto"/>
            <w:noWrap/>
            <w:vAlign w:val="bottom"/>
            <w:hideMark/>
          </w:tcPr>
          <w:p w14:paraId="75D5FF31"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LPFC</w:t>
            </w:r>
          </w:p>
        </w:tc>
        <w:tc>
          <w:tcPr>
            <w:tcW w:w="1232" w:type="dxa"/>
            <w:tcBorders>
              <w:top w:val="nil"/>
              <w:left w:val="nil"/>
              <w:bottom w:val="nil"/>
              <w:right w:val="nil"/>
            </w:tcBorders>
            <w:shd w:val="clear" w:color="auto" w:fill="auto"/>
            <w:noWrap/>
            <w:vAlign w:val="bottom"/>
            <w:hideMark/>
          </w:tcPr>
          <w:p w14:paraId="2DAC042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0.0014</w:t>
            </w:r>
          </w:p>
        </w:tc>
        <w:tc>
          <w:tcPr>
            <w:tcW w:w="1232" w:type="dxa"/>
            <w:tcBorders>
              <w:top w:val="nil"/>
              <w:left w:val="nil"/>
              <w:bottom w:val="nil"/>
              <w:right w:val="nil"/>
            </w:tcBorders>
            <w:shd w:val="clear" w:color="auto" w:fill="auto"/>
            <w:noWrap/>
            <w:vAlign w:val="bottom"/>
            <w:hideMark/>
          </w:tcPr>
          <w:p w14:paraId="3B27D75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027CB432"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05198D40"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404C94B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000000" w:fill="C0E6F5"/>
            <w:noWrap/>
            <w:vAlign w:val="bottom"/>
            <w:hideMark/>
          </w:tcPr>
          <w:p w14:paraId="54F2E1E2"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nil"/>
              <w:right w:val="nil"/>
            </w:tcBorders>
            <w:shd w:val="clear" w:color="auto" w:fill="auto"/>
            <w:noWrap/>
            <w:vAlign w:val="bottom"/>
            <w:hideMark/>
          </w:tcPr>
          <w:p w14:paraId="04D07B63"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r>
      <w:tr w:rsidR="00752E6F" w:rsidRPr="008F01FA" w14:paraId="167BEB37" w14:textId="77777777" w:rsidTr="00BF76E1">
        <w:trPr>
          <w:trHeight w:val="300"/>
        </w:trPr>
        <w:tc>
          <w:tcPr>
            <w:tcW w:w="1232" w:type="dxa"/>
            <w:tcBorders>
              <w:top w:val="nil"/>
              <w:left w:val="nil"/>
              <w:bottom w:val="double" w:sz="6" w:space="0" w:color="auto"/>
              <w:right w:val="nil"/>
            </w:tcBorders>
            <w:shd w:val="clear" w:color="auto" w:fill="auto"/>
            <w:noWrap/>
            <w:vAlign w:val="bottom"/>
            <w:hideMark/>
          </w:tcPr>
          <w:p w14:paraId="044CDDB3" w14:textId="77777777" w:rsidR="00752E6F" w:rsidRPr="008F01FA" w:rsidRDefault="00752E6F" w:rsidP="00BF76E1">
            <w:pPr>
              <w:rPr>
                <w:rFonts w:ascii="Times New Roman" w:hAnsi="Times New Roman" w:cs="Times New Roman"/>
                <w:color w:val="000000"/>
                <w:sz w:val="22"/>
                <w:szCs w:val="22"/>
              </w:rPr>
            </w:pPr>
            <w:r w:rsidRPr="008F01FA">
              <w:rPr>
                <w:rFonts w:ascii="Times New Roman" w:hAnsi="Times New Roman" w:cs="Times New Roman"/>
                <w:color w:val="000000"/>
                <w:sz w:val="22"/>
                <w:szCs w:val="22"/>
              </w:rPr>
              <w:t>RPFC</w:t>
            </w:r>
          </w:p>
        </w:tc>
        <w:tc>
          <w:tcPr>
            <w:tcW w:w="1232" w:type="dxa"/>
            <w:tcBorders>
              <w:top w:val="nil"/>
              <w:left w:val="nil"/>
              <w:bottom w:val="double" w:sz="6" w:space="0" w:color="auto"/>
              <w:right w:val="nil"/>
            </w:tcBorders>
            <w:shd w:val="clear" w:color="auto" w:fill="auto"/>
            <w:noWrap/>
            <w:vAlign w:val="bottom"/>
            <w:hideMark/>
          </w:tcPr>
          <w:p w14:paraId="13E1BDC0"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0.0021</w:t>
            </w:r>
          </w:p>
        </w:tc>
        <w:tc>
          <w:tcPr>
            <w:tcW w:w="1232" w:type="dxa"/>
            <w:tcBorders>
              <w:top w:val="nil"/>
              <w:left w:val="nil"/>
              <w:bottom w:val="double" w:sz="6" w:space="0" w:color="auto"/>
              <w:right w:val="nil"/>
            </w:tcBorders>
            <w:shd w:val="clear" w:color="auto" w:fill="auto"/>
            <w:noWrap/>
            <w:vAlign w:val="bottom"/>
            <w:hideMark/>
          </w:tcPr>
          <w:p w14:paraId="5639182F"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0.0001</w:t>
            </w:r>
          </w:p>
        </w:tc>
        <w:tc>
          <w:tcPr>
            <w:tcW w:w="1232" w:type="dxa"/>
            <w:tcBorders>
              <w:top w:val="nil"/>
              <w:left w:val="nil"/>
              <w:bottom w:val="double" w:sz="6" w:space="0" w:color="auto"/>
              <w:right w:val="nil"/>
            </w:tcBorders>
            <w:shd w:val="clear" w:color="000000" w:fill="C0E6F5"/>
            <w:noWrap/>
            <w:vAlign w:val="bottom"/>
            <w:hideMark/>
          </w:tcPr>
          <w:p w14:paraId="6761AE12"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double" w:sz="6" w:space="0" w:color="auto"/>
              <w:right w:val="nil"/>
            </w:tcBorders>
            <w:shd w:val="clear" w:color="000000" w:fill="C0E6F5"/>
            <w:noWrap/>
            <w:vAlign w:val="bottom"/>
            <w:hideMark/>
          </w:tcPr>
          <w:p w14:paraId="295FD11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0.0025</w:t>
            </w:r>
          </w:p>
        </w:tc>
        <w:tc>
          <w:tcPr>
            <w:tcW w:w="1232" w:type="dxa"/>
            <w:tcBorders>
              <w:top w:val="nil"/>
              <w:left w:val="nil"/>
              <w:bottom w:val="double" w:sz="6" w:space="0" w:color="auto"/>
              <w:right w:val="nil"/>
            </w:tcBorders>
            <w:shd w:val="clear" w:color="000000" w:fill="C0E6F5"/>
            <w:noWrap/>
            <w:vAlign w:val="bottom"/>
            <w:hideMark/>
          </w:tcPr>
          <w:p w14:paraId="5BE43B90"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double" w:sz="6" w:space="0" w:color="auto"/>
              <w:right w:val="nil"/>
            </w:tcBorders>
            <w:shd w:val="clear" w:color="000000" w:fill="C0E6F5"/>
            <w:noWrap/>
            <w:vAlign w:val="bottom"/>
            <w:hideMark/>
          </w:tcPr>
          <w:p w14:paraId="5DCDDA9A"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&lt;.0001</w:t>
            </w:r>
          </w:p>
        </w:tc>
        <w:tc>
          <w:tcPr>
            <w:tcW w:w="1232" w:type="dxa"/>
            <w:tcBorders>
              <w:top w:val="nil"/>
              <w:left w:val="nil"/>
              <w:bottom w:val="double" w:sz="6" w:space="0" w:color="auto"/>
              <w:right w:val="nil"/>
            </w:tcBorders>
            <w:shd w:val="clear" w:color="auto" w:fill="auto"/>
            <w:noWrap/>
            <w:vAlign w:val="bottom"/>
            <w:hideMark/>
          </w:tcPr>
          <w:p w14:paraId="3D48373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0.0013</w:t>
            </w:r>
          </w:p>
        </w:tc>
      </w:tr>
      <w:tr w:rsidR="00752E6F" w:rsidRPr="008F01FA" w14:paraId="7827A983" w14:textId="77777777" w:rsidTr="00BF76E1">
        <w:trPr>
          <w:trHeight w:val="300"/>
        </w:trPr>
        <w:tc>
          <w:tcPr>
            <w:tcW w:w="1232" w:type="dxa"/>
            <w:tcBorders>
              <w:top w:val="nil"/>
              <w:left w:val="nil"/>
              <w:bottom w:val="nil"/>
              <w:right w:val="nil"/>
            </w:tcBorders>
            <w:shd w:val="clear" w:color="auto" w:fill="auto"/>
            <w:noWrap/>
            <w:vAlign w:val="bottom"/>
            <w:hideMark/>
          </w:tcPr>
          <w:p w14:paraId="2AFB5E78" w14:textId="77777777" w:rsidR="00752E6F" w:rsidRPr="008F01FA" w:rsidRDefault="00752E6F" w:rsidP="00BF76E1">
            <w:pPr>
              <w:jc w:val="center"/>
              <w:rPr>
                <w:rFonts w:ascii="Times New Roman" w:hAnsi="Times New Roman" w:cs="Times New Roman"/>
                <w:color w:val="000000"/>
                <w:sz w:val="22"/>
                <w:szCs w:val="22"/>
              </w:rPr>
            </w:pPr>
          </w:p>
        </w:tc>
        <w:tc>
          <w:tcPr>
            <w:tcW w:w="1232" w:type="dxa"/>
            <w:tcBorders>
              <w:top w:val="nil"/>
              <w:left w:val="nil"/>
              <w:bottom w:val="nil"/>
              <w:right w:val="nil"/>
            </w:tcBorders>
            <w:shd w:val="clear" w:color="auto" w:fill="auto"/>
            <w:noWrap/>
            <w:vAlign w:val="bottom"/>
            <w:hideMark/>
          </w:tcPr>
          <w:p w14:paraId="0863F1FF"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7D47734A"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391ECBCE"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6D7D634B"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7E571CB1"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6EF4BA71"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3DA182E7" w14:textId="77777777" w:rsidR="00752E6F" w:rsidRPr="008F01FA" w:rsidRDefault="00752E6F" w:rsidP="00BF76E1">
            <w:pPr>
              <w:rPr>
                <w:rFonts w:ascii="Times New Roman" w:hAnsi="Times New Roman" w:cs="Times New Roman"/>
                <w:sz w:val="22"/>
                <w:szCs w:val="22"/>
              </w:rPr>
            </w:pPr>
          </w:p>
        </w:tc>
      </w:tr>
      <w:tr w:rsidR="00752E6F" w:rsidRPr="008F01FA" w14:paraId="1C51BA64" w14:textId="77777777" w:rsidTr="00BF76E1">
        <w:trPr>
          <w:trHeight w:val="282"/>
        </w:trPr>
        <w:tc>
          <w:tcPr>
            <w:tcW w:w="1232" w:type="dxa"/>
            <w:tcBorders>
              <w:top w:val="nil"/>
              <w:left w:val="nil"/>
              <w:bottom w:val="nil"/>
              <w:right w:val="nil"/>
            </w:tcBorders>
            <w:shd w:val="clear" w:color="auto" w:fill="auto"/>
            <w:noWrap/>
            <w:vAlign w:val="bottom"/>
            <w:hideMark/>
          </w:tcPr>
          <w:p w14:paraId="249EFF60"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02B7D83A"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61EECE15"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2164F17F"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389154E7"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3A72EB80"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65C14F36" w14:textId="77777777" w:rsidR="00752E6F" w:rsidRPr="008F01FA" w:rsidRDefault="00752E6F" w:rsidP="00BF76E1">
            <w:pPr>
              <w:rPr>
                <w:rFonts w:ascii="Times New Roman" w:hAnsi="Times New Roman" w:cs="Times New Roman"/>
                <w:sz w:val="22"/>
                <w:szCs w:val="22"/>
              </w:rPr>
            </w:pPr>
          </w:p>
        </w:tc>
        <w:tc>
          <w:tcPr>
            <w:tcW w:w="1232" w:type="dxa"/>
            <w:tcBorders>
              <w:top w:val="nil"/>
              <w:left w:val="nil"/>
              <w:bottom w:val="nil"/>
              <w:right w:val="nil"/>
            </w:tcBorders>
            <w:shd w:val="clear" w:color="auto" w:fill="auto"/>
            <w:noWrap/>
            <w:vAlign w:val="bottom"/>
            <w:hideMark/>
          </w:tcPr>
          <w:p w14:paraId="4408AFEC" w14:textId="77777777" w:rsidR="00752E6F" w:rsidRPr="008F01FA" w:rsidRDefault="00752E6F" w:rsidP="00BF76E1">
            <w:pPr>
              <w:rPr>
                <w:rFonts w:ascii="Times New Roman" w:hAnsi="Times New Roman" w:cs="Times New Roman"/>
                <w:sz w:val="22"/>
                <w:szCs w:val="22"/>
              </w:rPr>
            </w:pPr>
          </w:p>
        </w:tc>
      </w:tr>
    </w:tbl>
    <w:p w14:paraId="06685703"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6BDEC8E8"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t>The state space plots describe the difference in inhibitory and excitatory activity between PD-VH and PD</w:t>
      </w:r>
      <w:r w:rsidRPr="008F01FA">
        <w:rPr>
          <w:rFonts w:ascii="Times New Roman" w:hAnsi="Times New Roman" w:cs="Times New Roman"/>
          <w:b/>
          <w:bCs/>
          <w:color w:val="000000" w:themeColor="text1"/>
          <w:sz w:val="22"/>
          <w:szCs w:val="22"/>
        </w:rPr>
        <w:t xml:space="preserve">. </w:t>
      </w:r>
      <w:r w:rsidRPr="008F01FA">
        <w:rPr>
          <w:rFonts w:ascii="Times New Roman" w:hAnsi="Times New Roman" w:cs="Times New Roman"/>
          <w:color w:val="000000" w:themeColor="text1"/>
          <w:sz w:val="22"/>
          <w:szCs w:val="22"/>
        </w:rPr>
        <w:t xml:space="preserve">In PD the trajectories follow smooth and non-convoluted loops, with changes occurring only at higher values of the G parameter modulation, whereas PD-VH show a very complex trajectory with multiple loops. When the parameter (G) regulating the strength of the inhibitory-excitatory coupling is increased in a </w:t>
      </w:r>
      <w:proofErr w:type="gramStart"/>
      <w:r w:rsidRPr="008F01FA">
        <w:rPr>
          <w:rFonts w:ascii="Times New Roman" w:hAnsi="Times New Roman" w:cs="Times New Roman"/>
          <w:color w:val="000000" w:themeColor="text1"/>
          <w:sz w:val="22"/>
          <w:szCs w:val="22"/>
        </w:rPr>
        <w:t>step-wise</w:t>
      </w:r>
      <w:proofErr w:type="gramEnd"/>
      <w:r w:rsidRPr="008F01FA">
        <w:rPr>
          <w:rFonts w:ascii="Times New Roman" w:hAnsi="Times New Roman" w:cs="Times New Roman"/>
          <w:color w:val="000000" w:themeColor="text1"/>
          <w:sz w:val="22"/>
          <w:szCs w:val="22"/>
        </w:rPr>
        <w:t xml:space="preserve"> manner, PD-VH state space plots show a higher variability (loops), suggesting that the system is more sensitive to changes. </w:t>
      </w:r>
    </w:p>
    <w:p w14:paraId="5CCE5CAC"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r w:rsidRPr="008F01FA">
        <w:rPr>
          <w:rFonts w:ascii="Times New Roman" w:hAnsi="Times New Roman" w:cs="Times New Roman"/>
          <w:color w:val="000000" w:themeColor="text1"/>
          <w:sz w:val="22"/>
          <w:szCs w:val="22"/>
        </w:rPr>
        <w:lastRenderedPageBreak/>
        <w:t>When computing state space area in the two groups the difference is statistically significant for all regions, confirming statistically the differences observed with the plots, that we can interpret as a reduced adaptability and stability in the network dynamics and</w:t>
      </w:r>
      <w:proofErr w:type="gramStart"/>
      <w:r w:rsidRPr="008F01FA">
        <w:rPr>
          <w:rFonts w:ascii="Times New Roman" w:hAnsi="Times New Roman" w:cs="Times New Roman"/>
          <w:color w:val="000000" w:themeColor="text1"/>
          <w:sz w:val="22"/>
          <w:szCs w:val="22"/>
        </w:rPr>
        <w:t>, in particular, in</w:t>
      </w:r>
      <w:proofErr w:type="gramEnd"/>
      <w:r w:rsidRPr="008F01FA">
        <w:rPr>
          <w:rFonts w:ascii="Times New Roman" w:hAnsi="Times New Roman" w:cs="Times New Roman"/>
          <w:color w:val="000000" w:themeColor="text1"/>
          <w:sz w:val="22"/>
          <w:szCs w:val="22"/>
        </w:rPr>
        <w:t xml:space="preserve"> the coupling between excitatory and inhibitory cells in our network. </w:t>
      </w:r>
    </w:p>
    <w:tbl>
      <w:tblPr>
        <w:tblW w:w="9360" w:type="dxa"/>
        <w:tblLook w:val="04A0" w:firstRow="1" w:lastRow="0" w:firstColumn="1" w:lastColumn="0" w:noHBand="0" w:noVBand="1"/>
      </w:tblPr>
      <w:tblGrid>
        <w:gridCol w:w="1300"/>
        <w:gridCol w:w="1660"/>
        <w:gridCol w:w="1860"/>
        <w:gridCol w:w="1660"/>
        <w:gridCol w:w="1500"/>
        <w:gridCol w:w="1380"/>
      </w:tblGrid>
      <w:tr w:rsidR="00752E6F" w:rsidRPr="008F01FA" w14:paraId="666DD0CD" w14:textId="77777777" w:rsidTr="00BF76E1">
        <w:trPr>
          <w:trHeight w:val="600"/>
        </w:trPr>
        <w:tc>
          <w:tcPr>
            <w:tcW w:w="1300" w:type="dxa"/>
            <w:tcBorders>
              <w:top w:val="single" w:sz="4" w:space="0" w:color="auto"/>
              <w:left w:val="nil"/>
              <w:bottom w:val="nil"/>
              <w:right w:val="nil"/>
            </w:tcBorders>
            <w:shd w:val="clear" w:color="auto" w:fill="auto"/>
            <w:vAlign w:val="center"/>
            <w:hideMark/>
          </w:tcPr>
          <w:p w14:paraId="73C61E01"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Region</w:t>
            </w:r>
          </w:p>
        </w:tc>
        <w:tc>
          <w:tcPr>
            <w:tcW w:w="1660" w:type="dxa"/>
            <w:tcBorders>
              <w:top w:val="single" w:sz="4" w:space="0" w:color="auto"/>
              <w:left w:val="nil"/>
              <w:bottom w:val="nil"/>
              <w:right w:val="nil"/>
            </w:tcBorders>
            <w:shd w:val="clear" w:color="auto" w:fill="auto"/>
            <w:vAlign w:val="center"/>
            <w:hideMark/>
          </w:tcPr>
          <w:p w14:paraId="1279FF4E"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Average Area PD</w:t>
            </w:r>
          </w:p>
        </w:tc>
        <w:tc>
          <w:tcPr>
            <w:tcW w:w="1860" w:type="dxa"/>
            <w:tcBorders>
              <w:top w:val="single" w:sz="4" w:space="0" w:color="auto"/>
              <w:left w:val="nil"/>
              <w:bottom w:val="nil"/>
              <w:right w:val="nil"/>
            </w:tcBorders>
            <w:shd w:val="clear" w:color="auto" w:fill="auto"/>
            <w:vAlign w:val="center"/>
            <w:hideMark/>
          </w:tcPr>
          <w:p w14:paraId="6D441F3C"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Average Area PD-VH</w:t>
            </w:r>
          </w:p>
        </w:tc>
        <w:tc>
          <w:tcPr>
            <w:tcW w:w="1660" w:type="dxa"/>
            <w:tcBorders>
              <w:top w:val="single" w:sz="4" w:space="0" w:color="auto"/>
              <w:left w:val="nil"/>
              <w:bottom w:val="nil"/>
              <w:right w:val="nil"/>
            </w:tcBorders>
            <w:shd w:val="clear" w:color="auto" w:fill="auto"/>
            <w:vAlign w:val="center"/>
            <w:hideMark/>
          </w:tcPr>
          <w:p w14:paraId="696F4112"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Difference in Area</w:t>
            </w:r>
          </w:p>
        </w:tc>
        <w:tc>
          <w:tcPr>
            <w:tcW w:w="1500" w:type="dxa"/>
            <w:tcBorders>
              <w:top w:val="single" w:sz="4" w:space="0" w:color="auto"/>
              <w:left w:val="nil"/>
              <w:bottom w:val="nil"/>
              <w:right w:val="nil"/>
            </w:tcBorders>
            <w:shd w:val="clear" w:color="auto" w:fill="auto"/>
            <w:vAlign w:val="center"/>
            <w:hideMark/>
          </w:tcPr>
          <w:p w14:paraId="6C204E8A"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Relative Difference</w:t>
            </w:r>
          </w:p>
        </w:tc>
        <w:tc>
          <w:tcPr>
            <w:tcW w:w="1380" w:type="dxa"/>
            <w:tcBorders>
              <w:top w:val="single" w:sz="4" w:space="0" w:color="auto"/>
              <w:left w:val="nil"/>
              <w:bottom w:val="nil"/>
              <w:right w:val="nil"/>
            </w:tcBorders>
            <w:shd w:val="clear" w:color="auto" w:fill="auto"/>
            <w:vAlign w:val="center"/>
            <w:hideMark/>
          </w:tcPr>
          <w:p w14:paraId="2E71FFC4" w14:textId="77777777" w:rsidR="00752E6F" w:rsidRPr="008F01FA" w:rsidRDefault="00752E6F" w:rsidP="00BF76E1">
            <w:pPr>
              <w:jc w:val="center"/>
              <w:rPr>
                <w:rFonts w:ascii="Times New Roman" w:hAnsi="Times New Roman" w:cs="Times New Roman"/>
                <w:b/>
                <w:bCs/>
                <w:color w:val="000000"/>
                <w:sz w:val="22"/>
                <w:szCs w:val="22"/>
              </w:rPr>
            </w:pPr>
            <w:r w:rsidRPr="008F01FA">
              <w:rPr>
                <w:rFonts w:ascii="Times New Roman" w:hAnsi="Times New Roman" w:cs="Times New Roman"/>
                <w:b/>
                <w:bCs/>
                <w:color w:val="000000"/>
                <w:sz w:val="22"/>
                <w:szCs w:val="22"/>
              </w:rPr>
              <w:t>p</w:t>
            </w:r>
          </w:p>
        </w:tc>
      </w:tr>
      <w:tr w:rsidR="00752E6F" w:rsidRPr="008F01FA" w14:paraId="752B4CD7" w14:textId="77777777" w:rsidTr="00BF76E1">
        <w:trPr>
          <w:trHeight w:val="320"/>
        </w:trPr>
        <w:tc>
          <w:tcPr>
            <w:tcW w:w="1300" w:type="dxa"/>
            <w:tcBorders>
              <w:top w:val="single" w:sz="4" w:space="0" w:color="auto"/>
              <w:left w:val="nil"/>
              <w:bottom w:val="nil"/>
              <w:right w:val="nil"/>
            </w:tcBorders>
            <w:shd w:val="clear" w:color="auto" w:fill="auto"/>
            <w:vAlign w:val="center"/>
            <w:hideMark/>
          </w:tcPr>
          <w:p w14:paraId="1DF03712" w14:textId="77777777" w:rsidR="00752E6F" w:rsidRPr="008F01FA" w:rsidRDefault="00752E6F" w:rsidP="00BF76E1">
            <w:pPr>
              <w:jc w:val="both"/>
              <w:rPr>
                <w:rFonts w:ascii="Times New Roman" w:hAnsi="Times New Roman" w:cs="Times New Roman"/>
                <w:color w:val="000000"/>
                <w:sz w:val="22"/>
                <w:szCs w:val="22"/>
              </w:rPr>
            </w:pPr>
            <w:r w:rsidRPr="008F01FA">
              <w:rPr>
                <w:rFonts w:ascii="Times New Roman" w:hAnsi="Times New Roman" w:cs="Times New Roman"/>
                <w:color w:val="000000"/>
                <w:sz w:val="22"/>
                <w:szCs w:val="22"/>
              </w:rPr>
              <w:t>Left V1</w:t>
            </w:r>
          </w:p>
        </w:tc>
        <w:tc>
          <w:tcPr>
            <w:tcW w:w="1660" w:type="dxa"/>
            <w:tcBorders>
              <w:top w:val="single" w:sz="4" w:space="0" w:color="auto"/>
              <w:left w:val="nil"/>
              <w:bottom w:val="nil"/>
              <w:right w:val="nil"/>
            </w:tcBorders>
            <w:shd w:val="clear" w:color="auto" w:fill="auto"/>
            <w:vAlign w:val="center"/>
            <w:hideMark/>
          </w:tcPr>
          <w:p w14:paraId="237D64EA"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-1.692</w:t>
            </w:r>
          </w:p>
        </w:tc>
        <w:tc>
          <w:tcPr>
            <w:tcW w:w="1860" w:type="dxa"/>
            <w:tcBorders>
              <w:top w:val="single" w:sz="4" w:space="0" w:color="auto"/>
              <w:left w:val="nil"/>
              <w:bottom w:val="nil"/>
              <w:right w:val="nil"/>
            </w:tcBorders>
            <w:shd w:val="clear" w:color="auto" w:fill="auto"/>
            <w:vAlign w:val="center"/>
            <w:hideMark/>
          </w:tcPr>
          <w:p w14:paraId="1C952167"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-1.774</w:t>
            </w:r>
          </w:p>
        </w:tc>
        <w:tc>
          <w:tcPr>
            <w:tcW w:w="1660" w:type="dxa"/>
            <w:tcBorders>
              <w:top w:val="single" w:sz="4" w:space="0" w:color="auto"/>
              <w:left w:val="nil"/>
              <w:bottom w:val="nil"/>
              <w:right w:val="nil"/>
            </w:tcBorders>
            <w:shd w:val="clear" w:color="auto" w:fill="auto"/>
            <w:vAlign w:val="center"/>
            <w:hideMark/>
          </w:tcPr>
          <w:p w14:paraId="202F2F5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-0.082</w:t>
            </w:r>
          </w:p>
        </w:tc>
        <w:tc>
          <w:tcPr>
            <w:tcW w:w="1500" w:type="dxa"/>
            <w:tcBorders>
              <w:top w:val="single" w:sz="4" w:space="0" w:color="auto"/>
              <w:left w:val="nil"/>
              <w:bottom w:val="nil"/>
              <w:right w:val="nil"/>
            </w:tcBorders>
            <w:shd w:val="clear" w:color="auto" w:fill="auto"/>
            <w:vAlign w:val="center"/>
            <w:hideMark/>
          </w:tcPr>
          <w:p w14:paraId="4D378B39"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4.85%</w:t>
            </w:r>
          </w:p>
        </w:tc>
        <w:tc>
          <w:tcPr>
            <w:tcW w:w="1380" w:type="dxa"/>
            <w:tcBorders>
              <w:top w:val="single" w:sz="4" w:space="0" w:color="auto"/>
              <w:left w:val="nil"/>
              <w:bottom w:val="nil"/>
              <w:right w:val="nil"/>
            </w:tcBorders>
            <w:shd w:val="clear" w:color="auto" w:fill="auto"/>
            <w:vAlign w:val="center"/>
            <w:hideMark/>
          </w:tcPr>
          <w:p w14:paraId="66E4DE26"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0.011</w:t>
            </w:r>
          </w:p>
        </w:tc>
      </w:tr>
      <w:tr w:rsidR="00752E6F" w:rsidRPr="008F01FA" w14:paraId="41EDA0EF" w14:textId="77777777" w:rsidTr="00BF76E1">
        <w:trPr>
          <w:trHeight w:val="320"/>
        </w:trPr>
        <w:tc>
          <w:tcPr>
            <w:tcW w:w="1300" w:type="dxa"/>
            <w:tcBorders>
              <w:top w:val="nil"/>
              <w:left w:val="nil"/>
              <w:bottom w:val="nil"/>
              <w:right w:val="nil"/>
            </w:tcBorders>
            <w:shd w:val="clear" w:color="auto" w:fill="auto"/>
            <w:vAlign w:val="center"/>
            <w:hideMark/>
          </w:tcPr>
          <w:p w14:paraId="192FC9AC" w14:textId="77777777" w:rsidR="00752E6F" w:rsidRPr="008F01FA" w:rsidRDefault="00752E6F" w:rsidP="00BF76E1">
            <w:pPr>
              <w:jc w:val="both"/>
              <w:rPr>
                <w:rFonts w:ascii="Times New Roman" w:hAnsi="Times New Roman" w:cs="Times New Roman"/>
                <w:color w:val="000000"/>
                <w:sz w:val="22"/>
                <w:szCs w:val="22"/>
              </w:rPr>
            </w:pPr>
            <w:r w:rsidRPr="008F01FA">
              <w:rPr>
                <w:rFonts w:ascii="Times New Roman" w:hAnsi="Times New Roman" w:cs="Times New Roman"/>
                <w:color w:val="000000"/>
                <w:sz w:val="22"/>
                <w:szCs w:val="22"/>
              </w:rPr>
              <w:t>Right V1</w:t>
            </w:r>
          </w:p>
        </w:tc>
        <w:tc>
          <w:tcPr>
            <w:tcW w:w="1660" w:type="dxa"/>
            <w:tcBorders>
              <w:top w:val="nil"/>
              <w:left w:val="nil"/>
              <w:bottom w:val="nil"/>
              <w:right w:val="nil"/>
            </w:tcBorders>
            <w:shd w:val="clear" w:color="auto" w:fill="auto"/>
            <w:vAlign w:val="center"/>
            <w:hideMark/>
          </w:tcPr>
          <w:p w14:paraId="59587ECF"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1.324</w:t>
            </w:r>
          </w:p>
        </w:tc>
        <w:tc>
          <w:tcPr>
            <w:tcW w:w="1860" w:type="dxa"/>
            <w:tcBorders>
              <w:top w:val="nil"/>
              <w:left w:val="nil"/>
              <w:bottom w:val="nil"/>
              <w:right w:val="nil"/>
            </w:tcBorders>
            <w:shd w:val="clear" w:color="auto" w:fill="auto"/>
            <w:vAlign w:val="center"/>
            <w:hideMark/>
          </w:tcPr>
          <w:p w14:paraId="3305B54C"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1.277</w:t>
            </w:r>
          </w:p>
        </w:tc>
        <w:tc>
          <w:tcPr>
            <w:tcW w:w="1660" w:type="dxa"/>
            <w:tcBorders>
              <w:top w:val="nil"/>
              <w:left w:val="nil"/>
              <w:bottom w:val="nil"/>
              <w:right w:val="nil"/>
            </w:tcBorders>
            <w:shd w:val="clear" w:color="auto" w:fill="auto"/>
            <w:vAlign w:val="center"/>
            <w:hideMark/>
          </w:tcPr>
          <w:p w14:paraId="7D09063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-0.046</w:t>
            </w:r>
          </w:p>
        </w:tc>
        <w:tc>
          <w:tcPr>
            <w:tcW w:w="1500" w:type="dxa"/>
            <w:tcBorders>
              <w:top w:val="nil"/>
              <w:left w:val="nil"/>
              <w:bottom w:val="nil"/>
              <w:right w:val="nil"/>
            </w:tcBorders>
            <w:shd w:val="clear" w:color="auto" w:fill="auto"/>
            <w:vAlign w:val="center"/>
            <w:hideMark/>
          </w:tcPr>
          <w:p w14:paraId="5E4145FF"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-3.51%</w:t>
            </w:r>
          </w:p>
        </w:tc>
        <w:tc>
          <w:tcPr>
            <w:tcW w:w="1380" w:type="dxa"/>
            <w:tcBorders>
              <w:top w:val="nil"/>
              <w:left w:val="nil"/>
              <w:bottom w:val="nil"/>
              <w:right w:val="nil"/>
            </w:tcBorders>
            <w:shd w:val="clear" w:color="auto" w:fill="auto"/>
            <w:vAlign w:val="center"/>
            <w:hideMark/>
          </w:tcPr>
          <w:p w14:paraId="092740C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0.003</w:t>
            </w:r>
          </w:p>
        </w:tc>
      </w:tr>
      <w:tr w:rsidR="00752E6F" w:rsidRPr="008F01FA" w14:paraId="64FEF9A4" w14:textId="77777777" w:rsidTr="00BF76E1">
        <w:trPr>
          <w:trHeight w:val="320"/>
        </w:trPr>
        <w:tc>
          <w:tcPr>
            <w:tcW w:w="1300" w:type="dxa"/>
            <w:tcBorders>
              <w:top w:val="nil"/>
              <w:left w:val="nil"/>
              <w:bottom w:val="nil"/>
              <w:right w:val="nil"/>
            </w:tcBorders>
            <w:shd w:val="clear" w:color="auto" w:fill="auto"/>
            <w:vAlign w:val="center"/>
            <w:hideMark/>
          </w:tcPr>
          <w:p w14:paraId="5443CDF6" w14:textId="77777777" w:rsidR="00752E6F" w:rsidRPr="008F01FA" w:rsidRDefault="00752E6F" w:rsidP="00BF76E1">
            <w:pPr>
              <w:jc w:val="both"/>
              <w:rPr>
                <w:rFonts w:ascii="Times New Roman" w:hAnsi="Times New Roman" w:cs="Times New Roman"/>
                <w:color w:val="000000"/>
                <w:sz w:val="22"/>
                <w:szCs w:val="22"/>
              </w:rPr>
            </w:pPr>
            <w:r w:rsidRPr="008F01FA">
              <w:rPr>
                <w:rFonts w:ascii="Times New Roman" w:hAnsi="Times New Roman" w:cs="Times New Roman"/>
                <w:color w:val="000000"/>
                <w:sz w:val="22"/>
                <w:szCs w:val="22"/>
              </w:rPr>
              <w:t>Left ITG</w:t>
            </w:r>
          </w:p>
        </w:tc>
        <w:tc>
          <w:tcPr>
            <w:tcW w:w="1660" w:type="dxa"/>
            <w:tcBorders>
              <w:top w:val="nil"/>
              <w:left w:val="nil"/>
              <w:bottom w:val="nil"/>
              <w:right w:val="nil"/>
            </w:tcBorders>
            <w:shd w:val="clear" w:color="auto" w:fill="auto"/>
            <w:vAlign w:val="center"/>
            <w:hideMark/>
          </w:tcPr>
          <w:p w14:paraId="484127B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-0.418</w:t>
            </w:r>
          </w:p>
        </w:tc>
        <w:tc>
          <w:tcPr>
            <w:tcW w:w="1860" w:type="dxa"/>
            <w:tcBorders>
              <w:top w:val="nil"/>
              <w:left w:val="nil"/>
              <w:bottom w:val="nil"/>
              <w:right w:val="nil"/>
            </w:tcBorders>
            <w:shd w:val="clear" w:color="auto" w:fill="auto"/>
            <w:vAlign w:val="center"/>
            <w:hideMark/>
          </w:tcPr>
          <w:p w14:paraId="069E618B"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-0.414</w:t>
            </w:r>
          </w:p>
        </w:tc>
        <w:tc>
          <w:tcPr>
            <w:tcW w:w="1660" w:type="dxa"/>
            <w:tcBorders>
              <w:top w:val="nil"/>
              <w:left w:val="nil"/>
              <w:bottom w:val="nil"/>
              <w:right w:val="nil"/>
            </w:tcBorders>
            <w:shd w:val="clear" w:color="auto" w:fill="auto"/>
            <w:vAlign w:val="center"/>
            <w:hideMark/>
          </w:tcPr>
          <w:p w14:paraId="0510C9D9"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0.004</w:t>
            </w:r>
          </w:p>
        </w:tc>
        <w:tc>
          <w:tcPr>
            <w:tcW w:w="1500" w:type="dxa"/>
            <w:tcBorders>
              <w:top w:val="nil"/>
              <w:left w:val="nil"/>
              <w:bottom w:val="nil"/>
              <w:right w:val="nil"/>
            </w:tcBorders>
            <w:shd w:val="clear" w:color="auto" w:fill="auto"/>
            <w:vAlign w:val="center"/>
            <w:hideMark/>
          </w:tcPr>
          <w:p w14:paraId="701C2DB8"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-0.85%</w:t>
            </w:r>
          </w:p>
        </w:tc>
        <w:tc>
          <w:tcPr>
            <w:tcW w:w="1380" w:type="dxa"/>
            <w:tcBorders>
              <w:top w:val="nil"/>
              <w:left w:val="nil"/>
              <w:bottom w:val="nil"/>
              <w:right w:val="nil"/>
            </w:tcBorders>
            <w:shd w:val="clear" w:color="auto" w:fill="auto"/>
            <w:vAlign w:val="center"/>
            <w:hideMark/>
          </w:tcPr>
          <w:p w14:paraId="0412EC46"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0.020</w:t>
            </w:r>
          </w:p>
        </w:tc>
      </w:tr>
      <w:tr w:rsidR="00752E6F" w:rsidRPr="008F01FA" w14:paraId="425E095D" w14:textId="77777777" w:rsidTr="00BF76E1">
        <w:trPr>
          <w:trHeight w:val="320"/>
        </w:trPr>
        <w:tc>
          <w:tcPr>
            <w:tcW w:w="1300" w:type="dxa"/>
            <w:tcBorders>
              <w:top w:val="nil"/>
              <w:left w:val="nil"/>
              <w:bottom w:val="nil"/>
              <w:right w:val="nil"/>
            </w:tcBorders>
            <w:shd w:val="clear" w:color="auto" w:fill="auto"/>
            <w:vAlign w:val="center"/>
            <w:hideMark/>
          </w:tcPr>
          <w:p w14:paraId="24BBFBF8" w14:textId="77777777" w:rsidR="00752E6F" w:rsidRPr="008F01FA" w:rsidRDefault="00752E6F" w:rsidP="00BF76E1">
            <w:pPr>
              <w:jc w:val="both"/>
              <w:rPr>
                <w:rFonts w:ascii="Times New Roman" w:hAnsi="Times New Roman" w:cs="Times New Roman"/>
                <w:color w:val="000000"/>
                <w:sz w:val="22"/>
                <w:szCs w:val="22"/>
              </w:rPr>
            </w:pPr>
            <w:r w:rsidRPr="008F01FA">
              <w:rPr>
                <w:rFonts w:ascii="Times New Roman" w:hAnsi="Times New Roman" w:cs="Times New Roman"/>
                <w:color w:val="000000"/>
                <w:sz w:val="22"/>
                <w:szCs w:val="22"/>
              </w:rPr>
              <w:t>Right ITG</w:t>
            </w:r>
          </w:p>
        </w:tc>
        <w:tc>
          <w:tcPr>
            <w:tcW w:w="1660" w:type="dxa"/>
            <w:tcBorders>
              <w:top w:val="nil"/>
              <w:left w:val="nil"/>
              <w:bottom w:val="nil"/>
              <w:right w:val="nil"/>
            </w:tcBorders>
            <w:shd w:val="clear" w:color="auto" w:fill="auto"/>
            <w:vAlign w:val="center"/>
            <w:hideMark/>
          </w:tcPr>
          <w:p w14:paraId="5ABE287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0.356</w:t>
            </w:r>
          </w:p>
        </w:tc>
        <w:tc>
          <w:tcPr>
            <w:tcW w:w="1860" w:type="dxa"/>
            <w:tcBorders>
              <w:top w:val="nil"/>
              <w:left w:val="nil"/>
              <w:bottom w:val="nil"/>
              <w:right w:val="nil"/>
            </w:tcBorders>
            <w:shd w:val="clear" w:color="auto" w:fill="auto"/>
            <w:vAlign w:val="center"/>
            <w:hideMark/>
          </w:tcPr>
          <w:p w14:paraId="4C225E9A"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0.370</w:t>
            </w:r>
          </w:p>
        </w:tc>
        <w:tc>
          <w:tcPr>
            <w:tcW w:w="1660" w:type="dxa"/>
            <w:tcBorders>
              <w:top w:val="nil"/>
              <w:left w:val="nil"/>
              <w:bottom w:val="nil"/>
              <w:right w:val="nil"/>
            </w:tcBorders>
            <w:shd w:val="clear" w:color="auto" w:fill="auto"/>
            <w:vAlign w:val="center"/>
            <w:hideMark/>
          </w:tcPr>
          <w:p w14:paraId="5D9414D5"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0.014</w:t>
            </w:r>
          </w:p>
        </w:tc>
        <w:tc>
          <w:tcPr>
            <w:tcW w:w="1500" w:type="dxa"/>
            <w:tcBorders>
              <w:top w:val="nil"/>
              <w:left w:val="nil"/>
              <w:bottom w:val="nil"/>
              <w:right w:val="nil"/>
            </w:tcBorders>
            <w:shd w:val="clear" w:color="auto" w:fill="auto"/>
            <w:vAlign w:val="center"/>
            <w:hideMark/>
          </w:tcPr>
          <w:p w14:paraId="14F015E2"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4.03%</w:t>
            </w:r>
          </w:p>
        </w:tc>
        <w:tc>
          <w:tcPr>
            <w:tcW w:w="1380" w:type="dxa"/>
            <w:tcBorders>
              <w:top w:val="nil"/>
              <w:left w:val="nil"/>
              <w:bottom w:val="nil"/>
              <w:right w:val="nil"/>
            </w:tcBorders>
            <w:shd w:val="clear" w:color="auto" w:fill="auto"/>
            <w:vAlign w:val="center"/>
            <w:hideMark/>
          </w:tcPr>
          <w:p w14:paraId="59844529"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0.007</w:t>
            </w:r>
          </w:p>
        </w:tc>
      </w:tr>
      <w:tr w:rsidR="00752E6F" w:rsidRPr="008F01FA" w14:paraId="604E115D" w14:textId="77777777" w:rsidTr="00BF76E1">
        <w:trPr>
          <w:trHeight w:val="320"/>
        </w:trPr>
        <w:tc>
          <w:tcPr>
            <w:tcW w:w="1300" w:type="dxa"/>
            <w:tcBorders>
              <w:top w:val="nil"/>
              <w:left w:val="nil"/>
              <w:bottom w:val="nil"/>
              <w:right w:val="nil"/>
            </w:tcBorders>
            <w:shd w:val="clear" w:color="auto" w:fill="auto"/>
            <w:vAlign w:val="center"/>
            <w:hideMark/>
          </w:tcPr>
          <w:p w14:paraId="2C9A1BF7" w14:textId="77777777" w:rsidR="00752E6F" w:rsidRPr="008F01FA" w:rsidRDefault="00752E6F" w:rsidP="00BF76E1">
            <w:pPr>
              <w:jc w:val="both"/>
              <w:rPr>
                <w:rFonts w:ascii="Times New Roman" w:hAnsi="Times New Roman" w:cs="Times New Roman"/>
                <w:color w:val="000000"/>
                <w:sz w:val="22"/>
                <w:szCs w:val="22"/>
              </w:rPr>
            </w:pPr>
            <w:r w:rsidRPr="008F01FA">
              <w:rPr>
                <w:rFonts w:ascii="Times New Roman" w:hAnsi="Times New Roman" w:cs="Times New Roman"/>
                <w:color w:val="000000"/>
                <w:sz w:val="22"/>
                <w:szCs w:val="22"/>
              </w:rPr>
              <w:t>Left PFC</w:t>
            </w:r>
          </w:p>
        </w:tc>
        <w:tc>
          <w:tcPr>
            <w:tcW w:w="1660" w:type="dxa"/>
            <w:tcBorders>
              <w:top w:val="nil"/>
              <w:left w:val="nil"/>
              <w:bottom w:val="nil"/>
              <w:right w:val="nil"/>
            </w:tcBorders>
            <w:shd w:val="clear" w:color="auto" w:fill="auto"/>
            <w:vAlign w:val="center"/>
            <w:hideMark/>
          </w:tcPr>
          <w:p w14:paraId="2F2F8AC7"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-0.268</w:t>
            </w:r>
          </w:p>
        </w:tc>
        <w:tc>
          <w:tcPr>
            <w:tcW w:w="1860" w:type="dxa"/>
            <w:tcBorders>
              <w:top w:val="nil"/>
              <w:left w:val="nil"/>
              <w:bottom w:val="nil"/>
              <w:right w:val="nil"/>
            </w:tcBorders>
            <w:shd w:val="clear" w:color="auto" w:fill="auto"/>
            <w:vAlign w:val="center"/>
            <w:hideMark/>
          </w:tcPr>
          <w:p w14:paraId="4DEBC909"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-0.251</w:t>
            </w:r>
          </w:p>
        </w:tc>
        <w:tc>
          <w:tcPr>
            <w:tcW w:w="1660" w:type="dxa"/>
            <w:tcBorders>
              <w:top w:val="nil"/>
              <w:left w:val="nil"/>
              <w:bottom w:val="nil"/>
              <w:right w:val="nil"/>
            </w:tcBorders>
            <w:shd w:val="clear" w:color="auto" w:fill="auto"/>
            <w:vAlign w:val="center"/>
            <w:hideMark/>
          </w:tcPr>
          <w:p w14:paraId="698C48D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0.017</w:t>
            </w:r>
          </w:p>
        </w:tc>
        <w:tc>
          <w:tcPr>
            <w:tcW w:w="1500" w:type="dxa"/>
            <w:tcBorders>
              <w:top w:val="nil"/>
              <w:left w:val="nil"/>
              <w:bottom w:val="nil"/>
              <w:right w:val="nil"/>
            </w:tcBorders>
            <w:shd w:val="clear" w:color="auto" w:fill="auto"/>
            <w:vAlign w:val="center"/>
            <w:hideMark/>
          </w:tcPr>
          <w:p w14:paraId="45D25F01"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-6.41%</w:t>
            </w:r>
          </w:p>
        </w:tc>
        <w:tc>
          <w:tcPr>
            <w:tcW w:w="1380" w:type="dxa"/>
            <w:tcBorders>
              <w:top w:val="nil"/>
              <w:left w:val="nil"/>
              <w:bottom w:val="nil"/>
              <w:right w:val="nil"/>
            </w:tcBorders>
            <w:shd w:val="clear" w:color="auto" w:fill="auto"/>
            <w:vAlign w:val="center"/>
            <w:hideMark/>
          </w:tcPr>
          <w:p w14:paraId="3293847A"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0.023</w:t>
            </w:r>
          </w:p>
        </w:tc>
      </w:tr>
      <w:tr w:rsidR="00752E6F" w:rsidRPr="008F01FA" w14:paraId="3AC36AB1" w14:textId="77777777" w:rsidTr="00BF76E1">
        <w:trPr>
          <w:trHeight w:val="340"/>
        </w:trPr>
        <w:tc>
          <w:tcPr>
            <w:tcW w:w="1300" w:type="dxa"/>
            <w:tcBorders>
              <w:top w:val="nil"/>
              <w:left w:val="nil"/>
              <w:bottom w:val="double" w:sz="6" w:space="0" w:color="auto"/>
              <w:right w:val="nil"/>
            </w:tcBorders>
            <w:shd w:val="clear" w:color="auto" w:fill="auto"/>
            <w:vAlign w:val="center"/>
            <w:hideMark/>
          </w:tcPr>
          <w:p w14:paraId="2DFCFCD8" w14:textId="77777777" w:rsidR="00752E6F" w:rsidRPr="008F01FA" w:rsidRDefault="00752E6F" w:rsidP="00BF76E1">
            <w:pPr>
              <w:jc w:val="both"/>
              <w:rPr>
                <w:rFonts w:ascii="Times New Roman" w:hAnsi="Times New Roman" w:cs="Times New Roman"/>
                <w:color w:val="000000"/>
                <w:sz w:val="22"/>
                <w:szCs w:val="22"/>
              </w:rPr>
            </w:pPr>
            <w:r w:rsidRPr="008F01FA">
              <w:rPr>
                <w:rFonts w:ascii="Times New Roman" w:hAnsi="Times New Roman" w:cs="Times New Roman"/>
                <w:color w:val="000000"/>
                <w:sz w:val="22"/>
                <w:szCs w:val="22"/>
              </w:rPr>
              <w:t>Right PFC</w:t>
            </w:r>
          </w:p>
        </w:tc>
        <w:tc>
          <w:tcPr>
            <w:tcW w:w="1660" w:type="dxa"/>
            <w:tcBorders>
              <w:top w:val="nil"/>
              <w:left w:val="nil"/>
              <w:bottom w:val="double" w:sz="6" w:space="0" w:color="auto"/>
              <w:right w:val="nil"/>
            </w:tcBorders>
            <w:shd w:val="clear" w:color="auto" w:fill="auto"/>
            <w:vAlign w:val="center"/>
            <w:hideMark/>
          </w:tcPr>
          <w:p w14:paraId="5D7CBF10"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0.276</w:t>
            </w:r>
          </w:p>
        </w:tc>
        <w:tc>
          <w:tcPr>
            <w:tcW w:w="1860" w:type="dxa"/>
            <w:tcBorders>
              <w:top w:val="nil"/>
              <w:left w:val="nil"/>
              <w:bottom w:val="double" w:sz="6" w:space="0" w:color="auto"/>
              <w:right w:val="nil"/>
            </w:tcBorders>
            <w:shd w:val="clear" w:color="auto" w:fill="auto"/>
            <w:vAlign w:val="center"/>
            <w:hideMark/>
          </w:tcPr>
          <w:p w14:paraId="15BAA56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0.253</w:t>
            </w:r>
          </w:p>
        </w:tc>
        <w:tc>
          <w:tcPr>
            <w:tcW w:w="1660" w:type="dxa"/>
            <w:tcBorders>
              <w:top w:val="nil"/>
              <w:left w:val="nil"/>
              <w:bottom w:val="double" w:sz="6" w:space="0" w:color="auto"/>
              <w:right w:val="nil"/>
            </w:tcBorders>
            <w:shd w:val="clear" w:color="auto" w:fill="auto"/>
            <w:vAlign w:val="center"/>
            <w:hideMark/>
          </w:tcPr>
          <w:p w14:paraId="34690D8E"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-0.024</w:t>
            </w:r>
          </w:p>
        </w:tc>
        <w:tc>
          <w:tcPr>
            <w:tcW w:w="1500" w:type="dxa"/>
            <w:tcBorders>
              <w:top w:val="nil"/>
              <w:left w:val="nil"/>
              <w:bottom w:val="double" w:sz="6" w:space="0" w:color="auto"/>
              <w:right w:val="nil"/>
            </w:tcBorders>
            <w:shd w:val="clear" w:color="auto" w:fill="auto"/>
            <w:vAlign w:val="center"/>
            <w:hideMark/>
          </w:tcPr>
          <w:p w14:paraId="3D39DAF3"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-8.56%</w:t>
            </w:r>
          </w:p>
        </w:tc>
        <w:tc>
          <w:tcPr>
            <w:tcW w:w="1380" w:type="dxa"/>
            <w:tcBorders>
              <w:top w:val="nil"/>
              <w:left w:val="nil"/>
              <w:bottom w:val="double" w:sz="6" w:space="0" w:color="auto"/>
              <w:right w:val="nil"/>
            </w:tcBorders>
            <w:shd w:val="clear" w:color="auto" w:fill="auto"/>
            <w:vAlign w:val="center"/>
            <w:hideMark/>
          </w:tcPr>
          <w:p w14:paraId="6F91785D" w14:textId="77777777" w:rsidR="00752E6F" w:rsidRPr="008F01FA" w:rsidRDefault="00752E6F" w:rsidP="00BF76E1">
            <w:pPr>
              <w:jc w:val="center"/>
              <w:rPr>
                <w:rFonts w:ascii="Times New Roman" w:hAnsi="Times New Roman" w:cs="Times New Roman"/>
                <w:color w:val="000000"/>
                <w:sz w:val="22"/>
                <w:szCs w:val="22"/>
              </w:rPr>
            </w:pPr>
            <w:r w:rsidRPr="008F01FA">
              <w:rPr>
                <w:rFonts w:ascii="Times New Roman" w:hAnsi="Times New Roman" w:cs="Times New Roman"/>
                <w:color w:val="000000"/>
                <w:sz w:val="22"/>
                <w:szCs w:val="22"/>
              </w:rPr>
              <w:t>0.003</w:t>
            </w:r>
          </w:p>
        </w:tc>
      </w:tr>
    </w:tbl>
    <w:p w14:paraId="57FFCB36" w14:textId="77777777" w:rsidR="00752E6F" w:rsidRPr="008F01FA" w:rsidRDefault="00752E6F" w:rsidP="00752E6F">
      <w:pPr>
        <w:spacing w:line="360" w:lineRule="auto"/>
        <w:jc w:val="both"/>
        <w:rPr>
          <w:rFonts w:ascii="Times New Roman" w:hAnsi="Times New Roman" w:cs="Times New Roman"/>
          <w:color w:val="000000" w:themeColor="text1"/>
          <w:sz w:val="22"/>
          <w:szCs w:val="22"/>
        </w:rPr>
      </w:pPr>
    </w:p>
    <w:p w14:paraId="0B23B3E8" w14:textId="77777777" w:rsidR="00752E6F" w:rsidRPr="008F01FA" w:rsidRDefault="00752E6F" w:rsidP="00752E6F">
      <w:pPr>
        <w:spacing w:line="360" w:lineRule="auto"/>
        <w:jc w:val="both"/>
        <w:rPr>
          <w:rFonts w:ascii="Times New Roman" w:hAnsi="Times New Roman" w:cs="Times New Roman"/>
          <w:b/>
          <w:bCs/>
          <w:i/>
          <w:iCs/>
          <w:color w:val="000000" w:themeColor="text1"/>
          <w:sz w:val="22"/>
          <w:szCs w:val="22"/>
        </w:rPr>
      </w:pPr>
    </w:p>
    <w:p w14:paraId="73B98439" w14:textId="4438D060" w:rsidR="00752E6F" w:rsidRPr="008F01FA" w:rsidRDefault="00752E6F" w:rsidP="00752E6F">
      <w:pPr>
        <w:spacing w:line="360" w:lineRule="auto"/>
        <w:jc w:val="both"/>
        <w:rPr>
          <w:rFonts w:ascii="Times New Roman" w:hAnsi="Times New Roman" w:cs="Times New Roman"/>
          <w:b/>
          <w:bCs/>
          <w:i/>
          <w:iCs/>
          <w:color w:val="000000" w:themeColor="text1"/>
          <w:sz w:val="22"/>
          <w:szCs w:val="22"/>
        </w:rPr>
      </w:pPr>
      <w:r w:rsidRPr="008F01FA">
        <w:rPr>
          <w:rFonts w:ascii="Times New Roman" w:hAnsi="Times New Roman" w:cs="Times New Roman"/>
          <w:b/>
          <w:bCs/>
          <w:i/>
          <w:iCs/>
          <w:color w:val="000000" w:themeColor="text1"/>
          <w:sz w:val="22"/>
          <w:szCs w:val="22"/>
        </w:rPr>
        <w:t>Supplementary Information 1</w:t>
      </w:r>
      <w:r w:rsidR="00C1142B">
        <w:rPr>
          <w:rFonts w:ascii="Times New Roman" w:hAnsi="Times New Roman" w:cs="Times New Roman"/>
          <w:b/>
          <w:bCs/>
          <w:i/>
          <w:iCs/>
          <w:color w:val="000000" w:themeColor="text1"/>
          <w:sz w:val="22"/>
          <w:szCs w:val="22"/>
        </w:rPr>
        <w:t>1</w:t>
      </w:r>
      <w:r w:rsidRPr="008F01FA">
        <w:rPr>
          <w:rFonts w:ascii="Times New Roman" w:hAnsi="Times New Roman" w:cs="Times New Roman"/>
          <w:b/>
          <w:bCs/>
          <w:i/>
          <w:iCs/>
          <w:color w:val="000000" w:themeColor="text1"/>
          <w:sz w:val="22"/>
          <w:szCs w:val="22"/>
        </w:rPr>
        <w:t xml:space="preserve">.  Dorsal pathway DCM. </w:t>
      </w:r>
    </w:p>
    <w:p w14:paraId="2F1280B5" w14:textId="77777777" w:rsidR="00752E6F" w:rsidRPr="00C1142B" w:rsidRDefault="00752E6F" w:rsidP="00752E6F">
      <w:pPr>
        <w:pStyle w:val="paragraph"/>
        <w:spacing w:before="0" w:beforeAutospacing="0" w:after="0" w:afterAutospacing="0" w:line="360" w:lineRule="auto"/>
        <w:jc w:val="both"/>
        <w:textAlignment w:val="baseline"/>
        <w:rPr>
          <w:rStyle w:val="eop"/>
          <w:rFonts w:ascii="Times New Roman" w:hAnsi="Times New Roman" w:cs="Times New Roman"/>
          <w:color w:val="000000" w:themeColor="text1"/>
          <w:sz w:val="22"/>
          <w:szCs w:val="22"/>
        </w:rPr>
      </w:pPr>
    </w:p>
    <w:p w14:paraId="73E07F49" w14:textId="77777777" w:rsidR="00752E6F" w:rsidRPr="00C1142B"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C1142B">
        <w:rPr>
          <w:rStyle w:val="normaltextrun"/>
          <w:rFonts w:ascii="Times New Roman" w:hAnsi="Times New Roman" w:cs="Times New Roman"/>
          <w:color w:val="000000" w:themeColor="text1"/>
          <w:sz w:val="22"/>
          <w:szCs w:val="22"/>
        </w:rPr>
        <w:t xml:space="preserve">We tested one dorsal model with the same visual and prefrontal dipoles, but with the IPL. This choice was determined by results in the source reconstruction analysis (Figure 2 in the main text; SI4) and by the task. </w:t>
      </w:r>
      <w:r w:rsidRPr="00C1142B">
        <w:rPr>
          <w:color w:val="000000" w:themeColor="text1"/>
          <w:sz w:val="22"/>
          <w:szCs w:val="22"/>
        </w:rPr>
        <w:t xml:space="preserve">The </w:t>
      </w:r>
      <w:r w:rsidRPr="00C1142B">
        <w:rPr>
          <w:color w:val="000000"/>
          <w:sz w:val="22"/>
          <w:szCs w:val="22"/>
        </w:rPr>
        <w:t xml:space="preserve">dorsal model has the same visual and prefrontal dipoles, but with IPL replacing the ITG and no direct V1 to PFC connections. This choice was determined by results in the source reconstruction analysis (Figure 2 and Supplementary Figure 2) and by the neural correlates typically associated to this task. </w:t>
      </w:r>
      <w:r w:rsidRPr="00C1142B">
        <w:rPr>
          <w:rStyle w:val="normaltextrun"/>
          <w:rFonts w:ascii="Times New Roman" w:hAnsi="Times New Roman" w:cs="Times New Roman"/>
          <w:color w:val="000000" w:themeColor="text1"/>
          <w:sz w:val="22"/>
          <w:szCs w:val="22"/>
        </w:rPr>
        <w:t>For what concerns source reconstruction, results pointed more to the visual ventral pathway; nevertheless, we observed an inferior parietal cluster and given the fact that the MMN visual stimuli are bars with different orientation, we decided to explore the dorsal pathway as well. In addition, a study on Benton line judgement task neural correlates implicated these regions as reported in the introduction (G</w:t>
      </w:r>
      <w:r w:rsidRPr="00C1142B">
        <w:rPr>
          <w:color w:val="000000" w:themeColor="text1"/>
          <w:sz w:val="22"/>
          <w:szCs w:val="22"/>
        </w:rPr>
        <w:t>arcia-Diez et al., 2017</w:t>
      </w:r>
      <w:r w:rsidRPr="00C1142B">
        <w:rPr>
          <w:rStyle w:val="normaltextrun"/>
          <w:rFonts w:ascii="Times New Roman" w:hAnsi="Times New Roman" w:cs="Times New Roman"/>
          <w:color w:val="000000" w:themeColor="text1"/>
          <w:sz w:val="22"/>
          <w:szCs w:val="22"/>
        </w:rPr>
        <w:t>). </w:t>
      </w:r>
      <w:r w:rsidRPr="00C1142B">
        <w:rPr>
          <w:rStyle w:val="eop"/>
          <w:rFonts w:ascii="Times New Roman" w:hAnsi="Times New Roman" w:cs="Times New Roman"/>
          <w:color w:val="000000" w:themeColor="text1"/>
          <w:sz w:val="22"/>
          <w:szCs w:val="22"/>
        </w:rPr>
        <w:t> </w:t>
      </w:r>
    </w:p>
    <w:p w14:paraId="06800411" w14:textId="77777777" w:rsidR="00752E6F" w:rsidRPr="00C1142B"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C1142B">
        <w:rPr>
          <w:rStyle w:val="eop"/>
          <w:rFonts w:ascii="Times New Roman" w:hAnsi="Times New Roman" w:cs="Times New Roman"/>
          <w:color w:val="000000" w:themeColor="text1"/>
          <w:sz w:val="22"/>
          <w:szCs w:val="22"/>
        </w:rPr>
        <w:t xml:space="preserve"> The model setup was identical to that of the ventral model. </w:t>
      </w:r>
    </w:p>
    <w:p w14:paraId="7828ACE8" w14:textId="77777777" w:rsidR="00752E6F" w:rsidRPr="00C1142B"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C1142B">
        <w:rPr>
          <w:rStyle w:val="eop"/>
          <w:rFonts w:ascii="Times New Roman" w:hAnsi="Times New Roman" w:cs="Times New Roman"/>
          <w:color w:val="000000" w:themeColor="text1"/>
          <w:sz w:val="22"/>
          <w:szCs w:val="22"/>
        </w:rPr>
        <w:t> </w:t>
      </w:r>
    </w:p>
    <w:p w14:paraId="4B7E2AFB" w14:textId="77777777" w:rsidR="00752E6F" w:rsidRPr="008F01FA"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8F01FA">
        <w:rPr>
          <w:rStyle w:val="eop"/>
          <w:color w:val="000000" w:themeColor="text1"/>
          <w:sz w:val="22"/>
          <w:szCs w:val="22"/>
        </w:rPr>
        <w:t> </w:t>
      </w:r>
    </w:p>
    <w:p w14:paraId="4243ABD6" w14:textId="77777777" w:rsidR="00752E6F" w:rsidRPr="008F01FA"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8F01FA">
        <w:rPr>
          <w:rStyle w:val="eop"/>
          <w:color w:val="000000" w:themeColor="text1"/>
          <w:sz w:val="22"/>
          <w:szCs w:val="22"/>
        </w:rPr>
        <w:t> </w:t>
      </w:r>
    </w:p>
    <w:p w14:paraId="3924039D" w14:textId="77777777" w:rsidR="00752E6F" w:rsidRPr="008F01FA"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8F01FA">
        <w:rPr>
          <w:rStyle w:val="eop"/>
          <w:color w:val="000000" w:themeColor="text1"/>
          <w:sz w:val="22"/>
          <w:szCs w:val="22"/>
        </w:rPr>
        <w:t> </w:t>
      </w:r>
    </w:p>
    <w:p w14:paraId="35AB73D4" w14:textId="77777777" w:rsidR="00752E6F" w:rsidRPr="008F01FA"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8F01FA">
        <w:rPr>
          <w:noProof/>
          <w:color w:val="000000" w:themeColor="text1"/>
          <w:sz w:val="22"/>
          <w:szCs w:val="22"/>
        </w:rPr>
        <w:lastRenderedPageBreak/>
        <w:drawing>
          <wp:inline distT="0" distB="0" distL="0" distR="0" wp14:anchorId="2148D164" wp14:editId="04493E22">
            <wp:extent cx="5731510" cy="3358515"/>
            <wp:effectExtent l="0" t="0" r="0" b="0"/>
            <wp:docPr id="310219402" name="Picture 3" descr="A diagram of a diagram of a ce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358515"/>
                    </a:xfrm>
                    <a:prstGeom prst="rect">
                      <a:avLst/>
                    </a:prstGeom>
                  </pic:spPr>
                </pic:pic>
              </a:graphicData>
            </a:graphic>
          </wp:inline>
        </w:drawing>
      </w:r>
      <w:r w:rsidRPr="008F01FA">
        <w:rPr>
          <w:rStyle w:val="eop"/>
          <w:color w:val="000000" w:themeColor="text1"/>
          <w:sz w:val="22"/>
          <w:szCs w:val="22"/>
        </w:rPr>
        <w:t> </w:t>
      </w:r>
    </w:p>
    <w:p w14:paraId="0D876509" w14:textId="77777777" w:rsidR="00752E6F" w:rsidRPr="008F01FA" w:rsidRDefault="00752E6F" w:rsidP="00752E6F">
      <w:pPr>
        <w:pStyle w:val="paragraph"/>
        <w:spacing w:line="360" w:lineRule="auto"/>
        <w:textAlignment w:val="baseline"/>
        <w:rPr>
          <w:color w:val="000000" w:themeColor="text1"/>
          <w:sz w:val="22"/>
          <w:szCs w:val="22"/>
        </w:rPr>
      </w:pPr>
      <w:r w:rsidRPr="008F01FA">
        <w:rPr>
          <w:b/>
          <w:bCs/>
          <w:color w:val="000000" w:themeColor="text1"/>
          <w:sz w:val="22"/>
          <w:szCs w:val="22"/>
        </w:rPr>
        <w:t xml:space="preserve">Supplementary Figure 9. </w:t>
      </w:r>
      <w:r w:rsidRPr="008F01FA">
        <w:rPr>
          <w:b/>
          <w:bCs/>
          <w:i/>
          <w:iCs/>
          <w:color w:val="000000" w:themeColor="text1"/>
          <w:sz w:val="22"/>
          <w:szCs w:val="22"/>
        </w:rPr>
        <w:t>Dorsal DCM specification.</w:t>
      </w:r>
      <w:r w:rsidRPr="008F01FA">
        <w:rPr>
          <w:i/>
          <w:iCs/>
          <w:color w:val="000000" w:themeColor="text1"/>
          <w:sz w:val="22"/>
          <w:szCs w:val="22"/>
        </w:rPr>
        <w:t xml:space="preserve"> a) Neural mass model and electromagnetic model specifications. b) B connectivity matrix. c) Visual representation of model v1. Left: matrix A: forward connections in blue, backward connections in fuchsia, inter-hemispheric connections in orange; input (matrix C) is depicted in orange (in L and R V1). Right: B matrix connectivity representation. Circles represent connectivity on the same region, testing for self-inhibition or self-excitation during task condition. </w:t>
      </w:r>
      <w:r w:rsidRPr="008F01FA">
        <w:rPr>
          <w:color w:val="000000" w:themeColor="text1"/>
          <w:sz w:val="22"/>
          <w:szCs w:val="22"/>
        </w:rPr>
        <w:t> </w:t>
      </w:r>
    </w:p>
    <w:p w14:paraId="1E3BB5A8" w14:textId="77777777" w:rsidR="00752E6F" w:rsidRPr="00C1142B" w:rsidRDefault="00752E6F" w:rsidP="00752E6F">
      <w:pPr>
        <w:pStyle w:val="paragraph"/>
        <w:spacing w:before="0" w:beforeAutospacing="0" w:after="0" w:afterAutospacing="0" w:line="360" w:lineRule="auto"/>
        <w:jc w:val="both"/>
        <w:textAlignment w:val="baseline"/>
        <w:rPr>
          <w:color w:val="000000" w:themeColor="text1"/>
          <w:sz w:val="22"/>
          <w:szCs w:val="22"/>
        </w:rPr>
      </w:pPr>
    </w:p>
    <w:p w14:paraId="73B4A806" w14:textId="77777777" w:rsidR="00752E6F" w:rsidRPr="00C1142B" w:rsidRDefault="00752E6F" w:rsidP="00752E6F">
      <w:pPr>
        <w:pStyle w:val="paragraph"/>
        <w:spacing w:before="0" w:beforeAutospacing="0" w:after="0" w:afterAutospacing="0" w:line="360" w:lineRule="auto"/>
        <w:jc w:val="both"/>
        <w:textAlignment w:val="baseline"/>
        <w:rPr>
          <w:color w:val="000000" w:themeColor="text1"/>
          <w:sz w:val="22"/>
          <w:szCs w:val="22"/>
        </w:rPr>
      </w:pPr>
    </w:p>
    <w:p w14:paraId="749EDEA5" w14:textId="77777777" w:rsidR="00752E6F" w:rsidRPr="00C1142B"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C1142B">
        <w:rPr>
          <w:rStyle w:val="normaltextrun"/>
          <w:rFonts w:ascii="Times New Roman" w:hAnsi="Times New Roman" w:cs="Times New Roman"/>
          <w:color w:val="000000" w:themeColor="text1"/>
          <w:sz w:val="22"/>
          <w:szCs w:val="22"/>
        </w:rPr>
        <w:t>Results for the task connectivity matrix (B matrix) are reported for Free energy (with vs without) and pp &gt; .99. </w:t>
      </w:r>
      <w:r w:rsidRPr="00C1142B">
        <w:rPr>
          <w:rStyle w:val="eop"/>
          <w:rFonts w:ascii="Times New Roman" w:hAnsi="Times New Roman" w:cs="Times New Roman"/>
          <w:color w:val="000000" w:themeColor="text1"/>
          <w:sz w:val="22"/>
          <w:szCs w:val="22"/>
        </w:rPr>
        <w:t xml:space="preserve">  The </w:t>
      </w:r>
      <w:r w:rsidRPr="00C1142B">
        <w:rPr>
          <w:rStyle w:val="normaltextrun"/>
          <w:rFonts w:ascii="Times New Roman" w:hAnsi="Times New Roman" w:cs="Times New Roman"/>
          <w:color w:val="000000" w:themeColor="text1"/>
          <w:sz w:val="22"/>
          <w:szCs w:val="22"/>
        </w:rPr>
        <w:t>BMA results show that task effects (rare vs standard) for PDP were mostly associated to an altered connectivity between parietal and frontal nodes, with probability 100%. Examining the model parameters, psychosis was positively related to connectivity from left V1 to left IPL, and negatively correlated with connectivity from IPL to PFC, bilaterally. </w:t>
      </w:r>
      <w:r w:rsidRPr="00C1142B">
        <w:rPr>
          <w:rStyle w:val="eop"/>
          <w:rFonts w:ascii="Times New Roman" w:hAnsi="Times New Roman" w:cs="Times New Roman"/>
          <w:color w:val="000000" w:themeColor="text1"/>
          <w:sz w:val="22"/>
          <w:szCs w:val="22"/>
        </w:rPr>
        <w:t> </w:t>
      </w:r>
    </w:p>
    <w:p w14:paraId="0DD05283" w14:textId="77777777" w:rsidR="00752E6F" w:rsidRPr="00C1142B" w:rsidRDefault="00752E6F" w:rsidP="00752E6F">
      <w:pPr>
        <w:pStyle w:val="paragraph"/>
        <w:spacing w:before="0" w:beforeAutospacing="0" w:after="0" w:afterAutospacing="0" w:line="360" w:lineRule="auto"/>
        <w:jc w:val="both"/>
        <w:textAlignment w:val="baseline"/>
        <w:rPr>
          <w:rStyle w:val="eop"/>
          <w:rFonts w:ascii="Times New Roman" w:hAnsi="Times New Roman" w:cs="Times New Roman"/>
          <w:color w:val="000000" w:themeColor="text1"/>
          <w:sz w:val="22"/>
          <w:szCs w:val="22"/>
        </w:rPr>
      </w:pPr>
      <w:r w:rsidRPr="00C1142B">
        <w:rPr>
          <w:noProof/>
          <w:sz w:val="22"/>
          <w:szCs w:val="22"/>
        </w:rPr>
        <w:lastRenderedPageBreak/>
        <w:drawing>
          <wp:inline distT="0" distB="0" distL="0" distR="0" wp14:anchorId="65FAA1FE" wp14:editId="5B258C34">
            <wp:extent cx="5731510" cy="4173220"/>
            <wp:effectExtent l="0" t="0" r="0" b="5080"/>
            <wp:docPr id="1609711186" name="Picture 2" descr="A diagram of the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6">
                      <a:extLst>
                        <a:ext uri="{28A0092B-C50C-407E-A947-70E740481C1C}">
                          <a14:useLocalDpi xmlns:a14="http://schemas.microsoft.com/office/drawing/2010/main" val="0"/>
                        </a:ext>
                      </a:extLst>
                    </a:blip>
                    <a:stretch>
                      <a:fillRect/>
                    </a:stretch>
                  </pic:blipFill>
                  <pic:spPr>
                    <a:xfrm>
                      <a:off x="0" y="0"/>
                      <a:ext cx="5731510" cy="4173220"/>
                    </a:xfrm>
                    <a:prstGeom prst="rect">
                      <a:avLst/>
                    </a:prstGeom>
                  </pic:spPr>
                </pic:pic>
              </a:graphicData>
            </a:graphic>
          </wp:inline>
        </w:drawing>
      </w:r>
      <w:r w:rsidRPr="00C1142B">
        <w:rPr>
          <w:rStyle w:val="eop"/>
          <w:rFonts w:ascii="Times New Roman" w:hAnsi="Times New Roman" w:cs="Times New Roman"/>
          <w:b/>
          <w:bCs/>
          <w:color w:val="000000" w:themeColor="text1"/>
          <w:sz w:val="22"/>
          <w:szCs w:val="22"/>
        </w:rPr>
        <w:t xml:space="preserve">Supplementary Figure 10. </w:t>
      </w:r>
      <w:r w:rsidRPr="00C1142B">
        <w:rPr>
          <w:rStyle w:val="eop"/>
          <w:rFonts w:ascii="Times New Roman" w:hAnsi="Times New Roman" w:cs="Times New Roman"/>
          <w:b/>
          <w:bCs/>
          <w:i/>
          <w:iCs/>
          <w:color w:val="000000" w:themeColor="text1"/>
          <w:sz w:val="22"/>
          <w:szCs w:val="22"/>
        </w:rPr>
        <w:t xml:space="preserve">Dorsal model PEB results. </w:t>
      </w:r>
      <w:r w:rsidRPr="00C1142B">
        <w:rPr>
          <w:rStyle w:val="eop"/>
          <w:rFonts w:ascii="Times New Roman" w:hAnsi="Times New Roman" w:cs="Times New Roman"/>
          <w:i/>
          <w:iCs/>
          <w:color w:val="000000" w:themeColor="text1"/>
          <w:sz w:val="22"/>
          <w:szCs w:val="22"/>
        </w:rPr>
        <w:t xml:space="preserve">a) Bar plots showing that connectivity is increased in PDP from </w:t>
      </w:r>
      <w:proofErr w:type="spellStart"/>
      <w:r w:rsidRPr="00C1142B">
        <w:rPr>
          <w:rStyle w:val="eop"/>
          <w:rFonts w:ascii="Times New Roman" w:hAnsi="Times New Roman" w:cs="Times New Roman"/>
          <w:i/>
          <w:iCs/>
          <w:color w:val="000000" w:themeColor="text1"/>
          <w:sz w:val="22"/>
          <w:szCs w:val="22"/>
        </w:rPr>
        <w:t>letf</w:t>
      </w:r>
      <w:proofErr w:type="spellEnd"/>
      <w:r w:rsidRPr="00C1142B">
        <w:rPr>
          <w:rStyle w:val="eop"/>
          <w:rFonts w:ascii="Times New Roman" w:hAnsi="Times New Roman" w:cs="Times New Roman"/>
          <w:i/>
          <w:iCs/>
          <w:color w:val="000000" w:themeColor="text1"/>
          <w:sz w:val="22"/>
          <w:szCs w:val="22"/>
        </w:rPr>
        <w:t xml:space="preserve"> V1 to IPL and decreased from IPL to PFC bilaterally.  b) Matrix representation of the results shown in (a). C) Visual summary of the result. Brain and nodes are created with </w:t>
      </w:r>
      <w:proofErr w:type="spellStart"/>
      <w:r w:rsidRPr="00C1142B">
        <w:rPr>
          <w:rStyle w:val="eop"/>
          <w:rFonts w:ascii="Times New Roman" w:hAnsi="Times New Roman" w:cs="Times New Roman"/>
          <w:i/>
          <w:iCs/>
          <w:color w:val="000000" w:themeColor="text1"/>
          <w:sz w:val="22"/>
          <w:szCs w:val="22"/>
        </w:rPr>
        <w:t>BrainNet</w:t>
      </w:r>
      <w:proofErr w:type="spellEnd"/>
      <w:r w:rsidRPr="00C1142B">
        <w:rPr>
          <w:rStyle w:val="eop"/>
          <w:rFonts w:ascii="Times New Roman" w:hAnsi="Times New Roman" w:cs="Times New Roman"/>
          <w:i/>
          <w:iCs/>
          <w:color w:val="000000" w:themeColor="text1"/>
          <w:sz w:val="22"/>
          <w:szCs w:val="22"/>
        </w:rPr>
        <w:t xml:space="preserve"> viewer.</w:t>
      </w:r>
      <w:r w:rsidRPr="00C1142B">
        <w:rPr>
          <w:rStyle w:val="eop"/>
          <w:rFonts w:ascii="Times New Roman" w:hAnsi="Times New Roman" w:cs="Times New Roman"/>
          <w:color w:val="000000" w:themeColor="text1"/>
          <w:sz w:val="22"/>
          <w:szCs w:val="22"/>
        </w:rPr>
        <w:t xml:space="preserve"> </w:t>
      </w:r>
    </w:p>
    <w:p w14:paraId="0BFA14BB" w14:textId="77777777" w:rsidR="00752E6F" w:rsidRPr="00C1142B" w:rsidRDefault="00752E6F" w:rsidP="00752E6F">
      <w:pPr>
        <w:pStyle w:val="paragraph"/>
        <w:spacing w:before="0" w:beforeAutospacing="0" w:after="0" w:afterAutospacing="0" w:line="360" w:lineRule="auto"/>
        <w:jc w:val="both"/>
        <w:rPr>
          <w:rStyle w:val="normaltextrun"/>
          <w:rFonts w:ascii="Times New Roman" w:hAnsi="Times New Roman" w:cs="Times New Roman"/>
          <w:color w:val="000000" w:themeColor="text1"/>
          <w:sz w:val="22"/>
          <w:szCs w:val="22"/>
        </w:rPr>
      </w:pPr>
    </w:p>
    <w:p w14:paraId="13F9F2B3" w14:textId="77777777" w:rsidR="00752E6F" w:rsidRPr="00C1142B" w:rsidRDefault="00752E6F" w:rsidP="00752E6F">
      <w:pPr>
        <w:pStyle w:val="paragraph"/>
        <w:spacing w:before="0" w:beforeAutospacing="0" w:after="0" w:afterAutospacing="0" w:line="360" w:lineRule="auto"/>
        <w:jc w:val="both"/>
        <w:rPr>
          <w:rStyle w:val="normaltextrun"/>
          <w:rFonts w:ascii="Times New Roman" w:hAnsi="Times New Roman" w:cs="Times New Roman"/>
          <w:color w:val="000000" w:themeColor="text1"/>
          <w:sz w:val="22"/>
          <w:szCs w:val="22"/>
        </w:rPr>
      </w:pPr>
    </w:p>
    <w:p w14:paraId="76E0694F" w14:textId="77777777" w:rsidR="00752E6F" w:rsidRPr="00C1142B" w:rsidRDefault="00752E6F" w:rsidP="00752E6F">
      <w:pPr>
        <w:pStyle w:val="paragraph"/>
        <w:spacing w:before="0" w:beforeAutospacing="0" w:after="0" w:afterAutospacing="0" w:line="360" w:lineRule="auto"/>
        <w:jc w:val="both"/>
        <w:textAlignment w:val="baseline"/>
        <w:rPr>
          <w:rStyle w:val="eop"/>
          <w:rFonts w:ascii="Times New Roman" w:hAnsi="Times New Roman" w:cs="Times New Roman"/>
          <w:color w:val="000000" w:themeColor="text1"/>
          <w:sz w:val="22"/>
          <w:szCs w:val="22"/>
        </w:rPr>
      </w:pPr>
      <w:r w:rsidRPr="00C1142B">
        <w:rPr>
          <w:rStyle w:val="normaltextrun"/>
          <w:rFonts w:ascii="Times New Roman" w:hAnsi="Times New Roman" w:cs="Times New Roman"/>
          <w:color w:val="000000" w:themeColor="text1"/>
          <w:sz w:val="22"/>
          <w:szCs w:val="22"/>
        </w:rPr>
        <w:t>When looking at the task effect in PD-</w:t>
      </w:r>
      <w:proofErr w:type="spellStart"/>
      <w:r w:rsidRPr="00C1142B">
        <w:rPr>
          <w:rStyle w:val="normaltextrun"/>
          <w:rFonts w:ascii="Times New Roman" w:hAnsi="Times New Roman" w:cs="Times New Roman"/>
          <w:color w:val="000000" w:themeColor="text1"/>
          <w:sz w:val="22"/>
          <w:szCs w:val="22"/>
        </w:rPr>
        <w:t>noVH</w:t>
      </w:r>
      <w:proofErr w:type="spellEnd"/>
      <w:r w:rsidRPr="00C1142B">
        <w:rPr>
          <w:rStyle w:val="normaltextrun"/>
          <w:rFonts w:ascii="Times New Roman" w:hAnsi="Times New Roman" w:cs="Times New Roman"/>
          <w:color w:val="000000" w:themeColor="text1"/>
          <w:sz w:val="22"/>
          <w:szCs w:val="22"/>
        </w:rPr>
        <w:t xml:space="preserve"> only, connectivity is only increased. Increased self-connectivity is present for V1 bilaterally, and there is an increase in connectivity from left PFC to left IPL, opposite to the decrease in connectivity from PFC to IPL found in PDP. </w:t>
      </w:r>
      <w:r w:rsidRPr="00C1142B">
        <w:rPr>
          <w:rStyle w:val="eop"/>
          <w:rFonts w:ascii="Times New Roman" w:hAnsi="Times New Roman" w:cs="Times New Roman"/>
          <w:color w:val="000000" w:themeColor="text1"/>
          <w:sz w:val="22"/>
          <w:szCs w:val="22"/>
        </w:rPr>
        <w:t> The involvement of V1 is in line with what found in the same analysis for the ventral model strongly supporting a role of primary visual cortex connectivity in the task, consistent with the task design as well.</w:t>
      </w:r>
    </w:p>
    <w:p w14:paraId="1A34E2F4" w14:textId="77777777" w:rsidR="00752E6F" w:rsidRPr="00C1142B"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C1142B">
        <w:rPr>
          <w:rStyle w:val="eop"/>
          <w:rFonts w:ascii="Times New Roman" w:hAnsi="Times New Roman" w:cs="Times New Roman"/>
          <w:color w:val="000000" w:themeColor="text1"/>
          <w:sz w:val="22"/>
          <w:szCs w:val="22"/>
        </w:rPr>
        <w:t> </w:t>
      </w:r>
    </w:p>
    <w:p w14:paraId="79F369A7" w14:textId="77777777" w:rsidR="00752E6F" w:rsidRPr="00C1142B" w:rsidRDefault="00752E6F" w:rsidP="00752E6F">
      <w:pPr>
        <w:pStyle w:val="paragraph"/>
        <w:spacing w:before="0" w:beforeAutospacing="0" w:after="0" w:afterAutospacing="0" w:line="360" w:lineRule="auto"/>
        <w:jc w:val="both"/>
        <w:rPr>
          <w:rStyle w:val="eop"/>
          <w:rFonts w:ascii="Times New Roman" w:hAnsi="Times New Roman" w:cs="Times New Roman"/>
          <w:color w:val="000000" w:themeColor="text1"/>
          <w:sz w:val="22"/>
          <w:szCs w:val="22"/>
        </w:rPr>
      </w:pPr>
    </w:p>
    <w:p w14:paraId="0A2922A8" w14:textId="77777777" w:rsidR="00752E6F" w:rsidRPr="00C1142B" w:rsidRDefault="00752E6F" w:rsidP="00752E6F">
      <w:pPr>
        <w:spacing w:line="360" w:lineRule="auto"/>
        <w:textAlignment w:val="baseline"/>
        <w:rPr>
          <w:rStyle w:val="eop"/>
          <w:rFonts w:ascii="Times New Roman" w:hAnsi="Times New Roman" w:cs="Times New Roman"/>
          <w:color w:val="000000" w:themeColor="text1"/>
          <w:sz w:val="22"/>
          <w:szCs w:val="22"/>
        </w:rPr>
      </w:pPr>
      <w:r w:rsidRPr="00C1142B">
        <w:rPr>
          <w:rStyle w:val="eop"/>
          <w:rFonts w:ascii="Times New Roman" w:hAnsi="Times New Roman" w:cs="Times New Roman"/>
          <w:color w:val="000000" w:themeColor="text1"/>
          <w:sz w:val="22"/>
          <w:szCs w:val="22"/>
        </w:rPr>
        <w:lastRenderedPageBreak/>
        <w:t> </w:t>
      </w:r>
      <w:r w:rsidRPr="00C1142B">
        <w:rPr>
          <w:rFonts w:ascii="Times New Roman" w:hAnsi="Times New Roman" w:cs="Times New Roman"/>
          <w:noProof/>
          <w:sz w:val="22"/>
          <w:szCs w:val="22"/>
        </w:rPr>
        <w:drawing>
          <wp:inline distT="0" distB="0" distL="0" distR="0" wp14:anchorId="4A8080A8" wp14:editId="3ED477BC">
            <wp:extent cx="5724524" cy="2619375"/>
            <wp:effectExtent l="0" t="0" r="0" b="0"/>
            <wp:docPr id="2129727030" name="Picture 2129727030" descr="A graph with 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27030" name="Picture 2129727030" descr="A graph with red and black line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724524" cy="2619375"/>
                    </a:xfrm>
                    <a:prstGeom prst="rect">
                      <a:avLst/>
                    </a:prstGeom>
                  </pic:spPr>
                </pic:pic>
              </a:graphicData>
            </a:graphic>
          </wp:inline>
        </w:drawing>
      </w:r>
      <w:r w:rsidRPr="00C1142B">
        <w:rPr>
          <w:rStyle w:val="eop"/>
          <w:rFonts w:ascii="Times New Roman" w:hAnsi="Times New Roman" w:cs="Times New Roman"/>
          <w:b/>
          <w:bCs/>
          <w:color w:val="000000" w:themeColor="text1"/>
          <w:sz w:val="22"/>
          <w:szCs w:val="22"/>
        </w:rPr>
        <w:t xml:space="preserve">Supplementary figure 11. </w:t>
      </w:r>
      <w:r w:rsidRPr="00C1142B">
        <w:rPr>
          <w:rStyle w:val="eop"/>
          <w:rFonts w:ascii="Times New Roman" w:hAnsi="Times New Roman" w:cs="Times New Roman"/>
          <w:i/>
          <w:iCs/>
          <w:color w:val="000000" w:themeColor="text1"/>
          <w:sz w:val="22"/>
          <w:szCs w:val="22"/>
        </w:rPr>
        <w:t>Task effect (PD-</w:t>
      </w:r>
      <w:proofErr w:type="spellStart"/>
      <w:r w:rsidRPr="00C1142B">
        <w:rPr>
          <w:rStyle w:val="eop"/>
          <w:rFonts w:ascii="Times New Roman" w:hAnsi="Times New Roman" w:cs="Times New Roman"/>
          <w:i/>
          <w:iCs/>
          <w:color w:val="000000" w:themeColor="text1"/>
          <w:sz w:val="22"/>
          <w:szCs w:val="22"/>
        </w:rPr>
        <w:t>noVH</w:t>
      </w:r>
      <w:proofErr w:type="spellEnd"/>
      <w:r w:rsidRPr="00C1142B">
        <w:rPr>
          <w:rStyle w:val="eop"/>
          <w:rFonts w:ascii="Times New Roman" w:hAnsi="Times New Roman" w:cs="Times New Roman"/>
          <w:i/>
          <w:iCs/>
          <w:color w:val="000000" w:themeColor="text1"/>
          <w:sz w:val="22"/>
          <w:szCs w:val="22"/>
        </w:rPr>
        <w:t xml:space="preserve"> only) for the dorsal model. Pp &gt; .99 (parameter prob; with free energy &gt;.99 ns).</w:t>
      </w:r>
      <w:r w:rsidRPr="00C1142B">
        <w:rPr>
          <w:rStyle w:val="eop"/>
          <w:rFonts w:ascii="Times New Roman" w:hAnsi="Times New Roman" w:cs="Times New Roman"/>
          <w:color w:val="000000" w:themeColor="text1"/>
          <w:sz w:val="22"/>
          <w:szCs w:val="22"/>
        </w:rPr>
        <w:t xml:space="preserve"> </w:t>
      </w:r>
    </w:p>
    <w:p w14:paraId="67234B97" w14:textId="77777777" w:rsidR="00752E6F" w:rsidRPr="00C1142B" w:rsidRDefault="00752E6F" w:rsidP="00752E6F">
      <w:pPr>
        <w:pStyle w:val="paragraph"/>
        <w:spacing w:before="0" w:beforeAutospacing="0" w:after="0" w:afterAutospacing="0" w:line="360" w:lineRule="auto"/>
        <w:jc w:val="both"/>
        <w:rPr>
          <w:rStyle w:val="eop"/>
          <w:rFonts w:ascii="Times New Roman" w:hAnsi="Times New Roman" w:cs="Times New Roman"/>
          <w:color w:val="000000" w:themeColor="text1"/>
          <w:sz w:val="22"/>
          <w:szCs w:val="22"/>
        </w:rPr>
      </w:pPr>
    </w:p>
    <w:p w14:paraId="5017C169" w14:textId="77777777" w:rsidR="00752E6F" w:rsidRPr="00C1142B"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C1142B">
        <w:rPr>
          <w:rStyle w:val="eop"/>
          <w:rFonts w:ascii="Times New Roman" w:hAnsi="Times New Roman" w:cs="Times New Roman"/>
          <w:color w:val="000000" w:themeColor="text1"/>
          <w:sz w:val="22"/>
          <w:szCs w:val="22"/>
        </w:rPr>
        <w:t> </w:t>
      </w:r>
    </w:p>
    <w:p w14:paraId="3A63C604" w14:textId="77777777" w:rsidR="00752E6F" w:rsidRPr="00C1142B"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C1142B">
        <w:rPr>
          <w:rStyle w:val="normaltextrun"/>
          <w:rFonts w:ascii="Times New Roman" w:hAnsi="Times New Roman" w:cs="Times New Roman"/>
          <w:i/>
          <w:iCs/>
          <w:color w:val="000000" w:themeColor="text1"/>
          <w:sz w:val="22"/>
          <w:szCs w:val="22"/>
        </w:rPr>
        <w:t>Hallucination severity, subtype and multimodality analysis. </w:t>
      </w:r>
      <w:r w:rsidRPr="00C1142B">
        <w:rPr>
          <w:rStyle w:val="eop"/>
          <w:rFonts w:ascii="Times New Roman" w:hAnsi="Times New Roman" w:cs="Times New Roman"/>
          <w:color w:val="000000" w:themeColor="text1"/>
          <w:sz w:val="22"/>
          <w:szCs w:val="22"/>
        </w:rPr>
        <w:t> </w:t>
      </w:r>
    </w:p>
    <w:p w14:paraId="20B05E5F" w14:textId="77777777" w:rsidR="00752E6F" w:rsidRPr="00C1142B"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C1142B">
        <w:rPr>
          <w:rStyle w:val="normaltextrun"/>
          <w:rFonts w:ascii="Times New Roman" w:hAnsi="Times New Roman" w:cs="Times New Roman"/>
          <w:color w:val="000000" w:themeColor="text1"/>
          <w:sz w:val="22"/>
          <w:szCs w:val="22"/>
        </w:rPr>
        <w:t>No significant correlations were found for complex VH or minor VH or multimodality for task or baseline connectivity for the dorsal model. For this reason, we did not further explore this with the leave one out logistic regressions as done for the ventral model. </w:t>
      </w:r>
      <w:r w:rsidRPr="00C1142B">
        <w:rPr>
          <w:rStyle w:val="eop"/>
          <w:rFonts w:ascii="Times New Roman" w:hAnsi="Times New Roman" w:cs="Times New Roman"/>
          <w:color w:val="000000" w:themeColor="text1"/>
          <w:sz w:val="22"/>
          <w:szCs w:val="22"/>
        </w:rPr>
        <w:t> </w:t>
      </w:r>
    </w:p>
    <w:p w14:paraId="292130F7" w14:textId="77777777" w:rsidR="00752E6F" w:rsidRPr="00C1142B" w:rsidRDefault="00752E6F" w:rsidP="00752E6F">
      <w:pPr>
        <w:pStyle w:val="paragraph"/>
        <w:spacing w:before="0" w:beforeAutospacing="0" w:after="0" w:afterAutospacing="0" w:line="360" w:lineRule="auto"/>
        <w:jc w:val="both"/>
        <w:textAlignment w:val="baseline"/>
        <w:rPr>
          <w:color w:val="000000" w:themeColor="text1"/>
          <w:sz w:val="22"/>
          <w:szCs w:val="22"/>
        </w:rPr>
      </w:pPr>
      <w:r w:rsidRPr="00C1142B">
        <w:rPr>
          <w:rStyle w:val="eop"/>
          <w:rFonts w:ascii="Times New Roman" w:hAnsi="Times New Roman" w:cs="Times New Roman"/>
          <w:color w:val="000000" w:themeColor="text1"/>
          <w:sz w:val="22"/>
          <w:szCs w:val="22"/>
        </w:rPr>
        <w:t> </w:t>
      </w:r>
    </w:p>
    <w:p w14:paraId="79D28227" w14:textId="77777777" w:rsidR="00752E6F" w:rsidRPr="00C1142B"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17B2C422" w14:textId="77777777" w:rsidR="00C1142B" w:rsidRDefault="00752E6F" w:rsidP="00752E6F">
      <w:pPr>
        <w:spacing w:before="100" w:beforeAutospacing="1" w:after="100" w:afterAutospacing="1" w:line="360" w:lineRule="auto"/>
        <w:jc w:val="both"/>
        <w:rPr>
          <w:rFonts w:ascii="Times New Roman" w:hAnsi="Times New Roman" w:cs="Times New Roman"/>
          <w:sz w:val="22"/>
          <w:szCs w:val="22"/>
        </w:rPr>
      </w:pPr>
      <w:r w:rsidRPr="008F01FA">
        <w:rPr>
          <w:rFonts w:ascii="Times New Roman" w:hAnsi="Times New Roman" w:cs="Times New Roman"/>
          <w:b/>
          <w:bCs/>
          <w:i/>
          <w:iCs/>
          <w:color w:val="000000" w:themeColor="text1"/>
          <w:sz w:val="22"/>
          <w:szCs w:val="22"/>
        </w:rPr>
        <w:t>Supplementary Information 1</w:t>
      </w:r>
      <w:r w:rsidR="00C1142B">
        <w:rPr>
          <w:rFonts w:ascii="Times New Roman" w:hAnsi="Times New Roman" w:cs="Times New Roman"/>
          <w:b/>
          <w:bCs/>
          <w:i/>
          <w:iCs/>
          <w:color w:val="000000" w:themeColor="text1"/>
          <w:sz w:val="22"/>
          <w:szCs w:val="22"/>
        </w:rPr>
        <w:t>2</w:t>
      </w:r>
      <w:r w:rsidRPr="008F01FA">
        <w:rPr>
          <w:rFonts w:ascii="Times New Roman" w:hAnsi="Times New Roman" w:cs="Times New Roman"/>
          <w:b/>
          <w:bCs/>
          <w:i/>
          <w:iCs/>
          <w:color w:val="000000" w:themeColor="text1"/>
          <w:sz w:val="22"/>
          <w:szCs w:val="22"/>
        </w:rPr>
        <w:t>.   Exploratory receptor binding atlases and MMN source reconstructed signal analysis</w:t>
      </w:r>
      <w:r w:rsidRPr="008F01FA">
        <w:rPr>
          <w:rFonts w:ascii="Times New Roman" w:hAnsi="Times New Roman" w:cs="Times New Roman"/>
          <w:b/>
          <w:bCs/>
          <w:color w:val="000000"/>
          <w:sz w:val="22"/>
          <w:szCs w:val="22"/>
        </w:rPr>
        <w:t>: additional methods and results.</w:t>
      </w:r>
      <w:r w:rsidRPr="008F01FA">
        <w:rPr>
          <w:rFonts w:ascii="Times New Roman" w:hAnsi="Times New Roman" w:cs="Times New Roman"/>
          <w:color w:val="000000"/>
          <w:sz w:val="22"/>
          <w:szCs w:val="22"/>
        </w:rPr>
        <w:t xml:space="preserve">  We used source reconstructed data, the procedure for this has been described in the main text briefly and in detail in SI4. </w:t>
      </w:r>
      <w:r w:rsidRPr="008F01FA">
        <w:rPr>
          <w:rFonts w:ascii="Times New Roman" w:hAnsi="Times New Roman" w:cs="Times New Roman"/>
          <w:sz w:val="22"/>
          <w:szCs w:val="22"/>
        </w:rPr>
        <w:t xml:space="preserve">Then difference images were created by subtracting standard from rare activity for each participant, with each image then registered to the atlas using the </w:t>
      </w:r>
      <w:proofErr w:type="spellStart"/>
      <w:r w:rsidRPr="008F01FA">
        <w:rPr>
          <w:rFonts w:ascii="Times New Roman" w:hAnsi="Times New Roman" w:cs="Times New Roman"/>
          <w:i/>
          <w:iCs/>
          <w:sz w:val="22"/>
          <w:szCs w:val="22"/>
        </w:rPr>
        <w:t>imcalc</w:t>
      </w:r>
      <w:proofErr w:type="spellEnd"/>
      <w:r w:rsidRPr="008F01FA">
        <w:rPr>
          <w:rFonts w:ascii="Times New Roman" w:hAnsi="Times New Roman" w:cs="Times New Roman"/>
          <w:sz w:val="22"/>
          <w:szCs w:val="22"/>
        </w:rPr>
        <w:t xml:space="preserve"> function using the nearest neighbour interpolation method. Then we registered the Desikan-Killiany atlas (Desikan et al., 2006) to the same space as the EEG source-reconstructed signals (</w:t>
      </w:r>
      <w:proofErr w:type="spellStart"/>
      <w:r w:rsidRPr="008F01FA">
        <w:rPr>
          <w:rFonts w:ascii="Times New Roman" w:hAnsi="Times New Roman" w:cs="Times New Roman"/>
          <w:sz w:val="22"/>
          <w:szCs w:val="22"/>
        </w:rPr>
        <w:t>reslice</w:t>
      </w:r>
      <w:proofErr w:type="spellEnd"/>
      <w:r w:rsidRPr="008F01FA">
        <w:rPr>
          <w:rFonts w:ascii="Times New Roman" w:hAnsi="Times New Roman" w:cs="Times New Roman"/>
          <w:sz w:val="22"/>
          <w:szCs w:val="22"/>
        </w:rPr>
        <w:t xml:space="preserve">). Image alignment was checked using </w:t>
      </w:r>
      <w:proofErr w:type="spellStart"/>
      <w:r w:rsidRPr="008F01FA">
        <w:rPr>
          <w:rFonts w:ascii="Times New Roman" w:hAnsi="Times New Roman" w:cs="Times New Roman"/>
          <w:sz w:val="22"/>
          <w:szCs w:val="22"/>
        </w:rPr>
        <w:t>checkreg</w:t>
      </w:r>
      <w:proofErr w:type="spellEnd"/>
      <w:r w:rsidRPr="008F01FA">
        <w:rPr>
          <w:rFonts w:ascii="Times New Roman" w:hAnsi="Times New Roman" w:cs="Times New Roman"/>
          <w:sz w:val="22"/>
          <w:szCs w:val="22"/>
        </w:rPr>
        <w:t xml:space="preserve"> in </w:t>
      </w:r>
      <w:proofErr w:type="spellStart"/>
      <w:r w:rsidRPr="008F01FA">
        <w:rPr>
          <w:rFonts w:ascii="Times New Roman" w:hAnsi="Times New Roman" w:cs="Times New Roman"/>
          <w:sz w:val="22"/>
          <w:szCs w:val="22"/>
        </w:rPr>
        <w:t>spm</w:t>
      </w:r>
      <w:proofErr w:type="spellEnd"/>
      <w:r w:rsidRPr="008F01FA">
        <w:rPr>
          <w:rFonts w:ascii="Times New Roman" w:hAnsi="Times New Roman" w:cs="Times New Roman"/>
          <w:sz w:val="22"/>
          <w:szCs w:val="22"/>
        </w:rPr>
        <w:t xml:space="preserve">. We chose this atlas as the number of cortical regions resembles that of our electrodes; an atlas with higher dimensionality would introduce too much noise. </w:t>
      </w:r>
    </w:p>
    <w:p w14:paraId="1BD81A9D" w14:textId="59EDED3B" w:rsidR="00752E6F" w:rsidRPr="008F01FA" w:rsidRDefault="00752E6F" w:rsidP="00752E6F">
      <w:pPr>
        <w:spacing w:before="100" w:beforeAutospacing="1" w:after="100" w:afterAutospacing="1" w:line="360" w:lineRule="auto"/>
        <w:jc w:val="both"/>
        <w:rPr>
          <w:rFonts w:ascii="Times New Roman" w:hAnsi="Times New Roman" w:cs="Times New Roman"/>
          <w:sz w:val="22"/>
          <w:szCs w:val="22"/>
        </w:rPr>
      </w:pPr>
      <w:r w:rsidRPr="008F01FA">
        <w:rPr>
          <w:rFonts w:ascii="Times New Roman" w:hAnsi="Times New Roman" w:cs="Times New Roman"/>
          <w:sz w:val="22"/>
          <w:szCs w:val="22"/>
        </w:rPr>
        <w:t xml:space="preserve">The PET atlases were downloaded from </w:t>
      </w:r>
      <w:hyperlink r:id="rId18" w:history="1">
        <w:r w:rsidRPr="008F01FA">
          <w:rPr>
            <w:rStyle w:val="Hyperlink"/>
            <w:rFonts w:ascii="Times New Roman" w:hAnsi="Times New Roman" w:cs="Times New Roman"/>
            <w:sz w:val="22"/>
            <w:szCs w:val="22"/>
          </w:rPr>
          <w:t>https://github.com/juryxy/JuSpace/tree/JuSpace_v1.5/JuSpace_v1.5/PETatlas</w:t>
        </w:r>
      </w:hyperlink>
      <w:r w:rsidRPr="008F01FA">
        <w:rPr>
          <w:rFonts w:ascii="Times New Roman" w:hAnsi="Times New Roman" w:cs="Times New Roman"/>
          <w:sz w:val="22"/>
          <w:szCs w:val="22"/>
        </w:rPr>
        <w:t xml:space="preserve"> (Dukart et al., 2020) and </w:t>
      </w:r>
      <w:proofErr w:type="spellStart"/>
      <w:r w:rsidRPr="008F01FA">
        <w:rPr>
          <w:rFonts w:ascii="Times New Roman" w:hAnsi="Times New Roman" w:cs="Times New Roman"/>
          <w:sz w:val="22"/>
          <w:szCs w:val="22"/>
        </w:rPr>
        <w:lastRenderedPageBreak/>
        <w:t>neuromaps</w:t>
      </w:r>
      <w:proofErr w:type="spellEnd"/>
      <w:r w:rsidRPr="008F01FA">
        <w:rPr>
          <w:rFonts w:ascii="Times New Roman" w:hAnsi="Times New Roman" w:cs="Times New Roman"/>
          <w:sz w:val="22"/>
          <w:szCs w:val="22"/>
        </w:rPr>
        <w:t xml:space="preserve"> (</w:t>
      </w:r>
      <w:proofErr w:type="spellStart"/>
      <w:r w:rsidRPr="008F01FA">
        <w:rPr>
          <w:rFonts w:ascii="Times New Roman" w:hAnsi="Times New Roman" w:cs="Times New Roman"/>
          <w:sz w:val="22"/>
          <w:szCs w:val="22"/>
        </w:rPr>
        <w:t>Markello</w:t>
      </w:r>
      <w:proofErr w:type="spellEnd"/>
      <w:r w:rsidRPr="008F01FA">
        <w:rPr>
          <w:rFonts w:ascii="Times New Roman" w:hAnsi="Times New Roman" w:cs="Times New Roman"/>
          <w:sz w:val="22"/>
          <w:szCs w:val="22"/>
        </w:rPr>
        <w:t xml:space="preserve"> et al., 2022) </w:t>
      </w:r>
      <w:hyperlink r:id="rId19" w:history="1">
        <w:r w:rsidRPr="008F01FA">
          <w:rPr>
            <w:rStyle w:val="Hyperlink"/>
            <w:rFonts w:ascii="Times New Roman" w:hAnsi="Times New Roman" w:cs="Times New Roman"/>
            <w:sz w:val="22"/>
            <w:szCs w:val="22"/>
          </w:rPr>
          <w:t>https://github.com/netneurolab/neuromaps</w:t>
        </w:r>
      </w:hyperlink>
      <w:r w:rsidRPr="008F01FA">
        <w:rPr>
          <w:rFonts w:ascii="Times New Roman" w:hAnsi="Times New Roman" w:cs="Times New Roman"/>
          <w:sz w:val="22"/>
          <w:szCs w:val="22"/>
        </w:rPr>
        <w:t xml:space="preserve"> as described in the main text. A custom script was created to parcellate the source-reconstructed difference images and the PET maps of interest (5HT2-A, VAChT, M1, D2/D3, D1) in MNI template space. This allowed for the extraction of regional binding for each PET map and the corresponding reconstructed EEG signal within the regions defined by the atlas. Map and resliced atlas alignment was verified with </w:t>
      </w:r>
      <w:proofErr w:type="spellStart"/>
      <w:r w:rsidRPr="008F01FA">
        <w:rPr>
          <w:rFonts w:ascii="Times New Roman" w:hAnsi="Times New Roman" w:cs="Times New Roman"/>
          <w:i/>
          <w:iCs/>
          <w:sz w:val="22"/>
          <w:szCs w:val="22"/>
        </w:rPr>
        <w:t>checkreg</w:t>
      </w:r>
      <w:proofErr w:type="spellEnd"/>
      <w:r w:rsidRPr="008F01FA">
        <w:rPr>
          <w:rFonts w:ascii="Times New Roman" w:hAnsi="Times New Roman" w:cs="Times New Roman"/>
          <w:sz w:val="22"/>
          <w:szCs w:val="22"/>
        </w:rPr>
        <w:t xml:space="preserve"> and with additional code in the script comparing the image dimensions. </w:t>
      </w:r>
    </w:p>
    <w:p w14:paraId="4C81CA08" w14:textId="77777777" w:rsidR="00752E6F" w:rsidRPr="00C1142B" w:rsidRDefault="00752E6F" w:rsidP="00752E6F">
      <w:pPr>
        <w:spacing w:before="100" w:beforeAutospacing="1" w:after="100" w:afterAutospacing="1" w:line="360" w:lineRule="auto"/>
        <w:jc w:val="both"/>
        <w:rPr>
          <w:rFonts w:ascii="Times New Roman" w:hAnsi="Times New Roman" w:cs="Times New Roman"/>
          <w:b/>
          <w:bCs/>
          <w:sz w:val="22"/>
          <w:szCs w:val="22"/>
        </w:rPr>
      </w:pPr>
      <w:r w:rsidRPr="00C1142B">
        <w:rPr>
          <w:rFonts w:ascii="Times New Roman" w:hAnsi="Times New Roman" w:cs="Times New Roman"/>
          <w:b/>
          <w:bCs/>
          <w:noProof/>
          <w:sz w:val="22"/>
          <w:szCs w:val="22"/>
        </w:rPr>
        <w:drawing>
          <wp:inline distT="0" distB="0" distL="0" distR="0" wp14:anchorId="780244CE" wp14:editId="0A16870E">
            <wp:extent cx="5641145" cy="2470382"/>
            <wp:effectExtent l="0" t="0" r="0" b="6350"/>
            <wp:docPr id="1958473341" name="Picture 1" descr="A group of colored images of a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473341" name="Picture 1" descr="A group of colored images of a brain&#10;&#10;AI-generated content may be incorrect."/>
                    <pic:cNvPicPr/>
                  </pic:nvPicPr>
                  <pic:blipFill rotWithShape="1">
                    <a:blip r:embed="rId20">
                      <a:extLst>
                        <a:ext uri="{28A0092B-C50C-407E-A947-70E740481C1C}">
                          <a14:useLocalDpi xmlns:a14="http://schemas.microsoft.com/office/drawing/2010/main" val="0"/>
                        </a:ext>
                      </a:extLst>
                    </a:blip>
                    <a:srcRect l="19518" r="32001" b="62255"/>
                    <a:stretch/>
                  </pic:blipFill>
                  <pic:spPr bwMode="auto">
                    <a:xfrm>
                      <a:off x="0" y="0"/>
                      <a:ext cx="5696094" cy="2494445"/>
                    </a:xfrm>
                    <a:prstGeom prst="rect">
                      <a:avLst/>
                    </a:prstGeom>
                    <a:ln>
                      <a:noFill/>
                    </a:ln>
                    <a:extLst>
                      <a:ext uri="{53640926-AAD7-44D8-BBD7-CCE9431645EC}">
                        <a14:shadowObscured xmlns:a14="http://schemas.microsoft.com/office/drawing/2010/main"/>
                      </a:ext>
                    </a:extLst>
                  </pic:spPr>
                </pic:pic>
              </a:graphicData>
            </a:graphic>
          </wp:inline>
        </w:drawing>
      </w:r>
    </w:p>
    <w:p w14:paraId="2A307C4F" w14:textId="77777777" w:rsidR="00752E6F" w:rsidRPr="00C1142B" w:rsidRDefault="00752E6F" w:rsidP="00752E6F">
      <w:pPr>
        <w:spacing w:before="100" w:beforeAutospacing="1" w:after="100" w:afterAutospacing="1" w:line="360" w:lineRule="auto"/>
        <w:jc w:val="both"/>
        <w:rPr>
          <w:rFonts w:ascii="Times New Roman" w:hAnsi="Times New Roman" w:cs="Times New Roman"/>
          <w:b/>
          <w:bCs/>
          <w:sz w:val="22"/>
          <w:szCs w:val="22"/>
        </w:rPr>
      </w:pPr>
      <w:r w:rsidRPr="00C1142B">
        <w:rPr>
          <w:rFonts w:ascii="Times New Roman" w:hAnsi="Times New Roman" w:cs="Times New Roman"/>
          <w:b/>
          <w:bCs/>
          <w:sz w:val="22"/>
          <w:szCs w:val="22"/>
        </w:rPr>
        <w:t xml:space="preserve">Supplementary Figure 12. </w:t>
      </w:r>
      <w:r w:rsidRPr="00C1142B">
        <w:rPr>
          <w:rFonts w:ascii="Times New Roman" w:hAnsi="Times New Roman" w:cs="Times New Roman"/>
          <w:b/>
          <w:bCs/>
          <w:i/>
          <w:iCs/>
          <w:sz w:val="22"/>
          <w:szCs w:val="22"/>
        </w:rPr>
        <w:t>Atlas-map alignment figures: examples from D1, VAChT, 5-HT2A.</w:t>
      </w:r>
      <w:r w:rsidRPr="00C1142B">
        <w:rPr>
          <w:rFonts w:ascii="Times New Roman" w:hAnsi="Times New Roman" w:cs="Times New Roman"/>
          <w:b/>
          <w:bCs/>
          <w:sz w:val="22"/>
          <w:szCs w:val="22"/>
        </w:rPr>
        <w:t xml:space="preserve"> </w:t>
      </w:r>
    </w:p>
    <w:p w14:paraId="211DAFA7" w14:textId="77777777" w:rsidR="00752E6F" w:rsidRPr="008F01FA" w:rsidRDefault="00752E6F" w:rsidP="00752E6F">
      <w:pPr>
        <w:spacing w:beforeAutospacing="1" w:afterAutospacing="1" w:line="360" w:lineRule="auto"/>
        <w:jc w:val="both"/>
        <w:rPr>
          <w:rFonts w:ascii="Times New Roman" w:hAnsi="Times New Roman" w:cs="Times New Roman"/>
          <w:sz w:val="22"/>
          <w:szCs w:val="22"/>
        </w:rPr>
      </w:pPr>
    </w:p>
    <w:p w14:paraId="0AE8620D" w14:textId="77777777" w:rsidR="00752E6F" w:rsidRPr="008F01FA" w:rsidRDefault="00752E6F" w:rsidP="00752E6F">
      <w:pPr>
        <w:spacing w:before="100" w:beforeAutospacing="1" w:after="100" w:afterAutospacing="1" w:line="360" w:lineRule="auto"/>
        <w:jc w:val="both"/>
        <w:rPr>
          <w:rFonts w:ascii="Times New Roman" w:hAnsi="Times New Roman" w:cs="Times New Roman"/>
          <w:sz w:val="22"/>
          <w:szCs w:val="22"/>
        </w:rPr>
      </w:pPr>
      <w:r w:rsidRPr="008F01FA">
        <w:rPr>
          <w:rFonts w:ascii="Times New Roman" w:hAnsi="Times New Roman" w:cs="Times New Roman"/>
          <w:sz w:val="22"/>
          <w:szCs w:val="22"/>
        </w:rPr>
        <w:t xml:space="preserve">First, we ran individual regression models using regional receptor binding as a predictor and regional MMN signal difference (VH – </w:t>
      </w:r>
      <w:proofErr w:type="spellStart"/>
      <w:r w:rsidRPr="008F01FA">
        <w:rPr>
          <w:rFonts w:ascii="Times New Roman" w:hAnsi="Times New Roman" w:cs="Times New Roman"/>
          <w:sz w:val="22"/>
          <w:szCs w:val="22"/>
        </w:rPr>
        <w:t>noVH</w:t>
      </w:r>
      <w:proofErr w:type="spellEnd"/>
      <w:r w:rsidRPr="008F01FA">
        <w:rPr>
          <w:rFonts w:ascii="Times New Roman" w:hAnsi="Times New Roman" w:cs="Times New Roman"/>
          <w:sz w:val="22"/>
          <w:szCs w:val="22"/>
        </w:rPr>
        <w:t xml:space="preserve">) as dependent variable. Before proceeding to do this, we removed all the cerebellar, WM and ventricular regions as none of these had any relationship with our EEG signal.  Outliers were removed with Cook’s distance and the outlier-free dataset was saved. </w:t>
      </w:r>
    </w:p>
    <w:p w14:paraId="10065209" w14:textId="77777777" w:rsidR="00752E6F" w:rsidRPr="008F01FA" w:rsidRDefault="00752E6F" w:rsidP="00752E6F">
      <w:pPr>
        <w:spacing w:before="100" w:beforeAutospacing="1" w:after="100" w:afterAutospacing="1" w:line="360" w:lineRule="auto"/>
        <w:jc w:val="both"/>
        <w:rPr>
          <w:rFonts w:ascii="Times New Roman" w:hAnsi="Times New Roman" w:cs="Times New Roman"/>
          <w:sz w:val="22"/>
          <w:szCs w:val="22"/>
        </w:rPr>
      </w:pPr>
      <w:r w:rsidRPr="008F01FA">
        <w:rPr>
          <w:rFonts w:ascii="Times New Roman" w:hAnsi="Times New Roman" w:cs="Times New Roman"/>
          <w:sz w:val="22"/>
          <w:szCs w:val="22"/>
        </w:rPr>
        <w:t>We found that 5-HT2</w:t>
      </w:r>
      <w:r w:rsidRPr="008F01FA">
        <w:rPr>
          <w:rFonts w:ascii="Times New Roman" w:hAnsi="Times New Roman" w:cs="Times New Roman"/>
          <w:sz w:val="22"/>
          <w:szCs w:val="22"/>
          <w:vertAlign w:val="subscript"/>
        </w:rPr>
        <w:t>A</w:t>
      </w:r>
      <w:r w:rsidRPr="008F01FA">
        <w:rPr>
          <w:rFonts w:ascii="Times New Roman" w:hAnsi="Times New Roman" w:cs="Times New Roman"/>
          <w:sz w:val="22"/>
          <w:szCs w:val="22"/>
        </w:rPr>
        <w:t xml:space="preserve"> binding significantly predicted MMN signal differences in VH – </w:t>
      </w:r>
      <w:proofErr w:type="spellStart"/>
      <w:r w:rsidRPr="008F01FA">
        <w:rPr>
          <w:rFonts w:ascii="Times New Roman" w:hAnsi="Times New Roman" w:cs="Times New Roman"/>
          <w:sz w:val="22"/>
          <w:szCs w:val="22"/>
        </w:rPr>
        <w:t>noVH</w:t>
      </w:r>
      <w:proofErr w:type="spellEnd"/>
      <w:r w:rsidRPr="008F01FA">
        <w:rPr>
          <w:rFonts w:ascii="Times New Roman" w:hAnsi="Times New Roman" w:cs="Times New Roman"/>
          <w:sz w:val="22"/>
          <w:szCs w:val="22"/>
        </w:rPr>
        <w:t xml:space="preserve"> patients [</w:t>
      </w:r>
      <w:proofErr w:type="gramStart"/>
      <w:r w:rsidRPr="008F01FA">
        <w:rPr>
          <w:rFonts w:ascii="Times New Roman" w:hAnsi="Times New Roman" w:cs="Times New Roman"/>
          <w:sz w:val="22"/>
          <w:szCs w:val="22"/>
        </w:rPr>
        <w:t>F(</w:t>
      </w:r>
      <w:proofErr w:type="gramEnd"/>
      <w:r w:rsidRPr="008F01FA">
        <w:rPr>
          <w:rFonts w:ascii="Times New Roman" w:hAnsi="Times New Roman" w:cs="Times New Roman"/>
          <w:sz w:val="22"/>
          <w:szCs w:val="22"/>
        </w:rPr>
        <w:t>1,</w:t>
      </w:r>
      <w:proofErr w:type="gramStart"/>
      <w:r w:rsidRPr="008F01FA">
        <w:rPr>
          <w:rFonts w:ascii="Times New Roman" w:hAnsi="Times New Roman" w:cs="Times New Roman"/>
          <w:sz w:val="22"/>
          <w:szCs w:val="22"/>
        </w:rPr>
        <w:t>75]=</w:t>
      </w:r>
      <w:proofErr w:type="gramEnd"/>
      <w:r w:rsidRPr="008F01FA">
        <w:rPr>
          <w:rFonts w:ascii="Times New Roman" w:hAnsi="Times New Roman" w:cs="Times New Roman"/>
          <w:sz w:val="22"/>
          <w:szCs w:val="22"/>
        </w:rPr>
        <w:t xml:space="preserve">  6.558, t =2.</w:t>
      </w:r>
      <w:proofErr w:type="gramStart"/>
      <w:r w:rsidRPr="008F01FA">
        <w:rPr>
          <w:rFonts w:ascii="Times New Roman" w:hAnsi="Times New Roman" w:cs="Times New Roman"/>
          <w:sz w:val="22"/>
          <w:szCs w:val="22"/>
        </w:rPr>
        <w:t>561 ,</w:t>
      </w:r>
      <w:proofErr w:type="gramEnd"/>
      <w:r w:rsidRPr="008F01FA">
        <w:rPr>
          <w:rFonts w:ascii="Times New Roman" w:hAnsi="Times New Roman" w:cs="Times New Roman"/>
          <w:sz w:val="22"/>
          <w:szCs w:val="22"/>
        </w:rPr>
        <w:t xml:space="preserve"> p=.012], with a positive relationship. VAChT [F(1,69)=4.6, t= -2.145, p=.035] (results for the second </w:t>
      </w:r>
      <w:proofErr w:type="spellStart"/>
      <w:r w:rsidRPr="008F01FA">
        <w:rPr>
          <w:rFonts w:ascii="Times New Roman" w:hAnsi="Times New Roman" w:cs="Times New Roman"/>
          <w:sz w:val="22"/>
          <w:szCs w:val="22"/>
        </w:rPr>
        <w:t>vAChT</w:t>
      </w:r>
      <w:proofErr w:type="spellEnd"/>
      <w:r w:rsidRPr="008F01FA">
        <w:rPr>
          <w:rFonts w:ascii="Times New Roman" w:hAnsi="Times New Roman" w:cs="Times New Roman"/>
          <w:sz w:val="22"/>
          <w:szCs w:val="22"/>
        </w:rPr>
        <w:t xml:space="preserve"> map: [F(1,72)]=6.2, p=.015, t=-2.49]  and D1 [F(1,75)=7.035, t=-2..65, p=.009] and D2/D3 [F(1m75)=4.622, t=-2.15, p=.035] showed a negative relationship. M1 showed no relationship (p =.3). P vales were corrected for multiple comparisons before proceeding to the next step – all values reported in the main text.</w:t>
      </w:r>
    </w:p>
    <w:p w14:paraId="5D85D76B" w14:textId="43144CF6" w:rsidR="00752E6F" w:rsidRDefault="00752E6F" w:rsidP="00752E6F">
      <w:pPr>
        <w:spacing w:before="100" w:beforeAutospacing="1" w:after="100" w:afterAutospacing="1" w:line="360" w:lineRule="auto"/>
        <w:jc w:val="both"/>
        <w:rPr>
          <w:rFonts w:ascii="Times New Roman" w:hAnsi="Times New Roman" w:cs="Times New Roman"/>
          <w:sz w:val="22"/>
          <w:szCs w:val="22"/>
        </w:rPr>
      </w:pPr>
      <w:r w:rsidRPr="008F01FA">
        <w:rPr>
          <w:rFonts w:ascii="Times New Roman" w:hAnsi="Times New Roman" w:cs="Times New Roman"/>
          <w:sz w:val="22"/>
          <w:szCs w:val="22"/>
        </w:rPr>
        <w:lastRenderedPageBreak/>
        <w:t xml:space="preserve">We proceeded to test whether these relationships were still true after accounting for spatial autocorrelation. Spatial autocorrelation needs to be taken into account when dealing with brain maps (or other spatial data) and it is a problem that arises from the fact that neighbouring locations tend to be more similar than locations that are more distant from one another (for </w:t>
      </w:r>
      <w:proofErr w:type="gramStart"/>
      <w:r w:rsidRPr="008F01FA">
        <w:rPr>
          <w:rFonts w:ascii="Times New Roman" w:hAnsi="Times New Roman" w:cs="Times New Roman"/>
          <w:sz w:val="22"/>
          <w:szCs w:val="22"/>
        </w:rPr>
        <w:t>a</w:t>
      </w:r>
      <w:proofErr w:type="gramEnd"/>
      <w:r w:rsidRPr="008F01FA">
        <w:rPr>
          <w:rFonts w:ascii="Times New Roman" w:hAnsi="Times New Roman" w:cs="Times New Roman"/>
          <w:sz w:val="22"/>
          <w:szCs w:val="22"/>
        </w:rPr>
        <w:t xml:space="preserve"> in depth discussion see </w:t>
      </w:r>
      <w:proofErr w:type="spellStart"/>
      <w:r w:rsidRPr="008F01FA">
        <w:rPr>
          <w:rFonts w:ascii="Times New Roman" w:hAnsi="Times New Roman" w:cs="Times New Roman"/>
          <w:sz w:val="22"/>
          <w:szCs w:val="22"/>
        </w:rPr>
        <w:t>Markello</w:t>
      </w:r>
      <w:proofErr w:type="spellEnd"/>
      <w:r w:rsidRPr="008F01FA">
        <w:rPr>
          <w:rFonts w:ascii="Times New Roman" w:hAnsi="Times New Roman" w:cs="Times New Roman"/>
          <w:sz w:val="22"/>
          <w:szCs w:val="22"/>
        </w:rPr>
        <w:t xml:space="preserve"> and Misic, 2021). Pearson’s correlations were computed between each PET map and the difference in the MMN signal between participants with and without visual hallucinations (VH). To account for spatial autocorrelation, we utilized the </w:t>
      </w:r>
      <w:proofErr w:type="spellStart"/>
      <w:r w:rsidRPr="008F01FA">
        <w:rPr>
          <w:rFonts w:ascii="Times New Roman" w:hAnsi="Times New Roman" w:cs="Times New Roman"/>
          <w:sz w:val="22"/>
          <w:szCs w:val="22"/>
        </w:rPr>
        <w:t>BrainSMASH</w:t>
      </w:r>
      <w:proofErr w:type="spellEnd"/>
      <w:r w:rsidRPr="008F01FA">
        <w:rPr>
          <w:rFonts w:ascii="Times New Roman" w:hAnsi="Times New Roman" w:cs="Times New Roman"/>
          <w:sz w:val="22"/>
          <w:szCs w:val="22"/>
        </w:rPr>
        <w:t xml:space="preserve"> toolbox (Burt, J.B. et al., 2020). This toolbox simulates surrogate maps that match the spatial autocorrelation of the target brain map, allowing for accurate correlations between brain maps while minimizing spatial effects. Using </w:t>
      </w:r>
      <w:proofErr w:type="spellStart"/>
      <w:r w:rsidRPr="008F01FA">
        <w:rPr>
          <w:rFonts w:ascii="Times New Roman" w:hAnsi="Times New Roman" w:cs="Times New Roman"/>
          <w:sz w:val="22"/>
          <w:szCs w:val="22"/>
        </w:rPr>
        <w:t>BrainSMASH</w:t>
      </w:r>
      <w:proofErr w:type="spellEnd"/>
      <w:r w:rsidRPr="008F01FA">
        <w:rPr>
          <w:rFonts w:ascii="Times New Roman" w:hAnsi="Times New Roman" w:cs="Times New Roman"/>
          <w:sz w:val="22"/>
          <w:szCs w:val="22"/>
        </w:rPr>
        <w:t xml:space="preserve">, we generated the MNI coordinates for our atlas and removed the regions we removed with the regression models, </w:t>
      </w:r>
      <w:proofErr w:type="gramStart"/>
      <w:r w:rsidRPr="008F01FA">
        <w:rPr>
          <w:rFonts w:ascii="Times New Roman" w:hAnsi="Times New Roman" w:cs="Times New Roman"/>
          <w:sz w:val="22"/>
          <w:szCs w:val="22"/>
        </w:rPr>
        <w:t>in order to</w:t>
      </w:r>
      <w:proofErr w:type="gramEnd"/>
      <w:r w:rsidRPr="008F01FA">
        <w:rPr>
          <w:rFonts w:ascii="Times New Roman" w:hAnsi="Times New Roman" w:cs="Times New Roman"/>
          <w:sz w:val="22"/>
          <w:szCs w:val="22"/>
        </w:rPr>
        <w:t xml:space="preserve"> run the correlational analyses on the exact same regions on which we ran the regressions. By creating centroids from </w:t>
      </w:r>
      <w:proofErr w:type="gramStart"/>
      <w:r w:rsidRPr="008F01FA">
        <w:rPr>
          <w:rFonts w:ascii="Times New Roman" w:hAnsi="Times New Roman" w:cs="Times New Roman"/>
          <w:sz w:val="22"/>
          <w:szCs w:val="22"/>
        </w:rPr>
        <w:t>the .</w:t>
      </w:r>
      <w:proofErr w:type="spellStart"/>
      <w:r w:rsidRPr="008F01FA">
        <w:rPr>
          <w:rFonts w:ascii="Times New Roman" w:hAnsi="Times New Roman" w:cs="Times New Roman"/>
          <w:sz w:val="22"/>
          <w:szCs w:val="22"/>
        </w:rPr>
        <w:t>nii</w:t>
      </w:r>
      <w:proofErr w:type="spellEnd"/>
      <w:proofErr w:type="gramEnd"/>
      <w:r w:rsidRPr="008F01FA">
        <w:rPr>
          <w:rFonts w:ascii="Times New Roman" w:hAnsi="Times New Roman" w:cs="Times New Roman"/>
          <w:sz w:val="22"/>
          <w:szCs w:val="22"/>
        </w:rPr>
        <w:t xml:space="preserve"> atlas and running multiple permutations, we obtained a correlation coefficient that is proposed, by Burt and colleagues, to </w:t>
      </w:r>
      <w:proofErr w:type="gramStart"/>
      <w:r w:rsidRPr="008F01FA">
        <w:rPr>
          <w:rFonts w:ascii="Times New Roman" w:hAnsi="Times New Roman" w:cs="Times New Roman"/>
          <w:sz w:val="22"/>
          <w:szCs w:val="22"/>
        </w:rPr>
        <w:t>reflected</w:t>
      </w:r>
      <w:proofErr w:type="gramEnd"/>
      <w:r w:rsidRPr="008F01FA">
        <w:rPr>
          <w:rFonts w:ascii="Times New Roman" w:hAnsi="Times New Roman" w:cs="Times New Roman"/>
          <w:sz w:val="22"/>
          <w:szCs w:val="22"/>
        </w:rPr>
        <w:t xml:space="preserve"> the relationship between the two maps free from spatial autocorrelation. For the maps surviving the actual correlational analysis, we carried out linear mixed models using individual-level data, to test the effect of age, MoCA score, LEDD and disease onset in this relationship. All results are reported below</w:t>
      </w:r>
      <w:r w:rsidR="00375773">
        <w:rPr>
          <w:rFonts w:ascii="Times New Roman" w:hAnsi="Times New Roman" w:cs="Times New Roman"/>
          <w:sz w:val="22"/>
          <w:szCs w:val="22"/>
        </w:rPr>
        <w:t>, together with</w:t>
      </w:r>
      <w:r w:rsidRPr="008F01FA">
        <w:rPr>
          <w:rFonts w:ascii="Times New Roman" w:hAnsi="Times New Roman" w:cs="Times New Roman"/>
          <w:sz w:val="22"/>
          <w:szCs w:val="22"/>
        </w:rPr>
        <w:t xml:space="preserve"> tables with LMMs specific statistics. </w:t>
      </w:r>
    </w:p>
    <w:p w14:paraId="677A369B" w14:textId="77777777" w:rsidR="00375773" w:rsidRPr="00375773" w:rsidRDefault="00375773" w:rsidP="00375773">
      <w:pPr>
        <w:autoSpaceDE w:val="0"/>
        <w:autoSpaceDN w:val="0"/>
        <w:adjustRightInd w:val="0"/>
        <w:spacing w:line="360" w:lineRule="auto"/>
        <w:jc w:val="both"/>
        <w:rPr>
          <w:rFonts w:ascii="Times New Roman" w:eastAsia="Times New Roman" w:hAnsi="Times New Roman" w:cs="Times New Roman"/>
          <w:color w:val="000000" w:themeColor="text1"/>
          <w:sz w:val="22"/>
          <w:szCs w:val="22"/>
        </w:rPr>
      </w:pPr>
      <w:r w:rsidRPr="00375773">
        <w:rPr>
          <w:rFonts w:ascii="Times New Roman" w:eastAsia="Times New Roman" w:hAnsi="Times New Roman" w:cs="Times New Roman"/>
          <w:color w:val="000000" w:themeColor="text1"/>
          <w:sz w:val="22"/>
          <w:szCs w:val="22"/>
        </w:rPr>
        <w:t xml:space="preserve">Only the maps with </w:t>
      </w:r>
      <w:proofErr w:type="spellStart"/>
      <w:r w:rsidRPr="00375773">
        <w:rPr>
          <w:rFonts w:ascii="Times New Roman" w:eastAsia="Times New Roman" w:hAnsi="Times New Roman" w:cs="Times New Roman"/>
          <w:i/>
          <w:iCs/>
          <w:color w:val="000000" w:themeColor="text1"/>
          <w:sz w:val="22"/>
          <w:szCs w:val="22"/>
        </w:rPr>
        <w:t>p</w:t>
      </w:r>
      <w:r w:rsidRPr="00375773">
        <w:rPr>
          <w:rFonts w:ascii="Times New Roman" w:eastAsia="Times New Roman" w:hAnsi="Times New Roman" w:cs="Times New Roman"/>
          <w:color w:val="000000" w:themeColor="text1"/>
          <w:sz w:val="22"/>
          <w:szCs w:val="22"/>
        </w:rPr>
        <w:t>FDR</w:t>
      </w:r>
      <w:proofErr w:type="spellEnd"/>
      <w:r w:rsidRPr="00375773">
        <w:rPr>
          <w:rFonts w:ascii="Times New Roman" w:eastAsia="Times New Roman" w:hAnsi="Times New Roman" w:cs="Times New Roman"/>
          <w:color w:val="000000" w:themeColor="text1"/>
          <w:sz w:val="22"/>
          <w:szCs w:val="22"/>
        </w:rPr>
        <w:t xml:space="preserve"> &lt;.05 were used for further analysis (corrected </w:t>
      </w:r>
      <w:proofErr w:type="spellStart"/>
      <w:r w:rsidRPr="00375773">
        <w:rPr>
          <w:rFonts w:ascii="Times New Roman" w:eastAsia="Times New Roman" w:hAnsi="Times New Roman" w:cs="Times New Roman"/>
          <w:i/>
          <w:iCs/>
          <w:color w:val="000000" w:themeColor="text1"/>
          <w:sz w:val="22"/>
          <w:szCs w:val="22"/>
        </w:rPr>
        <w:t>p</w:t>
      </w:r>
      <w:r w:rsidRPr="00375773">
        <w:rPr>
          <w:rFonts w:ascii="Times New Roman" w:eastAsia="Times New Roman" w:hAnsi="Times New Roman" w:cs="Times New Roman"/>
          <w:color w:val="000000" w:themeColor="text1"/>
          <w:sz w:val="22"/>
          <w:szCs w:val="22"/>
        </w:rPr>
        <w:t>s</w:t>
      </w:r>
      <w:proofErr w:type="spellEnd"/>
      <w:r w:rsidRPr="00375773">
        <w:rPr>
          <w:rFonts w:ascii="Times New Roman" w:eastAsia="Times New Roman" w:hAnsi="Times New Roman" w:cs="Times New Roman"/>
          <w:color w:val="000000" w:themeColor="text1"/>
          <w:sz w:val="22"/>
          <w:szCs w:val="22"/>
        </w:rPr>
        <w:t xml:space="preserve">: D1 </w:t>
      </w:r>
      <w:r w:rsidRPr="00375773">
        <w:rPr>
          <w:rFonts w:ascii="Times New Roman" w:eastAsia="Times New Roman" w:hAnsi="Times New Roman" w:cs="Times New Roman"/>
          <w:i/>
          <w:iCs/>
          <w:color w:val="000000" w:themeColor="text1"/>
          <w:sz w:val="22"/>
          <w:szCs w:val="22"/>
        </w:rPr>
        <w:t>p</w:t>
      </w:r>
      <w:r w:rsidRPr="00375773">
        <w:rPr>
          <w:rFonts w:ascii="Times New Roman" w:eastAsia="Times New Roman" w:hAnsi="Times New Roman" w:cs="Times New Roman"/>
          <w:color w:val="000000" w:themeColor="text1"/>
          <w:sz w:val="22"/>
          <w:szCs w:val="22"/>
        </w:rPr>
        <w:t xml:space="preserve"> = 0.026, 5-HT</w:t>
      </w:r>
      <w:r w:rsidRPr="00375773">
        <w:rPr>
          <w:rFonts w:ascii="Times New Roman" w:eastAsia="Times New Roman" w:hAnsi="Times New Roman" w:cs="Times New Roman"/>
          <w:color w:val="000000" w:themeColor="text1"/>
          <w:sz w:val="22"/>
          <w:szCs w:val="22"/>
          <w:vertAlign w:val="subscript"/>
        </w:rPr>
        <w:t xml:space="preserve">2A </w:t>
      </w:r>
      <w:r w:rsidRPr="00375773">
        <w:rPr>
          <w:rFonts w:ascii="Times New Roman" w:eastAsia="Times New Roman" w:hAnsi="Times New Roman" w:cs="Times New Roman"/>
          <w:i/>
          <w:iCs/>
          <w:color w:val="000000" w:themeColor="text1"/>
          <w:sz w:val="22"/>
          <w:szCs w:val="22"/>
        </w:rPr>
        <w:t>p</w:t>
      </w:r>
      <w:r w:rsidRPr="00375773">
        <w:rPr>
          <w:rFonts w:ascii="Times New Roman" w:eastAsia="Times New Roman" w:hAnsi="Times New Roman" w:cs="Times New Roman"/>
          <w:color w:val="000000" w:themeColor="text1"/>
          <w:sz w:val="22"/>
          <w:szCs w:val="22"/>
        </w:rPr>
        <w:t xml:space="preserve"> = .026, VAChT </w:t>
      </w:r>
      <w:r w:rsidRPr="00375773">
        <w:rPr>
          <w:rFonts w:ascii="Times New Roman" w:eastAsia="Times New Roman" w:hAnsi="Times New Roman" w:cs="Times New Roman"/>
          <w:i/>
          <w:iCs/>
          <w:color w:val="000000" w:themeColor="text1"/>
          <w:sz w:val="22"/>
          <w:szCs w:val="22"/>
        </w:rPr>
        <w:t>p</w:t>
      </w:r>
      <w:r w:rsidRPr="00375773">
        <w:rPr>
          <w:rFonts w:ascii="Times New Roman" w:eastAsia="Times New Roman" w:hAnsi="Times New Roman" w:cs="Times New Roman"/>
          <w:color w:val="000000" w:themeColor="text1"/>
          <w:sz w:val="22"/>
          <w:szCs w:val="22"/>
        </w:rPr>
        <w:t xml:space="preserve"> = .026, D2/D3</w:t>
      </w:r>
      <w:r w:rsidRPr="00375773">
        <w:rPr>
          <w:rFonts w:ascii="Times New Roman" w:eastAsia="Times New Roman" w:hAnsi="Times New Roman" w:cs="Times New Roman"/>
          <w:i/>
          <w:iCs/>
          <w:color w:val="000000" w:themeColor="text1"/>
          <w:sz w:val="22"/>
          <w:szCs w:val="22"/>
        </w:rPr>
        <w:t xml:space="preserve"> p</w:t>
      </w:r>
      <w:r w:rsidRPr="00375773">
        <w:rPr>
          <w:rFonts w:ascii="Times New Roman" w:eastAsia="Times New Roman" w:hAnsi="Times New Roman" w:cs="Times New Roman"/>
          <w:color w:val="000000" w:themeColor="text1"/>
          <w:sz w:val="22"/>
          <w:szCs w:val="22"/>
        </w:rPr>
        <w:t xml:space="preserve"> = .04; note: this was true also for the VAChT map with 4 healthy participants; M1 showed no relationship p=.3; models results are reported in SI13). Using BrainSMASH</w:t>
      </w:r>
      <w:r w:rsidRPr="00375773">
        <w:rPr>
          <w:rFonts w:ascii="Times New Roman" w:eastAsia="Times New Roman" w:hAnsi="Times New Roman" w:cs="Times New Roman"/>
          <w:color w:val="000000" w:themeColor="text1"/>
          <w:sz w:val="22"/>
          <w:szCs w:val="22"/>
          <w:vertAlign w:val="superscript"/>
        </w:rPr>
        <w:t xml:space="preserve">56 </w:t>
      </w:r>
      <w:r w:rsidRPr="00375773">
        <w:rPr>
          <w:rFonts w:ascii="Times New Roman" w:eastAsia="Times New Roman" w:hAnsi="Times New Roman" w:cs="Times New Roman"/>
          <w:color w:val="000000" w:themeColor="text1"/>
          <w:sz w:val="22"/>
          <w:szCs w:val="22"/>
        </w:rPr>
        <w:t>we confirmed a positive correlation between 5-HT</w:t>
      </w:r>
      <w:r w:rsidRPr="00375773">
        <w:rPr>
          <w:rFonts w:ascii="Times New Roman" w:eastAsia="Times New Roman" w:hAnsi="Times New Roman" w:cs="Times New Roman"/>
          <w:color w:val="000000" w:themeColor="text1"/>
          <w:sz w:val="22"/>
          <w:szCs w:val="22"/>
          <w:vertAlign w:val="subscript"/>
        </w:rPr>
        <w:t>2A</w:t>
      </w:r>
      <w:r w:rsidRPr="00375773">
        <w:rPr>
          <w:rFonts w:ascii="Times New Roman" w:eastAsia="Times New Roman" w:hAnsi="Times New Roman" w:cs="Times New Roman"/>
          <w:color w:val="000000" w:themeColor="text1"/>
          <w:sz w:val="22"/>
          <w:szCs w:val="22"/>
        </w:rPr>
        <w:t xml:space="preserve"> binding and MMN signal (</w:t>
      </w:r>
      <w:r w:rsidRPr="00375773">
        <w:rPr>
          <w:rFonts w:ascii="Times New Roman" w:eastAsia="Times New Roman" w:hAnsi="Times New Roman" w:cs="Times New Roman"/>
          <w:i/>
          <w:iCs/>
          <w:color w:val="000000" w:themeColor="text1"/>
          <w:sz w:val="22"/>
          <w:szCs w:val="22"/>
        </w:rPr>
        <w:t>r</w:t>
      </w:r>
      <w:r w:rsidRPr="00375773">
        <w:rPr>
          <w:rFonts w:ascii="Times New Roman" w:eastAsia="Times New Roman" w:hAnsi="Times New Roman" w:cs="Times New Roman"/>
          <w:color w:val="000000" w:themeColor="text1"/>
          <w:sz w:val="22"/>
          <w:szCs w:val="22"/>
        </w:rPr>
        <w:t xml:space="preserve">=.284, </w:t>
      </w:r>
      <w:r w:rsidRPr="00375773">
        <w:rPr>
          <w:rFonts w:ascii="Times New Roman" w:eastAsia="Times New Roman" w:hAnsi="Times New Roman" w:cs="Times New Roman"/>
          <w:i/>
          <w:iCs/>
          <w:color w:val="000000" w:themeColor="text1"/>
          <w:sz w:val="22"/>
          <w:szCs w:val="22"/>
        </w:rPr>
        <w:t>p</w:t>
      </w:r>
      <w:r w:rsidRPr="00375773">
        <w:rPr>
          <w:rFonts w:ascii="Times New Roman" w:eastAsia="Times New Roman" w:hAnsi="Times New Roman" w:cs="Times New Roman"/>
          <w:color w:val="000000" w:themeColor="text1"/>
          <w:sz w:val="22"/>
          <w:szCs w:val="22"/>
        </w:rPr>
        <w:t>=.037) with higher connectivity in regions of higher binding. The opposite pattern was observed for D1 (</w:t>
      </w:r>
      <w:r w:rsidRPr="00375773">
        <w:rPr>
          <w:rFonts w:ascii="Times New Roman" w:eastAsia="Times New Roman" w:hAnsi="Times New Roman" w:cs="Times New Roman"/>
          <w:i/>
          <w:iCs/>
          <w:color w:val="000000" w:themeColor="text1"/>
          <w:sz w:val="22"/>
          <w:szCs w:val="22"/>
        </w:rPr>
        <w:t>r</w:t>
      </w:r>
      <w:r w:rsidRPr="00375773">
        <w:rPr>
          <w:rFonts w:ascii="Times New Roman" w:eastAsia="Times New Roman" w:hAnsi="Times New Roman" w:cs="Times New Roman"/>
          <w:color w:val="000000" w:themeColor="text1"/>
          <w:sz w:val="22"/>
          <w:szCs w:val="22"/>
        </w:rPr>
        <w:t xml:space="preserve">=-.29, </w:t>
      </w:r>
      <w:r w:rsidRPr="00375773">
        <w:rPr>
          <w:rFonts w:ascii="Times New Roman" w:eastAsia="Times New Roman" w:hAnsi="Times New Roman" w:cs="Times New Roman"/>
          <w:i/>
          <w:iCs/>
          <w:color w:val="000000" w:themeColor="text1"/>
          <w:sz w:val="22"/>
          <w:szCs w:val="22"/>
        </w:rPr>
        <w:t>p</w:t>
      </w:r>
      <w:r w:rsidRPr="00375773">
        <w:rPr>
          <w:rFonts w:ascii="Times New Roman" w:eastAsia="Times New Roman" w:hAnsi="Times New Roman" w:cs="Times New Roman"/>
          <w:color w:val="000000" w:themeColor="text1"/>
          <w:sz w:val="22"/>
          <w:szCs w:val="22"/>
        </w:rPr>
        <w:t xml:space="preserve"> =.017) and VAChT (</w:t>
      </w:r>
      <w:r w:rsidRPr="00375773">
        <w:rPr>
          <w:rFonts w:ascii="Times New Roman" w:eastAsia="Times New Roman" w:hAnsi="Times New Roman" w:cs="Times New Roman"/>
          <w:i/>
          <w:iCs/>
          <w:color w:val="000000" w:themeColor="text1"/>
          <w:sz w:val="22"/>
          <w:szCs w:val="22"/>
        </w:rPr>
        <w:t>r</w:t>
      </w:r>
      <w:r w:rsidRPr="00375773">
        <w:rPr>
          <w:rFonts w:ascii="Times New Roman" w:eastAsia="Times New Roman" w:hAnsi="Times New Roman" w:cs="Times New Roman"/>
          <w:color w:val="000000" w:themeColor="text1"/>
          <w:sz w:val="22"/>
          <w:szCs w:val="22"/>
        </w:rPr>
        <w:t xml:space="preserve">=-2.73, </w:t>
      </w:r>
      <w:r w:rsidRPr="00375773">
        <w:rPr>
          <w:rFonts w:ascii="Times New Roman" w:eastAsia="Times New Roman" w:hAnsi="Times New Roman" w:cs="Times New Roman"/>
          <w:i/>
          <w:iCs/>
          <w:color w:val="000000" w:themeColor="text1"/>
          <w:sz w:val="22"/>
          <w:szCs w:val="22"/>
        </w:rPr>
        <w:t>p</w:t>
      </w:r>
      <w:r w:rsidRPr="00375773">
        <w:rPr>
          <w:rFonts w:ascii="Times New Roman" w:eastAsia="Times New Roman" w:hAnsi="Times New Roman" w:cs="Times New Roman"/>
          <w:color w:val="000000" w:themeColor="text1"/>
          <w:sz w:val="22"/>
          <w:szCs w:val="22"/>
        </w:rPr>
        <w:t xml:space="preserve"> =.03). D2/D3 was no longer significant after correcting for spatial autocorrelation (p &gt;.05). </w:t>
      </w:r>
    </w:p>
    <w:p w14:paraId="568DC747" w14:textId="77777777" w:rsidR="00375773" w:rsidRPr="00375773" w:rsidRDefault="00375773" w:rsidP="00375773">
      <w:pPr>
        <w:autoSpaceDE w:val="0"/>
        <w:autoSpaceDN w:val="0"/>
        <w:adjustRightInd w:val="0"/>
        <w:spacing w:line="360" w:lineRule="auto"/>
        <w:jc w:val="both"/>
        <w:rPr>
          <w:rFonts w:ascii="Times New Roman" w:eastAsia="Times New Roman" w:hAnsi="Times New Roman" w:cs="Times New Roman"/>
          <w:color w:val="000000" w:themeColor="text1"/>
          <w:sz w:val="22"/>
          <w:szCs w:val="22"/>
        </w:rPr>
      </w:pPr>
      <w:r w:rsidRPr="00375773">
        <w:rPr>
          <w:rFonts w:ascii="Times New Roman" w:eastAsia="Times New Roman" w:hAnsi="Times New Roman" w:cs="Times New Roman"/>
          <w:color w:val="000000" w:themeColor="text1"/>
          <w:sz w:val="22"/>
          <w:szCs w:val="22"/>
        </w:rPr>
        <w:t>When investigating these results at the individual level using LMMs (</w:t>
      </w:r>
      <w:proofErr w:type="spellStart"/>
      <w:r w:rsidRPr="00375773">
        <w:rPr>
          <w:rFonts w:ascii="Times New Roman" w:hAnsi="Times New Roman" w:cs="Times New Roman"/>
          <w:i/>
          <w:iCs/>
          <w:kern w:val="0"/>
          <w:sz w:val="22"/>
          <w:szCs w:val="22"/>
        </w:rPr>
        <w:t>MMN_signal</w:t>
      </w:r>
      <w:proofErr w:type="spellEnd"/>
      <w:r w:rsidRPr="00375773">
        <w:rPr>
          <w:rFonts w:ascii="Times New Roman" w:hAnsi="Times New Roman" w:cs="Times New Roman"/>
          <w:i/>
          <w:iCs/>
          <w:kern w:val="0"/>
          <w:sz w:val="22"/>
          <w:szCs w:val="22"/>
        </w:rPr>
        <w:t xml:space="preserve"> ~ _receptor * VH + age + LEDD + sex + disease onset +MoCA + (1 | Participant))</w:t>
      </w:r>
      <w:r w:rsidRPr="00375773">
        <w:rPr>
          <w:rFonts w:ascii="Times New Roman" w:eastAsia="Times New Roman" w:hAnsi="Times New Roman" w:cs="Times New Roman"/>
          <w:color w:val="000000" w:themeColor="text1"/>
          <w:sz w:val="22"/>
          <w:szCs w:val="22"/>
        </w:rPr>
        <w:t>, we found for 5-HT</w:t>
      </w:r>
      <w:r w:rsidRPr="00375773">
        <w:rPr>
          <w:rFonts w:ascii="Times New Roman" w:eastAsia="Times New Roman" w:hAnsi="Times New Roman" w:cs="Times New Roman"/>
          <w:color w:val="000000" w:themeColor="text1"/>
          <w:sz w:val="22"/>
          <w:szCs w:val="22"/>
          <w:vertAlign w:val="subscript"/>
        </w:rPr>
        <w:t xml:space="preserve">2A </w:t>
      </w:r>
      <w:r w:rsidRPr="00375773">
        <w:rPr>
          <w:rFonts w:ascii="Times New Roman" w:hAnsi="Times New Roman" w:cs="Times New Roman"/>
          <w:sz w:val="22"/>
          <w:szCs w:val="22"/>
        </w:rPr>
        <w:t xml:space="preserve">a </w:t>
      </w:r>
      <w:r w:rsidRPr="00375773">
        <w:rPr>
          <w:rStyle w:val="Strong"/>
          <w:rFonts w:ascii="Times New Roman" w:hAnsi="Times New Roman" w:cs="Times New Roman"/>
          <w:b w:val="0"/>
          <w:bCs w:val="0"/>
          <w:sz w:val="22"/>
          <w:szCs w:val="22"/>
        </w:rPr>
        <w:t>main effect</w:t>
      </w:r>
      <w:r w:rsidRPr="00375773">
        <w:rPr>
          <w:rFonts w:ascii="Times New Roman" w:hAnsi="Times New Roman" w:cs="Times New Roman"/>
          <w:sz w:val="22"/>
          <w:szCs w:val="22"/>
        </w:rPr>
        <w:t xml:space="preserve"> of 5‐HT2A </w:t>
      </w:r>
      <w:r w:rsidRPr="00375773">
        <w:rPr>
          <w:rStyle w:val="katex-mathml"/>
          <w:rFonts w:ascii="Times New Roman" w:hAnsi="Times New Roman" w:cs="Times New Roman"/>
          <w:i/>
          <w:iCs/>
          <w:sz w:val="22"/>
          <w:szCs w:val="22"/>
        </w:rPr>
        <w:t xml:space="preserve">t </w:t>
      </w:r>
      <w:r w:rsidRPr="00375773">
        <w:rPr>
          <w:rStyle w:val="katex-mathml"/>
          <w:rFonts w:ascii="Times New Roman" w:hAnsi="Times New Roman" w:cs="Times New Roman"/>
          <w:sz w:val="22"/>
          <w:szCs w:val="22"/>
        </w:rPr>
        <w:t>=2.13,</w:t>
      </w:r>
      <w:r w:rsidRPr="00375773">
        <w:rPr>
          <w:rStyle w:val="katex-mathml"/>
          <w:rFonts w:ascii="Times New Roman" w:hAnsi="Times New Roman" w:cs="Times New Roman"/>
          <w:i/>
          <w:iCs/>
          <w:sz w:val="22"/>
          <w:szCs w:val="22"/>
        </w:rPr>
        <w:t>p</w:t>
      </w:r>
      <w:r w:rsidRPr="00375773">
        <w:rPr>
          <w:rStyle w:val="katex-mathml"/>
          <w:rFonts w:ascii="Times New Roman" w:hAnsi="Times New Roman" w:cs="Times New Roman"/>
          <w:sz w:val="22"/>
          <w:szCs w:val="22"/>
        </w:rPr>
        <w:t xml:space="preserve"> =.034, </w:t>
      </w:r>
      <w:r w:rsidRPr="00375773">
        <w:rPr>
          <w:rFonts w:ascii="Times New Roman" w:hAnsi="Times New Roman" w:cs="Times New Roman"/>
          <w:sz w:val="22"/>
          <w:szCs w:val="22"/>
        </w:rPr>
        <w:t xml:space="preserve">of hallucination status (VH) </w:t>
      </w:r>
      <w:r w:rsidRPr="00375773">
        <w:rPr>
          <w:rFonts w:ascii="Times New Roman" w:hAnsi="Times New Roman" w:cs="Times New Roman"/>
          <w:i/>
          <w:iCs/>
          <w:sz w:val="22"/>
          <w:szCs w:val="22"/>
        </w:rPr>
        <w:t xml:space="preserve">t </w:t>
      </w:r>
      <w:r w:rsidRPr="00375773">
        <w:rPr>
          <w:rFonts w:ascii="Times New Roman" w:hAnsi="Times New Roman" w:cs="Times New Roman"/>
          <w:sz w:val="22"/>
          <w:szCs w:val="22"/>
        </w:rPr>
        <w:t>=</w:t>
      </w:r>
      <w:r w:rsidRPr="00375773">
        <w:rPr>
          <w:rStyle w:val="katex-mathml"/>
          <w:rFonts w:ascii="Times New Roman" w:hAnsi="Times New Roman" w:cs="Times New Roman"/>
          <w:sz w:val="22"/>
          <w:szCs w:val="22"/>
        </w:rPr>
        <w:t xml:space="preserve">2.52, </w:t>
      </w:r>
      <w:r w:rsidRPr="00375773">
        <w:rPr>
          <w:rStyle w:val="katex-mathml"/>
          <w:rFonts w:ascii="Times New Roman" w:hAnsi="Times New Roman" w:cs="Times New Roman"/>
          <w:i/>
          <w:iCs/>
          <w:sz w:val="22"/>
          <w:szCs w:val="22"/>
        </w:rPr>
        <w:t>p</w:t>
      </w:r>
      <w:r w:rsidRPr="00375773">
        <w:rPr>
          <w:rStyle w:val="katex-mathml"/>
          <w:rFonts w:ascii="Times New Roman" w:hAnsi="Times New Roman" w:cs="Times New Roman"/>
          <w:sz w:val="22"/>
          <w:szCs w:val="22"/>
        </w:rPr>
        <w:t xml:space="preserve"> =.017 </w:t>
      </w:r>
      <w:r w:rsidRPr="00375773">
        <w:rPr>
          <w:rFonts w:ascii="Times New Roman" w:hAnsi="Times New Roman" w:cs="Times New Roman"/>
          <w:sz w:val="22"/>
          <w:szCs w:val="22"/>
        </w:rPr>
        <w:t xml:space="preserve">and a </w:t>
      </w:r>
      <w:r w:rsidRPr="00375773">
        <w:rPr>
          <w:rStyle w:val="Strong"/>
          <w:rFonts w:ascii="Times New Roman" w:hAnsi="Times New Roman" w:cs="Times New Roman"/>
          <w:b w:val="0"/>
          <w:bCs w:val="0"/>
          <w:sz w:val="22"/>
          <w:szCs w:val="22"/>
        </w:rPr>
        <w:t>positive interaction</w:t>
      </w:r>
      <w:r w:rsidRPr="00375773">
        <w:rPr>
          <w:rFonts w:ascii="Times New Roman" w:hAnsi="Times New Roman" w:cs="Times New Roman"/>
          <w:sz w:val="22"/>
          <w:szCs w:val="22"/>
        </w:rPr>
        <w:t xml:space="preserve"> between 5‐HT</w:t>
      </w:r>
      <w:r w:rsidRPr="00375773">
        <w:rPr>
          <w:rFonts w:ascii="Times New Roman" w:hAnsi="Times New Roman" w:cs="Times New Roman"/>
          <w:sz w:val="22"/>
          <w:szCs w:val="22"/>
          <w:vertAlign w:val="subscript"/>
        </w:rPr>
        <w:t>2A</w:t>
      </w:r>
      <w:r w:rsidRPr="00375773">
        <w:rPr>
          <w:rFonts w:ascii="Times New Roman" w:hAnsi="Times New Roman" w:cs="Times New Roman"/>
          <w:sz w:val="22"/>
          <w:szCs w:val="22"/>
        </w:rPr>
        <w:t xml:space="preserve"> and VH </w:t>
      </w:r>
      <w:r w:rsidRPr="00375773">
        <w:rPr>
          <w:rStyle w:val="katex-mathml"/>
          <w:rFonts w:ascii="Times New Roman" w:hAnsi="Times New Roman" w:cs="Times New Roman"/>
          <w:i/>
          <w:iCs/>
          <w:sz w:val="22"/>
          <w:szCs w:val="22"/>
        </w:rPr>
        <w:t>t</w:t>
      </w:r>
      <w:r w:rsidRPr="00375773">
        <w:rPr>
          <w:rStyle w:val="katex-mathml"/>
          <w:rFonts w:ascii="Times New Roman" w:hAnsi="Times New Roman" w:cs="Times New Roman"/>
          <w:sz w:val="22"/>
          <w:szCs w:val="22"/>
        </w:rPr>
        <w:t xml:space="preserve"> =2.06, </w:t>
      </w:r>
      <w:r w:rsidRPr="00375773">
        <w:rPr>
          <w:rStyle w:val="katex-mathml"/>
          <w:rFonts w:ascii="Times New Roman" w:hAnsi="Times New Roman" w:cs="Times New Roman"/>
          <w:i/>
          <w:iCs/>
          <w:sz w:val="22"/>
          <w:szCs w:val="22"/>
        </w:rPr>
        <w:t>p</w:t>
      </w:r>
      <w:r w:rsidRPr="00375773">
        <w:rPr>
          <w:rStyle w:val="katex-mathml"/>
          <w:rFonts w:ascii="Times New Roman" w:hAnsi="Times New Roman" w:cs="Times New Roman"/>
          <w:sz w:val="22"/>
          <w:szCs w:val="22"/>
        </w:rPr>
        <w:t xml:space="preserve"> =.040</w:t>
      </w:r>
      <w:r w:rsidRPr="00375773">
        <w:rPr>
          <w:rFonts w:ascii="Times New Roman" w:hAnsi="Times New Roman" w:cs="Times New Roman"/>
          <w:sz w:val="22"/>
          <w:szCs w:val="22"/>
        </w:rPr>
        <w:t xml:space="preserve">. Among people without VH, increasing 5‐HT2A by 1 SD was associated with a +0.0012 higher MMN, whereas in those with VH, 1 SD increase yielded +0.0028 higher MMN, consistent with an </w:t>
      </w:r>
      <w:r w:rsidRPr="00375773">
        <w:rPr>
          <w:rStyle w:val="Strong"/>
          <w:rFonts w:ascii="Times New Roman" w:hAnsi="Times New Roman" w:cs="Times New Roman"/>
          <w:b w:val="0"/>
          <w:bCs w:val="0"/>
          <w:sz w:val="22"/>
          <w:szCs w:val="22"/>
        </w:rPr>
        <w:t>amplified</w:t>
      </w:r>
      <w:r w:rsidRPr="00375773">
        <w:rPr>
          <w:rFonts w:ascii="Times New Roman" w:hAnsi="Times New Roman" w:cs="Times New Roman"/>
          <w:sz w:val="22"/>
          <w:szCs w:val="22"/>
        </w:rPr>
        <w:t xml:space="preserve"> effect of 5‐HT2A in the VH group. The same model using D1 receptor availability found a </w:t>
      </w:r>
      <w:r w:rsidRPr="00375773">
        <w:rPr>
          <w:rStyle w:val="Strong"/>
          <w:rFonts w:ascii="Times New Roman" w:hAnsi="Times New Roman" w:cs="Times New Roman"/>
          <w:b w:val="0"/>
          <w:bCs w:val="0"/>
          <w:sz w:val="22"/>
          <w:szCs w:val="22"/>
        </w:rPr>
        <w:t>significant group effect</w:t>
      </w:r>
      <w:r w:rsidRPr="00375773">
        <w:rPr>
          <w:rFonts w:ascii="Times New Roman" w:hAnsi="Times New Roman" w:cs="Times New Roman"/>
          <w:sz w:val="22"/>
          <w:szCs w:val="22"/>
        </w:rPr>
        <w:t xml:space="preserve"> </w:t>
      </w:r>
      <w:r w:rsidRPr="00375773">
        <w:rPr>
          <w:rStyle w:val="katex-mathml"/>
          <w:rFonts w:ascii="Times New Roman" w:hAnsi="Times New Roman" w:cs="Times New Roman"/>
          <w:i/>
          <w:iCs/>
          <w:sz w:val="22"/>
          <w:szCs w:val="22"/>
        </w:rPr>
        <w:t>t</w:t>
      </w:r>
      <w:r w:rsidRPr="00375773">
        <w:rPr>
          <w:rStyle w:val="katex-mathml"/>
          <w:rFonts w:ascii="Times New Roman" w:hAnsi="Times New Roman" w:cs="Times New Roman"/>
          <w:sz w:val="22"/>
          <w:szCs w:val="22"/>
        </w:rPr>
        <w:t xml:space="preserve"> = 2.54, </w:t>
      </w:r>
      <w:r w:rsidRPr="00375773">
        <w:rPr>
          <w:rStyle w:val="katex-mathml"/>
          <w:rFonts w:ascii="Times New Roman" w:hAnsi="Times New Roman" w:cs="Times New Roman"/>
          <w:i/>
          <w:iCs/>
          <w:sz w:val="22"/>
          <w:szCs w:val="22"/>
        </w:rPr>
        <w:t>p</w:t>
      </w:r>
      <w:r w:rsidRPr="00375773">
        <w:rPr>
          <w:rStyle w:val="katex-mathml"/>
          <w:rFonts w:ascii="Times New Roman" w:hAnsi="Times New Roman" w:cs="Times New Roman"/>
          <w:sz w:val="22"/>
          <w:szCs w:val="22"/>
        </w:rPr>
        <w:t xml:space="preserve"> = .015, </w:t>
      </w:r>
      <w:r w:rsidRPr="00375773">
        <w:rPr>
          <w:rFonts w:ascii="Times New Roman" w:hAnsi="Times New Roman" w:cs="Times New Roman"/>
          <w:sz w:val="22"/>
          <w:szCs w:val="22"/>
        </w:rPr>
        <w:t xml:space="preserve">and a </w:t>
      </w:r>
      <w:r w:rsidRPr="00375773">
        <w:rPr>
          <w:rStyle w:val="Strong"/>
          <w:rFonts w:ascii="Times New Roman" w:hAnsi="Times New Roman" w:cs="Times New Roman"/>
          <w:b w:val="0"/>
          <w:bCs w:val="0"/>
          <w:sz w:val="22"/>
          <w:szCs w:val="22"/>
        </w:rPr>
        <w:t xml:space="preserve">negative D1 </w:t>
      </w:r>
      <w:r w:rsidRPr="00375773">
        <w:rPr>
          <w:rStyle w:val="katex-mathml"/>
          <w:rFonts w:ascii="Times New Roman" w:hAnsi="Times New Roman" w:cs="Times New Roman"/>
          <w:sz w:val="22"/>
          <w:szCs w:val="22"/>
        </w:rPr>
        <w:t>*</w:t>
      </w:r>
      <w:r w:rsidRPr="00375773">
        <w:rPr>
          <w:rStyle w:val="Strong"/>
          <w:rFonts w:ascii="Times New Roman" w:hAnsi="Times New Roman" w:cs="Times New Roman"/>
          <w:b w:val="0"/>
          <w:bCs w:val="0"/>
          <w:sz w:val="22"/>
          <w:szCs w:val="22"/>
        </w:rPr>
        <w:t>VH interaction</w:t>
      </w:r>
      <w:r w:rsidRPr="00375773">
        <w:rPr>
          <w:rFonts w:ascii="Times New Roman" w:hAnsi="Times New Roman" w:cs="Times New Roman"/>
          <w:sz w:val="22"/>
          <w:szCs w:val="22"/>
        </w:rPr>
        <w:t xml:space="preserve"> </w:t>
      </w:r>
      <w:r w:rsidRPr="00375773">
        <w:rPr>
          <w:rStyle w:val="katex-mathml"/>
          <w:rFonts w:ascii="Times New Roman" w:hAnsi="Times New Roman" w:cs="Times New Roman"/>
          <w:i/>
          <w:iCs/>
          <w:sz w:val="22"/>
          <w:szCs w:val="22"/>
        </w:rPr>
        <w:t>t</w:t>
      </w:r>
      <w:r w:rsidRPr="00375773">
        <w:rPr>
          <w:rStyle w:val="katex-mathml"/>
          <w:rFonts w:ascii="Times New Roman" w:hAnsi="Times New Roman" w:cs="Times New Roman"/>
          <w:sz w:val="22"/>
          <w:szCs w:val="22"/>
        </w:rPr>
        <w:t xml:space="preserve"> = –2.13, </w:t>
      </w:r>
      <w:r w:rsidRPr="00375773">
        <w:rPr>
          <w:rStyle w:val="katex-mathml"/>
          <w:rFonts w:ascii="Times New Roman" w:hAnsi="Times New Roman" w:cs="Times New Roman"/>
          <w:i/>
          <w:iCs/>
          <w:sz w:val="22"/>
          <w:szCs w:val="22"/>
        </w:rPr>
        <w:t>p</w:t>
      </w:r>
      <w:r w:rsidRPr="00375773">
        <w:rPr>
          <w:rStyle w:val="katex-mathml"/>
          <w:rFonts w:ascii="Times New Roman" w:hAnsi="Times New Roman" w:cs="Times New Roman"/>
          <w:sz w:val="22"/>
          <w:szCs w:val="22"/>
        </w:rPr>
        <w:t xml:space="preserve"> =.033 whereby for people</w:t>
      </w:r>
      <w:r w:rsidRPr="00375773">
        <w:rPr>
          <w:rFonts w:ascii="Times New Roman" w:hAnsi="Times New Roman" w:cs="Times New Roman"/>
          <w:sz w:val="22"/>
          <w:szCs w:val="22"/>
        </w:rPr>
        <w:t xml:space="preserve"> with VH, higher D1 values were associated with a steeper </w:t>
      </w:r>
      <w:r w:rsidRPr="00375773">
        <w:rPr>
          <w:rStyle w:val="Strong"/>
          <w:rFonts w:ascii="Times New Roman" w:hAnsi="Times New Roman" w:cs="Times New Roman"/>
          <w:b w:val="0"/>
          <w:bCs w:val="0"/>
          <w:sz w:val="22"/>
          <w:szCs w:val="22"/>
        </w:rPr>
        <w:t>drop</w:t>
      </w:r>
      <w:r w:rsidRPr="00375773">
        <w:rPr>
          <w:rFonts w:ascii="Times New Roman" w:hAnsi="Times New Roman" w:cs="Times New Roman"/>
          <w:sz w:val="22"/>
          <w:szCs w:val="22"/>
        </w:rPr>
        <w:t xml:space="preserve"> in MMN amplitude, overriding the otherwise higher MMN observed at average D1 levels.</w:t>
      </w:r>
    </w:p>
    <w:p w14:paraId="1822C902" w14:textId="77777777" w:rsidR="00375773" w:rsidRPr="00375773" w:rsidRDefault="00375773" w:rsidP="00375773">
      <w:pPr>
        <w:spacing w:line="360" w:lineRule="auto"/>
        <w:jc w:val="both"/>
        <w:rPr>
          <w:rFonts w:ascii="Times New Roman" w:hAnsi="Times New Roman" w:cs="Times New Roman"/>
          <w:sz w:val="22"/>
          <w:szCs w:val="22"/>
          <w:highlight w:val="yellow"/>
        </w:rPr>
      </w:pPr>
    </w:p>
    <w:p w14:paraId="09861FE1" w14:textId="77777777" w:rsidR="00375773" w:rsidRPr="00375773" w:rsidRDefault="00375773" w:rsidP="00375773">
      <w:pPr>
        <w:autoSpaceDE w:val="0"/>
        <w:autoSpaceDN w:val="0"/>
        <w:adjustRightInd w:val="0"/>
        <w:spacing w:line="360" w:lineRule="auto"/>
        <w:jc w:val="both"/>
        <w:rPr>
          <w:rFonts w:ascii="Times New Roman" w:eastAsia="Times New Roman" w:hAnsi="Times New Roman" w:cs="Times New Roman"/>
          <w:color w:val="000000" w:themeColor="text1"/>
          <w:sz w:val="22"/>
          <w:szCs w:val="22"/>
        </w:rPr>
      </w:pPr>
      <w:r w:rsidRPr="00375773">
        <w:rPr>
          <w:rFonts w:ascii="Times New Roman" w:hAnsi="Times New Roman" w:cs="Times New Roman"/>
          <w:sz w:val="22"/>
          <w:szCs w:val="22"/>
        </w:rPr>
        <w:lastRenderedPageBreak/>
        <w:t xml:space="preserve">For VAChT, using the map from </w:t>
      </w:r>
      <w:r w:rsidRPr="00375773">
        <w:rPr>
          <w:rStyle w:val="Strong"/>
          <w:rFonts w:ascii="Times New Roman" w:hAnsi="Times New Roman" w:cs="Times New Roman"/>
          <w:b w:val="0"/>
          <w:bCs w:val="0"/>
          <w:sz w:val="22"/>
          <w:szCs w:val="22"/>
        </w:rPr>
        <w:t>N=18</w:t>
      </w:r>
      <w:r w:rsidRPr="00375773">
        <w:rPr>
          <w:rFonts w:ascii="Times New Roman" w:hAnsi="Times New Roman" w:cs="Times New Roman"/>
          <w:sz w:val="22"/>
          <w:szCs w:val="22"/>
        </w:rPr>
        <w:t xml:space="preserve"> older participants</w:t>
      </w:r>
      <w:r w:rsidRPr="00375773">
        <w:rPr>
          <w:rFonts w:ascii="Times New Roman" w:hAnsi="Times New Roman" w:cs="Times New Roman"/>
          <w:sz w:val="22"/>
          <w:szCs w:val="22"/>
          <w:vertAlign w:val="superscript"/>
        </w:rPr>
        <w:t>52</w:t>
      </w:r>
      <w:r w:rsidRPr="00375773">
        <w:rPr>
          <w:rFonts w:ascii="Times New Roman" w:hAnsi="Times New Roman" w:cs="Times New Roman"/>
          <w:sz w:val="22"/>
          <w:szCs w:val="22"/>
        </w:rPr>
        <w:t xml:space="preserve">, </w:t>
      </w:r>
      <w:r w:rsidRPr="00375773">
        <w:rPr>
          <w:rFonts w:ascii="Times New Roman" w:eastAsia="Times New Roman" w:hAnsi="Times New Roman" w:cs="Times New Roman"/>
          <w:sz w:val="22"/>
          <w:szCs w:val="22"/>
        </w:rPr>
        <w:t>we found a positive association with MMN (</w:t>
      </w:r>
      <w:r w:rsidRPr="00375773">
        <w:rPr>
          <w:rFonts w:ascii="Times New Roman" w:eastAsia="Times New Roman" w:hAnsi="Times New Roman" w:cs="Times New Roman"/>
          <w:i/>
          <w:iCs/>
          <w:sz w:val="22"/>
          <w:szCs w:val="22"/>
        </w:rPr>
        <w:t>t</w:t>
      </w:r>
      <w:r w:rsidRPr="00375773">
        <w:rPr>
          <w:rFonts w:ascii="Times New Roman" w:eastAsia="Times New Roman" w:hAnsi="Times New Roman" w:cs="Times New Roman"/>
          <w:sz w:val="22"/>
          <w:szCs w:val="22"/>
        </w:rPr>
        <w:t xml:space="preserve"> =1.75, </w:t>
      </w:r>
      <w:r w:rsidRPr="00375773">
        <w:rPr>
          <w:rFonts w:ascii="Times New Roman" w:eastAsia="Times New Roman" w:hAnsi="Times New Roman" w:cs="Times New Roman"/>
          <w:i/>
          <w:iCs/>
          <w:sz w:val="22"/>
          <w:szCs w:val="22"/>
        </w:rPr>
        <w:t>p</w:t>
      </w:r>
      <w:r w:rsidRPr="00375773">
        <w:rPr>
          <w:rFonts w:ascii="Times New Roman" w:eastAsia="Times New Roman" w:hAnsi="Times New Roman" w:cs="Times New Roman"/>
          <w:sz w:val="22"/>
          <w:szCs w:val="22"/>
        </w:rPr>
        <w:t xml:space="preserve"> =.08) and a negative VAChT * VH interaction effect (</w:t>
      </w:r>
      <w:r w:rsidRPr="00375773">
        <w:rPr>
          <w:rFonts w:ascii="Times New Roman" w:eastAsia="Times New Roman" w:hAnsi="Times New Roman" w:cs="Times New Roman"/>
          <w:i/>
          <w:iCs/>
          <w:sz w:val="22"/>
          <w:szCs w:val="22"/>
        </w:rPr>
        <w:t>t</w:t>
      </w:r>
      <w:r w:rsidRPr="00375773">
        <w:rPr>
          <w:rFonts w:ascii="Times New Roman" w:eastAsia="Times New Roman" w:hAnsi="Times New Roman" w:cs="Times New Roman"/>
          <w:sz w:val="22"/>
          <w:szCs w:val="22"/>
        </w:rPr>
        <w:t xml:space="preserve"> =-1.58, </w:t>
      </w:r>
      <w:r w:rsidRPr="00375773">
        <w:rPr>
          <w:rFonts w:ascii="Times New Roman" w:eastAsia="Times New Roman" w:hAnsi="Times New Roman" w:cs="Times New Roman"/>
          <w:i/>
          <w:iCs/>
          <w:sz w:val="22"/>
          <w:szCs w:val="22"/>
        </w:rPr>
        <w:t>p</w:t>
      </w:r>
      <w:r w:rsidRPr="00375773">
        <w:rPr>
          <w:rFonts w:ascii="Times New Roman" w:eastAsia="Times New Roman" w:hAnsi="Times New Roman" w:cs="Times New Roman"/>
          <w:sz w:val="22"/>
          <w:szCs w:val="22"/>
        </w:rPr>
        <w:t xml:space="preserve"> =.1), though neither reached significance;</w:t>
      </w:r>
      <w:r w:rsidRPr="00375773">
        <w:rPr>
          <w:rFonts w:ascii="Times New Roman" w:hAnsi="Times New Roman" w:cs="Times New Roman"/>
          <w:sz w:val="22"/>
          <w:szCs w:val="22"/>
        </w:rPr>
        <w:t xml:space="preserve"> VH status was significant </w:t>
      </w:r>
      <w:r w:rsidRPr="00375773">
        <w:rPr>
          <w:rFonts w:ascii="Times New Roman" w:hAnsi="Times New Roman" w:cs="Times New Roman"/>
          <w:i/>
          <w:iCs/>
          <w:sz w:val="22"/>
          <w:szCs w:val="22"/>
        </w:rPr>
        <w:t>t</w:t>
      </w:r>
      <w:r w:rsidRPr="00375773">
        <w:rPr>
          <w:rStyle w:val="katex-mathml"/>
          <w:rFonts w:ascii="Times New Roman" w:hAnsi="Times New Roman" w:cs="Times New Roman"/>
          <w:sz w:val="22"/>
          <w:szCs w:val="22"/>
        </w:rPr>
        <w:t xml:space="preserve"> =2.46, </w:t>
      </w:r>
      <w:r w:rsidRPr="00375773">
        <w:rPr>
          <w:rStyle w:val="katex-mathml"/>
          <w:rFonts w:ascii="Times New Roman" w:hAnsi="Times New Roman" w:cs="Times New Roman"/>
          <w:i/>
          <w:iCs/>
          <w:sz w:val="22"/>
          <w:szCs w:val="22"/>
        </w:rPr>
        <w:t>p</w:t>
      </w:r>
      <w:r w:rsidRPr="00375773">
        <w:rPr>
          <w:rStyle w:val="katex-mathml"/>
          <w:rFonts w:ascii="Times New Roman" w:hAnsi="Times New Roman" w:cs="Times New Roman"/>
          <w:sz w:val="22"/>
          <w:szCs w:val="22"/>
        </w:rPr>
        <w:t xml:space="preserve"> =.019.</w:t>
      </w:r>
      <w:r w:rsidRPr="00375773">
        <w:rPr>
          <w:rFonts w:ascii="Times New Roman" w:hAnsi="Times New Roman" w:cs="Times New Roman"/>
          <w:sz w:val="22"/>
          <w:szCs w:val="22"/>
        </w:rPr>
        <w:t xml:space="preserve"> In a </w:t>
      </w:r>
      <w:r w:rsidRPr="00375773">
        <w:rPr>
          <w:rStyle w:val="Strong"/>
          <w:rFonts w:ascii="Times New Roman" w:hAnsi="Times New Roman" w:cs="Times New Roman"/>
          <w:b w:val="0"/>
          <w:bCs w:val="0"/>
          <w:sz w:val="22"/>
          <w:szCs w:val="22"/>
        </w:rPr>
        <w:t>sensitivity analysis</w:t>
      </w:r>
      <w:r w:rsidRPr="00375773">
        <w:rPr>
          <w:rFonts w:ascii="Times New Roman" w:hAnsi="Times New Roman" w:cs="Times New Roman"/>
          <w:sz w:val="22"/>
          <w:szCs w:val="22"/>
        </w:rPr>
        <w:t xml:space="preserve"> with the </w:t>
      </w:r>
      <w:r w:rsidRPr="00375773">
        <w:rPr>
          <w:rStyle w:val="Strong"/>
          <w:rFonts w:ascii="Times New Roman" w:hAnsi="Times New Roman" w:cs="Times New Roman"/>
          <w:b w:val="0"/>
          <w:bCs w:val="0"/>
          <w:sz w:val="22"/>
          <w:szCs w:val="22"/>
        </w:rPr>
        <w:t>N=4</w:t>
      </w:r>
      <w:r w:rsidRPr="00375773">
        <w:rPr>
          <w:rFonts w:ascii="Times New Roman" w:hAnsi="Times New Roman" w:cs="Times New Roman"/>
          <w:sz w:val="22"/>
          <w:szCs w:val="22"/>
        </w:rPr>
        <w:t xml:space="preserve"> map</w:t>
      </w:r>
      <w:r w:rsidRPr="00375773">
        <w:rPr>
          <w:rFonts w:ascii="Times New Roman" w:hAnsi="Times New Roman" w:cs="Times New Roman"/>
          <w:sz w:val="22"/>
          <w:szCs w:val="22"/>
          <w:vertAlign w:val="superscript"/>
        </w:rPr>
        <w:t>51</w:t>
      </w:r>
      <w:r w:rsidRPr="00375773">
        <w:rPr>
          <w:rFonts w:ascii="Times New Roman" w:hAnsi="Times New Roman" w:cs="Times New Roman"/>
          <w:sz w:val="22"/>
          <w:szCs w:val="22"/>
        </w:rPr>
        <w:t xml:space="preserve">, we observed the </w:t>
      </w:r>
      <w:r w:rsidRPr="00375773">
        <w:rPr>
          <w:rStyle w:val="Strong"/>
          <w:rFonts w:ascii="Times New Roman" w:hAnsi="Times New Roman" w:cs="Times New Roman"/>
          <w:b w:val="0"/>
          <w:bCs w:val="0"/>
          <w:sz w:val="22"/>
          <w:szCs w:val="22"/>
        </w:rPr>
        <w:t>same direction</w:t>
      </w:r>
      <w:r w:rsidRPr="00375773">
        <w:rPr>
          <w:rFonts w:ascii="Times New Roman" w:hAnsi="Times New Roman" w:cs="Times New Roman"/>
          <w:sz w:val="22"/>
          <w:szCs w:val="22"/>
        </w:rPr>
        <w:t xml:space="preserve"> of effects but with a </w:t>
      </w:r>
      <w:r w:rsidRPr="00375773">
        <w:rPr>
          <w:rStyle w:val="Strong"/>
          <w:rFonts w:ascii="Times New Roman" w:hAnsi="Times New Roman" w:cs="Times New Roman"/>
          <w:b w:val="0"/>
          <w:bCs w:val="0"/>
          <w:sz w:val="22"/>
          <w:szCs w:val="22"/>
        </w:rPr>
        <w:t>larger effect size</w:t>
      </w:r>
      <w:r w:rsidRPr="00375773">
        <w:rPr>
          <w:rFonts w:ascii="Times New Roman" w:hAnsi="Times New Roman" w:cs="Times New Roman"/>
          <w:sz w:val="22"/>
          <w:szCs w:val="22"/>
        </w:rPr>
        <w:t xml:space="preserve"> and formal significance (partial </w:t>
      </w:r>
      <w:r w:rsidRPr="00375773">
        <w:rPr>
          <w:rStyle w:val="Emphasis"/>
          <w:rFonts w:ascii="Times New Roman" w:hAnsi="Times New Roman" w:cs="Times New Roman"/>
          <w:sz w:val="22"/>
          <w:szCs w:val="22"/>
        </w:rPr>
        <w:t>r</w:t>
      </w:r>
      <w:r w:rsidRPr="00375773">
        <w:rPr>
          <w:rFonts w:ascii="Times New Roman" w:hAnsi="Times New Roman" w:cs="Times New Roman"/>
          <w:sz w:val="22"/>
          <w:szCs w:val="22"/>
        </w:rPr>
        <w:t xml:space="preserve"> ≈ –.037 for the VAChT </w:t>
      </w:r>
      <w:r w:rsidRPr="00375773">
        <w:rPr>
          <w:rStyle w:val="katex-mathml"/>
          <w:rFonts w:ascii="Times New Roman" w:hAnsi="Times New Roman" w:cs="Times New Roman"/>
          <w:sz w:val="22"/>
          <w:szCs w:val="22"/>
        </w:rPr>
        <w:t>*</w:t>
      </w:r>
      <w:r w:rsidRPr="00375773">
        <w:rPr>
          <w:rFonts w:ascii="Times New Roman" w:hAnsi="Times New Roman" w:cs="Times New Roman"/>
          <w:sz w:val="22"/>
          <w:szCs w:val="22"/>
        </w:rPr>
        <w:t xml:space="preserve"> VH interaction; see details in SI13). These convergent patterns suggest a negative relationship between VAChT and MMN in the VH group, though not as robust as D1.</w:t>
      </w:r>
    </w:p>
    <w:p w14:paraId="7981BF85" w14:textId="77777777" w:rsidR="00375773" w:rsidRPr="00375773" w:rsidRDefault="00375773" w:rsidP="00375773">
      <w:pPr>
        <w:autoSpaceDE w:val="0"/>
        <w:autoSpaceDN w:val="0"/>
        <w:adjustRightInd w:val="0"/>
        <w:spacing w:line="360" w:lineRule="auto"/>
        <w:jc w:val="both"/>
        <w:rPr>
          <w:rFonts w:ascii="Times New Roman" w:eastAsia="Times New Roman" w:hAnsi="Times New Roman" w:cs="Times New Roman"/>
          <w:color w:val="000000" w:themeColor="text1"/>
          <w:sz w:val="22"/>
          <w:szCs w:val="22"/>
          <w:highlight w:val="yellow"/>
        </w:rPr>
      </w:pPr>
    </w:p>
    <w:p w14:paraId="5711F894" w14:textId="019D47C8" w:rsidR="00375773" w:rsidRPr="00375773" w:rsidRDefault="00375773" w:rsidP="00375773">
      <w:pPr>
        <w:spacing w:before="100" w:beforeAutospacing="1" w:after="100" w:afterAutospacing="1" w:line="360" w:lineRule="auto"/>
        <w:jc w:val="both"/>
        <w:rPr>
          <w:rFonts w:ascii="Times New Roman" w:hAnsi="Times New Roman" w:cs="Times New Roman"/>
          <w:sz w:val="22"/>
          <w:szCs w:val="22"/>
        </w:rPr>
      </w:pPr>
      <w:r w:rsidRPr="00375773">
        <w:rPr>
          <w:rFonts w:ascii="Times New Roman" w:eastAsia="Times New Roman" w:hAnsi="Times New Roman" w:cs="Times New Roman"/>
          <w:color w:val="000000" w:themeColor="text1"/>
          <w:sz w:val="22"/>
          <w:szCs w:val="22"/>
        </w:rPr>
        <w:t>No effect of disease duration, LEDD and age was found for any of the models</w:t>
      </w:r>
    </w:p>
    <w:p w14:paraId="72A60DE4" w14:textId="77777777" w:rsidR="00752E6F" w:rsidRPr="00BF76E1" w:rsidRDefault="00752E6F" w:rsidP="00752E6F">
      <w:pPr>
        <w:spacing w:before="100" w:beforeAutospacing="1" w:after="100" w:afterAutospacing="1" w:line="360" w:lineRule="auto"/>
        <w:jc w:val="both"/>
        <w:rPr>
          <w:rFonts w:ascii="Times New Roman" w:hAnsi="Times New Roman" w:cs="Times New Roman"/>
          <w:sz w:val="22"/>
          <w:szCs w:val="22"/>
        </w:rPr>
      </w:pPr>
    </w:p>
    <w:tbl>
      <w:tblPr>
        <w:tblW w:w="9100" w:type="dxa"/>
        <w:tblLook w:val="04A0" w:firstRow="1" w:lastRow="0" w:firstColumn="1" w:lastColumn="0" w:noHBand="0" w:noVBand="1"/>
      </w:tblPr>
      <w:tblGrid>
        <w:gridCol w:w="1507"/>
        <w:gridCol w:w="1093"/>
        <w:gridCol w:w="1300"/>
        <w:gridCol w:w="1300"/>
        <w:gridCol w:w="1300"/>
        <w:gridCol w:w="1300"/>
        <w:gridCol w:w="1353"/>
      </w:tblGrid>
      <w:tr w:rsidR="00752E6F" w:rsidRPr="008F01FA" w14:paraId="51130EBA" w14:textId="77777777" w:rsidTr="00BF76E1">
        <w:trPr>
          <w:trHeight w:val="320"/>
        </w:trPr>
        <w:tc>
          <w:tcPr>
            <w:tcW w:w="2600" w:type="dxa"/>
            <w:gridSpan w:val="2"/>
            <w:tcBorders>
              <w:top w:val="nil"/>
              <w:left w:val="nil"/>
              <w:bottom w:val="nil"/>
              <w:right w:val="nil"/>
            </w:tcBorders>
            <w:shd w:val="clear" w:color="000000" w:fill="FFFFFF"/>
            <w:noWrap/>
            <w:vAlign w:val="bottom"/>
            <w:hideMark/>
          </w:tcPr>
          <w:p w14:paraId="676FE4DA"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Dopamine D1</w:t>
            </w:r>
          </w:p>
        </w:tc>
        <w:tc>
          <w:tcPr>
            <w:tcW w:w="1300" w:type="dxa"/>
            <w:tcBorders>
              <w:top w:val="nil"/>
              <w:left w:val="nil"/>
              <w:bottom w:val="nil"/>
              <w:right w:val="nil"/>
            </w:tcBorders>
            <w:shd w:val="clear" w:color="000000" w:fill="FFFFFF"/>
            <w:noWrap/>
            <w:vAlign w:val="bottom"/>
            <w:hideMark/>
          </w:tcPr>
          <w:p w14:paraId="4AAB7728"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2F070BF4"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3C6261F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2555F24A"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6D3CD061"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73E9BF66" w14:textId="77777777" w:rsidTr="00BF76E1">
        <w:trPr>
          <w:trHeight w:val="320"/>
        </w:trPr>
        <w:tc>
          <w:tcPr>
            <w:tcW w:w="1507" w:type="dxa"/>
            <w:tcBorders>
              <w:top w:val="single" w:sz="4" w:space="0" w:color="auto"/>
              <w:left w:val="nil"/>
              <w:bottom w:val="single" w:sz="4" w:space="0" w:color="auto"/>
              <w:right w:val="nil"/>
            </w:tcBorders>
            <w:shd w:val="clear" w:color="000000" w:fill="FFFFFF"/>
            <w:noWrap/>
            <w:vAlign w:val="bottom"/>
            <w:hideMark/>
          </w:tcPr>
          <w:p w14:paraId="6328C837"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Term</w:t>
            </w:r>
          </w:p>
        </w:tc>
        <w:tc>
          <w:tcPr>
            <w:tcW w:w="1093" w:type="dxa"/>
            <w:tcBorders>
              <w:top w:val="single" w:sz="4" w:space="0" w:color="auto"/>
              <w:left w:val="nil"/>
              <w:bottom w:val="single" w:sz="4" w:space="0" w:color="auto"/>
              <w:right w:val="nil"/>
            </w:tcBorders>
            <w:shd w:val="clear" w:color="000000" w:fill="FFFFFF"/>
            <w:noWrap/>
            <w:vAlign w:val="bottom"/>
            <w:hideMark/>
          </w:tcPr>
          <w:p w14:paraId="2E95CD3C"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Estimate</w:t>
            </w:r>
          </w:p>
        </w:tc>
        <w:tc>
          <w:tcPr>
            <w:tcW w:w="1300" w:type="dxa"/>
            <w:tcBorders>
              <w:top w:val="single" w:sz="4" w:space="0" w:color="auto"/>
              <w:left w:val="nil"/>
              <w:bottom w:val="single" w:sz="4" w:space="0" w:color="auto"/>
              <w:right w:val="nil"/>
            </w:tcBorders>
            <w:shd w:val="clear" w:color="000000" w:fill="FFFFFF"/>
            <w:noWrap/>
            <w:vAlign w:val="bottom"/>
            <w:hideMark/>
          </w:tcPr>
          <w:p w14:paraId="43EF35D0"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Std. Error</w:t>
            </w:r>
          </w:p>
        </w:tc>
        <w:tc>
          <w:tcPr>
            <w:tcW w:w="1300" w:type="dxa"/>
            <w:tcBorders>
              <w:top w:val="single" w:sz="4" w:space="0" w:color="auto"/>
              <w:left w:val="nil"/>
              <w:bottom w:val="single" w:sz="4" w:space="0" w:color="auto"/>
              <w:right w:val="nil"/>
            </w:tcBorders>
            <w:shd w:val="clear" w:color="000000" w:fill="FFFFFF"/>
            <w:noWrap/>
            <w:vAlign w:val="bottom"/>
            <w:hideMark/>
          </w:tcPr>
          <w:p w14:paraId="4AF03D2F"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df</w:t>
            </w:r>
            <w:proofErr w:type="spellEnd"/>
          </w:p>
        </w:tc>
        <w:tc>
          <w:tcPr>
            <w:tcW w:w="1300" w:type="dxa"/>
            <w:tcBorders>
              <w:top w:val="single" w:sz="4" w:space="0" w:color="auto"/>
              <w:left w:val="nil"/>
              <w:bottom w:val="single" w:sz="4" w:space="0" w:color="auto"/>
              <w:right w:val="nil"/>
            </w:tcBorders>
            <w:shd w:val="clear" w:color="000000" w:fill="FFFFFF"/>
            <w:noWrap/>
            <w:vAlign w:val="bottom"/>
            <w:hideMark/>
          </w:tcPr>
          <w:p w14:paraId="7D681EFE"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t value</w:t>
            </w:r>
          </w:p>
        </w:tc>
        <w:tc>
          <w:tcPr>
            <w:tcW w:w="1300" w:type="dxa"/>
            <w:tcBorders>
              <w:top w:val="single" w:sz="4" w:space="0" w:color="auto"/>
              <w:left w:val="nil"/>
              <w:bottom w:val="single" w:sz="4" w:space="0" w:color="auto"/>
              <w:right w:val="nil"/>
            </w:tcBorders>
            <w:shd w:val="clear" w:color="000000" w:fill="FFFFFF"/>
            <w:noWrap/>
            <w:vAlign w:val="bottom"/>
            <w:hideMark/>
          </w:tcPr>
          <w:p w14:paraId="1E79FE32"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Pr</w:t>
            </w:r>
            <w:proofErr w:type="spellEnd"/>
            <w:r w:rsidRPr="00BF76E1">
              <w:rPr>
                <w:rFonts w:ascii="Times New Roman" w:hAnsi="Times New Roman" w:cs="Times New Roman"/>
                <w:b/>
                <w:bCs/>
                <w:color w:val="000000"/>
                <w:sz w:val="22"/>
                <w:szCs w:val="22"/>
              </w:rPr>
              <w:t>(&gt;|t|)</w:t>
            </w:r>
          </w:p>
        </w:tc>
        <w:tc>
          <w:tcPr>
            <w:tcW w:w="1300" w:type="dxa"/>
            <w:tcBorders>
              <w:top w:val="single" w:sz="4" w:space="0" w:color="auto"/>
              <w:left w:val="nil"/>
              <w:bottom w:val="single" w:sz="4" w:space="0" w:color="auto"/>
              <w:right w:val="nil"/>
            </w:tcBorders>
            <w:shd w:val="clear" w:color="000000" w:fill="FFFFFF"/>
            <w:noWrap/>
            <w:vAlign w:val="bottom"/>
            <w:hideMark/>
          </w:tcPr>
          <w:p w14:paraId="49198AAC"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Significance</w:t>
            </w:r>
          </w:p>
        </w:tc>
      </w:tr>
      <w:tr w:rsidR="00752E6F" w:rsidRPr="008F01FA" w14:paraId="70CFA088" w14:textId="77777777" w:rsidTr="00BF76E1">
        <w:trPr>
          <w:trHeight w:val="320"/>
        </w:trPr>
        <w:tc>
          <w:tcPr>
            <w:tcW w:w="1507" w:type="dxa"/>
            <w:tcBorders>
              <w:top w:val="nil"/>
              <w:left w:val="nil"/>
              <w:bottom w:val="nil"/>
              <w:right w:val="nil"/>
            </w:tcBorders>
            <w:shd w:val="clear" w:color="000000" w:fill="FFFFFF"/>
            <w:noWrap/>
            <w:vAlign w:val="bottom"/>
            <w:hideMark/>
          </w:tcPr>
          <w:p w14:paraId="6960A0DE"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(Intercept)</w:t>
            </w:r>
          </w:p>
        </w:tc>
        <w:tc>
          <w:tcPr>
            <w:tcW w:w="1093" w:type="dxa"/>
            <w:tcBorders>
              <w:top w:val="nil"/>
              <w:left w:val="nil"/>
              <w:bottom w:val="nil"/>
              <w:right w:val="nil"/>
            </w:tcBorders>
            <w:shd w:val="clear" w:color="000000" w:fill="FFFFFF"/>
            <w:noWrap/>
            <w:vAlign w:val="bottom"/>
            <w:hideMark/>
          </w:tcPr>
          <w:p w14:paraId="3B084562"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-0.0021</w:t>
            </w:r>
          </w:p>
        </w:tc>
        <w:tc>
          <w:tcPr>
            <w:tcW w:w="1300" w:type="dxa"/>
            <w:tcBorders>
              <w:top w:val="nil"/>
              <w:left w:val="nil"/>
              <w:bottom w:val="nil"/>
              <w:right w:val="nil"/>
            </w:tcBorders>
            <w:shd w:val="clear" w:color="000000" w:fill="FFFFFF"/>
            <w:noWrap/>
            <w:vAlign w:val="bottom"/>
            <w:hideMark/>
          </w:tcPr>
          <w:p w14:paraId="475A872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0.0020</w:t>
            </w:r>
          </w:p>
        </w:tc>
        <w:tc>
          <w:tcPr>
            <w:tcW w:w="1300" w:type="dxa"/>
            <w:tcBorders>
              <w:top w:val="nil"/>
              <w:left w:val="nil"/>
              <w:bottom w:val="nil"/>
              <w:right w:val="nil"/>
            </w:tcBorders>
            <w:shd w:val="clear" w:color="000000" w:fill="FFFFFF"/>
            <w:noWrap/>
            <w:vAlign w:val="bottom"/>
            <w:hideMark/>
          </w:tcPr>
          <w:p w14:paraId="7700F3F5"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7A9BEEB1"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-1.071</w:t>
            </w:r>
          </w:p>
        </w:tc>
        <w:tc>
          <w:tcPr>
            <w:tcW w:w="1300" w:type="dxa"/>
            <w:tcBorders>
              <w:top w:val="nil"/>
              <w:left w:val="nil"/>
              <w:bottom w:val="nil"/>
              <w:right w:val="nil"/>
            </w:tcBorders>
            <w:shd w:val="clear" w:color="000000" w:fill="FFFFFF"/>
            <w:noWrap/>
            <w:vAlign w:val="bottom"/>
            <w:hideMark/>
          </w:tcPr>
          <w:p w14:paraId="4B2103B2"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0.2929</w:t>
            </w:r>
          </w:p>
        </w:tc>
        <w:tc>
          <w:tcPr>
            <w:tcW w:w="1300" w:type="dxa"/>
            <w:tcBorders>
              <w:top w:val="nil"/>
              <w:left w:val="nil"/>
              <w:bottom w:val="nil"/>
              <w:right w:val="nil"/>
            </w:tcBorders>
            <w:shd w:val="clear" w:color="000000" w:fill="FFFFFF"/>
            <w:noWrap/>
            <w:vAlign w:val="bottom"/>
            <w:hideMark/>
          </w:tcPr>
          <w:p w14:paraId="4C97A632"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72A33BF7" w14:textId="77777777" w:rsidTr="00BF76E1">
        <w:trPr>
          <w:trHeight w:val="320"/>
        </w:trPr>
        <w:tc>
          <w:tcPr>
            <w:tcW w:w="1507" w:type="dxa"/>
            <w:tcBorders>
              <w:top w:val="nil"/>
              <w:left w:val="nil"/>
              <w:bottom w:val="nil"/>
              <w:right w:val="nil"/>
            </w:tcBorders>
            <w:shd w:val="clear" w:color="000000" w:fill="FFFFFF"/>
            <w:noWrap/>
            <w:vAlign w:val="bottom"/>
            <w:hideMark/>
          </w:tcPr>
          <w:p w14:paraId="684E6F79"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d1_s</w:t>
            </w:r>
          </w:p>
        </w:tc>
        <w:tc>
          <w:tcPr>
            <w:tcW w:w="1093" w:type="dxa"/>
            <w:tcBorders>
              <w:top w:val="nil"/>
              <w:left w:val="nil"/>
              <w:bottom w:val="nil"/>
              <w:right w:val="nil"/>
            </w:tcBorders>
            <w:shd w:val="clear" w:color="000000" w:fill="FFFFFF"/>
            <w:noWrap/>
            <w:vAlign w:val="bottom"/>
            <w:hideMark/>
          </w:tcPr>
          <w:p w14:paraId="24176EB8"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-0.0004</w:t>
            </w:r>
          </w:p>
        </w:tc>
        <w:tc>
          <w:tcPr>
            <w:tcW w:w="1300" w:type="dxa"/>
            <w:tcBorders>
              <w:top w:val="nil"/>
              <w:left w:val="nil"/>
              <w:bottom w:val="nil"/>
              <w:right w:val="nil"/>
            </w:tcBorders>
            <w:shd w:val="clear" w:color="000000" w:fill="FFFFFF"/>
            <w:noWrap/>
            <w:vAlign w:val="bottom"/>
            <w:hideMark/>
          </w:tcPr>
          <w:p w14:paraId="31FF42B1"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0.0005</w:t>
            </w:r>
          </w:p>
        </w:tc>
        <w:tc>
          <w:tcPr>
            <w:tcW w:w="1300" w:type="dxa"/>
            <w:tcBorders>
              <w:top w:val="nil"/>
              <w:left w:val="nil"/>
              <w:bottom w:val="nil"/>
              <w:right w:val="nil"/>
            </w:tcBorders>
            <w:shd w:val="clear" w:color="000000" w:fill="FFFFFF"/>
            <w:noWrap/>
            <w:vAlign w:val="bottom"/>
            <w:hideMark/>
          </w:tcPr>
          <w:p w14:paraId="28AE3C78"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2810</w:t>
            </w:r>
          </w:p>
        </w:tc>
        <w:tc>
          <w:tcPr>
            <w:tcW w:w="1300" w:type="dxa"/>
            <w:tcBorders>
              <w:top w:val="nil"/>
              <w:left w:val="nil"/>
              <w:bottom w:val="nil"/>
              <w:right w:val="nil"/>
            </w:tcBorders>
            <w:shd w:val="clear" w:color="000000" w:fill="FFFFFF"/>
            <w:noWrap/>
            <w:vAlign w:val="bottom"/>
            <w:hideMark/>
          </w:tcPr>
          <w:p w14:paraId="3F529BF7"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-0.772</w:t>
            </w:r>
          </w:p>
        </w:tc>
        <w:tc>
          <w:tcPr>
            <w:tcW w:w="1300" w:type="dxa"/>
            <w:tcBorders>
              <w:top w:val="nil"/>
              <w:left w:val="nil"/>
              <w:bottom w:val="nil"/>
              <w:right w:val="nil"/>
            </w:tcBorders>
            <w:shd w:val="clear" w:color="000000" w:fill="FFFFFF"/>
            <w:noWrap/>
            <w:vAlign w:val="bottom"/>
            <w:hideMark/>
          </w:tcPr>
          <w:p w14:paraId="5F361A6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0.4399</w:t>
            </w:r>
          </w:p>
        </w:tc>
        <w:tc>
          <w:tcPr>
            <w:tcW w:w="1300" w:type="dxa"/>
            <w:tcBorders>
              <w:top w:val="nil"/>
              <w:left w:val="nil"/>
              <w:bottom w:val="nil"/>
              <w:right w:val="nil"/>
            </w:tcBorders>
            <w:shd w:val="clear" w:color="000000" w:fill="FFFFFF"/>
            <w:noWrap/>
            <w:vAlign w:val="bottom"/>
            <w:hideMark/>
          </w:tcPr>
          <w:p w14:paraId="39A10E02"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6B571F82" w14:textId="77777777" w:rsidTr="00BF76E1">
        <w:trPr>
          <w:trHeight w:val="320"/>
        </w:trPr>
        <w:tc>
          <w:tcPr>
            <w:tcW w:w="1507" w:type="dxa"/>
            <w:tcBorders>
              <w:top w:val="nil"/>
              <w:left w:val="nil"/>
              <w:bottom w:val="nil"/>
              <w:right w:val="nil"/>
            </w:tcBorders>
            <w:shd w:val="clear" w:color="000000" w:fill="FFFFFF"/>
            <w:noWrap/>
            <w:vAlign w:val="bottom"/>
            <w:hideMark/>
          </w:tcPr>
          <w:p w14:paraId="7B405961"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VH1</w:t>
            </w:r>
          </w:p>
        </w:tc>
        <w:tc>
          <w:tcPr>
            <w:tcW w:w="1093" w:type="dxa"/>
            <w:tcBorders>
              <w:top w:val="nil"/>
              <w:left w:val="nil"/>
              <w:bottom w:val="nil"/>
              <w:right w:val="nil"/>
            </w:tcBorders>
            <w:shd w:val="clear" w:color="000000" w:fill="FFFFFF"/>
            <w:noWrap/>
            <w:vAlign w:val="bottom"/>
            <w:hideMark/>
          </w:tcPr>
          <w:p w14:paraId="6EB1D898"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0.0045</w:t>
            </w:r>
          </w:p>
        </w:tc>
        <w:tc>
          <w:tcPr>
            <w:tcW w:w="1300" w:type="dxa"/>
            <w:tcBorders>
              <w:top w:val="nil"/>
              <w:left w:val="nil"/>
              <w:bottom w:val="nil"/>
              <w:right w:val="nil"/>
            </w:tcBorders>
            <w:shd w:val="clear" w:color="000000" w:fill="FFFFFF"/>
            <w:noWrap/>
            <w:vAlign w:val="bottom"/>
            <w:hideMark/>
          </w:tcPr>
          <w:p w14:paraId="37CF30E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0.0017</w:t>
            </w:r>
          </w:p>
        </w:tc>
        <w:tc>
          <w:tcPr>
            <w:tcW w:w="1300" w:type="dxa"/>
            <w:tcBorders>
              <w:top w:val="nil"/>
              <w:left w:val="nil"/>
              <w:bottom w:val="nil"/>
              <w:right w:val="nil"/>
            </w:tcBorders>
            <w:shd w:val="clear" w:color="000000" w:fill="FFFFFF"/>
            <w:noWrap/>
            <w:vAlign w:val="bottom"/>
            <w:hideMark/>
          </w:tcPr>
          <w:p w14:paraId="22933D1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059AB5C2"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2.587</w:t>
            </w:r>
          </w:p>
        </w:tc>
        <w:tc>
          <w:tcPr>
            <w:tcW w:w="1300" w:type="dxa"/>
            <w:tcBorders>
              <w:top w:val="nil"/>
              <w:left w:val="nil"/>
              <w:bottom w:val="nil"/>
              <w:right w:val="nil"/>
            </w:tcBorders>
            <w:shd w:val="clear" w:color="000000" w:fill="FFFFFF"/>
            <w:noWrap/>
            <w:vAlign w:val="bottom"/>
            <w:hideMark/>
          </w:tcPr>
          <w:p w14:paraId="1B3B7B44"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0.0148</w:t>
            </w:r>
          </w:p>
        </w:tc>
        <w:tc>
          <w:tcPr>
            <w:tcW w:w="1300" w:type="dxa"/>
            <w:tcBorders>
              <w:top w:val="nil"/>
              <w:left w:val="nil"/>
              <w:bottom w:val="nil"/>
              <w:right w:val="nil"/>
            </w:tcBorders>
            <w:shd w:val="clear" w:color="000000" w:fill="FFFFFF"/>
            <w:noWrap/>
            <w:vAlign w:val="bottom"/>
            <w:hideMark/>
          </w:tcPr>
          <w:p w14:paraId="53F4A47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32BD03F5" w14:textId="77777777" w:rsidTr="00BF76E1">
        <w:trPr>
          <w:trHeight w:val="320"/>
        </w:trPr>
        <w:tc>
          <w:tcPr>
            <w:tcW w:w="1507" w:type="dxa"/>
            <w:tcBorders>
              <w:top w:val="nil"/>
              <w:left w:val="nil"/>
              <w:bottom w:val="nil"/>
              <w:right w:val="nil"/>
            </w:tcBorders>
            <w:shd w:val="clear" w:color="000000" w:fill="FFFFFF"/>
            <w:noWrap/>
            <w:vAlign w:val="bottom"/>
            <w:hideMark/>
          </w:tcPr>
          <w:p w14:paraId="08609EBD"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age_s</w:t>
            </w:r>
            <w:proofErr w:type="spellEnd"/>
          </w:p>
        </w:tc>
        <w:tc>
          <w:tcPr>
            <w:tcW w:w="1093" w:type="dxa"/>
            <w:tcBorders>
              <w:top w:val="nil"/>
              <w:left w:val="nil"/>
              <w:bottom w:val="nil"/>
              <w:right w:val="nil"/>
            </w:tcBorders>
            <w:shd w:val="clear" w:color="000000" w:fill="FFFFFF"/>
            <w:noWrap/>
            <w:vAlign w:val="bottom"/>
            <w:hideMark/>
          </w:tcPr>
          <w:p w14:paraId="7DB66A5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0.0002</w:t>
            </w:r>
          </w:p>
        </w:tc>
        <w:tc>
          <w:tcPr>
            <w:tcW w:w="1300" w:type="dxa"/>
            <w:tcBorders>
              <w:top w:val="nil"/>
              <w:left w:val="nil"/>
              <w:bottom w:val="nil"/>
              <w:right w:val="nil"/>
            </w:tcBorders>
            <w:shd w:val="clear" w:color="000000" w:fill="FFFFFF"/>
            <w:noWrap/>
            <w:vAlign w:val="bottom"/>
            <w:hideMark/>
          </w:tcPr>
          <w:p w14:paraId="5A1A4F7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3E685DF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44EA2B6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0.223</w:t>
            </w:r>
          </w:p>
        </w:tc>
        <w:tc>
          <w:tcPr>
            <w:tcW w:w="1300" w:type="dxa"/>
            <w:tcBorders>
              <w:top w:val="nil"/>
              <w:left w:val="nil"/>
              <w:bottom w:val="nil"/>
              <w:right w:val="nil"/>
            </w:tcBorders>
            <w:shd w:val="clear" w:color="000000" w:fill="FFFFFF"/>
            <w:noWrap/>
            <w:vAlign w:val="bottom"/>
            <w:hideMark/>
          </w:tcPr>
          <w:p w14:paraId="66907B6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0.8249</w:t>
            </w:r>
          </w:p>
        </w:tc>
        <w:tc>
          <w:tcPr>
            <w:tcW w:w="1300" w:type="dxa"/>
            <w:tcBorders>
              <w:top w:val="nil"/>
              <w:left w:val="nil"/>
              <w:bottom w:val="nil"/>
              <w:right w:val="nil"/>
            </w:tcBorders>
            <w:shd w:val="clear" w:color="000000" w:fill="FFFFFF"/>
            <w:noWrap/>
            <w:vAlign w:val="bottom"/>
            <w:hideMark/>
          </w:tcPr>
          <w:p w14:paraId="4FDB7FA7"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5A3F0BF8" w14:textId="77777777" w:rsidTr="00BF76E1">
        <w:trPr>
          <w:trHeight w:val="320"/>
        </w:trPr>
        <w:tc>
          <w:tcPr>
            <w:tcW w:w="1507" w:type="dxa"/>
            <w:tcBorders>
              <w:top w:val="nil"/>
              <w:left w:val="nil"/>
              <w:bottom w:val="nil"/>
              <w:right w:val="nil"/>
            </w:tcBorders>
            <w:shd w:val="clear" w:color="000000" w:fill="FFFFFF"/>
            <w:noWrap/>
            <w:vAlign w:val="bottom"/>
            <w:hideMark/>
          </w:tcPr>
          <w:p w14:paraId="184DA320"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LEDD_s</w:t>
            </w:r>
          </w:p>
        </w:tc>
        <w:tc>
          <w:tcPr>
            <w:tcW w:w="1093" w:type="dxa"/>
            <w:tcBorders>
              <w:top w:val="nil"/>
              <w:left w:val="nil"/>
              <w:bottom w:val="nil"/>
              <w:right w:val="nil"/>
            </w:tcBorders>
            <w:shd w:val="clear" w:color="000000" w:fill="FFFFFF"/>
            <w:noWrap/>
            <w:vAlign w:val="bottom"/>
            <w:hideMark/>
          </w:tcPr>
          <w:p w14:paraId="7577C34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0E8BBE5C"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0.0010</w:t>
            </w:r>
          </w:p>
        </w:tc>
        <w:tc>
          <w:tcPr>
            <w:tcW w:w="1300" w:type="dxa"/>
            <w:tcBorders>
              <w:top w:val="nil"/>
              <w:left w:val="nil"/>
              <w:bottom w:val="nil"/>
              <w:right w:val="nil"/>
            </w:tcBorders>
            <w:shd w:val="clear" w:color="000000" w:fill="FFFFFF"/>
            <w:noWrap/>
            <w:vAlign w:val="bottom"/>
            <w:hideMark/>
          </w:tcPr>
          <w:p w14:paraId="2212860C"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3BAD3DCC"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-0.889</w:t>
            </w:r>
          </w:p>
        </w:tc>
        <w:tc>
          <w:tcPr>
            <w:tcW w:w="1300" w:type="dxa"/>
            <w:tcBorders>
              <w:top w:val="nil"/>
              <w:left w:val="nil"/>
              <w:bottom w:val="nil"/>
              <w:right w:val="nil"/>
            </w:tcBorders>
            <w:shd w:val="clear" w:color="000000" w:fill="FFFFFF"/>
            <w:noWrap/>
            <w:vAlign w:val="bottom"/>
            <w:hideMark/>
          </w:tcPr>
          <w:p w14:paraId="002880D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0.381</w:t>
            </w:r>
          </w:p>
        </w:tc>
        <w:tc>
          <w:tcPr>
            <w:tcW w:w="1300" w:type="dxa"/>
            <w:tcBorders>
              <w:top w:val="nil"/>
              <w:left w:val="nil"/>
              <w:bottom w:val="nil"/>
              <w:right w:val="nil"/>
            </w:tcBorders>
            <w:shd w:val="clear" w:color="000000" w:fill="FFFFFF"/>
            <w:noWrap/>
            <w:vAlign w:val="bottom"/>
            <w:hideMark/>
          </w:tcPr>
          <w:p w14:paraId="2CE4A29C"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59F38F18" w14:textId="77777777" w:rsidTr="00BF76E1">
        <w:trPr>
          <w:trHeight w:val="320"/>
        </w:trPr>
        <w:tc>
          <w:tcPr>
            <w:tcW w:w="1507" w:type="dxa"/>
            <w:tcBorders>
              <w:top w:val="nil"/>
              <w:left w:val="nil"/>
              <w:bottom w:val="nil"/>
              <w:right w:val="nil"/>
            </w:tcBorders>
            <w:shd w:val="clear" w:color="000000" w:fill="FFFFFF"/>
            <w:noWrap/>
            <w:vAlign w:val="bottom"/>
            <w:hideMark/>
          </w:tcPr>
          <w:p w14:paraId="3FBB1464"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sexmale</w:t>
            </w:r>
            <w:proofErr w:type="spellEnd"/>
          </w:p>
        </w:tc>
        <w:tc>
          <w:tcPr>
            <w:tcW w:w="1093" w:type="dxa"/>
            <w:tcBorders>
              <w:top w:val="nil"/>
              <w:left w:val="nil"/>
              <w:bottom w:val="nil"/>
              <w:right w:val="nil"/>
            </w:tcBorders>
            <w:shd w:val="clear" w:color="000000" w:fill="FFFFFF"/>
            <w:noWrap/>
            <w:vAlign w:val="bottom"/>
            <w:hideMark/>
          </w:tcPr>
          <w:p w14:paraId="070A1E5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0.0048</w:t>
            </w:r>
          </w:p>
        </w:tc>
        <w:tc>
          <w:tcPr>
            <w:tcW w:w="1300" w:type="dxa"/>
            <w:tcBorders>
              <w:top w:val="nil"/>
              <w:left w:val="nil"/>
              <w:bottom w:val="nil"/>
              <w:right w:val="nil"/>
            </w:tcBorders>
            <w:shd w:val="clear" w:color="000000" w:fill="FFFFFF"/>
            <w:noWrap/>
            <w:vAlign w:val="bottom"/>
            <w:hideMark/>
          </w:tcPr>
          <w:p w14:paraId="2A3BAE0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0.0020</w:t>
            </w:r>
          </w:p>
        </w:tc>
        <w:tc>
          <w:tcPr>
            <w:tcW w:w="1300" w:type="dxa"/>
            <w:tcBorders>
              <w:top w:val="nil"/>
              <w:left w:val="nil"/>
              <w:bottom w:val="nil"/>
              <w:right w:val="nil"/>
            </w:tcBorders>
            <w:shd w:val="clear" w:color="000000" w:fill="FFFFFF"/>
            <w:noWrap/>
            <w:vAlign w:val="bottom"/>
            <w:hideMark/>
          </w:tcPr>
          <w:p w14:paraId="4E91018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2BF3E1CC"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2.461</w:t>
            </w:r>
          </w:p>
        </w:tc>
        <w:tc>
          <w:tcPr>
            <w:tcW w:w="1300" w:type="dxa"/>
            <w:tcBorders>
              <w:top w:val="nil"/>
              <w:left w:val="nil"/>
              <w:bottom w:val="nil"/>
              <w:right w:val="nil"/>
            </w:tcBorders>
            <w:shd w:val="clear" w:color="000000" w:fill="FFFFFF"/>
            <w:noWrap/>
            <w:vAlign w:val="bottom"/>
            <w:hideMark/>
          </w:tcPr>
          <w:p w14:paraId="462A1578"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0.0198</w:t>
            </w:r>
          </w:p>
        </w:tc>
        <w:tc>
          <w:tcPr>
            <w:tcW w:w="1300" w:type="dxa"/>
            <w:tcBorders>
              <w:top w:val="nil"/>
              <w:left w:val="nil"/>
              <w:bottom w:val="nil"/>
              <w:right w:val="nil"/>
            </w:tcBorders>
            <w:shd w:val="clear" w:color="000000" w:fill="FFFFFF"/>
            <w:noWrap/>
            <w:vAlign w:val="bottom"/>
            <w:hideMark/>
          </w:tcPr>
          <w:p w14:paraId="57866593"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26549CD1" w14:textId="77777777" w:rsidTr="00BF76E1">
        <w:trPr>
          <w:trHeight w:val="320"/>
        </w:trPr>
        <w:tc>
          <w:tcPr>
            <w:tcW w:w="1507" w:type="dxa"/>
            <w:tcBorders>
              <w:top w:val="nil"/>
              <w:left w:val="nil"/>
              <w:bottom w:val="nil"/>
              <w:right w:val="nil"/>
            </w:tcBorders>
            <w:shd w:val="clear" w:color="000000" w:fill="FFFFFF"/>
            <w:noWrap/>
            <w:vAlign w:val="bottom"/>
            <w:hideMark/>
          </w:tcPr>
          <w:p w14:paraId="6FC56BA0"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onset_s</w:t>
            </w:r>
            <w:proofErr w:type="spellEnd"/>
          </w:p>
        </w:tc>
        <w:tc>
          <w:tcPr>
            <w:tcW w:w="1093" w:type="dxa"/>
            <w:tcBorders>
              <w:top w:val="nil"/>
              <w:left w:val="nil"/>
              <w:bottom w:val="nil"/>
              <w:right w:val="nil"/>
            </w:tcBorders>
            <w:shd w:val="clear" w:color="000000" w:fill="FFFFFF"/>
            <w:noWrap/>
            <w:vAlign w:val="bottom"/>
            <w:hideMark/>
          </w:tcPr>
          <w:p w14:paraId="03BEC62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0.0007</w:t>
            </w:r>
          </w:p>
        </w:tc>
        <w:tc>
          <w:tcPr>
            <w:tcW w:w="1300" w:type="dxa"/>
            <w:tcBorders>
              <w:top w:val="nil"/>
              <w:left w:val="nil"/>
              <w:bottom w:val="nil"/>
              <w:right w:val="nil"/>
            </w:tcBorders>
            <w:shd w:val="clear" w:color="000000" w:fill="FFFFFF"/>
            <w:noWrap/>
            <w:vAlign w:val="bottom"/>
            <w:hideMark/>
          </w:tcPr>
          <w:p w14:paraId="48C45E5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30652FB0"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34E3503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0.739</w:t>
            </w:r>
          </w:p>
        </w:tc>
        <w:tc>
          <w:tcPr>
            <w:tcW w:w="1300" w:type="dxa"/>
            <w:tcBorders>
              <w:top w:val="nil"/>
              <w:left w:val="nil"/>
              <w:bottom w:val="nil"/>
              <w:right w:val="nil"/>
            </w:tcBorders>
            <w:shd w:val="clear" w:color="000000" w:fill="FFFFFF"/>
            <w:noWrap/>
            <w:vAlign w:val="bottom"/>
            <w:hideMark/>
          </w:tcPr>
          <w:p w14:paraId="0F897A05"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0.4655</w:t>
            </w:r>
          </w:p>
        </w:tc>
        <w:tc>
          <w:tcPr>
            <w:tcW w:w="1300" w:type="dxa"/>
            <w:tcBorders>
              <w:top w:val="nil"/>
              <w:left w:val="nil"/>
              <w:bottom w:val="nil"/>
              <w:right w:val="nil"/>
            </w:tcBorders>
            <w:shd w:val="clear" w:color="000000" w:fill="FFFFFF"/>
            <w:noWrap/>
            <w:vAlign w:val="bottom"/>
            <w:hideMark/>
          </w:tcPr>
          <w:p w14:paraId="281AC718"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310A3514" w14:textId="77777777" w:rsidTr="00BF76E1">
        <w:trPr>
          <w:trHeight w:val="320"/>
        </w:trPr>
        <w:tc>
          <w:tcPr>
            <w:tcW w:w="1507" w:type="dxa"/>
            <w:tcBorders>
              <w:top w:val="nil"/>
              <w:left w:val="nil"/>
              <w:bottom w:val="nil"/>
              <w:right w:val="nil"/>
            </w:tcBorders>
            <w:shd w:val="clear" w:color="000000" w:fill="FFFFFF"/>
            <w:noWrap/>
            <w:vAlign w:val="bottom"/>
            <w:hideMark/>
          </w:tcPr>
          <w:p w14:paraId="1710C124"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MoCA_s</w:t>
            </w:r>
            <w:proofErr w:type="spellEnd"/>
          </w:p>
        </w:tc>
        <w:tc>
          <w:tcPr>
            <w:tcW w:w="1093" w:type="dxa"/>
            <w:tcBorders>
              <w:top w:val="nil"/>
              <w:left w:val="nil"/>
              <w:bottom w:val="nil"/>
              <w:right w:val="nil"/>
            </w:tcBorders>
            <w:shd w:val="clear" w:color="000000" w:fill="FFFFFF"/>
            <w:noWrap/>
            <w:vAlign w:val="bottom"/>
            <w:hideMark/>
          </w:tcPr>
          <w:p w14:paraId="78CE32E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0.0006</w:t>
            </w:r>
          </w:p>
        </w:tc>
        <w:tc>
          <w:tcPr>
            <w:tcW w:w="1300" w:type="dxa"/>
            <w:tcBorders>
              <w:top w:val="nil"/>
              <w:left w:val="nil"/>
              <w:bottom w:val="nil"/>
              <w:right w:val="nil"/>
            </w:tcBorders>
            <w:shd w:val="clear" w:color="000000" w:fill="FFFFFF"/>
            <w:noWrap/>
            <w:vAlign w:val="bottom"/>
            <w:hideMark/>
          </w:tcPr>
          <w:p w14:paraId="1984BEC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1497F545"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24A9202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0.695</w:t>
            </w:r>
          </w:p>
        </w:tc>
        <w:tc>
          <w:tcPr>
            <w:tcW w:w="1300" w:type="dxa"/>
            <w:tcBorders>
              <w:top w:val="nil"/>
              <w:left w:val="nil"/>
              <w:bottom w:val="nil"/>
              <w:right w:val="nil"/>
            </w:tcBorders>
            <w:shd w:val="clear" w:color="000000" w:fill="FFFFFF"/>
            <w:noWrap/>
            <w:vAlign w:val="bottom"/>
            <w:hideMark/>
          </w:tcPr>
          <w:p w14:paraId="0743219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0.4922</w:t>
            </w:r>
          </w:p>
        </w:tc>
        <w:tc>
          <w:tcPr>
            <w:tcW w:w="1300" w:type="dxa"/>
            <w:tcBorders>
              <w:top w:val="nil"/>
              <w:left w:val="nil"/>
              <w:bottom w:val="nil"/>
              <w:right w:val="nil"/>
            </w:tcBorders>
            <w:shd w:val="clear" w:color="000000" w:fill="FFFFFF"/>
            <w:noWrap/>
            <w:vAlign w:val="bottom"/>
            <w:hideMark/>
          </w:tcPr>
          <w:p w14:paraId="356CFBF2"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3A1B7C99" w14:textId="77777777" w:rsidTr="00BF76E1">
        <w:trPr>
          <w:trHeight w:val="340"/>
        </w:trPr>
        <w:tc>
          <w:tcPr>
            <w:tcW w:w="1507" w:type="dxa"/>
            <w:tcBorders>
              <w:top w:val="nil"/>
              <w:left w:val="nil"/>
              <w:bottom w:val="double" w:sz="6" w:space="0" w:color="auto"/>
              <w:right w:val="nil"/>
            </w:tcBorders>
            <w:shd w:val="clear" w:color="000000" w:fill="FFFFFF"/>
            <w:noWrap/>
            <w:vAlign w:val="bottom"/>
            <w:hideMark/>
          </w:tcPr>
          <w:p w14:paraId="6FA302A6"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d1_</w:t>
            </w:r>
            <w:proofErr w:type="gramStart"/>
            <w:r w:rsidRPr="00BF76E1">
              <w:rPr>
                <w:rFonts w:ascii="Times New Roman" w:hAnsi="Times New Roman" w:cs="Times New Roman"/>
                <w:b/>
                <w:bCs/>
                <w:color w:val="000000"/>
                <w:sz w:val="22"/>
                <w:szCs w:val="22"/>
              </w:rPr>
              <w:t>s:VH</w:t>
            </w:r>
            <w:proofErr w:type="gramEnd"/>
            <w:r w:rsidRPr="00BF76E1">
              <w:rPr>
                <w:rFonts w:ascii="Times New Roman" w:hAnsi="Times New Roman" w:cs="Times New Roman"/>
                <w:b/>
                <w:bCs/>
                <w:color w:val="000000"/>
                <w:sz w:val="22"/>
                <w:szCs w:val="22"/>
              </w:rPr>
              <w:t>1</w:t>
            </w:r>
          </w:p>
        </w:tc>
        <w:tc>
          <w:tcPr>
            <w:tcW w:w="1093" w:type="dxa"/>
            <w:tcBorders>
              <w:top w:val="nil"/>
              <w:left w:val="nil"/>
              <w:bottom w:val="double" w:sz="6" w:space="0" w:color="auto"/>
              <w:right w:val="nil"/>
            </w:tcBorders>
            <w:shd w:val="clear" w:color="000000" w:fill="FFFFFF"/>
            <w:noWrap/>
            <w:vAlign w:val="bottom"/>
            <w:hideMark/>
          </w:tcPr>
          <w:p w14:paraId="5BA997F5"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-0.0016</w:t>
            </w:r>
          </w:p>
        </w:tc>
        <w:tc>
          <w:tcPr>
            <w:tcW w:w="1300" w:type="dxa"/>
            <w:tcBorders>
              <w:top w:val="nil"/>
              <w:left w:val="nil"/>
              <w:bottom w:val="double" w:sz="6" w:space="0" w:color="auto"/>
              <w:right w:val="nil"/>
            </w:tcBorders>
            <w:shd w:val="clear" w:color="000000" w:fill="FFFFFF"/>
            <w:noWrap/>
            <w:vAlign w:val="bottom"/>
            <w:hideMark/>
          </w:tcPr>
          <w:p w14:paraId="14378360"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0.0007</w:t>
            </w:r>
          </w:p>
        </w:tc>
        <w:tc>
          <w:tcPr>
            <w:tcW w:w="1300" w:type="dxa"/>
            <w:tcBorders>
              <w:top w:val="nil"/>
              <w:left w:val="nil"/>
              <w:bottom w:val="double" w:sz="6" w:space="0" w:color="auto"/>
              <w:right w:val="nil"/>
            </w:tcBorders>
            <w:shd w:val="clear" w:color="000000" w:fill="FFFFFF"/>
            <w:noWrap/>
            <w:vAlign w:val="bottom"/>
            <w:hideMark/>
          </w:tcPr>
          <w:p w14:paraId="30B7A68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2810</w:t>
            </w:r>
          </w:p>
        </w:tc>
        <w:tc>
          <w:tcPr>
            <w:tcW w:w="1300" w:type="dxa"/>
            <w:tcBorders>
              <w:top w:val="nil"/>
              <w:left w:val="nil"/>
              <w:bottom w:val="double" w:sz="6" w:space="0" w:color="auto"/>
              <w:right w:val="nil"/>
            </w:tcBorders>
            <w:shd w:val="clear" w:color="000000" w:fill="FFFFFF"/>
            <w:noWrap/>
            <w:vAlign w:val="bottom"/>
            <w:hideMark/>
          </w:tcPr>
          <w:p w14:paraId="107C9324"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-2.132</w:t>
            </w:r>
          </w:p>
        </w:tc>
        <w:tc>
          <w:tcPr>
            <w:tcW w:w="1300" w:type="dxa"/>
            <w:tcBorders>
              <w:top w:val="nil"/>
              <w:left w:val="nil"/>
              <w:bottom w:val="double" w:sz="6" w:space="0" w:color="auto"/>
              <w:right w:val="nil"/>
            </w:tcBorders>
            <w:shd w:val="clear" w:color="000000" w:fill="FFFFFF"/>
            <w:noWrap/>
            <w:vAlign w:val="bottom"/>
            <w:hideMark/>
          </w:tcPr>
          <w:p w14:paraId="1625767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0.0331</w:t>
            </w:r>
          </w:p>
        </w:tc>
        <w:tc>
          <w:tcPr>
            <w:tcW w:w="1300" w:type="dxa"/>
            <w:tcBorders>
              <w:top w:val="nil"/>
              <w:left w:val="nil"/>
              <w:bottom w:val="double" w:sz="6" w:space="0" w:color="auto"/>
              <w:right w:val="nil"/>
            </w:tcBorders>
            <w:shd w:val="clear" w:color="000000" w:fill="FFFFFF"/>
            <w:noWrap/>
            <w:vAlign w:val="bottom"/>
            <w:hideMark/>
          </w:tcPr>
          <w:p w14:paraId="363F6BE8"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41235456" w14:textId="77777777" w:rsidTr="00BF76E1">
        <w:trPr>
          <w:trHeight w:val="340"/>
        </w:trPr>
        <w:tc>
          <w:tcPr>
            <w:tcW w:w="1507" w:type="dxa"/>
            <w:tcBorders>
              <w:top w:val="nil"/>
              <w:left w:val="nil"/>
              <w:bottom w:val="nil"/>
              <w:right w:val="nil"/>
            </w:tcBorders>
            <w:shd w:val="clear" w:color="000000" w:fill="FFFFFF"/>
            <w:noWrap/>
            <w:vAlign w:val="bottom"/>
            <w:hideMark/>
          </w:tcPr>
          <w:p w14:paraId="4B87C0D7"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093" w:type="dxa"/>
            <w:tcBorders>
              <w:top w:val="nil"/>
              <w:left w:val="nil"/>
              <w:bottom w:val="nil"/>
              <w:right w:val="nil"/>
            </w:tcBorders>
            <w:shd w:val="clear" w:color="000000" w:fill="FFFFFF"/>
            <w:noWrap/>
            <w:vAlign w:val="bottom"/>
            <w:hideMark/>
          </w:tcPr>
          <w:p w14:paraId="31FDC7FB"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6FEDB3C9"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0D170A6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47F7BA5C"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05B52F32"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12E0477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530D92D2" w14:textId="77777777" w:rsidTr="00BF76E1">
        <w:trPr>
          <w:trHeight w:val="320"/>
        </w:trPr>
        <w:tc>
          <w:tcPr>
            <w:tcW w:w="1507" w:type="dxa"/>
            <w:tcBorders>
              <w:top w:val="nil"/>
              <w:left w:val="nil"/>
              <w:bottom w:val="nil"/>
              <w:right w:val="nil"/>
            </w:tcBorders>
            <w:shd w:val="clear" w:color="000000" w:fill="FFFFFF"/>
            <w:noWrap/>
            <w:vAlign w:val="bottom"/>
            <w:hideMark/>
          </w:tcPr>
          <w:p w14:paraId="03673D7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093" w:type="dxa"/>
            <w:tcBorders>
              <w:top w:val="nil"/>
              <w:left w:val="nil"/>
              <w:bottom w:val="nil"/>
              <w:right w:val="nil"/>
            </w:tcBorders>
            <w:shd w:val="clear" w:color="000000" w:fill="FFFFFF"/>
            <w:noWrap/>
            <w:vAlign w:val="bottom"/>
            <w:hideMark/>
          </w:tcPr>
          <w:p w14:paraId="2AAE9A83"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076A4C9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1409DF48"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59C78221"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55D815F0"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5DCE6BE2"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769F4E43" w14:textId="77777777" w:rsidTr="00BF76E1">
        <w:trPr>
          <w:trHeight w:val="320"/>
        </w:trPr>
        <w:tc>
          <w:tcPr>
            <w:tcW w:w="5200" w:type="dxa"/>
            <w:gridSpan w:val="4"/>
            <w:tcBorders>
              <w:top w:val="nil"/>
              <w:left w:val="nil"/>
              <w:bottom w:val="nil"/>
              <w:right w:val="nil"/>
            </w:tcBorders>
            <w:shd w:val="clear" w:color="000000" w:fill="FFFFFF"/>
            <w:noWrap/>
            <w:vAlign w:val="bottom"/>
            <w:hideMark/>
          </w:tcPr>
          <w:p w14:paraId="4AC65456"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Acetilcholine</w:t>
            </w:r>
            <w:proofErr w:type="spellEnd"/>
            <w:r w:rsidRPr="00BF76E1">
              <w:rPr>
                <w:rFonts w:ascii="Times New Roman" w:hAnsi="Times New Roman" w:cs="Times New Roman"/>
                <w:b/>
                <w:bCs/>
                <w:color w:val="000000"/>
                <w:sz w:val="22"/>
                <w:szCs w:val="22"/>
              </w:rPr>
              <w:t xml:space="preserve"> </w:t>
            </w:r>
            <w:proofErr w:type="spellStart"/>
            <w:r w:rsidRPr="00BF76E1">
              <w:rPr>
                <w:rFonts w:ascii="Times New Roman" w:hAnsi="Times New Roman" w:cs="Times New Roman"/>
                <w:b/>
                <w:bCs/>
                <w:color w:val="000000"/>
                <w:sz w:val="22"/>
                <w:szCs w:val="22"/>
              </w:rPr>
              <w:t>vAChT</w:t>
            </w:r>
            <w:proofErr w:type="spellEnd"/>
            <w:r w:rsidRPr="00BF76E1">
              <w:rPr>
                <w:rFonts w:ascii="Times New Roman" w:hAnsi="Times New Roman" w:cs="Times New Roman"/>
                <w:b/>
                <w:bCs/>
                <w:color w:val="000000"/>
                <w:sz w:val="22"/>
                <w:szCs w:val="22"/>
              </w:rPr>
              <w:t xml:space="preserve"> n = 18 </w:t>
            </w:r>
            <w:proofErr w:type="spellStart"/>
            <w:r w:rsidRPr="00BF76E1">
              <w:rPr>
                <w:rFonts w:ascii="Times New Roman" w:hAnsi="Times New Roman" w:cs="Times New Roman"/>
                <w:b/>
                <w:bCs/>
                <w:color w:val="000000"/>
                <w:sz w:val="22"/>
                <w:szCs w:val="22"/>
              </w:rPr>
              <w:t>Alghourian</w:t>
            </w:r>
            <w:proofErr w:type="spellEnd"/>
            <w:r w:rsidRPr="00BF76E1">
              <w:rPr>
                <w:rFonts w:ascii="Times New Roman" w:hAnsi="Times New Roman" w:cs="Times New Roman"/>
                <w:b/>
                <w:bCs/>
                <w:color w:val="000000"/>
                <w:sz w:val="22"/>
                <w:szCs w:val="22"/>
              </w:rPr>
              <w:t xml:space="preserve"> et al 2017 </w:t>
            </w:r>
          </w:p>
        </w:tc>
        <w:tc>
          <w:tcPr>
            <w:tcW w:w="1300" w:type="dxa"/>
            <w:tcBorders>
              <w:top w:val="nil"/>
              <w:left w:val="nil"/>
              <w:bottom w:val="nil"/>
              <w:right w:val="nil"/>
            </w:tcBorders>
            <w:shd w:val="clear" w:color="000000" w:fill="FFFFFF"/>
            <w:noWrap/>
            <w:vAlign w:val="bottom"/>
            <w:hideMark/>
          </w:tcPr>
          <w:p w14:paraId="359E3D1C"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129B3B28"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68393B28"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7ED86491" w14:textId="77777777" w:rsidTr="00BF76E1">
        <w:trPr>
          <w:trHeight w:val="320"/>
        </w:trPr>
        <w:tc>
          <w:tcPr>
            <w:tcW w:w="1507" w:type="dxa"/>
            <w:tcBorders>
              <w:top w:val="nil"/>
              <w:left w:val="nil"/>
              <w:bottom w:val="nil"/>
              <w:right w:val="nil"/>
            </w:tcBorders>
            <w:shd w:val="clear" w:color="000000" w:fill="FFFFFF"/>
            <w:noWrap/>
            <w:vAlign w:val="bottom"/>
            <w:hideMark/>
          </w:tcPr>
          <w:p w14:paraId="588A4D49"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093" w:type="dxa"/>
            <w:tcBorders>
              <w:top w:val="nil"/>
              <w:left w:val="nil"/>
              <w:bottom w:val="nil"/>
              <w:right w:val="nil"/>
            </w:tcBorders>
            <w:shd w:val="clear" w:color="000000" w:fill="FFFFFF"/>
            <w:noWrap/>
            <w:vAlign w:val="bottom"/>
            <w:hideMark/>
          </w:tcPr>
          <w:p w14:paraId="4CC3C767"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0DC5AB1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73423234"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4D8CD759"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2F2E3EBC"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1C297E20"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52D20CBC" w14:textId="77777777" w:rsidTr="00BF76E1">
        <w:trPr>
          <w:trHeight w:val="320"/>
        </w:trPr>
        <w:tc>
          <w:tcPr>
            <w:tcW w:w="1507" w:type="dxa"/>
            <w:tcBorders>
              <w:top w:val="single" w:sz="4" w:space="0" w:color="auto"/>
              <w:left w:val="nil"/>
              <w:bottom w:val="single" w:sz="4" w:space="0" w:color="auto"/>
              <w:right w:val="nil"/>
            </w:tcBorders>
            <w:shd w:val="clear" w:color="000000" w:fill="FFFFFF"/>
            <w:noWrap/>
            <w:vAlign w:val="bottom"/>
            <w:hideMark/>
          </w:tcPr>
          <w:p w14:paraId="4E9711CD"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Term</w:t>
            </w:r>
          </w:p>
        </w:tc>
        <w:tc>
          <w:tcPr>
            <w:tcW w:w="1093" w:type="dxa"/>
            <w:tcBorders>
              <w:top w:val="single" w:sz="4" w:space="0" w:color="auto"/>
              <w:left w:val="nil"/>
              <w:bottom w:val="single" w:sz="4" w:space="0" w:color="auto"/>
              <w:right w:val="nil"/>
            </w:tcBorders>
            <w:shd w:val="clear" w:color="000000" w:fill="FFFFFF"/>
            <w:noWrap/>
            <w:vAlign w:val="bottom"/>
            <w:hideMark/>
          </w:tcPr>
          <w:p w14:paraId="1492BA5F"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Estimate</w:t>
            </w:r>
          </w:p>
        </w:tc>
        <w:tc>
          <w:tcPr>
            <w:tcW w:w="1300" w:type="dxa"/>
            <w:tcBorders>
              <w:top w:val="single" w:sz="4" w:space="0" w:color="auto"/>
              <w:left w:val="nil"/>
              <w:bottom w:val="single" w:sz="4" w:space="0" w:color="auto"/>
              <w:right w:val="nil"/>
            </w:tcBorders>
            <w:shd w:val="clear" w:color="000000" w:fill="FFFFFF"/>
            <w:noWrap/>
            <w:vAlign w:val="bottom"/>
            <w:hideMark/>
          </w:tcPr>
          <w:p w14:paraId="5C047A45"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Std. Error</w:t>
            </w:r>
          </w:p>
        </w:tc>
        <w:tc>
          <w:tcPr>
            <w:tcW w:w="1300" w:type="dxa"/>
            <w:tcBorders>
              <w:top w:val="single" w:sz="4" w:space="0" w:color="auto"/>
              <w:left w:val="nil"/>
              <w:bottom w:val="single" w:sz="4" w:space="0" w:color="auto"/>
              <w:right w:val="nil"/>
            </w:tcBorders>
            <w:shd w:val="clear" w:color="000000" w:fill="FFFFFF"/>
            <w:noWrap/>
            <w:vAlign w:val="bottom"/>
            <w:hideMark/>
          </w:tcPr>
          <w:p w14:paraId="32D385E7"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df</w:t>
            </w:r>
            <w:proofErr w:type="spellEnd"/>
          </w:p>
        </w:tc>
        <w:tc>
          <w:tcPr>
            <w:tcW w:w="1300" w:type="dxa"/>
            <w:tcBorders>
              <w:top w:val="single" w:sz="4" w:space="0" w:color="auto"/>
              <w:left w:val="nil"/>
              <w:bottom w:val="single" w:sz="4" w:space="0" w:color="auto"/>
              <w:right w:val="nil"/>
            </w:tcBorders>
            <w:shd w:val="clear" w:color="000000" w:fill="FFFFFF"/>
            <w:noWrap/>
            <w:vAlign w:val="bottom"/>
            <w:hideMark/>
          </w:tcPr>
          <w:p w14:paraId="77C4CAC7"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t value</w:t>
            </w:r>
          </w:p>
        </w:tc>
        <w:tc>
          <w:tcPr>
            <w:tcW w:w="1300" w:type="dxa"/>
            <w:tcBorders>
              <w:top w:val="single" w:sz="4" w:space="0" w:color="auto"/>
              <w:left w:val="nil"/>
              <w:bottom w:val="single" w:sz="4" w:space="0" w:color="auto"/>
              <w:right w:val="nil"/>
            </w:tcBorders>
            <w:shd w:val="clear" w:color="000000" w:fill="FFFFFF"/>
            <w:noWrap/>
            <w:vAlign w:val="bottom"/>
            <w:hideMark/>
          </w:tcPr>
          <w:p w14:paraId="53A428A8"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Pr</w:t>
            </w:r>
            <w:proofErr w:type="spellEnd"/>
            <w:r w:rsidRPr="00BF76E1">
              <w:rPr>
                <w:rFonts w:ascii="Times New Roman" w:hAnsi="Times New Roman" w:cs="Times New Roman"/>
                <w:b/>
                <w:bCs/>
                <w:color w:val="000000"/>
                <w:sz w:val="22"/>
                <w:szCs w:val="22"/>
              </w:rPr>
              <w:t>(&gt;|t|)</w:t>
            </w:r>
          </w:p>
        </w:tc>
        <w:tc>
          <w:tcPr>
            <w:tcW w:w="1300" w:type="dxa"/>
            <w:tcBorders>
              <w:top w:val="single" w:sz="4" w:space="0" w:color="auto"/>
              <w:left w:val="nil"/>
              <w:bottom w:val="single" w:sz="4" w:space="0" w:color="auto"/>
              <w:right w:val="nil"/>
            </w:tcBorders>
            <w:shd w:val="clear" w:color="000000" w:fill="FFFFFF"/>
            <w:noWrap/>
            <w:vAlign w:val="bottom"/>
            <w:hideMark/>
          </w:tcPr>
          <w:p w14:paraId="5BB89251"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Significance</w:t>
            </w:r>
          </w:p>
        </w:tc>
      </w:tr>
      <w:tr w:rsidR="00752E6F" w:rsidRPr="008F01FA" w14:paraId="6F643D81" w14:textId="77777777" w:rsidTr="00BF76E1">
        <w:trPr>
          <w:trHeight w:val="320"/>
        </w:trPr>
        <w:tc>
          <w:tcPr>
            <w:tcW w:w="1507" w:type="dxa"/>
            <w:tcBorders>
              <w:top w:val="nil"/>
              <w:left w:val="nil"/>
              <w:bottom w:val="nil"/>
              <w:right w:val="nil"/>
            </w:tcBorders>
            <w:shd w:val="clear" w:color="000000" w:fill="FFFFFF"/>
            <w:noWrap/>
            <w:vAlign w:val="bottom"/>
            <w:hideMark/>
          </w:tcPr>
          <w:p w14:paraId="5F3F63EF"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(Intercept)</w:t>
            </w:r>
          </w:p>
        </w:tc>
        <w:tc>
          <w:tcPr>
            <w:tcW w:w="1093" w:type="dxa"/>
            <w:tcBorders>
              <w:top w:val="nil"/>
              <w:left w:val="nil"/>
              <w:bottom w:val="nil"/>
              <w:right w:val="nil"/>
            </w:tcBorders>
            <w:shd w:val="clear" w:color="000000" w:fill="FFFFFF"/>
            <w:noWrap/>
            <w:vAlign w:val="bottom"/>
            <w:hideMark/>
          </w:tcPr>
          <w:p w14:paraId="1DE9A74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-0.0019</w:t>
            </w:r>
          </w:p>
        </w:tc>
        <w:tc>
          <w:tcPr>
            <w:tcW w:w="1300" w:type="dxa"/>
            <w:tcBorders>
              <w:top w:val="nil"/>
              <w:left w:val="nil"/>
              <w:bottom w:val="nil"/>
              <w:right w:val="nil"/>
            </w:tcBorders>
            <w:shd w:val="clear" w:color="000000" w:fill="FFFFFF"/>
            <w:noWrap/>
            <w:vAlign w:val="bottom"/>
            <w:hideMark/>
          </w:tcPr>
          <w:p w14:paraId="27C35EB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0.0021</w:t>
            </w:r>
          </w:p>
        </w:tc>
        <w:tc>
          <w:tcPr>
            <w:tcW w:w="1300" w:type="dxa"/>
            <w:tcBorders>
              <w:top w:val="nil"/>
              <w:left w:val="nil"/>
              <w:bottom w:val="nil"/>
              <w:right w:val="nil"/>
            </w:tcBorders>
            <w:shd w:val="clear" w:color="000000" w:fill="FFFFFF"/>
            <w:noWrap/>
            <w:vAlign w:val="bottom"/>
            <w:hideMark/>
          </w:tcPr>
          <w:p w14:paraId="0D160327"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2083B321"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-0.936</w:t>
            </w:r>
          </w:p>
        </w:tc>
        <w:tc>
          <w:tcPr>
            <w:tcW w:w="1300" w:type="dxa"/>
            <w:tcBorders>
              <w:top w:val="nil"/>
              <w:left w:val="nil"/>
              <w:bottom w:val="nil"/>
              <w:right w:val="nil"/>
            </w:tcBorders>
            <w:shd w:val="clear" w:color="000000" w:fill="FFFFFF"/>
            <w:noWrap/>
            <w:vAlign w:val="bottom"/>
            <w:hideMark/>
          </w:tcPr>
          <w:p w14:paraId="777BC92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0.357</w:t>
            </w:r>
          </w:p>
        </w:tc>
        <w:tc>
          <w:tcPr>
            <w:tcW w:w="1300" w:type="dxa"/>
            <w:tcBorders>
              <w:top w:val="nil"/>
              <w:left w:val="nil"/>
              <w:bottom w:val="nil"/>
              <w:right w:val="nil"/>
            </w:tcBorders>
            <w:shd w:val="clear" w:color="000000" w:fill="FFFFFF"/>
            <w:noWrap/>
            <w:vAlign w:val="bottom"/>
            <w:hideMark/>
          </w:tcPr>
          <w:p w14:paraId="62E1115E"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2F95B898" w14:textId="77777777" w:rsidTr="00BF76E1">
        <w:trPr>
          <w:trHeight w:val="320"/>
        </w:trPr>
        <w:tc>
          <w:tcPr>
            <w:tcW w:w="1507" w:type="dxa"/>
            <w:tcBorders>
              <w:top w:val="nil"/>
              <w:left w:val="nil"/>
              <w:bottom w:val="nil"/>
              <w:right w:val="nil"/>
            </w:tcBorders>
            <w:shd w:val="clear" w:color="000000" w:fill="FFFFFF"/>
            <w:noWrap/>
            <w:vAlign w:val="bottom"/>
            <w:hideMark/>
          </w:tcPr>
          <w:p w14:paraId="73986F74"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vacht_s</w:t>
            </w:r>
            <w:proofErr w:type="spellEnd"/>
          </w:p>
        </w:tc>
        <w:tc>
          <w:tcPr>
            <w:tcW w:w="1093" w:type="dxa"/>
            <w:tcBorders>
              <w:top w:val="nil"/>
              <w:left w:val="nil"/>
              <w:bottom w:val="nil"/>
              <w:right w:val="nil"/>
            </w:tcBorders>
            <w:shd w:val="clear" w:color="000000" w:fill="FFFFFF"/>
            <w:noWrap/>
            <w:vAlign w:val="bottom"/>
            <w:hideMark/>
          </w:tcPr>
          <w:p w14:paraId="39F89D11"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-0.0010</w:t>
            </w:r>
          </w:p>
        </w:tc>
        <w:tc>
          <w:tcPr>
            <w:tcW w:w="1300" w:type="dxa"/>
            <w:tcBorders>
              <w:top w:val="nil"/>
              <w:left w:val="nil"/>
              <w:bottom w:val="nil"/>
              <w:right w:val="nil"/>
            </w:tcBorders>
            <w:shd w:val="clear" w:color="000000" w:fill="FFFFFF"/>
            <w:noWrap/>
            <w:vAlign w:val="bottom"/>
            <w:hideMark/>
          </w:tcPr>
          <w:p w14:paraId="11AE6C9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0.0006</w:t>
            </w:r>
          </w:p>
        </w:tc>
        <w:tc>
          <w:tcPr>
            <w:tcW w:w="1300" w:type="dxa"/>
            <w:tcBorders>
              <w:top w:val="nil"/>
              <w:left w:val="nil"/>
              <w:bottom w:val="nil"/>
              <w:right w:val="nil"/>
            </w:tcBorders>
            <w:shd w:val="clear" w:color="000000" w:fill="FFFFFF"/>
            <w:noWrap/>
            <w:vAlign w:val="bottom"/>
            <w:hideMark/>
          </w:tcPr>
          <w:p w14:paraId="6B89C24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2588</w:t>
            </w:r>
          </w:p>
        </w:tc>
        <w:tc>
          <w:tcPr>
            <w:tcW w:w="1300" w:type="dxa"/>
            <w:tcBorders>
              <w:top w:val="nil"/>
              <w:left w:val="nil"/>
              <w:bottom w:val="nil"/>
              <w:right w:val="nil"/>
            </w:tcBorders>
            <w:shd w:val="clear" w:color="000000" w:fill="FFFFFF"/>
            <w:noWrap/>
            <w:vAlign w:val="bottom"/>
            <w:hideMark/>
          </w:tcPr>
          <w:p w14:paraId="1EEE6E84"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-1.745</w:t>
            </w:r>
          </w:p>
        </w:tc>
        <w:tc>
          <w:tcPr>
            <w:tcW w:w="1300" w:type="dxa"/>
            <w:tcBorders>
              <w:top w:val="nil"/>
              <w:left w:val="nil"/>
              <w:bottom w:val="nil"/>
              <w:right w:val="nil"/>
            </w:tcBorders>
            <w:shd w:val="clear" w:color="000000" w:fill="FFFFFF"/>
            <w:noWrap/>
            <w:vAlign w:val="bottom"/>
            <w:hideMark/>
          </w:tcPr>
          <w:p w14:paraId="3C128044"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0.0811</w:t>
            </w:r>
          </w:p>
        </w:tc>
        <w:tc>
          <w:tcPr>
            <w:tcW w:w="1300" w:type="dxa"/>
            <w:tcBorders>
              <w:top w:val="nil"/>
              <w:left w:val="nil"/>
              <w:bottom w:val="nil"/>
              <w:right w:val="nil"/>
            </w:tcBorders>
            <w:shd w:val="clear" w:color="000000" w:fill="FFFFFF"/>
            <w:noWrap/>
            <w:vAlign w:val="bottom"/>
            <w:hideMark/>
          </w:tcPr>
          <w:p w14:paraId="2CCF8107"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4EE6122B" w14:textId="77777777" w:rsidTr="00BF76E1">
        <w:trPr>
          <w:trHeight w:val="320"/>
        </w:trPr>
        <w:tc>
          <w:tcPr>
            <w:tcW w:w="1507" w:type="dxa"/>
            <w:tcBorders>
              <w:top w:val="nil"/>
              <w:left w:val="nil"/>
              <w:bottom w:val="nil"/>
              <w:right w:val="nil"/>
            </w:tcBorders>
            <w:shd w:val="clear" w:color="000000" w:fill="FFFFFF"/>
            <w:noWrap/>
            <w:vAlign w:val="bottom"/>
            <w:hideMark/>
          </w:tcPr>
          <w:p w14:paraId="1DD76AE6"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VH1</w:t>
            </w:r>
          </w:p>
        </w:tc>
        <w:tc>
          <w:tcPr>
            <w:tcW w:w="1093" w:type="dxa"/>
            <w:tcBorders>
              <w:top w:val="nil"/>
              <w:left w:val="nil"/>
              <w:bottom w:val="nil"/>
              <w:right w:val="nil"/>
            </w:tcBorders>
            <w:shd w:val="clear" w:color="000000" w:fill="FFFFFF"/>
            <w:noWrap/>
            <w:vAlign w:val="bottom"/>
            <w:hideMark/>
          </w:tcPr>
          <w:p w14:paraId="6C2CBE90"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0.0045</w:t>
            </w:r>
          </w:p>
        </w:tc>
        <w:tc>
          <w:tcPr>
            <w:tcW w:w="1300" w:type="dxa"/>
            <w:tcBorders>
              <w:top w:val="nil"/>
              <w:left w:val="nil"/>
              <w:bottom w:val="nil"/>
              <w:right w:val="nil"/>
            </w:tcBorders>
            <w:shd w:val="clear" w:color="000000" w:fill="FFFFFF"/>
            <w:noWrap/>
            <w:vAlign w:val="bottom"/>
            <w:hideMark/>
          </w:tcPr>
          <w:p w14:paraId="0B977F52"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0.0018</w:t>
            </w:r>
          </w:p>
        </w:tc>
        <w:tc>
          <w:tcPr>
            <w:tcW w:w="1300" w:type="dxa"/>
            <w:tcBorders>
              <w:top w:val="nil"/>
              <w:left w:val="nil"/>
              <w:bottom w:val="nil"/>
              <w:right w:val="nil"/>
            </w:tcBorders>
            <w:shd w:val="clear" w:color="000000" w:fill="FFFFFF"/>
            <w:noWrap/>
            <w:vAlign w:val="bottom"/>
            <w:hideMark/>
          </w:tcPr>
          <w:p w14:paraId="4DFC1A92"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5B942C34"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2.464</w:t>
            </w:r>
          </w:p>
        </w:tc>
        <w:tc>
          <w:tcPr>
            <w:tcW w:w="1300" w:type="dxa"/>
            <w:tcBorders>
              <w:top w:val="nil"/>
              <w:left w:val="nil"/>
              <w:bottom w:val="nil"/>
              <w:right w:val="nil"/>
            </w:tcBorders>
            <w:shd w:val="clear" w:color="000000" w:fill="FFFFFF"/>
            <w:noWrap/>
            <w:vAlign w:val="bottom"/>
            <w:hideMark/>
          </w:tcPr>
          <w:p w14:paraId="5E70A69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0.0197</w:t>
            </w:r>
          </w:p>
        </w:tc>
        <w:tc>
          <w:tcPr>
            <w:tcW w:w="1300" w:type="dxa"/>
            <w:tcBorders>
              <w:top w:val="nil"/>
              <w:left w:val="nil"/>
              <w:bottom w:val="nil"/>
              <w:right w:val="nil"/>
            </w:tcBorders>
            <w:shd w:val="clear" w:color="000000" w:fill="FFFFFF"/>
            <w:noWrap/>
            <w:vAlign w:val="bottom"/>
            <w:hideMark/>
          </w:tcPr>
          <w:p w14:paraId="22B32D85"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45C363AF" w14:textId="77777777" w:rsidTr="00BF76E1">
        <w:trPr>
          <w:trHeight w:val="320"/>
        </w:trPr>
        <w:tc>
          <w:tcPr>
            <w:tcW w:w="1507" w:type="dxa"/>
            <w:tcBorders>
              <w:top w:val="nil"/>
              <w:left w:val="nil"/>
              <w:bottom w:val="nil"/>
              <w:right w:val="nil"/>
            </w:tcBorders>
            <w:shd w:val="clear" w:color="000000" w:fill="FFFFFF"/>
            <w:noWrap/>
            <w:vAlign w:val="bottom"/>
            <w:hideMark/>
          </w:tcPr>
          <w:p w14:paraId="6B53E711"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age_s</w:t>
            </w:r>
            <w:proofErr w:type="spellEnd"/>
          </w:p>
        </w:tc>
        <w:tc>
          <w:tcPr>
            <w:tcW w:w="1093" w:type="dxa"/>
            <w:tcBorders>
              <w:top w:val="nil"/>
              <w:left w:val="nil"/>
              <w:bottom w:val="nil"/>
              <w:right w:val="nil"/>
            </w:tcBorders>
            <w:shd w:val="clear" w:color="000000" w:fill="FFFFFF"/>
            <w:noWrap/>
            <w:vAlign w:val="bottom"/>
            <w:hideMark/>
          </w:tcPr>
          <w:p w14:paraId="0CD46327"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0.0002</w:t>
            </w:r>
          </w:p>
        </w:tc>
        <w:tc>
          <w:tcPr>
            <w:tcW w:w="1300" w:type="dxa"/>
            <w:tcBorders>
              <w:top w:val="nil"/>
              <w:left w:val="nil"/>
              <w:bottom w:val="nil"/>
              <w:right w:val="nil"/>
            </w:tcBorders>
            <w:shd w:val="clear" w:color="000000" w:fill="FFFFFF"/>
            <w:noWrap/>
            <w:vAlign w:val="bottom"/>
            <w:hideMark/>
          </w:tcPr>
          <w:p w14:paraId="4AEC78E7"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6CE7166C"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78542BA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0.205</w:t>
            </w:r>
          </w:p>
        </w:tc>
        <w:tc>
          <w:tcPr>
            <w:tcW w:w="1300" w:type="dxa"/>
            <w:tcBorders>
              <w:top w:val="nil"/>
              <w:left w:val="nil"/>
              <w:bottom w:val="nil"/>
              <w:right w:val="nil"/>
            </w:tcBorders>
            <w:shd w:val="clear" w:color="000000" w:fill="FFFFFF"/>
            <w:noWrap/>
            <w:vAlign w:val="bottom"/>
            <w:hideMark/>
          </w:tcPr>
          <w:p w14:paraId="501AF68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0.8387</w:t>
            </w:r>
          </w:p>
        </w:tc>
        <w:tc>
          <w:tcPr>
            <w:tcW w:w="1300" w:type="dxa"/>
            <w:tcBorders>
              <w:top w:val="nil"/>
              <w:left w:val="nil"/>
              <w:bottom w:val="nil"/>
              <w:right w:val="nil"/>
            </w:tcBorders>
            <w:shd w:val="clear" w:color="000000" w:fill="FFFFFF"/>
            <w:noWrap/>
            <w:vAlign w:val="bottom"/>
            <w:hideMark/>
          </w:tcPr>
          <w:p w14:paraId="3570DC62"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2E573A68" w14:textId="77777777" w:rsidTr="00BF76E1">
        <w:trPr>
          <w:trHeight w:val="320"/>
        </w:trPr>
        <w:tc>
          <w:tcPr>
            <w:tcW w:w="1507" w:type="dxa"/>
            <w:tcBorders>
              <w:top w:val="nil"/>
              <w:left w:val="nil"/>
              <w:bottom w:val="nil"/>
              <w:right w:val="nil"/>
            </w:tcBorders>
            <w:shd w:val="clear" w:color="000000" w:fill="FFFFFF"/>
            <w:noWrap/>
            <w:vAlign w:val="bottom"/>
            <w:hideMark/>
          </w:tcPr>
          <w:p w14:paraId="73D4005F"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LEDD_s</w:t>
            </w:r>
          </w:p>
        </w:tc>
        <w:tc>
          <w:tcPr>
            <w:tcW w:w="1093" w:type="dxa"/>
            <w:tcBorders>
              <w:top w:val="nil"/>
              <w:left w:val="nil"/>
              <w:bottom w:val="nil"/>
              <w:right w:val="nil"/>
            </w:tcBorders>
            <w:shd w:val="clear" w:color="000000" w:fill="FFFFFF"/>
            <w:noWrap/>
            <w:vAlign w:val="bottom"/>
            <w:hideMark/>
          </w:tcPr>
          <w:p w14:paraId="271F278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-0.0006</w:t>
            </w:r>
          </w:p>
        </w:tc>
        <w:tc>
          <w:tcPr>
            <w:tcW w:w="1300" w:type="dxa"/>
            <w:tcBorders>
              <w:top w:val="nil"/>
              <w:left w:val="nil"/>
              <w:bottom w:val="nil"/>
              <w:right w:val="nil"/>
            </w:tcBorders>
            <w:shd w:val="clear" w:color="000000" w:fill="FFFFFF"/>
            <w:noWrap/>
            <w:vAlign w:val="bottom"/>
            <w:hideMark/>
          </w:tcPr>
          <w:p w14:paraId="713B8EC0"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0.0011</w:t>
            </w:r>
          </w:p>
        </w:tc>
        <w:tc>
          <w:tcPr>
            <w:tcW w:w="1300" w:type="dxa"/>
            <w:tcBorders>
              <w:top w:val="nil"/>
              <w:left w:val="nil"/>
              <w:bottom w:val="nil"/>
              <w:right w:val="nil"/>
            </w:tcBorders>
            <w:shd w:val="clear" w:color="000000" w:fill="FFFFFF"/>
            <w:noWrap/>
            <w:vAlign w:val="bottom"/>
            <w:hideMark/>
          </w:tcPr>
          <w:p w14:paraId="14E04481"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7AB0B9C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-0.564</w:t>
            </w:r>
          </w:p>
        </w:tc>
        <w:tc>
          <w:tcPr>
            <w:tcW w:w="1300" w:type="dxa"/>
            <w:tcBorders>
              <w:top w:val="nil"/>
              <w:left w:val="nil"/>
              <w:bottom w:val="nil"/>
              <w:right w:val="nil"/>
            </w:tcBorders>
            <w:shd w:val="clear" w:color="000000" w:fill="FFFFFF"/>
            <w:noWrap/>
            <w:vAlign w:val="bottom"/>
            <w:hideMark/>
          </w:tcPr>
          <w:p w14:paraId="68D46BAC"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0.5773</w:t>
            </w:r>
          </w:p>
        </w:tc>
        <w:tc>
          <w:tcPr>
            <w:tcW w:w="1300" w:type="dxa"/>
            <w:tcBorders>
              <w:top w:val="nil"/>
              <w:left w:val="nil"/>
              <w:bottom w:val="nil"/>
              <w:right w:val="nil"/>
            </w:tcBorders>
            <w:shd w:val="clear" w:color="000000" w:fill="FFFFFF"/>
            <w:noWrap/>
            <w:vAlign w:val="bottom"/>
            <w:hideMark/>
          </w:tcPr>
          <w:p w14:paraId="383397E7"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164BC437" w14:textId="77777777" w:rsidTr="00BF76E1">
        <w:trPr>
          <w:trHeight w:val="320"/>
        </w:trPr>
        <w:tc>
          <w:tcPr>
            <w:tcW w:w="1507" w:type="dxa"/>
            <w:tcBorders>
              <w:top w:val="nil"/>
              <w:left w:val="nil"/>
              <w:bottom w:val="nil"/>
              <w:right w:val="nil"/>
            </w:tcBorders>
            <w:shd w:val="clear" w:color="000000" w:fill="FFFFFF"/>
            <w:noWrap/>
            <w:vAlign w:val="bottom"/>
            <w:hideMark/>
          </w:tcPr>
          <w:p w14:paraId="6368782D"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sexmale</w:t>
            </w:r>
            <w:proofErr w:type="spellEnd"/>
          </w:p>
        </w:tc>
        <w:tc>
          <w:tcPr>
            <w:tcW w:w="1093" w:type="dxa"/>
            <w:tcBorders>
              <w:top w:val="nil"/>
              <w:left w:val="nil"/>
              <w:bottom w:val="nil"/>
              <w:right w:val="nil"/>
            </w:tcBorders>
            <w:shd w:val="clear" w:color="000000" w:fill="FFFFFF"/>
            <w:noWrap/>
            <w:vAlign w:val="bottom"/>
            <w:hideMark/>
          </w:tcPr>
          <w:p w14:paraId="39D752B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0.0048</w:t>
            </w:r>
          </w:p>
        </w:tc>
        <w:tc>
          <w:tcPr>
            <w:tcW w:w="1300" w:type="dxa"/>
            <w:tcBorders>
              <w:top w:val="nil"/>
              <w:left w:val="nil"/>
              <w:bottom w:val="nil"/>
              <w:right w:val="nil"/>
            </w:tcBorders>
            <w:shd w:val="clear" w:color="000000" w:fill="FFFFFF"/>
            <w:noWrap/>
            <w:vAlign w:val="bottom"/>
            <w:hideMark/>
          </w:tcPr>
          <w:p w14:paraId="148D977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0.0021</w:t>
            </w:r>
          </w:p>
        </w:tc>
        <w:tc>
          <w:tcPr>
            <w:tcW w:w="1300" w:type="dxa"/>
            <w:tcBorders>
              <w:top w:val="nil"/>
              <w:left w:val="nil"/>
              <w:bottom w:val="nil"/>
              <w:right w:val="nil"/>
            </w:tcBorders>
            <w:shd w:val="clear" w:color="000000" w:fill="FFFFFF"/>
            <w:noWrap/>
            <w:vAlign w:val="bottom"/>
            <w:hideMark/>
          </w:tcPr>
          <w:p w14:paraId="16F9822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7D031A02"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2.301</w:t>
            </w:r>
          </w:p>
        </w:tc>
        <w:tc>
          <w:tcPr>
            <w:tcW w:w="1300" w:type="dxa"/>
            <w:tcBorders>
              <w:top w:val="nil"/>
              <w:left w:val="nil"/>
              <w:bottom w:val="nil"/>
              <w:right w:val="nil"/>
            </w:tcBorders>
            <w:shd w:val="clear" w:color="000000" w:fill="FFFFFF"/>
            <w:noWrap/>
            <w:vAlign w:val="bottom"/>
            <w:hideMark/>
          </w:tcPr>
          <w:p w14:paraId="7B09CAF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0.0285</w:t>
            </w:r>
          </w:p>
        </w:tc>
        <w:tc>
          <w:tcPr>
            <w:tcW w:w="1300" w:type="dxa"/>
            <w:tcBorders>
              <w:top w:val="nil"/>
              <w:left w:val="nil"/>
              <w:bottom w:val="nil"/>
              <w:right w:val="nil"/>
            </w:tcBorders>
            <w:shd w:val="clear" w:color="000000" w:fill="FFFFFF"/>
            <w:noWrap/>
            <w:vAlign w:val="bottom"/>
            <w:hideMark/>
          </w:tcPr>
          <w:p w14:paraId="41BD4D50"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1B3CA726" w14:textId="77777777" w:rsidTr="00BF76E1">
        <w:trPr>
          <w:trHeight w:val="320"/>
        </w:trPr>
        <w:tc>
          <w:tcPr>
            <w:tcW w:w="1507" w:type="dxa"/>
            <w:tcBorders>
              <w:top w:val="nil"/>
              <w:left w:val="nil"/>
              <w:bottom w:val="nil"/>
              <w:right w:val="nil"/>
            </w:tcBorders>
            <w:shd w:val="clear" w:color="000000" w:fill="FFFFFF"/>
            <w:noWrap/>
            <w:vAlign w:val="bottom"/>
            <w:hideMark/>
          </w:tcPr>
          <w:p w14:paraId="73B336C3"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onset_s</w:t>
            </w:r>
            <w:proofErr w:type="spellEnd"/>
          </w:p>
        </w:tc>
        <w:tc>
          <w:tcPr>
            <w:tcW w:w="1093" w:type="dxa"/>
            <w:tcBorders>
              <w:top w:val="nil"/>
              <w:left w:val="nil"/>
              <w:bottom w:val="nil"/>
              <w:right w:val="nil"/>
            </w:tcBorders>
            <w:shd w:val="clear" w:color="000000" w:fill="FFFFFF"/>
            <w:noWrap/>
            <w:vAlign w:val="bottom"/>
            <w:hideMark/>
          </w:tcPr>
          <w:p w14:paraId="3D48CD4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0.0004</w:t>
            </w:r>
          </w:p>
        </w:tc>
        <w:tc>
          <w:tcPr>
            <w:tcW w:w="1300" w:type="dxa"/>
            <w:tcBorders>
              <w:top w:val="nil"/>
              <w:left w:val="nil"/>
              <w:bottom w:val="nil"/>
              <w:right w:val="nil"/>
            </w:tcBorders>
            <w:shd w:val="clear" w:color="000000" w:fill="FFFFFF"/>
            <w:noWrap/>
            <w:vAlign w:val="bottom"/>
            <w:hideMark/>
          </w:tcPr>
          <w:p w14:paraId="2CF8E38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633E9D98"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7430B658"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0.442</w:t>
            </w:r>
          </w:p>
        </w:tc>
        <w:tc>
          <w:tcPr>
            <w:tcW w:w="1300" w:type="dxa"/>
            <w:tcBorders>
              <w:top w:val="nil"/>
              <w:left w:val="nil"/>
              <w:bottom w:val="nil"/>
              <w:right w:val="nil"/>
            </w:tcBorders>
            <w:shd w:val="clear" w:color="000000" w:fill="FFFFFF"/>
            <w:noWrap/>
            <w:vAlign w:val="bottom"/>
            <w:hideMark/>
          </w:tcPr>
          <w:p w14:paraId="0BD03DE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0.6616</w:t>
            </w:r>
          </w:p>
        </w:tc>
        <w:tc>
          <w:tcPr>
            <w:tcW w:w="1300" w:type="dxa"/>
            <w:tcBorders>
              <w:top w:val="nil"/>
              <w:left w:val="nil"/>
              <w:bottom w:val="nil"/>
              <w:right w:val="nil"/>
            </w:tcBorders>
            <w:shd w:val="clear" w:color="000000" w:fill="FFFFFF"/>
            <w:noWrap/>
            <w:vAlign w:val="bottom"/>
            <w:hideMark/>
          </w:tcPr>
          <w:p w14:paraId="4EE3FBB8"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09016403" w14:textId="77777777" w:rsidTr="00BF76E1">
        <w:trPr>
          <w:trHeight w:val="320"/>
        </w:trPr>
        <w:tc>
          <w:tcPr>
            <w:tcW w:w="1507" w:type="dxa"/>
            <w:tcBorders>
              <w:top w:val="nil"/>
              <w:left w:val="nil"/>
              <w:bottom w:val="nil"/>
              <w:right w:val="nil"/>
            </w:tcBorders>
            <w:shd w:val="clear" w:color="000000" w:fill="FFFFFF"/>
            <w:noWrap/>
            <w:vAlign w:val="bottom"/>
            <w:hideMark/>
          </w:tcPr>
          <w:p w14:paraId="00E52677"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MoCA_s</w:t>
            </w:r>
            <w:proofErr w:type="spellEnd"/>
          </w:p>
        </w:tc>
        <w:tc>
          <w:tcPr>
            <w:tcW w:w="1093" w:type="dxa"/>
            <w:tcBorders>
              <w:top w:val="nil"/>
              <w:left w:val="nil"/>
              <w:bottom w:val="nil"/>
              <w:right w:val="nil"/>
            </w:tcBorders>
            <w:shd w:val="clear" w:color="000000" w:fill="FFFFFF"/>
            <w:noWrap/>
            <w:vAlign w:val="bottom"/>
            <w:hideMark/>
          </w:tcPr>
          <w:p w14:paraId="7201458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0.0005</w:t>
            </w:r>
          </w:p>
        </w:tc>
        <w:tc>
          <w:tcPr>
            <w:tcW w:w="1300" w:type="dxa"/>
            <w:tcBorders>
              <w:top w:val="nil"/>
              <w:left w:val="nil"/>
              <w:bottom w:val="nil"/>
              <w:right w:val="nil"/>
            </w:tcBorders>
            <w:shd w:val="clear" w:color="000000" w:fill="FFFFFF"/>
            <w:noWrap/>
            <w:vAlign w:val="bottom"/>
            <w:hideMark/>
          </w:tcPr>
          <w:p w14:paraId="35D5ED0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6AF3947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1D9462E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0.565</w:t>
            </w:r>
          </w:p>
        </w:tc>
        <w:tc>
          <w:tcPr>
            <w:tcW w:w="1300" w:type="dxa"/>
            <w:tcBorders>
              <w:top w:val="nil"/>
              <w:left w:val="nil"/>
              <w:bottom w:val="nil"/>
              <w:right w:val="nil"/>
            </w:tcBorders>
            <w:shd w:val="clear" w:color="000000" w:fill="FFFFFF"/>
            <w:noWrap/>
            <w:vAlign w:val="bottom"/>
            <w:hideMark/>
          </w:tcPr>
          <w:p w14:paraId="60A38D3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0.576</w:t>
            </w:r>
          </w:p>
        </w:tc>
        <w:tc>
          <w:tcPr>
            <w:tcW w:w="1300" w:type="dxa"/>
            <w:tcBorders>
              <w:top w:val="nil"/>
              <w:left w:val="nil"/>
              <w:bottom w:val="nil"/>
              <w:right w:val="nil"/>
            </w:tcBorders>
            <w:shd w:val="clear" w:color="000000" w:fill="FFFFFF"/>
            <w:noWrap/>
            <w:vAlign w:val="bottom"/>
            <w:hideMark/>
          </w:tcPr>
          <w:p w14:paraId="7D6E3C04"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282D6074" w14:textId="77777777" w:rsidTr="00BF76E1">
        <w:trPr>
          <w:trHeight w:val="340"/>
        </w:trPr>
        <w:tc>
          <w:tcPr>
            <w:tcW w:w="1507" w:type="dxa"/>
            <w:tcBorders>
              <w:top w:val="nil"/>
              <w:left w:val="nil"/>
              <w:bottom w:val="double" w:sz="6" w:space="0" w:color="auto"/>
              <w:right w:val="nil"/>
            </w:tcBorders>
            <w:shd w:val="clear" w:color="000000" w:fill="FFFFFF"/>
            <w:noWrap/>
            <w:vAlign w:val="bottom"/>
            <w:hideMark/>
          </w:tcPr>
          <w:p w14:paraId="156672A0"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vacht_</w:t>
            </w:r>
            <w:proofErr w:type="gramStart"/>
            <w:r w:rsidRPr="00BF76E1">
              <w:rPr>
                <w:rFonts w:ascii="Times New Roman" w:hAnsi="Times New Roman" w:cs="Times New Roman"/>
                <w:b/>
                <w:bCs/>
                <w:color w:val="000000"/>
                <w:sz w:val="22"/>
                <w:szCs w:val="22"/>
              </w:rPr>
              <w:t>s:VH</w:t>
            </w:r>
            <w:proofErr w:type="gramEnd"/>
            <w:r w:rsidRPr="00BF76E1">
              <w:rPr>
                <w:rFonts w:ascii="Times New Roman" w:hAnsi="Times New Roman" w:cs="Times New Roman"/>
                <w:b/>
                <w:bCs/>
                <w:color w:val="000000"/>
                <w:sz w:val="22"/>
                <w:szCs w:val="22"/>
              </w:rPr>
              <w:t>1</w:t>
            </w:r>
          </w:p>
        </w:tc>
        <w:tc>
          <w:tcPr>
            <w:tcW w:w="1093" w:type="dxa"/>
            <w:tcBorders>
              <w:top w:val="nil"/>
              <w:left w:val="nil"/>
              <w:bottom w:val="double" w:sz="6" w:space="0" w:color="auto"/>
              <w:right w:val="nil"/>
            </w:tcBorders>
            <w:shd w:val="clear" w:color="000000" w:fill="FFFFFF"/>
            <w:noWrap/>
            <w:vAlign w:val="bottom"/>
            <w:hideMark/>
          </w:tcPr>
          <w:p w14:paraId="16482C0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-0.0012</w:t>
            </w:r>
          </w:p>
        </w:tc>
        <w:tc>
          <w:tcPr>
            <w:tcW w:w="1300" w:type="dxa"/>
            <w:tcBorders>
              <w:top w:val="nil"/>
              <w:left w:val="nil"/>
              <w:bottom w:val="double" w:sz="6" w:space="0" w:color="auto"/>
              <w:right w:val="nil"/>
            </w:tcBorders>
            <w:shd w:val="clear" w:color="000000" w:fill="FFFFFF"/>
            <w:noWrap/>
            <w:vAlign w:val="bottom"/>
            <w:hideMark/>
          </w:tcPr>
          <w:p w14:paraId="69CEFD4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0.0008</w:t>
            </w:r>
          </w:p>
        </w:tc>
        <w:tc>
          <w:tcPr>
            <w:tcW w:w="1300" w:type="dxa"/>
            <w:tcBorders>
              <w:top w:val="nil"/>
              <w:left w:val="nil"/>
              <w:bottom w:val="double" w:sz="6" w:space="0" w:color="auto"/>
              <w:right w:val="nil"/>
            </w:tcBorders>
            <w:shd w:val="clear" w:color="000000" w:fill="FFFFFF"/>
            <w:noWrap/>
            <w:vAlign w:val="bottom"/>
            <w:hideMark/>
          </w:tcPr>
          <w:p w14:paraId="44D8B2F0"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2588</w:t>
            </w:r>
          </w:p>
        </w:tc>
        <w:tc>
          <w:tcPr>
            <w:tcW w:w="1300" w:type="dxa"/>
            <w:tcBorders>
              <w:top w:val="nil"/>
              <w:left w:val="nil"/>
              <w:bottom w:val="double" w:sz="6" w:space="0" w:color="auto"/>
              <w:right w:val="nil"/>
            </w:tcBorders>
            <w:shd w:val="clear" w:color="000000" w:fill="FFFFFF"/>
            <w:noWrap/>
            <w:vAlign w:val="bottom"/>
            <w:hideMark/>
          </w:tcPr>
          <w:p w14:paraId="485588F7"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-1.576</w:t>
            </w:r>
          </w:p>
        </w:tc>
        <w:tc>
          <w:tcPr>
            <w:tcW w:w="1300" w:type="dxa"/>
            <w:tcBorders>
              <w:top w:val="nil"/>
              <w:left w:val="nil"/>
              <w:bottom w:val="double" w:sz="6" w:space="0" w:color="auto"/>
              <w:right w:val="nil"/>
            </w:tcBorders>
            <w:shd w:val="clear" w:color="000000" w:fill="FFFFFF"/>
            <w:noWrap/>
            <w:vAlign w:val="bottom"/>
            <w:hideMark/>
          </w:tcPr>
          <w:p w14:paraId="1474352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0.115</w:t>
            </w:r>
          </w:p>
        </w:tc>
        <w:tc>
          <w:tcPr>
            <w:tcW w:w="1300" w:type="dxa"/>
            <w:tcBorders>
              <w:top w:val="nil"/>
              <w:left w:val="nil"/>
              <w:bottom w:val="double" w:sz="6" w:space="0" w:color="auto"/>
              <w:right w:val="nil"/>
            </w:tcBorders>
            <w:shd w:val="clear" w:color="000000" w:fill="FFFFFF"/>
            <w:noWrap/>
            <w:vAlign w:val="bottom"/>
            <w:hideMark/>
          </w:tcPr>
          <w:p w14:paraId="49284008"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42204573" w14:textId="77777777" w:rsidTr="00BF76E1">
        <w:trPr>
          <w:trHeight w:val="340"/>
        </w:trPr>
        <w:tc>
          <w:tcPr>
            <w:tcW w:w="1507" w:type="dxa"/>
            <w:tcBorders>
              <w:top w:val="nil"/>
              <w:left w:val="nil"/>
              <w:bottom w:val="nil"/>
              <w:right w:val="nil"/>
            </w:tcBorders>
            <w:shd w:val="clear" w:color="000000" w:fill="FFFFFF"/>
            <w:noWrap/>
            <w:vAlign w:val="bottom"/>
            <w:hideMark/>
          </w:tcPr>
          <w:p w14:paraId="6FDA0B0B"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093" w:type="dxa"/>
            <w:tcBorders>
              <w:top w:val="nil"/>
              <w:left w:val="nil"/>
              <w:bottom w:val="nil"/>
              <w:right w:val="nil"/>
            </w:tcBorders>
            <w:shd w:val="clear" w:color="000000" w:fill="FFFFFF"/>
            <w:noWrap/>
            <w:vAlign w:val="bottom"/>
            <w:hideMark/>
          </w:tcPr>
          <w:p w14:paraId="1AE69B16"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1BD858A9"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55CE11A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5D890239"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6C271F85"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33F110DA"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702C640A" w14:textId="77777777" w:rsidTr="00BF76E1">
        <w:trPr>
          <w:trHeight w:val="320"/>
        </w:trPr>
        <w:tc>
          <w:tcPr>
            <w:tcW w:w="1507" w:type="dxa"/>
            <w:tcBorders>
              <w:top w:val="nil"/>
              <w:left w:val="nil"/>
              <w:bottom w:val="nil"/>
              <w:right w:val="nil"/>
            </w:tcBorders>
            <w:shd w:val="clear" w:color="000000" w:fill="FFFFFF"/>
            <w:noWrap/>
            <w:vAlign w:val="bottom"/>
            <w:hideMark/>
          </w:tcPr>
          <w:p w14:paraId="6B1526D7"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lastRenderedPageBreak/>
              <w:t> </w:t>
            </w:r>
          </w:p>
        </w:tc>
        <w:tc>
          <w:tcPr>
            <w:tcW w:w="1093" w:type="dxa"/>
            <w:tcBorders>
              <w:top w:val="nil"/>
              <w:left w:val="nil"/>
              <w:bottom w:val="nil"/>
              <w:right w:val="nil"/>
            </w:tcBorders>
            <w:shd w:val="clear" w:color="000000" w:fill="FFFFFF"/>
            <w:noWrap/>
            <w:vAlign w:val="bottom"/>
            <w:hideMark/>
          </w:tcPr>
          <w:p w14:paraId="257FECAF"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37A7C2A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39E43D2A"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040B57B1"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422FD633"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40394582"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50C29A5D" w14:textId="77777777" w:rsidTr="00BF76E1">
        <w:trPr>
          <w:trHeight w:val="320"/>
        </w:trPr>
        <w:tc>
          <w:tcPr>
            <w:tcW w:w="5200" w:type="dxa"/>
            <w:gridSpan w:val="4"/>
            <w:tcBorders>
              <w:top w:val="nil"/>
              <w:left w:val="nil"/>
              <w:bottom w:val="nil"/>
              <w:right w:val="nil"/>
            </w:tcBorders>
            <w:shd w:val="clear" w:color="000000" w:fill="FFFFFF"/>
            <w:noWrap/>
            <w:vAlign w:val="bottom"/>
            <w:hideMark/>
          </w:tcPr>
          <w:p w14:paraId="7206CF56"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Acetilcholine</w:t>
            </w:r>
            <w:proofErr w:type="spellEnd"/>
            <w:r w:rsidRPr="00BF76E1">
              <w:rPr>
                <w:rFonts w:ascii="Times New Roman" w:hAnsi="Times New Roman" w:cs="Times New Roman"/>
                <w:b/>
                <w:bCs/>
                <w:color w:val="000000"/>
                <w:sz w:val="22"/>
                <w:szCs w:val="22"/>
              </w:rPr>
              <w:t xml:space="preserve"> </w:t>
            </w:r>
            <w:proofErr w:type="spellStart"/>
            <w:r w:rsidRPr="00BF76E1">
              <w:rPr>
                <w:rFonts w:ascii="Times New Roman" w:hAnsi="Times New Roman" w:cs="Times New Roman"/>
                <w:b/>
                <w:bCs/>
                <w:color w:val="000000"/>
                <w:sz w:val="22"/>
                <w:szCs w:val="22"/>
              </w:rPr>
              <w:t>vAChT</w:t>
            </w:r>
            <w:proofErr w:type="spellEnd"/>
            <w:r w:rsidRPr="00BF76E1">
              <w:rPr>
                <w:rFonts w:ascii="Times New Roman" w:hAnsi="Times New Roman" w:cs="Times New Roman"/>
                <w:b/>
                <w:bCs/>
                <w:color w:val="000000"/>
                <w:sz w:val="22"/>
                <w:szCs w:val="22"/>
              </w:rPr>
              <w:t xml:space="preserve"> n = 4 </w:t>
            </w:r>
            <w:proofErr w:type="spellStart"/>
            <w:r w:rsidRPr="00BF76E1">
              <w:rPr>
                <w:rFonts w:ascii="Times New Roman" w:hAnsi="Times New Roman" w:cs="Times New Roman"/>
                <w:b/>
                <w:bCs/>
                <w:color w:val="000000"/>
                <w:sz w:val="22"/>
                <w:szCs w:val="22"/>
              </w:rPr>
              <w:t>sensirivity</w:t>
            </w:r>
            <w:proofErr w:type="spellEnd"/>
            <w:r w:rsidRPr="00BF76E1">
              <w:rPr>
                <w:rFonts w:ascii="Times New Roman" w:hAnsi="Times New Roman" w:cs="Times New Roman"/>
                <w:b/>
                <w:bCs/>
                <w:color w:val="000000"/>
                <w:sz w:val="22"/>
                <w:szCs w:val="22"/>
              </w:rPr>
              <w:t xml:space="preserve"> analysis</w:t>
            </w:r>
          </w:p>
        </w:tc>
        <w:tc>
          <w:tcPr>
            <w:tcW w:w="1300" w:type="dxa"/>
            <w:tcBorders>
              <w:top w:val="nil"/>
              <w:left w:val="nil"/>
              <w:bottom w:val="nil"/>
              <w:right w:val="nil"/>
            </w:tcBorders>
            <w:shd w:val="clear" w:color="000000" w:fill="FFFFFF"/>
            <w:noWrap/>
            <w:vAlign w:val="bottom"/>
            <w:hideMark/>
          </w:tcPr>
          <w:p w14:paraId="0A4D1241"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49C1EC67"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2F970C60"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41E1F711" w14:textId="77777777" w:rsidTr="00BF76E1">
        <w:trPr>
          <w:trHeight w:val="320"/>
        </w:trPr>
        <w:tc>
          <w:tcPr>
            <w:tcW w:w="1507" w:type="dxa"/>
            <w:tcBorders>
              <w:top w:val="nil"/>
              <w:left w:val="nil"/>
              <w:bottom w:val="nil"/>
              <w:right w:val="nil"/>
            </w:tcBorders>
            <w:shd w:val="clear" w:color="000000" w:fill="FFFFFF"/>
            <w:noWrap/>
            <w:vAlign w:val="bottom"/>
            <w:hideMark/>
          </w:tcPr>
          <w:p w14:paraId="54A8B34E"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093" w:type="dxa"/>
            <w:tcBorders>
              <w:top w:val="nil"/>
              <w:left w:val="nil"/>
              <w:bottom w:val="nil"/>
              <w:right w:val="nil"/>
            </w:tcBorders>
            <w:shd w:val="clear" w:color="000000" w:fill="FFFFFF"/>
            <w:noWrap/>
            <w:vAlign w:val="bottom"/>
            <w:hideMark/>
          </w:tcPr>
          <w:p w14:paraId="66F3A926"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2CAD13A3"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06D71F39"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05D57A5E"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69C42583"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24E009BA"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61C56445" w14:textId="77777777" w:rsidTr="00BF76E1">
        <w:trPr>
          <w:trHeight w:val="320"/>
        </w:trPr>
        <w:tc>
          <w:tcPr>
            <w:tcW w:w="1507" w:type="dxa"/>
            <w:tcBorders>
              <w:top w:val="single" w:sz="4" w:space="0" w:color="auto"/>
              <w:left w:val="nil"/>
              <w:bottom w:val="single" w:sz="4" w:space="0" w:color="auto"/>
              <w:right w:val="nil"/>
            </w:tcBorders>
            <w:shd w:val="clear" w:color="000000" w:fill="FFFFFF"/>
            <w:noWrap/>
            <w:vAlign w:val="bottom"/>
            <w:hideMark/>
          </w:tcPr>
          <w:p w14:paraId="14D0207E"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Term</w:t>
            </w:r>
          </w:p>
        </w:tc>
        <w:tc>
          <w:tcPr>
            <w:tcW w:w="1093" w:type="dxa"/>
            <w:tcBorders>
              <w:top w:val="single" w:sz="4" w:space="0" w:color="auto"/>
              <w:left w:val="nil"/>
              <w:bottom w:val="single" w:sz="4" w:space="0" w:color="auto"/>
              <w:right w:val="nil"/>
            </w:tcBorders>
            <w:shd w:val="clear" w:color="000000" w:fill="FFFFFF"/>
            <w:noWrap/>
            <w:vAlign w:val="bottom"/>
            <w:hideMark/>
          </w:tcPr>
          <w:p w14:paraId="0F7B4909"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Estimate</w:t>
            </w:r>
          </w:p>
        </w:tc>
        <w:tc>
          <w:tcPr>
            <w:tcW w:w="1300" w:type="dxa"/>
            <w:tcBorders>
              <w:top w:val="single" w:sz="4" w:space="0" w:color="auto"/>
              <w:left w:val="nil"/>
              <w:bottom w:val="single" w:sz="4" w:space="0" w:color="auto"/>
              <w:right w:val="nil"/>
            </w:tcBorders>
            <w:shd w:val="clear" w:color="000000" w:fill="FFFFFF"/>
            <w:noWrap/>
            <w:vAlign w:val="bottom"/>
            <w:hideMark/>
          </w:tcPr>
          <w:p w14:paraId="07AD87C9"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Std. Error</w:t>
            </w:r>
          </w:p>
        </w:tc>
        <w:tc>
          <w:tcPr>
            <w:tcW w:w="1300" w:type="dxa"/>
            <w:tcBorders>
              <w:top w:val="single" w:sz="4" w:space="0" w:color="auto"/>
              <w:left w:val="nil"/>
              <w:bottom w:val="single" w:sz="4" w:space="0" w:color="auto"/>
              <w:right w:val="nil"/>
            </w:tcBorders>
            <w:shd w:val="clear" w:color="000000" w:fill="FFFFFF"/>
            <w:noWrap/>
            <w:vAlign w:val="bottom"/>
            <w:hideMark/>
          </w:tcPr>
          <w:p w14:paraId="273ECF43"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df</w:t>
            </w:r>
            <w:proofErr w:type="spellEnd"/>
          </w:p>
        </w:tc>
        <w:tc>
          <w:tcPr>
            <w:tcW w:w="1300" w:type="dxa"/>
            <w:tcBorders>
              <w:top w:val="single" w:sz="4" w:space="0" w:color="auto"/>
              <w:left w:val="nil"/>
              <w:bottom w:val="single" w:sz="4" w:space="0" w:color="auto"/>
              <w:right w:val="nil"/>
            </w:tcBorders>
            <w:shd w:val="clear" w:color="000000" w:fill="FFFFFF"/>
            <w:noWrap/>
            <w:vAlign w:val="bottom"/>
            <w:hideMark/>
          </w:tcPr>
          <w:p w14:paraId="2FA1FB62"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t value</w:t>
            </w:r>
          </w:p>
        </w:tc>
        <w:tc>
          <w:tcPr>
            <w:tcW w:w="1300" w:type="dxa"/>
            <w:tcBorders>
              <w:top w:val="single" w:sz="4" w:space="0" w:color="auto"/>
              <w:left w:val="nil"/>
              <w:bottom w:val="single" w:sz="4" w:space="0" w:color="auto"/>
              <w:right w:val="nil"/>
            </w:tcBorders>
            <w:shd w:val="clear" w:color="000000" w:fill="FFFFFF"/>
            <w:noWrap/>
            <w:vAlign w:val="bottom"/>
            <w:hideMark/>
          </w:tcPr>
          <w:p w14:paraId="7435A15C"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Pr</w:t>
            </w:r>
            <w:proofErr w:type="spellEnd"/>
            <w:r w:rsidRPr="00BF76E1">
              <w:rPr>
                <w:rFonts w:ascii="Times New Roman" w:hAnsi="Times New Roman" w:cs="Times New Roman"/>
                <w:b/>
                <w:bCs/>
                <w:color w:val="000000"/>
                <w:sz w:val="22"/>
                <w:szCs w:val="22"/>
              </w:rPr>
              <w:t>(&gt;|t|)</w:t>
            </w:r>
          </w:p>
        </w:tc>
        <w:tc>
          <w:tcPr>
            <w:tcW w:w="1300" w:type="dxa"/>
            <w:tcBorders>
              <w:top w:val="single" w:sz="4" w:space="0" w:color="auto"/>
              <w:left w:val="nil"/>
              <w:bottom w:val="single" w:sz="4" w:space="0" w:color="auto"/>
              <w:right w:val="nil"/>
            </w:tcBorders>
            <w:shd w:val="clear" w:color="000000" w:fill="FFFFFF"/>
            <w:noWrap/>
            <w:vAlign w:val="bottom"/>
            <w:hideMark/>
          </w:tcPr>
          <w:p w14:paraId="487C408E"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Significance</w:t>
            </w:r>
          </w:p>
        </w:tc>
      </w:tr>
      <w:tr w:rsidR="00752E6F" w:rsidRPr="008F01FA" w14:paraId="61FA8F72" w14:textId="77777777" w:rsidTr="00BF76E1">
        <w:trPr>
          <w:trHeight w:val="320"/>
        </w:trPr>
        <w:tc>
          <w:tcPr>
            <w:tcW w:w="1507" w:type="dxa"/>
            <w:tcBorders>
              <w:top w:val="nil"/>
              <w:left w:val="nil"/>
              <w:bottom w:val="nil"/>
              <w:right w:val="nil"/>
            </w:tcBorders>
            <w:shd w:val="clear" w:color="000000" w:fill="FFFFFF"/>
            <w:noWrap/>
            <w:vAlign w:val="bottom"/>
            <w:hideMark/>
          </w:tcPr>
          <w:p w14:paraId="6CA49F5A"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(Intercept)</w:t>
            </w:r>
          </w:p>
        </w:tc>
        <w:tc>
          <w:tcPr>
            <w:tcW w:w="1093" w:type="dxa"/>
            <w:tcBorders>
              <w:top w:val="nil"/>
              <w:left w:val="nil"/>
              <w:bottom w:val="nil"/>
              <w:right w:val="nil"/>
            </w:tcBorders>
            <w:shd w:val="clear" w:color="000000" w:fill="FFFFFF"/>
            <w:noWrap/>
            <w:vAlign w:val="bottom"/>
            <w:hideMark/>
          </w:tcPr>
          <w:p w14:paraId="02823C4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-0.0019</w:t>
            </w:r>
          </w:p>
        </w:tc>
        <w:tc>
          <w:tcPr>
            <w:tcW w:w="1300" w:type="dxa"/>
            <w:tcBorders>
              <w:top w:val="nil"/>
              <w:left w:val="nil"/>
              <w:bottom w:val="nil"/>
              <w:right w:val="nil"/>
            </w:tcBorders>
            <w:shd w:val="clear" w:color="000000" w:fill="FFFFFF"/>
            <w:noWrap/>
            <w:vAlign w:val="bottom"/>
            <w:hideMark/>
          </w:tcPr>
          <w:p w14:paraId="59503282"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0.0020</w:t>
            </w:r>
          </w:p>
        </w:tc>
        <w:tc>
          <w:tcPr>
            <w:tcW w:w="1300" w:type="dxa"/>
            <w:tcBorders>
              <w:top w:val="nil"/>
              <w:left w:val="nil"/>
              <w:bottom w:val="nil"/>
              <w:right w:val="nil"/>
            </w:tcBorders>
            <w:shd w:val="clear" w:color="000000" w:fill="FFFFFF"/>
            <w:noWrap/>
            <w:vAlign w:val="bottom"/>
            <w:hideMark/>
          </w:tcPr>
          <w:p w14:paraId="74AE8B94"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672DA240"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-0.94</w:t>
            </w:r>
          </w:p>
        </w:tc>
        <w:tc>
          <w:tcPr>
            <w:tcW w:w="1300" w:type="dxa"/>
            <w:tcBorders>
              <w:top w:val="nil"/>
              <w:left w:val="nil"/>
              <w:bottom w:val="nil"/>
              <w:right w:val="nil"/>
            </w:tcBorders>
            <w:shd w:val="clear" w:color="000000" w:fill="FFFFFF"/>
            <w:noWrap/>
            <w:vAlign w:val="bottom"/>
            <w:hideMark/>
          </w:tcPr>
          <w:p w14:paraId="5CB66A42"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0.3549</w:t>
            </w:r>
          </w:p>
        </w:tc>
        <w:tc>
          <w:tcPr>
            <w:tcW w:w="1300" w:type="dxa"/>
            <w:tcBorders>
              <w:top w:val="nil"/>
              <w:left w:val="nil"/>
              <w:bottom w:val="nil"/>
              <w:right w:val="nil"/>
            </w:tcBorders>
            <w:shd w:val="clear" w:color="000000" w:fill="FFFFFF"/>
            <w:noWrap/>
            <w:vAlign w:val="bottom"/>
            <w:hideMark/>
          </w:tcPr>
          <w:p w14:paraId="5D174D3A"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26C78ED4" w14:textId="77777777" w:rsidTr="00BF76E1">
        <w:trPr>
          <w:trHeight w:val="320"/>
        </w:trPr>
        <w:tc>
          <w:tcPr>
            <w:tcW w:w="1507" w:type="dxa"/>
            <w:tcBorders>
              <w:top w:val="nil"/>
              <w:left w:val="nil"/>
              <w:bottom w:val="nil"/>
              <w:right w:val="nil"/>
            </w:tcBorders>
            <w:shd w:val="clear" w:color="000000" w:fill="FFFFFF"/>
            <w:noWrap/>
            <w:vAlign w:val="bottom"/>
            <w:hideMark/>
          </w:tcPr>
          <w:p w14:paraId="645DFF66"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vacht_s</w:t>
            </w:r>
            <w:proofErr w:type="spellEnd"/>
          </w:p>
        </w:tc>
        <w:tc>
          <w:tcPr>
            <w:tcW w:w="1093" w:type="dxa"/>
            <w:tcBorders>
              <w:top w:val="nil"/>
              <w:left w:val="nil"/>
              <w:bottom w:val="nil"/>
              <w:right w:val="nil"/>
            </w:tcBorders>
            <w:shd w:val="clear" w:color="000000" w:fill="FFFFFF"/>
            <w:noWrap/>
            <w:vAlign w:val="bottom"/>
            <w:hideMark/>
          </w:tcPr>
          <w:p w14:paraId="051BD6F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-0.0008</w:t>
            </w:r>
          </w:p>
        </w:tc>
        <w:tc>
          <w:tcPr>
            <w:tcW w:w="1300" w:type="dxa"/>
            <w:tcBorders>
              <w:top w:val="nil"/>
              <w:left w:val="nil"/>
              <w:bottom w:val="nil"/>
              <w:right w:val="nil"/>
            </w:tcBorders>
            <w:shd w:val="clear" w:color="000000" w:fill="FFFFFF"/>
            <w:noWrap/>
            <w:vAlign w:val="bottom"/>
            <w:hideMark/>
          </w:tcPr>
          <w:p w14:paraId="18131661"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0.0005</w:t>
            </w:r>
          </w:p>
        </w:tc>
        <w:tc>
          <w:tcPr>
            <w:tcW w:w="1300" w:type="dxa"/>
            <w:tcBorders>
              <w:top w:val="nil"/>
              <w:left w:val="nil"/>
              <w:bottom w:val="nil"/>
              <w:right w:val="nil"/>
            </w:tcBorders>
            <w:shd w:val="clear" w:color="000000" w:fill="FFFFFF"/>
            <w:noWrap/>
            <w:vAlign w:val="bottom"/>
            <w:hideMark/>
          </w:tcPr>
          <w:p w14:paraId="2F4E4DB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2810</w:t>
            </w:r>
          </w:p>
        </w:tc>
        <w:tc>
          <w:tcPr>
            <w:tcW w:w="1300" w:type="dxa"/>
            <w:tcBorders>
              <w:top w:val="nil"/>
              <w:left w:val="nil"/>
              <w:bottom w:val="nil"/>
              <w:right w:val="nil"/>
            </w:tcBorders>
            <w:shd w:val="clear" w:color="000000" w:fill="FFFFFF"/>
            <w:noWrap/>
            <w:vAlign w:val="bottom"/>
            <w:hideMark/>
          </w:tcPr>
          <w:p w14:paraId="6A096F4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-1.385</w:t>
            </w:r>
          </w:p>
        </w:tc>
        <w:tc>
          <w:tcPr>
            <w:tcW w:w="1300" w:type="dxa"/>
            <w:tcBorders>
              <w:top w:val="nil"/>
              <w:left w:val="nil"/>
              <w:bottom w:val="nil"/>
              <w:right w:val="nil"/>
            </w:tcBorders>
            <w:shd w:val="clear" w:color="000000" w:fill="FFFFFF"/>
            <w:noWrap/>
            <w:vAlign w:val="bottom"/>
            <w:hideMark/>
          </w:tcPr>
          <w:p w14:paraId="06FFD1C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0.1662</w:t>
            </w:r>
          </w:p>
        </w:tc>
        <w:tc>
          <w:tcPr>
            <w:tcW w:w="1300" w:type="dxa"/>
            <w:tcBorders>
              <w:top w:val="nil"/>
              <w:left w:val="nil"/>
              <w:bottom w:val="nil"/>
              <w:right w:val="nil"/>
            </w:tcBorders>
            <w:shd w:val="clear" w:color="000000" w:fill="FFFFFF"/>
            <w:noWrap/>
            <w:vAlign w:val="bottom"/>
            <w:hideMark/>
          </w:tcPr>
          <w:p w14:paraId="1F1FECAE"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51C1E05C" w14:textId="77777777" w:rsidTr="00BF76E1">
        <w:trPr>
          <w:trHeight w:val="320"/>
        </w:trPr>
        <w:tc>
          <w:tcPr>
            <w:tcW w:w="1507" w:type="dxa"/>
            <w:tcBorders>
              <w:top w:val="nil"/>
              <w:left w:val="nil"/>
              <w:bottom w:val="nil"/>
              <w:right w:val="nil"/>
            </w:tcBorders>
            <w:shd w:val="clear" w:color="000000" w:fill="FFFFFF"/>
            <w:noWrap/>
            <w:vAlign w:val="bottom"/>
            <w:hideMark/>
          </w:tcPr>
          <w:p w14:paraId="50BF16A8"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VH1</w:t>
            </w:r>
          </w:p>
        </w:tc>
        <w:tc>
          <w:tcPr>
            <w:tcW w:w="1093" w:type="dxa"/>
            <w:tcBorders>
              <w:top w:val="nil"/>
              <w:left w:val="nil"/>
              <w:bottom w:val="nil"/>
              <w:right w:val="nil"/>
            </w:tcBorders>
            <w:shd w:val="clear" w:color="000000" w:fill="FFFFFF"/>
            <w:noWrap/>
            <w:vAlign w:val="bottom"/>
            <w:hideMark/>
          </w:tcPr>
          <w:p w14:paraId="4DD51B5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0.0045</w:t>
            </w:r>
          </w:p>
        </w:tc>
        <w:tc>
          <w:tcPr>
            <w:tcW w:w="1300" w:type="dxa"/>
            <w:tcBorders>
              <w:top w:val="nil"/>
              <w:left w:val="nil"/>
              <w:bottom w:val="nil"/>
              <w:right w:val="nil"/>
            </w:tcBorders>
            <w:shd w:val="clear" w:color="000000" w:fill="FFFFFF"/>
            <w:noWrap/>
            <w:vAlign w:val="bottom"/>
            <w:hideMark/>
          </w:tcPr>
          <w:p w14:paraId="038709E4"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0.0018</w:t>
            </w:r>
          </w:p>
        </w:tc>
        <w:tc>
          <w:tcPr>
            <w:tcW w:w="1300" w:type="dxa"/>
            <w:tcBorders>
              <w:top w:val="nil"/>
              <w:left w:val="nil"/>
              <w:bottom w:val="nil"/>
              <w:right w:val="nil"/>
            </w:tcBorders>
            <w:shd w:val="clear" w:color="000000" w:fill="FFFFFF"/>
            <w:noWrap/>
            <w:vAlign w:val="bottom"/>
            <w:hideMark/>
          </w:tcPr>
          <w:p w14:paraId="6E931A2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1C5F88C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2.52</w:t>
            </w:r>
          </w:p>
        </w:tc>
        <w:tc>
          <w:tcPr>
            <w:tcW w:w="1300" w:type="dxa"/>
            <w:tcBorders>
              <w:top w:val="nil"/>
              <w:left w:val="nil"/>
              <w:bottom w:val="nil"/>
              <w:right w:val="nil"/>
            </w:tcBorders>
            <w:shd w:val="clear" w:color="000000" w:fill="FFFFFF"/>
            <w:noWrap/>
            <w:vAlign w:val="bottom"/>
            <w:hideMark/>
          </w:tcPr>
          <w:p w14:paraId="180F6475"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0.0173</w:t>
            </w:r>
          </w:p>
        </w:tc>
        <w:tc>
          <w:tcPr>
            <w:tcW w:w="1300" w:type="dxa"/>
            <w:tcBorders>
              <w:top w:val="nil"/>
              <w:left w:val="nil"/>
              <w:bottom w:val="nil"/>
              <w:right w:val="nil"/>
            </w:tcBorders>
            <w:shd w:val="clear" w:color="000000" w:fill="FFFFFF"/>
            <w:noWrap/>
            <w:vAlign w:val="bottom"/>
            <w:hideMark/>
          </w:tcPr>
          <w:p w14:paraId="218DA363"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7423895D" w14:textId="77777777" w:rsidTr="00BF76E1">
        <w:trPr>
          <w:trHeight w:val="320"/>
        </w:trPr>
        <w:tc>
          <w:tcPr>
            <w:tcW w:w="1507" w:type="dxa"/>
            <w:tcBorders>
              <w:top w:val="nil"/>
              <w:left w:val="nil"/>
              <w:bottom w:val="nil"/>
              <w:right w:val="nil"/>
            </w:tcBorders>
            <w:shd w:val="clear" w:color="000000" w:fill="FFFFFF"/>
            <w:noWrap/>
            <w:vAlign w:val="bottom"/>
            <w:hideMark/>
          </w:tcPr>
          <w:p w14:paraId="15C909A2"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age_s</w:t>
            </w:r>
            <w:proofErr w:type="spellEnd"/>
          </w:p>
        </w:tc>
        <w:tc>
          <w:tcPr>
            <w:tcW w:w="1093" w:type="dxa"/>
            <w:tcBorders>
              <w:top w:val="nil"/>
              <w:left w:val="nil"/>
              <w:bottom w:val="nil"/>
              <w:right w:val="nil"/>
            </w:tcBorders>
            <w:shd w:val="clear" w:color="000000" w:fill="FFFFFF"/>
            <w:noWrap/>
            <w:vAlign w:val="bottom"/>
            <w:hideMark/>
          </w:tcPr>
          <w:p w14:paraId="5C834804"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0.0001</w:t>
            </w:r>
          </w:p>
        </w:tc>
        <w:tc>
          <w:tcPr>
            <w:tcW w:w="1300" w:type="dxa"/>
            <w:tcBorders>
              <w:top w:val="nil"/>
              <w:left w:val="nil"/>
              <w:bottom w:val="nil"/>
              <w:right w:val="nil"/>
            </w:tcBorders>
            <w:shd w:val="clear" w:color="000000" w:fill="FFFFFF"/>
            <w:noWrap/>
            <w:vAlign w:val="bottom"/>
            <w:hideMark/>
          </w:tcPr>
          <w:p w14:paraId="336EBC30"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3A364525"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4F076FC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0.087</w:t>
            </w:r>
          </w:p>
        </w:tc>
        <w:tc>
          <w:tcPr>
            <w:tcW w:w="1300" w:type="dxa"/>
            <w:tcBorders>
              <w:top w:val="nil"/>
              <w:left w:val="nil"/>
              <w:bottom w:val="nil"/>
              <w:right w:val="nil"/>
            </w:tcBorders>
            <w:shd w:val="clear" w:color="000000" w:fill="FFFFFF"/>
            <w:noWrap/>
            <w:vAlign w:val="bottom"/>
            <w:hideMark/>
          </w:tcPr>
          <w:p w14:paraId="6B576514"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0.9312</w:t>
            </w:r>
          </w:p>
        </w:tc>
        <w:tc>
          <w:tcPr>
            <w:tcW w:w="1300" w:type="dxa"/>
            <w:tcBorders>
              <w:top w:val="nil"/>
              <w:left w:val="nil"/>
              <w:bottom w:val="nil"/>
              <w:right w:val="nil"/>
            </w:tcBorders>
            <w:shd w:val="clear" w:color="000000" w:fill="FFFFFF"/>
            <w:noWrap/>
            <w:vAlign w:val="bottom"/>
            <w:hideMark/>
          </w:tcPr>
          <w:p w14:paraId="12CD96EC"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6401B15B" w14:textId="77777777" w:rsidTr="00BF76E1">
        <w:trPr>
          <w:trHeight w:val="320"/>
        </w:trPr>
        <w:tc>
          <w:tcPr>
            <w:tcW w:w="1507" w:type="dxa"/>
            <w:tcBorders>
              <w:top w:val="nil"/>
              <w:left w:val="nil"/>
              <w:bottom w:val="nil"/>
              <w:right w:val="nil"/>
            </w:tcBorders>
            <w:shd w:val="clear" w:color="000000" w:fill="FFFFFF"/>
            <w:noWrap/>
            <w:vAlign w:val="bottom"/>
            <w:hideMark/>
          </w:tcPr>
          <w:p w14:paraId="1259A661"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LEDD_s</w:t>
            </w:r>
          </w:p>
        </w:tc>
        <w:tc>
          <w:tcPr>
            <w:tcW w:w="1093" w:type="dxa"/>
            <w:tcBorders>
              <w:top w:val="nil"/>
              <w:left w:val="nil"/>
              <w:bottom w:val="nil"/>
              <w:right w:val="nil"/>
            </w:tcBorders>
            <w:shd w:val="clear" w:color="000000" w:fill="FFFFFF"/>
            <w:noWrap/>
            <w:vAlign w:val="bottom"/>
            <w:hideMark/>
          </w:tcPr>
          <w:p w14:paraId="145098C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-0.0006</w:t>
            </w:r>
          </w:p>
        </w:tc>
        <w:tc>
          <w:tcPr>
            <w:tcW w:w="1300" w:type="dxa"/>
            <w:tcBorders>
              <w:top w:val="nil"/>
              <w:left w:val="nil"/>
              <w:bottom w:val="nil"/>
              <w:right w:val="nil"/>
            </w:tcBorders>
            <w:shd w:val="clear" w:color="000000" w:fill="FFFFFF"/>
            <w:noWrap/>
            <w:vAlign w:val="bottom"/>
            <w:hideMark/>
          </w:tcPr>
          <w:p w14:paraId="7302C7D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0.0010</w:t>
            </w:r>
          </w:p>
        </w:tc>
        <w:tc>
          <w:tcPr>
            <w:tcW w:w="1300" w:type="dxa"/>
            <w:tcBorders>
              <w:top w:val="nil"/>
              <w:left w:val="nil"/>
              <w:bottom w:val="nil"/>
              <w:right w:val="nil"/>
            </w:tcBorders>
            <w:shd w:val="clear" w:color="000000" w:fill="FFFFFF"/>
            <w:noWrap/>
            <w:vAlign w:val="bottom"/>
            <w:hideMark/>
          </w:tcPr>
          <w:p w14:paraId="4CB95500"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7CFECF5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-0.537</w:t>
            </w:r>
          </w:p>
        </w:tc>
        <w:tc>
          <w:tcPr>
            <w:tcW w:w="1300" w:type="dxa"/>
            <w:tcBorders>
              <w:top w:val="nil"/>
              <w:left w:val="nil"/>
              <w:bottom w:val="nil"/>
              <w:right w:val="nil"/>
            </w:tcBorders>
            <w:shd w:val="clear" w:color="000000" w:fill="FFFFFF"/>
            <w:noWrap/>
            <w:vAlign w:val="bottom"/>
            <w:hideMark/>
          </w:tcPr>
          <w:p w14:paraId="56663857"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0.5951</w:t>
            </w:r>
          </w:p>
        </w:tc>
        <w:tc>
          <w:tcPr>
            <w:tcW w:w="1300" w:type="dxa"/>
            <w:tcBorders>
              <w:top w:val="nil"/>
              <w:left w:val="nil"/>
              <w:bottom w:val="nil"/>
              <w:right w:val="nil"/>
            </w:tcBorders>
            <w:shd w:val="clear" w:color="000000" w:fill="FFFFFF"/>
            <w:noWrap/>
            <w:vAlign w:val="bottom"/>
            <w:hideMark/>
          </w:tcPr>
          <w:p w14:paraId="2A8C50BA"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051FE25C" w14:textId="77777777" w:rsidTr="00BF76E1">
        <w:trPr>
          <w:trHeight w:val="320"/>
        </w:trPr>
        <w:tc>
          <w:tcPr>
            <w:tcW w:w="1507" w:type="dxa"/>
            <w:tcBorders>
              <w:top w:val="nil"/>
              <w:left w:val="nil"/>
              <w:bottom w:val="nil"/>
              <w:right w:val="nil"/>
            </w:tcBorders>
            <w:shd w:val="clear" w:color="000000" w:fill="FFFFFF"/>
            <w:noWrap/>
            <w:vAlign w:val="bottom"/>
            <w:hideMark/>
          </w:tcPr>
          <w:p w14:paraId="2FFDDC55"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sexmale</w:t>
            </w:r>
            <w:proofErr w:type="spellEnd"/>
          </w:p>
        </w:tc>
        <w:tc>
          <w:tcPr>
            <w:tcW w:w="1093" w:type="dxa"/>
            <w:tcBorders>
              <w:top w:val="nil"/>
              <w:left w:val="nil"/>
              <w:bottom w:val="nil"/>
              <w:right w:val="nil"/>
            </w:tcBorders>
            <w:shd w:val="clear" w:color="000000" w:fill="FFFFFF"/>
            <w:noWrap/>
            <w:vAlign w:val="bottom"/>
            <w:hideMark/>
          </w:tcPr>
          <w:p w14:paraId="38FA6E6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0.0046</w:t>
            </w:r>
          </w:p>
        </w:tc>
        <w:tc>
          <w:tcPr>
            <w:tcW w:w="1300" w:type="dxa"/>
            <w:tcBorders>
              <w:top w:val="nil"/>
              <w:left w:val="nil"/>
              <w:bottom w:val="nil"/>
              <w:right w:val="nil"/>
            </w:tcBorders>
            <w:shd w:val="clear" w:color="000000" w:fill="FFFFFF"/>
            <w:noWrap/>
            <w:vAlign w:val="bottom"/>
            <w:hideMark/>
          </w:tcPr>
          <w:p w14:paraId="7A6AA18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0.0020</w:t>
            </w:r>
          </w:p>
        </w:tc>
        <w:tc>
          <w:tcPr>
            <w:tcW w:w="1300" w:type="dxa"/>
            <w:tcBorders>
              <w:top w:val="nil"/>
              <w:left w:val="nil"/>
              <w:bottom w:val="nil"/>
              <w:right w:val="nil"/>
            </w:tcBorders>
            <w:shd w:val="clear" w:color="000000" w:fill="FFFFFF"/>
            <w:noWrap/>
            <w:vAlign w:val="bottom"/>
            <w:hideMark/>
          </w:tcPr>
          <w:p w14:paraId="67C4EEF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0910A23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2.242</w:t>
            </w:r>
          </w:p>
        </w:tc>
        <w:tc>
          <w:tcPr>
            <w:tcW w:w="1300" w:type="dxa"/>
            <w:tcBorders>
              <w:top w:val="nil"/>
              <w:left w:val="nil"/>
              <w:bottom w:val="nil"/>
              <w:right w:val="nil"/>
            </w:tcBorders>
            <w:shd w:val="clear" w:color="000000" w:fill="FFFFFF"/>
            <w:noWrap/>
            <w:vAlign w:val="bottom"/>
            <w:hideMark/>
          </w:tcPr>
          <w:p w14:paraId="5E2D11E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0.0325</w:t>
            </w:r>
          </w:p>
        </w:tc>
        <w:tc>
          <w:tcPr>
            <w:tcW w:w="1300" w:type="dxa"/>
            <w:tcBorders>
              <w:top w:val="nil"/>
              <w:left w:val="nil"/>
              <w:bottom w:val="nil"/>
              <w:right w:val="nil"/>
            </w:tcBorders>
            <w:shd w:val="clear" w:color="000000" w:fill="FFFFFF"/>
            <w:noWrap/>
            <w:vAlign w:val="bottom"/>
            <w:hideMark/>
          </w:tcPr>
          <w:p w14:paraId="021545B5"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2405EBA7" w14:textId="77777777" w:rsidTr="00BF76E1">
        <w:trPr>
          <w:trHeight w:val="320"/>
        </w:trPr>
        <w:tc>
          <w:tcPr>
            <w:tcW w:w="1507" w:type="dxa"/>
            <w:tcBorders>
              <w:top w:val="nil"/>
              <w:left w:val="nil"/>
              <w:bottom w:val="nil"/>
              <w:right w:val="nil"/>
            </w:tcBorders>
            <w:shd w:val="clear" w:color="000000" w:fill="FFFFFF"/>
            <w:noWrap/>
            <w:vAlign w:val="bottom"/>
            <w:hideMark/>
          </w:tcPr>
          <w:p w14:paraId="333BA058"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onset_s</w:t>
            </w:r>
            <w:proofErr w:type="spellEnd"/>
          </w:p>
        </w:tc>
        <w:tc>
          <w:tcPr>
            <w:tcW w:w="1093" w:type="dxa"/>
            <w:tcBorders>
              <w:top w:val="nil"/>
              <w:left w:val="nil"/>
              <w:bottom w:val="nil"/>
              <w:right w:val="nil"/>
            </w:tcBorders>
            <w:shd w:val="clear" w:color="000000" w:fill="FFFFFF"/>
            <w:noWrap/>
            <w:vAlign w:val="bottom"/>
            <w:hideMark/>
          </w:tcPr>
          <w:p w14:paraId="11830DE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0.0003</w:t>
            </w:r>
          </w:p>
        </w:tc>
        <w:tc>
          <w:tcPr>
            <w:tcW w:w="1300" w:type="dxa"/>
            <w:tcBorders>
              <w:top w:val="nil"/>
              <w:left w:val="nil"/>
              <w:bottom w:val="nil"/>
              <w:right w:val="nil"/>
            </w:tcBorders>
            <w:shd w:val="clear" w:color="000000" w:fill="FFFFFF"/>
            <w:noWrap/>
            <w:vAlign w:val="bottom"/>
            <w:hideMark/>
          </w:tcPr>
          <w:p w14:paraId="6BBA3DF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62E8637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083D406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0.375</w:t>
            </w:r>
          </w:p>
        </w:tc>
        <w:tc>
          <w:tcPr>
            <w:tcW w:w="1300" w:type="dxa"/>
            <w:tcBorders>
              <w:top w:val="nil"/>
              <w:left w:val="nil"/>
              <w:bottom w:val="nil"/>
              <w:right w:val="nil"/>
            </w:tcBorders>
            <w:shd w:val="clear" w:color="000000" w:fill="FFFFFF"/>
            <w:noWrap/>
            <w:vAlign w:val="bottom"/>
            <w:hideMark/>
          </w:tcPr>
          <w:p w14:paraId="30DD47C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0.7099</w:t>
            </w:r>
          </w:p>
        </w:tc>
        <w:tc>
          <w:tcPr>
            <w:tcW w:w="1300" w:type="dxa"/>
            <w:tcBorders>
              <w:top w:val="nil"/>
              <w:left w:val="nil"/>
              <w:bottom w:val="nil"/>
              <w:right w:val="nil"/>
            </w:tcBorders>
            <w:shd w:val="clear" w:color="000000" w:fill="FFFFFF"/>
            <w:noWrap/>
            <w:vAlign w:val="bottom"/>
            <w:hideMark/>
          </w:tcPr>
          <w:p w14:paraId="341851C6"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51A26399" w14:textId="77777777" w:rsidTr="00BF76E1">
        <w:trPr>
          <w:trHeight w:val="320"/>
        </w:trPr>
        <w:tc>
          <w:tcPr>
            <w:tcW w:w="1507" w:type="dxa"/>
            <w:tcBorders>
              <w:top w:val="nil"/>
              <w:left w:val="nil"/>
              <w:bottom w:val="nil"/>
              <w:right w:val="nil"/>
            </w:tcBorders>
            <w:shd w:val="clear" w:color="000000" w:fill="FFFFFF"/>
            <w:noWrap/>
            <w:vAlign w:val="bottom"/>
            <w:hideMark/>
          </w:tcPr>
          <w:p w14:paraId="122E2D87"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MoCA_s</w:t>
            </w:r>
            <w:proofErr w:type="spellEnd"/>
          </w:p>
        </w:tc>
        <w:tc>
          <w:tcPr>
            <w:tcW w:w="1093" w:type="dxa"/>
            <w:tcBorders>
              <w:top w:val="nil"/>
              <w:left w:val="nil"/>
              <w:bottom w:val="nil"/>
              <w:right w:val="nil"/>
            </w:tcBorders>
            <w:shd w:val="clear" w:color="000000" w:fill="FFFFFF"/>
            <w:noWrap/>
            <w:vAlign w:val="bottom"/>
            <w:hideMark/>
          </w:tcPr>
          <w:p w14:paraId="10954EF1"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0.0005</w:t>
            </w:r>
          </w:p>
        </w:tc>
        <w:tc>
          <w:tcPr>
            <w:tcW w:w="1300" w:type="dxa"/>
            <w:tcBorders>
              <w:top w:val="nil"/>
              <w:left w:val="nil"/>
              <w:bottom w:val="nil"/>
              <w:right w:val="nil"/>
            </w:tcBorders>
            <w:shd w:val="clear" w:color="000000" w:fill="FFFFFF"/>
            <w:noWrap/>
            <w:vAlign w:val="bottom"/>
            <w:hideMark/>
          </w:tcPr>
          <w:p w14:paraId="4B021E2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2B4CD87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3E198D4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0.561</w:t>
            </w:r>
          </w:p>
        </w:tc>
        <w:tc>
          <w:tcPr>
            <w:tcW w:w="1300" w:type="dxa"/>
            <w:tcBorders>
              <w:top w:val="nil"/>
              <w:left w:val="nil"/>
              <w:bottom w:val="nil"/>
              <w:right w:val="nil"/>
            </w:tcBorders>
            <w:shd w:val="clear" w:color="000000" w:fill="FFFFFF"/>
            <w:noWrap/>
            <w:vAlign w:val="bottom"/>
            <w:hideMark/>
          </w:tcPr>
          <w:p w14:paraId="754D7EC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0.5787</w:t>
            </w:r>
          </w:p>
        </w:tc>
        <w:tc>
          <w:tcPr>
            <w:tcW w:w="1300" w:type="dxa"/>
            <w:tcBorders>
              <w:top w:val="nil"/>
              <w:left w:val="nil"/>
              <w:bottom w:val="nil"/>
              <w:right w:val="nil"/>
            </w:tcBorders>
            <w:shd w:val="clear" w:color="000000" w:fill="FFFFFF"/>
            <w:noWrap/>
            <w:vAlign w:val="bottom"/>
            <w:hideMark/>
          </w:tcPr>
          <w:p w14:paraId="3906B6DF"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7FFDD980" w14:textId="77777777" w:rsidTr="00BF76E1">
        <w:trPr>
          <w:trHeight w:val="340"/>
        </w:trPr>
        <w:tc>
          <w:tcPr>
            <w:tcW w:w="1507" w:type="dxa"/>
            <w:tcBorders>
              <w:top w:val="nil"/>
              <w:left w:val="nil"/>
              <w:bottom w:val="double" w:sz="6" w:space="0" w:color="auto"/>
              <w:right w:val="nil"/>
            </w:tcBorders>
            <w:shd w:val="clear" w:color="000000" w:fill="FFFFFF"/>
            <w:noWrap/>
            <w:vAlign w:val="bottom"/>
            <w:hideMark/>
          </w:tcPr>
          <w:p w14:paraId="5DD3D593"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vacht_</w:t>
            </w:r>
            <w:proofErr w:type="gramStart"/>
            <w:r w:rsidRPr="00BF76E1">
              <w:rPr>
                <w:rFonts w:ascii="Times New Roman" w:hAnsi="Times New Roman" w:cs="Times New Roman"/>
                <w:b/>
                <w:bCs/>
                <w:color w:val="000000"/>
                <w:sz w:val="22"/>
                <w:szCs w:val="22"/>
              </w:rPr>
              <w:t>s:VH</w:t>
            </w:r>
            <w:proofErr w:type="gramEnd"/>
            <w:r w:rsidRPr="00BF76E1">
              <w:rPr>
                <w:rFonts w:ascii="Times New Roman" w:hAnsi="Times New Roman" w:cs="Times New Roman"/>
                <w:b/>
                <w:bCs/>
                <w:color w:val="000000"/>
                <w:sz w:val="22"/>
                <w:szCs w:val="22"/>
              </w:rPr>
              <w:t>1</w:t>
            </w:r>
          </w:p>
        </w:tc>
        <w:tc>
          <w:tcPr>
            <w:tcW w:w="1093" w:type="dxa"/>
            <w:tcBorders>
              <w:top w:val="nil"/>
              <w:left w:val="nil"/>
              <w:bottom w:val="double" w:sz="6" w:space="0" w:color="auto"/>
              <w:right w:val="nil"/>
            </w:tcBorders>
            <w:shd w:val="clear" w:color="000000" w:fill="FFFFFF"/>
            <w:noWrap/>
            <w:vAlign w:val="bottom"/>
            <w:hideMark/>
          </w:tcPr>
          <w:p w14:paraId="22B53EF2"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-0.0015</w:t>
            </w:r>
          </w:p>
        </w:tc>
        <w:tc>
          <w:tcPr>
            <w:tcW w:w="1300" w:type="dxa"/>
            <w:tcBorders>
              <w:top w:val="nil"/>
              <w:left w:val="nil"/>
              <w:bottom w:val="double" w:sz="6" w:space="0" w:color="auto"/>
              <w:right w:val="nil"/>
            </w:tcBorders>
            <w:shd w:val="clear" w:color="000000" w:fill="FFFFFF"/>
            <w:noWrap/>
            <w:vAlign w:val="bottom"/>
            <w:hideMark/>
          </w:tcPr>
          <w:p w14:paraId="1E3C9BE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0.0007</w:t>
            </w:r>
          </w:p>
        </w:tc>
        <w:tc>
          <w:tcPr>
            <w:tcW w:w="1300" w:type="dxa"/>
            <w:tcBorders>
              <w:top w:val="nil"/>
              <w:left w:val="nil"/>
              <w:bottom w:val="double" w:sz="6" w:space="0" w:color="auto"/>
              <w:right w:val="nil"/>
            </w:tcBorders>
            <w:shd w:val="clear" w:color="000000" w:fill="FFFFFF"/>
            <w:noWrap/>
            <w:vAlign w:val="bottom"/>
            <w:hideMark/>
          </w:tcPr>
          <w:p w14:paraId="1635225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2810</w:t>
            </w:r>
          </w:p>
        </w:tc>
        <w:tc>
          <w:tcPr>
            <w:tcW w:w="1300" w:type="dxa"/>
            <w:tcBorders>
              <w:top w:val="nil"/>
              <w:left w:val="nil"/>
              <w:bottom w:val="double" w:sz="6" w:space="0" w:color="auto"/>
              <w:right w:val="nil"/>
            </w:tcBorders>
            <w:shd w:val="clear" w:color="000000" w:fill="FFFFFF"/>
            <w:noWrap/>
            <w:vAlign w:val="bottom"/>
            <w:hideMark/>
          </w:tcPr>
          <w:p w14:paraId="0F742DE5"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-1.976</w:t>
            </w:r>
          </w:p>
        </w:tc>
        <w:tc>
          <w:tcPr>
            <w:tcW w:w="1300" w:type="dxa"/>
            <w:tcBorders>
              <w:top w:val="nil"/>
              <w:left w:val="nil"/>
              <w:bottom w:val="double" w:sz="6" w:space="0" w:color="auto"/>
              <w:right w:val="nil"/>
            </w:tcBorders>
            <w:shd w:val="clear" w:color="000000" w:fill="FFFFFF"/>
            <w:noWrap/>
            <w:vAlign w:val="bottom"/>
            <w:hideMark/>
          </w:tcPr>
          <w:p w14:paraId="7711511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0.0482</w:t>
            </w:r>
          </w:p>
        </w:tc>
        <w:tc>
          <w:tcPr>
            <w:tcW w:w="1300" w:type="dxa"/>
            <w:tcBorders>
              <w:top w:val="nil"/>
              <w:left w:val="nil"/>
              <w:bottom w:val="double" w:sz="6" w:space="0" w:color="auto"/>
              <w:right w:val="nil"/>
            </w:tcBorders>
            <w:shd w:val="clear" w:color="000000" w:fill="FFFFFF"/>
            <w:noWrap/>
            <w:vAlign w:val="bottom"/>
            <w:hideMark/>
          </w:tcPr>
          <w:p w14:paraId="6E605084"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19188352" w14:textId="77777777" w:rsidTr="00BF76E1">
        <w:trPr>
          <w:trHeight w:val="340"/>
        </w:trPr>
        <w:tc>
          <w:tcPr>
            <w:tcW w:w="1507" w:type="dxa"/>
            <w:tcBorders>
              <w:top w:val="nil"/>
              <w:left w:val="nil"/>
              <w:bottom w:val="nil"/>
              <w:right w:val="nil"/>
            </w:tcBorders>
            <w:shd w:val="clear" w:color="000000" w:fill="FFFFFF"/>
            <w:noWrap/>
            <w:vAlign w:val="bottom"/>
            <w:hideMark/>
          </w:tcPr>
          <w:p w14:paraId="488E05F3"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093" w:type="dxa"/>
            <w:tcBorders>
              <w:top w:val="nil"/>
              <w:left w:val="nil"/>
              <w:bottom w:val="nil"/>
              <w:right w:val="nil"/>
            </w:tcBorders>
            <w:shd w:val="clear" w:color="000000" w:fill="FFFFFF"/>
            <w:noWrap/>
            <w:vAlign w:val="bottom"/>
            <w:hideMark/>
          </w:tcPr>
          <w:p w14:paraId="0B871E43"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59A0A1CB"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026BBE18"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7A684DEC"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0E824137"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360C835E"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4F8A2571" w14:textId="77777777" w:rsidTr="00BF76E1">
        <w:trPr>
          <w:trHeight w:val="320"/>
        </w:trPr>
        <w:tc>
          <w:tcPr>
            <w:tcW w:w="1507" w:type="dxa"/>
            <w:tcBorders>
              <w:top w:val="nil"/>
              <w:left w:val="nil"/>
              <w:bottom w:val="nil"/>
              <w:right w:val="nil"/>
            </w:tcBorders>
            <w:shd w:val="clear" w:color="000000" w:fill="FFFFFF"/>
            <w:noWrap/>
            <w:vAlign w:val="bottom"/>
            <w:hideMark/>
          </w:tcPr>
          <w:p w14:paraId="5C728FEB"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093" w:type="dxa"/>
            <w:tcBorders>
              <w:top w:val="nil"/>
              <w:left w:val="nil"/>
              <w:bottom w:val="nil"/>
              <w:right w:val="nil"/>
            </w:tcBorders>
            <w:shd w:val="clear" w:color="000000" w:fill="FFFFFF"/>
            <w:noWrap/>
            <w:vAlign w:val="bottom"/>
            <w:hideMark/>
          </w:tcPr>
          <w:p w14:paraId="32080DE1"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7A092C9A"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4D01152B"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3D95EAD0"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3B5DFF63"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201B39EE"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44BFD159" w14:textId="77777777" w:rsidTr="00BF76E1">
        <w:trPr>
          <w:trHeight w:val="320"/>
        </w:trPr>
        <w:tc>
          <w:tcPr>
            <w:tcW w:w="2600" w:type="dxa"/>
            <w:gridSpan w:val="2"/>
            <w:tcBorders>
              <w:top w:val="nil"/>
              <w:left w:val="nil"/>
              <w:bottom w:val="nil"/>
              <w:right w:val="nil"/>
            </w:tcBorders>
            <w:shd w:val="clear" w:color="000000" w:fill="FFFFFF"/>
            <w:noWrap/>
            <w:vAlign w:val="bottom"/>
            <w:hideMark/>
          </w:tcPr>
          <w:p w14:paraId="01CB52EC"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Serotonine</w:t>
            </w:r>
            <w:proofErr w:type="spellEnd"/>
            <w:r w:rsidRPr="00BF76E1">
              <w:rPr>
                <w:rFonts w:ascii="Times New Roman" w:hAnsi="Times New Roman" w:cs="Times New Roman"/>
                <w:b/>
                <w:bCs/>
                <w:color w:val="000000"/>
                <w:sz w:val="22"/>
                <w:szCs w:val="22"/>
              </w:rPr>
              <w:t xml:space="preserve"> 5-HT2A</w:t>
            </w:r>
          </w:p>
        </w:tc>
        <w:tc>
          <w:tcPr>
            <w:tcW w:w="1300" w:type="dxa"/>
            <w:tcBorders>
              <w:top w:val="nil"/>
              <w:left w:val="nil"/>
              <w:bottom w:val="nil"/>
              <w:right w:val="nil"/>
            </w:tcBorders>
            <w:shd w:val="clear" w:color="000000" w:fill="FFFFFF"/>
            <w:noWrap/>
            <w:vAlign w:val="bottom"/>
            <w:hideMark/>
          </w:tcPr>
          <w:p w14:paraId="7038C64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4D1C7C5F"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58DC37C7"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1354C362"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35D84445"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69CF3118" w14:textId="77777777" w:rsidTr="00BF76E1">
        <w:trPr>
          <w:trHeight w:val="320"/>
        </w:trPr>
        <w:tc>
          <w:tcPr>
            <w:tcW w:w="1507" w:type="dxa"/>
            <w:tcBorders>
              <w:top w:val="nil"/>
              <w:left w:val="nil"/>
              <w:bottom w:val="nil"/>
              <w:right w:val="nil"/>
            </w:tcBorders>
            <w:shd w:val="clear" w:color="000000" w:fill="FFFFFF"/>
            <w:noWrap/>
            <w:vAlign w:val="bottom"/>
            <w:hideMark/>
          </w:tcPr>
          <w:p w14:paraId="0DCF2BB6"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093" w:type="dxa"/>
            <w:tcBorders>
              <w:top w:val="nil"/>
              <w:left w:val="nil"/>
              <w:bottom w:val="nil"/>
              <w:right w:val="nil"/>
            </w:tcBorders>
            <w:shd w:val="clear" w:color="000000" w:fill="FFFFFF"/>
            <w:noWrap/>
            <w:vAlign w:val="bottom"/>
            <w:hideMark/>
          </w:tcPr>
          <w:p w14:paraId="5FCC9991"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472C2F36"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051BF4C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1C8B0935"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1CECFA97"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c>
          <w:tcPr>
            <w:tcW w:w="1300" w:type="dxa"/>
            <w:tcBorders>
              <w:top w:val="nil"/>
              <w:left w:val="nil"/>
              <w:bottom w:val="nil"/>
              <w:right w:val="nil"/>
            </w:tcBorders>
            <w:shd w:val="clear" w:color="000000" w:fill="FFFFFF"/>
            <w:noWrap/>
            <w:vAlign w:val="bottom"/>
            <w:hideMark/>
          </w:tcPr>
          <w:p w14:paraId="4A563F82"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187A9762" w14:textId="77777777" w:rsidTr="00BF76E1">
        <w:trPr>
          <w:trHeight w:val="320"/>
        </w:trPr>
        <w:tc>
          <w:tcPr>
            <w:tcW w:w="1507" w:type="dxa"/>
            <w:tcBorders>
              <w:top w:val="single" w:sz="4" w:space="0" w:color="auto"/>
              <w:left w:val="nil"/>
              <w:bottom w:val="single" w:sz="4" w:space="0" w:color="auto"/>
              <w:right w:val="nil"/>
            </w:tcBorders>
            <w:shd w:val="clear" w:color="000000" w:fill="FFFFFF"/>
            <w:noWrap/>
            <w:vAlign w:val="bottom"/>
            <w:hideMark/>
          </w:tcPr>
          <w:p w14:paraId="4C9B61E0"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Term</w:t>
            </w:r>
          </w:p>
        </w:tc>
        <w:tc>
          <w:tcPr>
            <w:tcW w:w="1093" w:type="dxa"/>
            <w:tcBorders>
              <w:top w:val="single" w:sz="4" w:space="0" w:color="auto"/>
              <w:left w:val="nil"/>
              <w:bottom w:val="single" w:sz="4" w:space="0" w:color="auto"/>
              <w:right w:val="nil"/>
            </w:tcBorders>
            <w:shd w:val="clear" w:color="000000" w:fill="FFFFFF"/>
            <w:noWrap/>
            <w:vAlign w:val="bottom"/>
            <w:hideMark/>
          </w:tcPr>
          <w:p w14:paraId="0006A765"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Estimate</w:t>
            </w:r>
          </w:p>
        </w:tc>
        <w:tc>
          <w:tcPr>
            <w:tcW w:w="1300" w:type="dxa"/>
            <w:tcBorders>
              <w:top w:val="single" w:sz="4" w:space="0" w:color="auto"/>
              <w:left w:val="nil"/>
              <w:bottom w:val="single" w:sz="4" w:space="0" w:color="auto"/>
              <w:right w:val="nil"/>
            </w:tcBorders>
            <w:shd w:val="clear" w:color="000000" w:fill="FFFFFF"/>
            <w:noWrap/>
            <w:vAlign w:val="bottom"/>
            <w:hideMark/>
          </w:tcPr>
          <w:p w14:paraId="1A507914"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Std. Error</w:t>
            </w:r>
          </w:p>
        </w:tc>
        <w:tc>
          <w:tcPr>
            <w:tcW w:w="1300" w:type="dxa"/>
            <w:tcBorders>
              <w:top w:val="single" w:sz="4" w:space="0" w:color="auto"/>
              <w:left w:val="nil"/>
              <w:bottom w:val="single" w:sz="4" w:space="0" w:color="auto"/>
              <w:right w:val="nil"/>
            </w:tcBorders>
            <w:shd w:val="clear" w:color="000000" w:fill="FFFFFF"/>
            <w:noWrap/>
            <w:vAlign w:val="bottom"/>
            <w:hideMark/>
          </w:tcPr>
          <w:p w14:paraId="1C41AE44"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df</w:t>
            </w:r>
            <w:proofErr w:type="spellEnd"/>
          </w:p>
        </w:tc>
        <w:tc>
          <w:tcPr>
            <w:tcW w:w="1300" w:type="dxa"/>
            <w:tcBorders>
              <w:top w:val="single" w:sz="4" w:space="0" w:color="auto"/>
              <w:left w:val="nil"/>
              <w:bottom w:val="single" w:sz="4" w:space="0" w:color="auto"/>
              <w:right w:val="nil"/>
            </w:tcBorders>
            <w:shd w:val="clear" w:color="000000" w:fill="FFFFFF"/>
            <w:noWrap/>
            <w:vAlign w:val="bottom"/>
            <w:hideMark/>
          </w:tcPr>
          <w:p w14:paraId="1EC7181A"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t value</w:t>
            </w:r>
          </w:p>
        </w:tc>
        <w:tc>
          <w:tcPr>
            <w:tcW w:w="1300" w:type="dxa"/>
            <w:tcBorders>
              <w:top w:val="single" w:sz="4" w:space="0" w:color="auto"/>
              <w:left w:val="nil"/>
              <w:bottom w:val="single" w:sz="4" w:space="0" w:color="auto"/>
              <w:right w:val="nil"/>
            </w:tcBorders>
            <w:shd w:val="clear" w:color="000000" w:fill="FFFFFF"/>
            <w:noWrap/>
            <w:vAlign w:val="bottom"/>
            <w:hideMark/>
          </w:tcPr>
          <w:p w14:paraId="56F463FD"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Pr</w:t>
            </w:r>
            <w:proofErr w:type="spellEnd"/>
            <w:r w:rsidRPr="00BF76E1">
              <w:rPr>
                <w:rFonts w:ascii="Times New Roman" w:hAnsi="Times New Roman" w:cs="Times New Roman"/>
                <w:b/>
                <w:bCs/>
                <w:color w:val="000000"/>
                <w:sz w:val="22"/>
                <w:szCs w:val="22"/>
              </w:rPr>
              <w:t>(&gt;|t|)</w:t>
            </w:r>
          </w:p>
        </w:tc>
        <w:tc>
          <w:tcPr>
            <w:tcW w:w="1300" w:type="dxa"/>
            <w:tcBorders>
              <w:top w:val="single" w:sz="4" w:space="0" w:color="auto"/>
              <w:left w:val="nil"/>
              <w:bottom w:val="single" w:sz="4" w:space="0" w:color="auto"/>
              <w:right w:val="nil"/>
            </w:tcBorders>
            <w:shd w:val="clear" w:color="000000" w:fill="FFFFFF"/>
            <w:noWrap/>
            <w:vAlign w:val="bottom"/>
            <w:hideMark/>
          </w:tcPr>
          <w:p w14:paraId="78ACCE7D"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Significance</w:t>
            </w:r>
          </w:p>
        </w:tc>
      </w:tr>
      <w:tr w:rsidR="00752E6F" w:rsidRPr="008F01FA" w14:paraId="3E70162B" w14:textId="77777777" w:rsidTr="00BF76E1">
        <w:trPr>
          <w:trHeight w:val="320"/>
        </w:trPr>
        <w:tc>
          <w:tcPr>
            <w:tcW w:w="1507" w:type="dxa"/>
            <w:tcBorders>
              <w:top w:val="nil"/>
              <w:left w:val="nil"/>
              <w:bottom w:val="nil"/>
              <w:right w:val="nil"/>
            </w:tcBorders>
            <w:shd w:val="clear" w:color="000000" w:fill="FFFFFF"/>
            <w:noWrap/>
            <w:vAlign w:val="bottom"/>
            <w:hideMark/>
          </w:tcPr>
          <w:p w14:paraId="320E5BC0"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(Intercept)</w:t>
            </w:r>
          </w:p>
        </w:tc>
        <w:tc>
          <w:tcPr>
            <w:tcW w:w="1093" w:type="dxa"/>
            <w:tcBorders>
              <w:top w:val="nil"/>
              <w:left w:val="nil"/>
              <w:bottom w:val="nil"/>
              <w:right w:val="nil"/>
            </w:tcBorders>
            <w:shd w:val="clear" w:color="000000" w:fill="FFFFFF"/>
            <w:noWrap/>
            <w:vAlign w:val="bottom"/>
            <w:hideMark/>
          </w:tcPr>
          <w:p w14:paraId="6BE2A3B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-0.0019</w:t>
            </w:r>
          </w:p>
        </w:tc>
        <w:tc>
          <w:tcPr>
            <w:tcW w:w="1300" w:type="dxa"/>
            <w:tcBorders>
              <w:top w:val="nil"/>
              <w:left w:val="nil"/>
              <w:bottom w:val="nil"/>
              <w:right w:val="nil"/>
            </w:tcBorders>
            <w:shd w:val="clear" w:color="000000" w:fill="FFFFFF"/>
            <w:noWrap/>
            <w:vAlign w:val="bottom"/>
            <w:hideMark/>
          </w:tcPr>
          <w:p w14:paraId="70AFDB47"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0.0020</w:t>
            </w:r>
          </w:p>
        </w:tc>
        <w:tc>
          <w:tcPr>
            <w:tcW w:w="1300" w:type="dxa"/>
            <w:tcBorders>
              <w:top w:val="nil"/>
              <w:left w:val="nil"/>
              <w:bottom w:val="nil"/>
              <w:right w:val="nil"/>
            </w:tcBorders>
            <w:shd w:val="clear" w:color="000000" w:fill="FFFFFF"/>
            <w:noWrap/>
            <w:vAlign w:val="bottom"/>
            <w:hideMark/>
          </w:tcPr>
          <w:p w14:paraId="257C225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263F0F19"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-0.94</w:t>
            </w:r>
          </w:p>
        </w:tc>
        <w:tc>
          <w:tcPr>
            <w:tcW w:w="1300" w:type="dxa"/>
            <w:tcBorders>
              <w:top w:val="nil"/>
              <w:left w:val="nil"/>
              <w:bottom w:val="nil"/>
              <w:right w:val="nil"/>
            </w:tcBorders>
            <w:shd w:val="clear" w:color="000000" w:fill="FFFFFF"/>
            <w:noWrap/>
            <w:vAlign w:val="bottom"/>
            <w:hideMark/>
          </w:tcPr>
          <w:p w14:paraId="5C32E63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0.3549</w:t>
            </w:r>
          </w:p>
        </w:tc>
        <w:tc>
          <w:tcPr>
            <w:tcW w:w="1300" w:type="dxa"/>
            <w:tcBorders>
              <w:top w:val="nil"/>
              <w:left w:val="nil"/>
              <w:bottom w:val="nil"/>
              <w:right w:val="nil"/>
            </w:tcBorders>
            <w:shd w:val="clear" w:color="000000" w:fill="FFFFFF"/>
            <w:noWrap/>
            <w:vAlign w:val="bottom"/>
            <w:hideMark/>
          </w:tcPr>
          <w:p w14:paraId="27B74F75"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6E0D781D" w14:textId="77777777" w:rsidTr="00BF76E1">
        <w:trPr>
          <w:trHeight w:val="320"/>
        </w:trPr>
        <w:tc>
          <w:tcPr>
            <w:tcW w:w="1507" w:type="dxa"/>
            <w:tcBorders>
              <w:top w:val="nil"/>
              <w:left w:val="nil"/>
              <w:bottom w:val="nil"/>
              <w:right w:val="nil"/>
            </w:tcBorders>
            <w:shd w:val="clear" w:color="000000" w:fill="FFFFFF"/>
            <w:noWrap/>
            <w:vAlign w:val="bottom"/>
            <w:hideMark/>
          </w:tcPr>
          <w:p w14:paraId="6D0F4137"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ht2a_s</w:t>
            </w:r>
          </w:p>
        </w:tc>
        <w:tc>
          <w:tcPr>
            <w:tcW w:w="1093" w:type="dxa"/>
            <w:tcBorders>
              <w:top w:val="nil"/>
              <w:left w:val="nil"/>
              <w:bottom w:val="nil"/>
              <w:right w:val="nil"/>
            </w:tcBorders>
            <w:shd w:val="clear" w:color="000000" w:fill="FFFFFF"/>
            <w:noWrap/>
            <w:vAlign w:val="bottom"/>
            <w:hideMark/>
          </w:tcPr>
          <w:p w14:paraId="7D45D3C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0.0012</w:t>
            </w:r>
          </w:p>
        </w:tc>
        <w:tc>
          <w:tcPr>
            <w:tcW w:w="1300" w:type="dxa"/>
            <w:tcBorders>
              <w:top w:val="nil"/>
              <w:left w:val="nil"/>
              <w:bottom w:val="nil"/>
              <w:right w:val="nil"/>
            </w:tcBorders>
            <w:shd w:val="clear" w:color="000000" w:fill="FFFFFF"/>
            <w:noWrap/>
            <w:vAlign w:val="bottom"/>
            <w:hideMark/>
          </w:tcPr>
          <w:p w14:paraId="7AD9D88C"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0.0005</w:t>
            </w:r>
          </w:p>
        </w:tc>
        <w:tc>
          <w:tcPr>
            <w:tcW w:w="1300" w:type="dxa"/>
            <w:tcBorders>
              <w:top w:val="nil"/>
              <w:left w:val="nil"/>
              <w:bottom w:val="nil"/>
              <w:right w:val="nil"/>
            </w:tcBorders>
            <w:shd w:val="clear" w:color="000000" w:fill="FFFFFF"/>
            <w:noWrap/>
            <w:vAlign w:val="bottom"/>
            <w:hideMark/>
          </w:tcPr>
          <w:p w14:paraId="125564A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2810</w:t>
            </w:r>
          </w:p>
        </w:tc>
        <w:tc>
          <w:tcPr>
            <w:tcW w:w="1300" w:type="dxa"/>
            <w:tcBorders>
              <w:top w:val="nil"/>
              <w:left w:val="nil"/>
              <w:bottom w:val="nil"/>
              <w:right w:val="nil"/>
            </w:tcBorders>
            <w:shd w:val="clear" w:color="000000" w:fill="FFFFFF"/>
            <w:noWrap/>
            <w:vAlign w:val="bottom"/>
            <w:hideMark/>
          </w:tcPr>
          <w:p w14:paraId="7104176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2.126</w:t>
            </w:r>
          </w:p>
        </w:tc>
        <w:tc>
          <w:tcPr>
            <w:tcW w:w="1300" w:type="dxa"/>
            <w:tcBorders>
              <w:top w:val="nil"/>
              <w:left w:val="nil"/>
              <w:bottom w:val="nil"/>
              <w:right w:val="nil"/>
            </w:tcBorders>
            <w:shd w:val="clear" w:color="000000" w:fill="FFFFFF"/>
            <w:noWrap/>
            <w:vAlign w:val="bottom"/>
            <w:hideMark/>
          </w:tcPr>
          <w:p w14:paraId="4502294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0.0336</w:t>
            </w:r>
          </w:p>
        </w:tc>
        <w:tc>
          <w:tcPr>
            <w:tcW w:w="1300" w:type="dxa"/>
            <w:tcBorders>
              <w:top w:val="nil"/>
              <w:left w:val="nil"/>
              <w:bottom w:val="nil"/>
              <w:right w:val="nil"/>
            </w:tcBorders>
            <w:shd w:val="clear" w:color="000000" w:fill="FFFFFF"/>
            <w:noWrap/>
            <w:vAlign w:val="bottom"/>
            <w:hideMark/>
          </w:tcPr>
          <w:p w14:paraId="7EF73DDE"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6B1E3825" w14:textId="77777777" w:rsidTr="00BF76E1">
        <w:trPr>
          <w:trHeight w:val="320"/>
        </w:trPr>
        <w:tc>
          <w:tcPr>
            <w:tcW w:w="1507" w:type="dxa"/>
            <w:tcBorders>
              <w:top w:val="nil"/>
              <w:left w:val="nil"/>
              <w:bottom w:val="nil"/>
              <w:right w:val="nil"/>
            </w:tcBorders>
            <w:shd w:val="clear" w:color="000000" w:fill="FFFFFF"/>
            <w:noWrap/>
            <w:vAlign w:val="bottom"/>
            <w:hideMark/>
          </w:tcPr>
          <w:p w14:paraId="15C5E427"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VH</w:t>
            </w:r>
          </w:p>
        </w:tc>
        <w:tc>
          <w:tcPr>
            <w:tcW w:w="1093" w:type="dxa"/>
            <w:tcBorders>
              <w:top w:val="nil"/>
              <w:left w:val="nil"/>
              <w:bottom w:val="nil"/>
              <w:right w:val="nil"/>
            </w:tcBorders>
            <w:shd w:val="clear" w:color="000000" w:fill="FFFFFF"/>
            <w:noWrap/>
            <w:vAlign w:val="bottom"/>
            <w:hideMark/>
          </w:tcPr>
          <w:p w14:paraId="63CE6A22"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0.0045</w:t>
            </w:r>
          </w:p>
        </w:tc>
        <w:tc>
          <w:tcPr>
            <w:tcW w:w="1300" w:type="dxa"/>
            <w:tcBorders>
              <w:top w:val="nil"/>
              <w:left w:val="nil"/>
              <w:bottom w:val="nil"/>
              <w:right w:val="nil"/>
            </w:tcBorders>
            <w:shd w:val="clear" w:color="000000" w:fill="FFFFFF"/>
            <w:noWrap/>
            <w:vAlign w:val="bottom"/>
            <w:hideMark/>
          </w:tcPr>
          <w:p w14:paraId="00CA7C83"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0.0018</w:t>
            </w:r>
          </w:p>
        </w:tc>
        <w:tc>
          <w:tcPr>
            <w:tcW w:w="1300" w:type="dxa"/>
            <w:tcBorders>
              <w:top w:val="nil"/>
              <w:left w:val="nil"/>
              <w:bottom w:val="nil"/>
              <w:right w:val="nil"/>
            </w:tcBorders>
            <w:shd w:val="clear" w:color="000000" w:fill="FFFFFF"/>
            <w:noWrap/>
            <w:vAlign w:val="bottom"/>
            <w:hideMark/>
          </w:tcPr>
          <w:p w14:paraId="73175F1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62A8DE3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2.52</w:t>
            </w:r>
          </w:p>
        </w:tc>
        <w:tc>
          <w:tcPr>
            <w:tcW w:w="1300" w:type="dxa"/>
            <w:tcBorders>
              <w:top w:val="nil"/>
              <w:left w:val="nil"/>
              <w:bottom w:val="nil"/>
              <w:right w:val="nil"/>
            </w:tcBorders>
            <w:shd w:val="clear" w:color="000000" w:fill="FFFFFF"/>
            <w:noWrap/>
            <w:vAlign w:val="bottom"/>
            <w:hideMark/>
          </w:tcPr>
          <w:p w14:paraId="03619A9B"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0.0173</w:t>
            </w:r>
          </w:p>
        </w:tc>
        <w:tc>
          <w:tcPr>
            <w:tcW w:w="1300" w:type="dxa"/>
            <w:tcBorders>
              <w:top w:val="nil"/>
              <w:left w:val="nil"/>
              <w:bottom w:val="nil"/>
              <w:right w:val="nil"/>
            </w:tcBorders>
            <w:shd w:val="clear" w:color="000000" w:fill="FFFFFF"/>
            <w:noWrap/>
            <w:vAlign w:val="bottom"/>
            <w:hideMark/>
          </w:tcPr>
          <w:p w14:paraId="5274EFBE"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5773CA8A" w14:textId="77777777" w:rsidTr="00BF76E1">
        <w:trPr>
          <w:trHeight w:val="320"/>
        </w:trPr>
        <w:tc>
          <w:tcPr>
            <w:tcW w:w="1507" w:type="dxa"/>
            <w:tcBorders>
              <w:top w:val="nil"/>
              <w:left w:val="nil"/>
              <w:bottom w:val="nil"/>
              <w:right w:val="nil"/>
            </w:tcBorders>
            <w:shd w:val="clear" w:color="000000" w:fill="FFFFFF"/>
            <w:noWrap/>
            <w:vAlign w:val="bottom"/>
            <w:hideMark/>
          </w:tcPr>
          <w:p w14:paraId="015CC168"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age_s</w:t>
            </w:r>
            <w:proofErr w:type="spellEnd"/>
          </w:p>
        </w:tc>
        <w:tc>
          <w:tcPr>
            <w:tcW w:w="1093" w:type="dxa"/>
            <w:tcBorders>
              <w:top w:val="nil"/>
              <w:left w:val="nil"/>
              <w:bottom w:val="nil"/>
              <w:right w:val="nil"/>
            </w:tcBorders>
            <w:shd w:val="clear" w:color="000000" w:fill="FFFFFF"/>
            <w:noWrap/>
            <w:vAlign w:val="bottom"/>
            <w:hideMark/>
          </w:tcPr>
          <w:p w14:paraId="5E745DB7"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0.0001</w:t>
            </w:r>
          </w:p>
        </w:tc>
        <w:tc>
          <w:tcPr>
            <w:tcW w:w="1300" w:type="dxa"/>
            <w:tcBorders>
              <w:top w:val="nil"/>
              <w:left w:val="nil"/>
              <w:bottom w:val="nil"/>
              <w:right w:val="nil"/>
            </w:tcBorders>
            <w:shd w:val="clear" w:color="000000" w:fill="FFFFFF"/>
            <w:noWrap/>
            <w:vAlign w:val="bottom"/>
            <w:hideMark/>
          </w:tcPr>
          <w:p w14:paraId="313C1265"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689A749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0878DFF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0.087</w:t>
            </w:r>
          </w:p>
        </w:tc>
        <w:tc>
          <w:tcPr>
            <w:tcW w:w="1300" w:type="dxa"/>
            <w:tcBorders>
              <w:top w:val="nil"/>
              <w:left w:val="nil"/>
              <w:bottom w:val="nil"/>
              <w:right w:val="nil"/>
            </w:tcBorders>
            <w:shd w:val="clear" w:color="000000" w:fill="FFFFFF"/>
            <w:noWrap/>
            <w:vAlign w:val="bottom"/>
            <w:hideMark/>
          </w:tcPr>
          <w:p w14:paraId="2035B9C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0.9312</w:t>
            </w:r>
          </w:p>
        </w:tc>
        <w:tc>
          <w:tcPr>
            <w:tcW w:w="1300" w:type="dxa"/>
            <w:tcBorders>
              <w:top w:val="nil"/>
              <w:left w:val="nil"/>
              <w:bottom w:val="nil"/>
              <w:right w:val="nil"/>
            </w:tcBorders>
            <w:shd w:val="clear" w:color="000000" w:fill="FFFFFF"/>
            <w:noWrap/>
            <w:vAlign w:val="bottom"/>
            <w:hideMark/>
          </w:tcPr>
          <w:p w14:paraId="48253BCC"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62A6E999" w14:textId="77777777" w:rsidTr="00BF76E1">
        <w:trPr>
          <w:trHeight w:val="320"/>
        </w:trPr>
        <w:tc>
          <w:tcPr>
            <w:tcW w:w="1507" w:type="dxa"/>
            <w:tcBorders>
              <w:top w:val="nil"/>
              <w:left w:val="nil"/>
              <w:bottom w:val="nil"/>
              <w:right w:val="nil"/>
            </w:tcBorders>
            <w:shd w:val="clear" w:color="000000" w:fill="FFFFFF"/>
            <w:noWrap/>
            <w:vAlign w:val="bottom"/>
            <w:hideMark/>
          </w:tcPr>
          <w:p w14:paraId="102DEA46"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LEDD_s</w:t>
            </w:r>
          </w:p>
        </w:tc>
        <w:tc>
          <w:tcPr>
            <w:tcW w:w="1093" w:type="dxa"/>
            <w:tcBorders>
              <w:top w:val="nil"/>
              <w:left w:val="nil"/>
              <w:bottom w:val="nil"/>
              <w:right w:val="nil"/>
            </w:tcBorders>
            <w:shd w:val="clear" w:color="000000" w:fill="FFFFFF"/>
            <w:noWrap/>
            <w:vAlign w:val="bottom"/>
            <w:hideMark/>
          </w:tcPr>
          <w:p w14:paraId="4C81469C"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-0.0006</w:t>
            </w:r>
          </w:p>
        </w:tc>
        <w:tc>
          <w:tcPr>
            <w:tcW w:w="1300" w:type="dxa"/>
            <w:tcBorders>
              <w:top w:val="nil"/>
              <w:left w:val="nil"/>
              <w:bottom w:val="nil"/>
              <w:right w:val="nil"/>
            </w:tcBorders>
            <w:shd w:val="clear" w:color="000000" w:fill="FFFFFF"/>
            <w:noWrap/>
            <w:vAlign w:val="bottom"/>
            <w:hideMark/>
          </w:tcPr>
          <w:p w14:paraId="167EBDF1"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0.0010</w:t>
            </w:r>
          </w:p>
        </w:tc>
        <w:tc>
          <w:tcPr>
            <w:tcW w:w="1300" w:type="dxa"/>
            <w:tcBorders>
              <w:top w:val="nil"/>
              <w:left w:val="nil"/>
              <w:bottom w:val="nil"/>
              <w:right w:val="nil"/>
            </w:tcBorders>
            <w:shd w:val="clear" w:color="000000" w:fill="FFFFFF"/>
            <w:noWrap/>
            <w:vAlign w:val="bottom"/>
            <w:hideMark/>
          </w:tcPr>
          <w:p w14:paraId="17499647"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7D16DF75"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-0.537</w:t>
            </w:r>
          </w:p>
        </w:tc>
        <w:tc>
          <w:tcPr>
            <w:tcW w:w="1300" w:type="dxa"/>
            <w:tcBorders>
              <w:top w:val="nil"/>
              <w:left w:val="nil"/>
              <w:bottom w:val="nil"/>
              <w:right w:val="nil"/>
            </w:tcBorders>
            <w:shd w:val="clear" w:color="000000" w:fill="FFFFFF"/>
            <w:noWrap/>
            <w:vAlign w:val="bottom"/>
            <w:hideMark/>
          </w:tcPr>
          <w:p w14:paraId="7187782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0.5951</w:t>
            </w:r>
          </w:p>
        </w:tc>
        <w:tc>
          <w:tcPr>
            <w:tcW w:w="1300" w:type="dxa"/>
            <w:tcBorders>
              <w:top w:val="nil"/>
              <w:left w:val="nil"/>
              <w:bottom w:val="nil"/>
              <w:right w:val="nil"/>
            </w:tcBorders>
            <w:shd w:val="clear" w:color="000000" w:fill="FFFFFF"/>
            <w:noWrap/>
            <w:vAlign w:val="bottom"/>
            <w:hideMark/>
          </w:tcPr>
          <w:p w14:paraId="7519322D"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59633B31" w14:textId="77777777" w:rsidTr="00BF76E1">
        <w:trPr>
          <w:trHeight w:val="320"/>
        </w:trPr>
        <w:tc>
          <w:tcPr>
            <w:tcW w:w="1507" w:type="dxa"/>
            <w:tcBorders>
              <w:top w:val="nil"/>
              <w:left w:val="nil"/>
              <w:bottom w:val="nil"/>
              <w:right w:val="nil"/>
            </w:tcBorders>
            <w:shd w:val="clear" w:color="000000" w:fill="FFFFFF"/>
            <w:noWrap/>
            <w:vAlign w:val="bottom"/>
            <w:hideMark/>
          </w:tcPr>
          <w:p w14:paraId="385C7929"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sexmale</w:t>
            </w:r>
            <w:proofErr w:type="spellEnd"/>
          </w:p>
        </w:tc>
        <w:tc>
          <w:tcPr>
            <w:tcW w:w="1093" w:type="dxa"/>
            <w:tcBorders>
              <w:top w:val="nil"/>
              <w:left w:val="nil"/>
              <w:bottom w:val="nil"/>
              <w:right w:val="nil"/>
            </w:tcBorders>
            <w:shd w:val="clear" w:color="000000" w:fill="FFFFFF"/>
            <w:noWrap/>
            <w:vAlign w:val="bottom"/>
            <w:hideMark/>
          </w:tcPr>
          <w:p w14:paraId="4EA0E6EC"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0.0046</w:t>
            </w:r>
          </w:p>
        </w:tc>
        <w:tc>
          <w:tcPr>
            <w:tcW w:w="1300" w:type="dxa"/>
            <w:tcBorders>
              <w:top w:val="nil"/>
              <w:left w:val="nil"/>
              <w:bottom w:val="nil"/>
              <w:right w:val="nil"/>
            </w:tcBorders>
            <w:shd w:val="clear" w:color="000000" w:fill="FFFFFF"/>
            <w:noWrap/>
            <w:vAlign w:val="bottom"/>
            <w:hideMark/>
          </w:tcPr>
          <w:p w14:paraId="0DC7BB1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0.0020</w:t>
            </w:r>
          </w:p>
        </w:tc>
        <w:tc>
          <w:tcPr>
            <w:tcW w:w="1300" w:type="dxa"/>
            <w:tcBorders>
              <w:top w:val="nil"/>
              <w:left w:val="nil"/>
              <w:bottom w:val="nil"/>
              <w:right w:val="nil"/>
            </w:tcBorders>
            <w:shd w:val="clear" w:color="000000" w:fill="FFFFFF"/>
            <w:noWrap/>
            <w:vAlign w:val="bottom"/>
            <w:hideMark/>
          </w:tcPr>
          <w:p w14:paraId="4260FC2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1DB74B9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2.242</w:t>
            </w:r>
          </w:p>
        </w:tc>
        <w:tc>
          <w:tcPr>
            <w:tcW w:w="1300" w:type="dxa"/>
            <w:tcBorders>
              <w:top w:val="nil"/>
              <w:left w:val="nil"/>
              <w:bottom w:val="nil"/>
              <w:right w:val="nil"/>
            </w:tcBorders>
            <w:shd w:val="clear" w:color="000000" w:fill="FFFFFF"/>
            <w:noWrap/>
            <w:vAlign w:val="bottom"/>
            <w:hideMark/>
          </w:tcPr>
          <w:p w14:paraId="1BDC131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0.0325</w:t>
            </w:r>
          </w:p>
        </w:tc>
        <w:tc>
          <w:tcPr>
            <w:tcW w:w="1300" w:type="dxa"/>
            <w:tcBorders>
              <w:top w:val="nil"/>
              <w:left w:val="nil"/>
              <w:bottom w:val="nil"/>
              <w:right w:val="nil"/>
            </w:tcBorders>
            <w:shd w:val="clear" w:color="000000" w:fill="FFFFFF"/>
            <w:noWrap/>
            <w:vAlign w:val="bottom"/>
            <w:hideMark/>
          </w:tcPr>
          <w:p w14:paraId="64D4F90C"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r w:rsidR="00752E6F" w:rsidRPr="008F01FA" w14:paraId="09003340" w14:textId="77777777" w:rsidTr="00BF76E1">
        <w:trPr>
          <w:trHeight w:val="320"/>
        </w:trPr>
        <w:tc>
          <w:tcPr>
            <w:tcW w:w="1507" w:type="dxa"/>
            <w:tcBorders>
              <w:top w:val="nil"/>
              <w:left w:val="nil"/>
              <w:bottom w:val="nil"/>
              <w:right w:val="nil"/>
            </w:tcBorders>
            <w:shd w:val="clear" w:color="000000" w:fill="FFFFFF"/>
            <w:noWrap/>
            <w:vAlign w:val="bottom"/>
            <w:hideMark/>
          </w:tcPr>
          <w:p w14:paraId="4EE2ADFA"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onset_s</w:t>
            </w:r>
            <w:proofErr w:type="spellEnd"/>
          </w:p>
        </w:tc>
        <w:tc>
          <w:tcPr>
            <w:tcW w:w="1093" w:type="dxa"/>
            <w:tcBorders>
              <w:top w:val="nil"/>
              <w:left w:val="nil"/>
              <w:bottom w:val="nil"/>
              <w:right w:val="nil"/>
            </w:tcBorders>
            <w:shd w:val="clear" w:color="000000" w:fill="FFFFFF"/>
            <w:noWrap/>
            <w:vAlign w:val="bottom"/>
            <w:hideMark/>
          </w:tcPr>
          <w:p w14:paraId="69392E3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0.0003</w:t>
            </w:r>
          </w:p>
        </w:tc>
        <w:tc>
          <w:tcPr>
            <w:tcW w:w="1300" w:type="dxa"/>
            <w:tcBorders>
              <w:top w:val="nil"/>
              <w:left w:val="nil"/>
              <w:bottom w:val="nil"/>
              <w:right w:val="nil"/>
            </w:tcBorders>
            <w:shd w:val="clear" w:color="000000" w:fill="FFFFFF"/>
            <w:noWrap/>
            <w:vAlign w:val="bottom"/>
            <w:hideMark/>
          </w:tcPr>
          <w:p w14:paraId="51AF622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505642E5"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1851304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0.375</w:t>
            </w:r>
          </w:p>
        </w:tc>
        <w:tc>
          <w:tcPr>
            <w:tcW w:w="1300" w:type="dxa"/>
            <w:tcBorders>
              <w:top w:val="nil"/>
              <w:left w:val="nil"/>
              <w:bottom w:val="nil"/>
              <w:right w:val="nil"/>
            </w:tcBorders>
            <w:shd w:val="clear" w:color="000000" w:fill="FFFFFF"/>
            <w:noWrap/>
            <w:vAlign w:val="bottom"/>
            <w:hideMark/>
          </w:tcPr>
          <w:p w14:paraId="7DB5A22D"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0.7099</w:t>
            </w:r>
          </w:p>
        </w:tc>
        <w:tc>
          <w:tcPr>
            <w:tcW w:w="1300" w:type="dxa"/>
            <w:tcBorders>
              <w:top w:val="nil"/>
              <w:left w:val="nil"/>
              <w:bottom w:val="nil"/>
              <w:right w:val="nil"/>
            </w:tcBorders>
            <w:shd w:val="clear" w:color="000000" w:fill="FFFFFF"/>
            <w:noWrap/>
            <w:vAlign w:val="bottom"/>
            <w:hideMark/>
          </w:tcPr>
          <w:p w14:paraId="3C1B93C1"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686450E5" w14:textId="77777777" w:rsidTr="00BF76E1">
        <w:trPr>
          <w:trHeight w:val="320"/>
        </w:trPr>
        <w:tc>
          <w:tcPr>
            <w:tcW w:w="1507" w:type="dxa"/>
            <w:tcBorders>
              <w:top w:val="nil"/>
              <w:left w:val="nil"/>
              <w:bottom w:val="nil"/>
              <w:right w:val="nil"/>
            </w:tcBorders>
            <w:shd w:val="clear" w:color="000000" w:fill="FFFFFF"/>
            <w:noWrap/>
            <w:vAlign w:val="bottom"/>
            <w:hideMark/>
          </w:tcPr>
          <w:p w14:paraId="67BAD372" w14:textId="77777777" w:rsidR="00752E6F" w:rsidRPr="00BF76E1" w:rsidRDefault="00752E6F" w:rsidP="00BF76E1">
            <w:pPr>
              <w:rPr>
                <w:rFonts w:ascii="Times New Roman" w:hAnsi="Times New Roman" w:cs="Times New Roman"/>
                <w:b/>
                <w:bCs/>
                <w:color w:val="000000"/>
                <w:sz w:val="22"/>
                <w:szCs w:val="22"/>
              </w:rPr>
            </w:pPr>
            <w:proofErr w:type="spellStart"/>
            <w:r w:rsidRPr="00BF76E1">
              <w:rPr>
                <w:rFonts w:ascii="Times New Roman" w:hAnsi="Times New Roman" w:cs="Times New Roman"/>
                <w:b/>
                <w:bCs/>
                <w:color w:val="000000"/>
                <w:sz w:val="22"/>
                <w:szCs w:val="22"/>
              </w:rPr>
              <w:t>MoCA_s</w:t>
            </w:r>
            <w:proofErr w:type="spellEnd"/>
          </w:p>
        </w:tc>
        <w:tc>
          <w:tcPr>
            <w:tcW w:w="1093" w:type="dxa"/>
            <w:tcBorders>
              <w:top w:val="nil"/>
              <w:left w:val="nil"/>
              <w:bottom w:val="nil"/>
              <w:right w:val="nil"/>
            </w:tcBorders>
            <w:shd w:val="clear" w:color="000000" w:fill="FFFFFF"/>
            <w:noWrap/>
            <w:vAlign w:val="bottom"/>
            <w:hideMark/>
          </w:tcPr>
          <w:p w14:paraId="054EBB4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0.0005</w:t>
            </w:r>
          </w:p>
        </w:tc>
        <w:tc>
          <w:tcPr>
            <w:tcW w:w="1300" w:type="dxa"/>
            <w:tcBorders>
              <w:top w:val="nil"/>
              <w:left w:val="nil"/>
              <w:bottom w:val="nil"/>
              <w:right w:val="nil"/>
            </w:tcBorders>
            <w:shd w:val="clear" w:color="000000" w:fill="FFFFFF"/>
            <w:noWrap/>
            <w:vAlign w:val="bottom"/>
            <w:hideMark/>
          </w:tcPr>
          <w:p w14:paraId="38730D6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0.0009</w:t>
            </w:r>
          </w:p>
        </w:tc>
        <w:tc>
          <w:tcPr>
            <w:tcW w:w="1300" w:type="dxa"/>
            <w:tcBorders>
              <w:top w:val="nil"/>
              <w:left w:val="nil"/>
              <w:bottom w:val="nil"/>
              <w:right w:val="nil"/>
            </w:tcBorders>
            <w:shd w:val="clear" w:color="000000" w:fill="FFFFFF"/>
            <w:noWrap/>
            <w:vAlign w:val="bottom"/>
            <w:hideMark/>
          </w:tcPr>
          <w:p w14:paraId="30D5D8E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30</w:t>
            </w:r>
          </w:p>
        </w:tc>
        <w:tc>
          <w:tcPr>
            <w:tcW w:w="1300" w:type="dxa"/>
            <w:tcBorders>
              <w:top w:val="nil"/>
              <w:left w:val="nil"/>
              <w:bottom w:val="nil"/>
              <w:right w:val="nil"/>
            </w:tcBorders>
            <w:shd w:val="clear" w:color="000000" w:fill="FFFFFF"/>
            <w:noWrap/>
            <w:vAlign w:val="bottom"/>
            <w:hideMark/>
          </w:tcPr>
          <w:p w14:paraId="16EEB70A"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0.561</w:t>
            </w:r>
          </w:p>
        </w:tc>
        <w:tc>
          <w:tcPr>
            <w:tcW w:w="1300" w:type="dxa"/>
            <w:tcBorders>
              <w:top w:val="nil"/>
              <w:left w:val="nil"/>
              <w:bottom w:val="nil"/>
              <w:right w:val="nil"/>
            </w:tcBorders>
            <w:shd w:val="clear" w:color="000000" w:fill="FFFFFF"/>
            <w:noWrap/>
            <w:vAlign w:val="bottom"/>
            <w:hideMark/>
          </w:tcPr>
          <w:p w14:paraId="5EF0B90C"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0.5787</w:t>
            </w:r>
          </w:p>
        </w:tc>
        <w:tc>
          <w:tcPr>
            <w:tcW w:w="1300" w:type="dxa"/>
            <w:tcBorders>
              <w:top w:val="nil"/>
              <w:left w:val="nil"/>
              <w:bottom w:val="nil"/>
              <w:right w:val="nil"/>
            </w:tcBorders>
            <w:shd w:val="clear" w:color="000000" w:fill="FFFFFF"/>
            <w:noWrap/>
            <w:vAlign w:val="bottom"/>
            <w:hideMark/>
          </w:tcPr>
          <w:p w14:paraId="53F7E6F6"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 </w:t>
            </w:r>
          </w:p>
        </w:tc>
      </w:tr>
      <w:tr w:rsidR="00752E6F" w:rsidRPr="008F01FA" w14:paraId="3934B804" w14:textId="77777777" w:rsidTr="00BF76E1">
        <w:trPr>
          <w:trHeight w:val="340"/>
        </w:trPr>
        <w:tc>
          <w:tcPr>
            <w:tcW w:w="1507" w:type="dxa"/>
            <w:tcBorders>
              <w:top w:val="nil"/>
              <w:left w:val="nil"/>
              <w:bottom w:val="double" w:sz="6" w:space="0" w:color="auto"/>
              <w:right w:val="nil"/>
            </w:tcBorders>
            <w:shd w:val="clear" w:color="000000" w:fill="FFFFFF"/>
            <w:noWrap/>
            <w:vAlign w:val="bottom"/>
            <w:hideMark/>
          </w:tcPr>
          <w:p w14:paraId="6B803FC0" w14:textId="77777777" w:rsidR="00752E6F" w:rsidRPr="00BF76E1" w:rsidRDefault="00752E6F" w:rsidP="00BF76E1">
            <w:pPr>
              <w:rPr>
                <w:rFonts w:ascii="Times New Roman" w:hAnsi="Times New Roman" w:cs="Times New Roman"/>
                <w:b/>
                <w:bCs/>
                <w:color w:val="000000"/>
                <w:sz w:val="22"/>
                <w:szCs w:val="22"/>
              </w:rPr>
            </w:pPr>
            <w:r w:rsidRPr="00BF76E1">
              <w:rPr>
                <w:rFonts w:ascii="Times New Roman" w:hAnsi="Times New Roman" w:cs="Times New Roman"/>
                <w:b/>
                <w:bCs/>
                <w:color w:val="000000"/>
                <w:sz w:val="22"/>
                <w:szCs w:val="22"/>
              </w:rPr>
              <w:t>ht2a_</w:t>
            </w:r>
            <w:proofErr w:type="gramStart"/>
            <w:r w:rsidRPr="00BF76E1">
              <w:rPr>
                <w:rFonts w:ascii="Times New Roman" w:hAnsi="Times New Roman" w:cs="Times New Roman"/>
                <w:b/>
                <w:bCs/>
                <w:color w:val="000000"/>
                <w:sz w:val="22"/>
                <w:szCs w:val="22"/>
              </w:rPr>
              <w:t>s:VH</w:t>
            </w:r>
            <w:proofErr w:type="gramEnd"/>
          </w:p>
        </w:tc>
        <w:tc>
          <w:tcPr>
            <w:tcW w:w="1093" w:type="dxa"/>
            <w:tcBorders>
              <w:top w:val="nil"/>
              <w:left w:val="nil"/>
              <w:bottom w:val="double" w:sz="6" w:space="0" w:color="auto"/>
              <w:right w:val="nil"/>
            </w:tcBorders>
            <w:shd w:val="clear" w:color="000000" w:fill="FFFFFF"/>
            <w:noWrap/>
            <w:vAlign w:val="bottom"/>
            <w:hideMark/>
          </w:tcPr>
          <w:p w14:paraId="321A8B6F"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0.0015</w:t>
            </w:r>
          </w:p>
        </w:tc>
        <w:tc>
          <w:tcPr>
            <w:tcW w:w="1300" w:type="dxa"/>
            <w:tcBorders>
              <w:top w:val="nil"/>
              <w:left w:val="nil"/>
              <w:bottom w:val="double" w:sz="6" w:space="0" w:color="auto"/>
              <w:right w:val="nil"/>
            </w:tcBorders>
            <w:shd w:val="clear" w:color="000000" w:fill="FFFFFF"/>
            <w:noWrap/>
            <w:vAlign w:val="bottom"/>
            <w:hideMark/>
          </w:tcPr>
          <w:p w14:paraId="3F63DD58"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0.0007</w:t>
            </w:r>
          </w:p>
        </w:tc>
        <w:tc>
          <w:tcPr>
            <w:tcW w:w="1300" w:type="dxa"/>
            <w:tcBorders>
              <w:top w:val="nil"/>
              <w:left w:val="nil"/>
              <w:bottom w:val="double" w:sz="6" w:space="0" w:color="auto"/>
              <w:right w:val="nil"/>
            </w:tcBorders>
            <w:shd w:val="clear" w:color="000000" w:fill="FFFFFF"/>
            <w:noWrap/>
            <w:vAlign w:val="bottom"/>
            <w:hideMark/>
          </w:tcPr>
          <w:p w14:paraId="752F3F66"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2810</w:t>
            </w:r>
          </w:p>
        </w:tc>
        <w:tc>
          <w:tcPr>
            <w:tcW w:w="1300" w:type="dxa"/>
            <w:tcBorders>
              <w:top w:val="nil"/>
              <w:left w:val="nil"/>
              <w:bottom w:val="double" w:sz="6" w:space="0" w:color="auto"/>
              <w:right w:val="nil"/>
            </w:tcBorders>
            <w:shd w:val="clear" w:color="000000" w:fill="FFFFFF"/>
            <w:noWrap/>
            <w:vAlign w:val="bottom"/>
            <w:hideMark/>
          </w:tcPr>
          <w:p w14:paraId="30A0225E"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2.058</w:t>
            </w:r>
          </w:p>
        </w:tc>
        <w:tc>
          <w:tcPr>
            <w:tcW w:w="1300" w:type="dxa"/>
            <w:tcBorders>
              <w:top w:val="nil"/>
              <w:left w:val="nil"/>
              <w:bottom w:val="double" w:sz="6" w:space="0" w:color="auto"/>
              <w:right w:val="nil"/>
            </w:tcBorders>
            <w:shd w:val="clear" w:color="000000" w:fill="FFFFFF"/>
            <w:noWrap/>
            <w:vAlign w:val="bottom"/>
            <w:hideMark/>
          </w:tcPr>
          <w:p w14:paraId="0A5342CC" w14:textId="77777777" w:rsidR="00752E6F" w:rsidRPr="00BF76E1" w:rsidRDefault="00752E6F" w:rsidP="00BF76E1">
            <w:pPr>
              <w:jc w:val="right"/>
              <w:rPr>
                <w:rFonts w:ascii="Times New Roman" w:hAnsi="Times New Roman" w:cs="Times New Roman"/>
                <w:color w:val="000000"/>
                <w:sz w:val="22"/>
                <w:szCs w:val="22"/>
              </w:rPr>
            </w:pPr>
            <w:r w:rsidRPr="00BF76E1">
              <w:rPr>
                <w:rFonts w:ascii="Times New Roman" w:hAnsi="Times New Roman" w:cs="Times New Roman"/>
                <w:color w:val="000000"/>
                <w:sz w:val="22"/>
                <w:szCs w:val="22"/>
              </w:rPr>
              <w:t>0.0397</w:t>
            </w:r>
          </w:p>
        </w:tc>
        <w:tc>
          <w:tcPr>
            <w:tcW w:w="1300" w:type="dxa"/>
            <w:tcBorders>
              <w:top w:val="nil"/>
              <w:left w:val="nil"/>
              <w:bottom w:val="double" w:sz="6" w:space="0" w:color="auto"/>
              <w:right w:val="nil"/>
            </w:tcBorders>
            <w:shd w:val="clear" w:color="000000" w:fill="FFFFFF"/>
            <w:noWrap/>
            <w:vAlign w:val="bottom"/>
            <w:hideMark/>
          </w:tcPr>
          <w:p w14:paraId="37364D00" w14:textId="77777777" w:rsidR="00752E6F" w:rsidRPr="00BF76E1" w:rsidRDefault="00752E6F" w:rsidP="00BF76E1">
            <w:pPr>
              <w:rPr>
                <w:rFonts w:ascii="Times New Roman" w:hAnsi="Times New Roman" w:cs="Times New Roman"/>
                <w:color w:val="000000"/>
                <w:sz w:val="22"/>
                <w:szCs w:val="22"/>
              </w:rPr>
            </w:pPr>
            <w:r w:rsidRPr="00BF76E1">
              <w:rPr>
                <w:rFonts w:ascii="Times New Roman" w:hAnsi="Times New Roman" w:cs="Times New Roman"/>
                <w:color w:val="000000"/>
                <w:sz w:val="22"/>
                <w:szCs w:val="22"/>
              </w:rPr>
              <w:t>*</w:t>
            </w:r>
          </w:p>
        </w:tc>
      </w:tr>
    </w:tbl>
    <w:p w14:paraId="36844214" w14:textId="77777777" w:rsidR="00752E6F" w:rsidRPr="00BF76E1" w:rsidRDefault="00752E6F" w:rsidP="00752E6F">
      <w:pPr>
        <w:autoSpaceDE w:val="0"/>
        <w:autoSpaceDN w:val="0"/>
        <w:adjustRightInd w:val="0"/>
        <w:rPr>
          <w:rFonts w:ascii="Times New Roman" w:hAnsi="Times New Roman" w:cs="Times New Roman"/>
          <w:b/>
          <w:bCs/>
          <w:i/>
          <w:iCs/>
          <w:sz w:val="22"/>
          <w:szCs w:val="22"/>
        </w:rPr>
      </w:pPr>
    </w:p>
    <w:p w14:paraId="0AE7BDD4" w14:textId="77777777" w:rsidR="00752E6F" w:rsidRPr="00BF76E1" w:rsidRDefault="00752E6F" w:rsidP="00752E6F">
      <w:pPr>
        <w:autoSpaceDE w:val="0"/>
        <w:autoSpaceDN w:val="0"/>
        <w:adjustRightInd w:val="0"/>
        <w:rPr>
          <w:rFonts w:ascii="Times New Roman" w:hAnsi="Times New Roman" w:cs="Times New Roman"/>
          <w:b/>
          <w:bCs/>
          <w:i/>
          <w:iCs/>
          <w:sz w:val="22"/>
          <w:szCs w:val="22"/>
        </w:rPr>
      </w:pPr>
    </w:p>
    <w:p w14:paraId="776A2935" w14:textId="77777777" w:rsidR="00752E6F" w:rsidRPr="00BF76E1" w:rsidRDefault="00752E6F" w:rsidP="00752E6F">
      <w:pPr>
        <w:spacing w:line="360" w:lineRule="auto"/>
        <w:jc w:val="both"/>
        <w:rPr>
          <w:rFonts w:ascii="Times New Roman" w:hAnsi="Times New Roman" w:cs="Times New Roman"/>
          <w:color w:val="000000" w:themeColor="text1"/>
          <w:sz w:val="22"/>
          <w:szCs w:val="22"/>
        </w:rPr>
      </w:pPr>
    </w:p>
    <w:p w14:paraId="3EBBC320" w14:textId="77777777" w:rsidR="00752E6F" w:rsidRPr="00BF76E1" w:rsidRDefault="00752E6F" w:rsidP="00752E6F">
      <w:pPr>
        <w:spacing w:line="360" w:lineRule="auto"/>
        <w:rPr>
          <w:rFonts w:ascii="Times New Roman" w:hAnsi="Times New Roman" w:cs="Times New Roman"/>
          <w:b/>
          <w:bCs/>
          <w:color w:val="000000" w:themeColor="text1"/>
          <w:sz w:val="22"/>
          <w:szCs w:val="22"/>
        </w:rPr>
      </w:pPr>
      <w:r w:rsidRPr="00BF76E1">
        <w:rPr>
          <w:rFonts w:ascii="Times New Roman" w:hAnsi="Times New Roman" w:cs="Times New Roman"/>
          <w:b/>
          <w:bCs/>
          <w:color w:val="000000" w:themeColor="text1"/>
          <w:sz w:val="22"/>
          <w:szCs w:val="22"/>
        </w:rPr>
        <w:t xml:space="preserve">Supplementary References </w:t>
      </w:r>
    </w:p>
    <w:p w14:paraId="4439799E"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6BFB77D0"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29306977" w14:textId="77777777" w:rsidR="00752E6F" w:rsidRPr="00BF76E1" w:rsidRDefault="00752E6F" w:rsidP="00752E6F">
      <w:pPr>
        <w:pStyle w:val="ListParagraph"/>
        <w:spacing w:line="360" w:lineRule="auto"/>
        <w:jc w:val="both"/>
        <w:rPr>
          <w:rFonts w:ascii="Times New Roman" w:hAnsi="Times New Roman" w:cs="Times New Roman"/>
          <w:color w:val="222222"/>
          <w:sz w:val="22"/>
          <w:szCs w:val="22"/>
          <w:shd w:val="clear" w:color="auto" w:fill="FFFFFF"/>
        </w:rPr>
      </w:pPr>
      <w:r w:rsidRPr="00BF76E1">
        <w:rPr>
          <w:rFonts w:ascii="Times New Roman" w:hAnsi="Times New Roman" w:cs="Times New Roman"/>
          <w:color w:val="222222"/>
          <w:sz w:val="22"/>
          <w:szCs w:val="22"/>
          <w:shd w:val="clear" w:color="auto" w:fill="FFFFFF"/>
        </w:rPr>
        <w:t xml:space="preserve">Vignando, M., </w:t>
      </w:r>
      <w:proofErr w:type="spellStart"/>
      <w:r w:rsidRPr="00BF76E1">
        <w:rPr>
          <w:rFonts w:ascii="Times New Roman" w:hAnsi="Times New Roman" w:cs="Times New Roman"/>
          <w:color w:val="222222"/>
          <w:sz w:val="22"/>
          <w:szCs w:val="22"/>
          <w:shd w:val="clear" w:color="auto" w:fill="FFFFFF"/>
        </w:rPr>
        <w:t>Ffytche</w:t>
      </w:r>
      <w:proofErr w:type="spellEnd"/>
      <w:r w:rsidRPr="00BF76E1">
        <w:rPr>
          <w:rFonts w:ascii="Times New Roman" w:hAnsi="Times New Roman" w:cs="Times New Roman"/>
          <w:color w:val="222222"/>
          <w:sz w:val="22"/>
          <w:szCs w:val="22"/>
          <w:shd w:val="clear" w:color="auto" w:fill="FFFFFF"/>
        </w:rPr>
        <w:t xml:space="preserve">, D., Mazibuko, N., Palma, G., </w:t>
      </w:r>
      <w:proofErr w:type="spellStart"/>
      <w:r w:rsidRPr="00BF76E1">
        <w:rPr>
          <w:rFonts w:ascii="Times New Roman" w:hAnsi="Times New Roman" w:cs="Times New Roman"/>
          <w:color w:val="222222"/>
          <w:sz w:val="22"/>
          <w:szCs w:val="22"/>
          <w:shd w:val="clear" w:color="auto" w:fill="FFFFFF"/>
        </w:rPr>
        <w:t>Montagnese</w:t>
      </w:r>
      <w:proofErr w:type="spellEnd"/>
      <w:r w:rsidRPr="00BF76E1">
        <w:rPr>
          <w:rFonts w:ascii="Times New Roman" w:hAnsi="Times New Roman" w:cs="Times New Roman"/>
          <w:color w:val="222222"/>
          <w:sz w:val="22"/>
          <w:szCs w:val="22"/>
          <w:shd w:val="clear" w:color="auto" w:fill="FFFFFF"/>
        </w:rPr>
        <w:t>, M., Dave, S., ... &amp; Mehta, M. A. (2024). Visual mismatch negativity in Parkinson's psychosis and potential for testing treatment mechanisms. </w:t>
      </w:r>
      <w:r w:rsidRPr="00BF76E1">
        <w:rPr>
          <w:rFonts w:ascii="Times New Roman" w:hAnsi="Times New Roman" w:cs="Times New Roman"/>
          <w:i/>
          <w:iCs/>
          <w:color w:val="222222"/>
          <w:sz w:val="22"/>
          <w:szCs w:val="22"/>
          <w:shd w:val="clear" w:color="auto" w:fill="FFFFFF"/>
        </w:rPr>
        <w:t>Brain Communications</w:t>
      </w:r>
      <w:r w:rsidRPr="00BF76E1">
        <w:rPr>
          <w:rFonts w:ascii="Times New Roman" w:hAnsi="Times New Roman" w:cs="Times New Roman"/>
          <w:color w:val="222222"/>
          <w:sz w:val="22"/>
          <w:szCs w:val="22"/>
          <w:shd w:val="clear" w:color="auto" w:fill="FFFFFF"/>
        </w:rPr>
        <w:t>, </w:t>
      </w:r>
      <w:r w:rsidRPr="00BF76E1">
        <w:rPr>
          <w:rFonts w:ascii="Times New Roman" w:hAnsi="Times New Roman" w:cs="Times New Roman"/>
          <w:i/>
          <w:iCs/>
          <w:color w:val="222222"/>
          <w:sz w:val="22"/>
          <w:szCs w:val="22"/>
          <w:shd w:val="clear" w:color="auto" w:fill="FFFFFF"/>
        </w:rPr>
        <w:t>6</w:t>
      </w:r>
      <w:r w:rsidRPr="00BF76E1">
        <w:rPr>
          <w:rFonts w:ascii="Times New Roman" w:hAnsi="Times New Roman" w:cs="Times New Roman"/>
          <w:color w:val="222222"/>
          <w:sz w:val="22"/>
          <w:szCs w:val="22"/>
          <w:shd w:val="clear" w:color="auto" w:fill="FFFFFF"/>
        </w:rPr>
        <w:t>(5), fcae291.</w:t>
      </w:r>
    </w:p>
    <w:p w14:paraId="414ABA4B"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lang w:val="en-US"/>
        </w:rPr>
      </w:pPr>
    </w:p>
    <w:p w14:paraId="6AD9B4B2"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roofErr w:type="spellStart"/>
      <w:r w:rsidRPr="008F01FA">
        <w:rPr>
          <w:rFonts w:ascii="Times New Roman" w:eastAsia="Times New Roman" w:hAnsi="Times New Roman" w:cs="Times New Roman"/>
          <w:color w:val="000000" w:themeColor="text1"/>
          <w:sz w:val="22"/>
          <w:szCs w:val="22"/>
          <w:lang w:val="en-US"/>
        </w:rPr>
        <w:lastRenderedPageBreak/>
        <w:t>Verbaan</w:t>
      </w:r>
      <w:proofErr w:type="spellEnd"/>
      <w:r w:rsidRPr="008F01FA">
        <w:rPr>
          <w:rFonts w:ascii="Times New Roman" w:eastAsia="Times New Roman" w:hAnsi="Times New Roman" w:cs="Times New Roman"/>
          <w:color w:val="000000" w:themeColor="text1"/>
          <w:sz w:val="22"/>
          <w:szCs w:val="22"/>
          <w:lang w:val="en-US"/>
        </w:rPr>
        <w:t xml:space="preserve">, D., Van </w:t>
      </w:r>
      <w:proofErr w:type="spellStart"/>
      <w:r w:rsidRPr="008F01FA">
        <w:rPr>
          <w:rFonts w:ascii="Times New Roman" w:eastAsia="Times New Roman" w:hAnsi="Times New Roman" w:cs="Times New Roman"/>
          <w:color w:val="000000" w:themeColor="text1"/>
          <w:sz w:val="22"/>
          <w:szCs w:val="22"/>
          <w:lang w:val="en-US"/>
        </w:rPr>
        <w:t>Rooden</w:t>
      </w:r>
      <w:proofErr w:type="spellEnd"/>
      <w:r w:rsidRPr="008F01FA">
        <w:rPr>
          <w:rFonts w:ascii="Times New Roman" w:eastAsia="Times New Roman" w:hAnsi="Times New Roman" w:cs="Times New Roman"/>
          <w:color w:val="000000" w:themeColor="text1"/>
          <w:sz w:val="22"/>
          <w:szCs w:val="22"/>
          <w:lang w:val="en-US"/>
        </w:rPr>
        <w:t xml:space="preserve">, S. M., Benit, C. P., van </w:t>
      </w:r>
      <w:proofErr w:type="spellStart"/>
      <w:r w:rsidRPr="008F01FA">
        <w:rPr>
          <w:rFonts w:ascii="Times New Roman" w:eastAsia="Times New Roman" w:hAnsi="Times New Roman" w:cs="Times New Roman"/>
          <w:color w:val="000000" w:themeColor="text1"/>
          <w:sz w:val="22"/>
          <w:szCs w:val="22"/>
          <w:lang w:val="en-US"/>
        </w:rPr>
        <w:t>Zwet</w:t>
      </w:r>
      <w:proofErr w:type="spellEnd"/>
      <w:r w:rsidRPr="008F01FA">
        <w:rPr>
          <w:rFonts w:ascii="Times New Roman" w:eastAsia="Times New Roman" w:hAnsi="Times New Roman" w:cs="Times New Roman"/>
          <w:color w:val="000000" w:themeColor="text1"/>
          <w:sz w:val="22"/>
          <w:szCs w:val="22"/>
          <w:lang w:val="en-US"/>
        </w:rPr>
        <w:t xml:space="preserve">, E. W., Marinus, J., &amp; van </w:t>
      </w:r>
      <w:proofErr w:type="spellStart"/>
      <w:r w:rsidRPr="008F01FA">
        <w:rPr>
          <w:rFonts w:ascii="Times New Roman" w:eastAsia="Times New Roman" w:hAnsi="Times New Roman" w:cs="Times New Roman"/>
          <w:color w:val="000000" w:themeColor="text1"/>
          <w:sz w:val="22"/>
          <w:szCs w:val="22"/>
          <w:lang w:val="en-US"/>
        </w:rPr>
        <w:t>Hilten</w:t>
      </w:r>
      <w:proofErr w:type="spellEnd"/>
      <w:r w:rsidRPr="008F01FA">
        <w:rPr>
          <w:rFonts w:ascii="Times New Roman" w:eastAsia="Times New Roman" w:hAnsi="Times New Roman" w:cs="Times New Roman"/>
          <w:color w:val="000000" w:themeColor="text1"/>
          <w:sz w:val="22"/>
          <w:szCs w:val="22"/>
          <w:lang w:val="en-US"/>
        </w:rPr>
        <w:t>, J. J. (2011). SPES/SCOPA and MDS-UPDRS: formulas for converting scores of two motor scales in Parkinson’s disease. </w:t>
      </w:r>
      <w:r w:rsidRPr="008F01FA">
        <w:rPr>
          <w:rFonts w:ascii="Times New Roman" w:eastAsia="Times New Roman" w:hAnsi="Times New Roman" w:cs="Times New Roman"/>
          <w:i/>
          <w:iCs/>
          <w:color w:val="000000" w:themeColor="text1"/>
          <w:sz w:val="22"/>
          <w:szCs w:val="22"/>
          <w:lang w:val="en-US"/>
        </w:rPr>
        <w:t>Parkinsonism &amp; related disorders</w:t>
      </w:r>
      <w:r w:rsidRPr="008F01FA">
        <w:rPr>
          <w:rFonts w:ascii="Times New Roman" w:eastAsia="Times New Roman" w:hAnsi="Times New Roman" w:cs="Times New Roman"/>
          <w:color w:val="000000" w:themeColor="text1"/>
          <w:sz w:val="22"/>
          <w:szCs w:val="22"/>
          <w:lang w:val="en-US"/>
        </w:rPr>
        <w:t>, </w:t>
      </w:r>
      <w:r w:rsidRPr="008F01FA">
        <w:rPr>
          <w:rFonts w:ascii="Times New Roman" w:eastAsia="Times New Roman" w:hAnsi="Times New Roman" w:cs="Times New Roman"/>
          <w:i/>
          <w:iCs/>
          <w:color w:val="000000" w:themeColor="text1"/>
          <w:sz w:val="22"/>
          <w:szCs w:val="22"/>
          <w:lang w:val="en-US"/>
        </w:rPr>
        <w:t>17</w:t>
      </w:r>
      <w:r w:rsidRPr="008F01FA">
        <w:rPr>
          <w:rFonts w:ascii="Times New Roman" w:eastAsia="Times New Roman" w:hAnsi="Times New Roman" w:cs="Times New Roman"/>
          <w:color w:val="000000" w:themeColor="text1"/>
          <w:sz w:val="22"/>
          <w:szCs w:val="22"/>
          <w:lang w:val="en-US"/>
        </w:rPr>
        <w:t>(8), 632-634.</w:t>
      </w:r>
    </w:p>
    <w:p w14:paraId="3CF60E9E"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469BAA46"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r w:rsidRPr="008F01FA">
        <w:rPr>
          <w:rFonts w:ascii="Times New Roman" w:eastAsia="Times New Roman" w:hAnsi="Times New Roman" w:cs="Times New Roman"/>
          <w:color w:val="000000" w:themeColor="text1"/>
          <w:sz w:val="22"/>
          <w:szCs w:val="22"/>
        </w:rPr>
        <w:t xml:space="preserve">Cummings, J. L., Mega, M., Gray, K., Rosenberg-Thompson, S., Carusi, D. A., &amp; </w:t>
      </w:r>
      <w:proofErr w:type="spellStart"/>
      <w:r w:rsidRPr="008F01FA">
        <w:rPr>
          <w:rFonts w:ascii="Times New Roman" w:eastAsia="Times New Roman" w:hAnsi="Times New Roman" w:cs="Times New Roman"/>
          <w:color w:val="000000" w:themeColor="text1"/>
          <w:sz w:val="22"/>
          <w:szCs w:val="22"/>
        </w:rPr>
        <w:t>Gornbein</w:t>
      </w:r>
      <w:proofErr w:type="spellEnd"/>
      <w:r w:rsidRPr="008F01FA">
        <w:rPr>
          <w:rFonts w:ascii="Times New Roman" w:eastAsia="Times New Roman" w:hAnsi="Times New Roman" w:cs="Times New Roman"/>
          <w:color w:val="000000" w:themeColor="text1"/>
          <w:sz w:val="22"/>
          <w:szCs w:val="22"/>
        </w:rPr>
        <w:t>, J. (1994). The Neuropsychiatric Inventory: comprehensive assessment of psychopathology in dementia. </w:t>
      </w:r>
      <w:r w:rsidRPr="008F01FA">
        <w:rPr>
          <w:rFonts w:ascii="Times New Roman" w:eastAsia="Times New Roman" w:hAnsi="Times New Roman" w:cs="Times New Roman"/>
          <w:i/>
          <w:iCs/>
          <w:color w:val="000000" w:themeColor="text1"/>
          <w:sz w:val="22"/>
          <w:szCs w:val="22"/>
        </w:rPr>
        <w:t>Neurology</w:t>
      </w:r>
      <w:r w:rsidRPr="008F01FA">
        <w:rPr>
          <w:rFonts w:ascii="Times New Roman" w:eastAsia="Times New Roman" w:hAnsi="Times New Roman" w:cs="Times New Roman"/>
          <w:color w:val="000000" w:themeColor="text1"/>
          <w:sz w:val="22"/>
          <w:szCs w:val="22"/>
        </w:rPr>
        <w:t>, </w:t>
      </w:r>
      <w:r w:rsidRPr="008F01FA">
        <w:rPr>
          <w:rFonts w:ascii="Times New Roman" w:eastAsia="Times New Roman" w:hAnsi="Times New Roman" w:cs="Times New Roman"/>
          <w:i/>
          <w:iCs/>
          <w:color w:val="000000" w:themeColor="text1"/>
          <w:sz w:val="22"/>
          <w:szCs w:val="22"/>
        </w:rPr>
        <w:t>44</w:t>
      </w:r>
      <w:r w:rsidRPr="008F01FA">
        <w:rPr>
          <w:rFonts w:ascii="Times New Roman" w:eastAsia="Times New Roman" w:hAnsi="Times New Roman" w:cs="Times New Roman"/>
          <w:color w:val="000000" w:themeColor="text1"/>
          <w:sz w:val="22"/>
          <w:szCs w:val="22"/>
        </w:rPr>
        <w:t>(12), 2308-2308.</w:t>
      </w:r>
    </w:p>
    <w:p w14:paraId="5CE02854" w14:textId="77777777" w:rsidR="00752E6F" w:rsidRPr="008F01FA" w:rsidRDefault="00752E6F" w:rsidP="00752E6F">
      <w:pPr>
        <w:pStyle w:val="ListParagraph"/>
        <w:spacing w:line="360" w:lineRule="auto"/>
        <w:jc w:val="both"/>
        <w:rPr>
          <w:rFonts w:ascii="Times New Roman" w:eastAsia="Times New Roman" w:hAnsi="Times New Roman" w:cs="Times New Roman"/>
          <w:b/>
          <w:bCs/>
          <w:color w:val="000000" w:themeColor="text1"/>
          <w:sz w:val="22"/>
          <w:szCs w:val="22"/>
        </w:rPr>
      </w:pPr>
    </w:p>
    <w:p w14:paraId="1E7803BF"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r w:rsidRPr="008F01FA">
        <w:rPr>
          <w:rFonts w:ascii="Times New Roman" w:eastAsia="Times New Roman" w:hAnsi="Times New Roman" w:cs="Times New Roman"/>
          <w:color w:val="000000" w:themeColor="text1"/>
          <w:sz w:val="22"/>
          <w:szCs w:val="22"/>
        </w:rPr>
        <w:t>Voss, T., Bahr, D., Cummings, J., Mills, R., Ravina, B., &amp; Williams, H. (2013). Performance of a shortened Scale for Assessment of Positive Symptoms for Parkinson's disease psychosis. </w:t>
      </w:r>
      <w:r w:rsidRPr="008F01FA">
        <w:rPr>
          <w:rFonts w:ascii="Times New Roman" w:eastAsia="Times New Roman" w:hAnsi="Times New Roman" w:cs="Times New Roman"/>
          <w:i/>
          <w:iCs/>
          <w:color w:val="000000" w:themeColor="text1"/>
          <w:sz w:val="22"/>
          <w:szCs w:val="22"/>
        </w:rPr>
        <w:t>Parkinsonism &amp; Related Disorders</w:t>
      </w:r>
      <w:r w:rsidRPr="008F01FA">
        <w:rPr>
          <w:rFonts w:ascii="Times New Roman" w:eastAsia="Times New Roman" w:hAnsi="Times New Roman" w:cs="Times New Roman"/>
          <w:color w:val="000000" w:themeColor="text1"/>
          <w:sz w:val="22"/>
          <w:szCs w:val="22"/>
        </w:rPr>
        <w:t>, </w:t>
      </w:r>
      <w:r w:rsidRPr="008F01FA">
        <w:rPr>
          <w:rFonts w:ascii="Times New Roman" w:eastAsia="Times New Roman" w:hAnsi="Times New Roman" w:cs="Times New Roman"/>
          <w:i/>
          <w:iCs/>
          <w:color w:val="000000" w:themeColor="text1"/>
          <w:sz w:val="22"/>
          <w:szCs w:val="22"/>
        </w:rPr>
        <w:t>19</w:t>
      </w:r>
      <w:r w:rsidRPr="008F01FA">
        <w:rPr>
          <w:rFonts w:ascii="Times New Roman" w:eastAsia="Times New Roman" w:hAnsi="Times New Roman" w:cs="Times New Roman"/>
          <w:color w:val="000000" w:themeColor="text1"/>
          <w:sz w:val="22"/>
          <w:szCs w:val="22"/>
        </w:rPr>
        <w:t>(3), 295-299.</w:t>
      </w:r>
    </w:p>
    <w:p w14:paraId="7D347912" w14:textId="77777777" w:rsidR="00752E6F" w:rsidRPr="008F01FA" w:rsidRDefault="00752E6F" w:rsidP="00752E6F">
      <w:pPr>
        <w:pStyle w:val="ListParagraph"/>
        <w:spacing w:line="360" w:lineRule="auto"/>
        <w:jc w:val="both"/>
        <w:rPr>
          <w:rFonts w:ascii="Times New Roman" w:eastAsia="Times New Roman" w:hAnsi="Times New Roman" w:cs="Times New Roman"/>
          <w:b/>
          <w:bCs/>
          <w:color w:val="000000" w:themeColor="text1"/>
          <w:sz w:val="22"/>
          <w:szCs w:val="22"/>
        </w:rPr>
      </w:pPr>
    </w:p>
    <w:p w14:paraId="61159AB4"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r w:rsidRPr="008F01FA">
        <w:rPr>
          <w:rFonts w:ascii="Times New Roman" w:eastAsia="Times New Roman" w:hAnsi="Times New Roman" w:cs="Times New Roman"/>
          <w:color w:val="000000" w:themeColor="text1"/>
          <w:sz w:val="22"/>
          <w:szCs w:val="22"/>
        </w:rPr>
        <w:t xml:space="preserve">D’Antonio, F., Boccia, M., Di Vita, A., Suppa, A., Fabbrini, A., </w:t>
      </w:r>
      <w:proofErr w:type="spellStart"/>
      <w:r w:rsidRPr="008F01FA">
        <w:rPr>
          <w:rFonts w:ascii="Times New Roman" w:eastAsia="Times New Roman" w:hAnsi="Times New Roman" w:cs="Times New Roman"/>
          <w:color w:val="000000" w:themeColor="text1"/>
          <w:sz w:val="22"/>
          <w:szCs w:val="22"/>
        </w:rPr>
        <w:t>Canevelli</w:t>
      </w:r>
      <w:proofErr w:type="spellEnd"/>
      <w:r w:rsidRPr="008F01FA">
        <w:rPr>
          <w:rFonts w:ascii="Times New Roman" w:eastAsia="Times New Roman" w:hAnsi="Times New Roman" w:cs="Times New Roman"/>
          <w:color w:val="000000" w:themeColor="text1"/>
          <w:sz w:val="22"/>
          <w:szCs w:val="22"/>
        </w:rPr>
        <w:t xml:space="preserve">, M., ... &amp; </w:t>
      </w:r>
      <w:proofErr w:type="spellStart"/>
      <w:r w:rsidRPr="008F01FA">
        <w:rPr>
          <w:rFonts w:ascii="Times New Roman" w:eastAsia="Times New Roman" w:hAnsi="Times New Roman" w:cs="Times New Roman"/>
          <w:color w:val="000000" w:themeColor="text1"/>
          <w:sz w:val="22"/>
          <w:szCs w:val="22"/>
        </w:rPr>
        <w:t>Ffytche</w:t>
      </w:r>
      <w:proofErr w:type="spellEnd"/>
      <w:r w:rsidRPr="008F01FA">
        <w:rPr>
          <w:rFonts w:ascii="Times New Roman" w:eastAsia="Times New Roman" w:hAnsi="Times New Roman" w:cs="Times New Roman"/>
          <w:color w:val="000000" w:themeColor="text1"/>
          <w:sz w:val="22"/>
          <w:szCs w:val="22"/>
        </w:rPr>
        <w:t>, D. (2022). Visual hallucinations in Lewy body disease: pathophysiological insights from phenomenology. </w:t>
      </w:r>
      <w:r w:rsidRPr="008F01FA">
        <w:rPr>
          <w:rFonts w:ascii="Times New Roman" w:eastAsia="Times New Roman" w:hAnsi="Times New Roman" w:cs="Times New Roman"/>
          <w:i/>
          <w:iCs/>
          <w:color w:val="000000" w:themeColor="text1"/>
          <w:sz w:val="22"/>
          <w:szCs w:val="22"/>
        </w:rPr>
        <w:t>Journal of Neurology</w:t>
      </w:r>
      <w:r w:rsidRPr="008F01FA">
        <w:rPr>
          <w:rFonts w:ascii="Times New Roman" w:eastAsia="Times New Roman" w:hAnsi="Times New Roman" w:cs="Times New Roman"/>
          <w:color w:val="000000" w:themeColor="text1"/>
          <w:sz w:val="22"/>
          <w:szCs w:val="22"/>
        </w:rPr>
        <w:t>, </w:t>
      </w:r>
      <w:r w:rsidRPr="008F01FA">
        <w:rPr>
          <w:rFonts w:ascii="Times New Roman" w:eastAsia="Times New Roman" w:hAnsi="Times New Roman" w:cs="Times New Roman"/>
          <w:i/>
          <w:iCs/>
          <w:color w:val="000000" w:themeColor="text1"/>
          <w:sz w:val="22"/>
          <w:szCs w:val="22"/>
        </w:rPr>
        <w:t>269</w:t>
      </w:r>
      <w:r w:rsidRPr="008F01FA">
        <w:rPr>
          <w:rFonts w:ascii="Times New Roman" w:eastAsia="Times New Roman" w:hAnsi="Times New Roman" w:cs="Times New Roman"/>
          <w:color w:val="000000" w:themeColor="text1"/>
          <w:sz w:val="22"/>
          <w:szCs w:val="22"/>
        </w:rPr>
        <w:t>(7), 3636-3652.</w:t>
      </w:r>
    </w:p>
    <w:p w14:paraId="14DCCC47" w14:textId="77777777" w:rsidR="00752E6F" w:rsidRPr="008F01FA" w:rsidRDefault="00752E6F" w:rsidP="00752E6F">
      <w:pPr>
        <w:pStyle w:val="ListParagraph"/>
        <w:spacing w:line="360" w:lineRule="auto"/>
        <w:jc w:val="both"/>
        <w:rPr>
          <w:rFonts w:ascii="Times New Roman" w:eastAsia="Times New Roman" w:hAnsi="Times New Roman" w:cs="Times New Roman"/>
          <w:b/>
          <w:bCs/>
          <w:color w:val="000000" w:themeColor="text1"/>
          <w:sz w:val="22"/>
          <w:szCs w:val="22"/>
        </w:rPr>
      </w:pPr>
    </w:p>
    <w:p w14:paraId="75956DF2"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r w:rsidRPr="008F01FA">
        <w:rPr>
          <w:rFonts w:ascii="Times New Roman" w:eastAsia="Times New Roman" w:hAnsi="Times New Roman" w:cs="Times New Roman"/>
          <w:color w:val="000000" w:themeColor="text1"/>
          <w:sz w:val="22"/>
          <w:szCs w:val="22"/>
        </w:rPr>
        <w:t xml:space="preserve">Vignando, M., </w:t>
      </w:r>
      <w:proofErr w:type="spellStart"/>
      <w:r w:rsidRPr="008F01FA">
        <w:rPr>
          <w:rFonts w:ascii="Times New Roman" w:eastAsia="Times New Roman" w:hAnsi="Times New Roman" w:cs="Times New Roman"/>
          <w:color w:val="000000" w:themeColor="text1"/>
          <w:sz w:val="22"/>
          <w:szCs w:val="22"/>
        </w:rPr>
        <w:t>Ffytche</w:t>
      </w:r>
      <w:proofErr w:type="spellEnd"/>
      <w:r w:rsidRPr="008F01FA">
        <w:rPr>
          <w:rFonts w:ascii="Times New Roman" w:eastAsia="Times New Roman" w:hAnsi="Times New Roman" w:cs="Times New Roman"/>
          <w:color w:val="000000" w:themeColor="text1"/>
          <w:sz w:val="22"/>
          <w:szCs w:val="22"/>
        </w:rPr>
        <w:t xml:space="preserve">, D., Mazibuko, N., Palma, G., </w:t>
      </w:r>
      <w:proofErr w:type="spellStart"/>
      <w:r w:rsidRPr="008F01FA">
        <w:rPr>
          <w:rFonts w:ascii="Times New Roman" w:eastAsia="Times New Roman" w:hAnsi="Times New Roman" w:cs="Times New Roman"/>
          <w:color w:val="000000" w:themeColor="text1"/>
          <w:sz w:val="22"/>
          <w:szCs w:val="22"/>
        </w:rPr>
        <w:t>Montagnese</w:t>
      </w:r>
      <w:proofErr w:type="spellEnd"/>
      <w:r w:rsidRPr="008F01FA">
        <w:rPr>
          <w:rFonts w:ascii="Times New Roman" w:eastAsia="Times New Roman" w:hAnsi="Times New Roman" w:cs="Times New Roman"/>
          <w:color w:val="000000" w:themeColor="text1"/>
          <w:sz w:val="22"/>
          <w:szCs w:val="22"/>
        </w:rPr>
        <w:t>, M., Dave, S., ... &amp; Mehta, M. A. (2024). Visual mismatch negativity in Parkinson’s psychosis and potential for testing treatment mechanisms. </w:t>
      </w:r>
      <w:r w:rsidRPr="008F01FA">
        <w:rPr>
          <w:rFonts w:ascii="Times New Roman" w:eastAsia="Times New Roman" w:hAnsi="Times New Roman" w:cs="Times New Roman"/>
          <w:i/>
          <w:iCs/>
          <w:color w:val="000000" w:themeColor="text1"/>
          <w:sz w:val="22"/>
          <w:szCs w:val="22"/>
        </w:rPr>
        <w:t>Brain Communications</w:t>
      </w:r>
      <w:r w:rsidRPr="008F01FA">
        <w:rPr>
          <w:rFonts w:ascii="Times New Roman" w:eastAsia="Times New Roman" w:hAnsi="Times New Roman" w:cs="Times New Roman"/>
          <w:color w:val="000000" w:themeColor="text1"/>
          <w:sz w:val="22"/>
          <w:szCs w:val="22"/>
        </w:rPr>
        <w:t>, fcae291.</w:t>
      </w:r>
    </w:p>
    <w:p w14:paraId="00A7D8ED" w14:textId="77777777" w:rsidR="00752E6F" w:rsidRPr="008F01FA" w:rsidRDefault="00752E6F" w:rsidP="00752E6F">
      <w:pPr>
        <w:pStyle w:val="ListParagraph"/>
        <w:spacing w:line="360" w:lineRule="auto"/>
        <w:jc w:val="both"/>
        <w:rPr>
          <w:rFonts w:ascii="Times New Roman" w:eastAsia="Times New Roman" w:hAnsi="Times New Roman" w:cs="Times New Roman"/>
          <w:b/>
          <w:bCs/>
          <w:color w:val="000000" w:themeColor="text1"/>
          <w:sz w:val="22"/>
          <w:szCs w:val="22"/>
        </w:rPr>
      </w:pPr>
    </w:p>
    <w:p w14:paraId="4239A0E3"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r w:rsidRPr="008F01FA">
        <w:rPr>
          <w:rFonts w:ascii="Times New Roman" w:eastAsia="Times New Roman" w:hAnsi="Times New Roman" w:cs="Times New Roman"/>
          <w:color w:val="000000" w:themeColor="text1"/>
          <w:sz w:val="22"/>
          <w:szCs w:val="22"/>
        </w:rPr>
        <w:t>Garrido, M. I., Kilner, J. M., Stephan, K. E., &amp; Friston, K. J. (2009). The mismatch negativity: a review of underlying mechanisms. </w:t>
      </w:r>
      <w:r w:rsidRPr="008F01FA">
        <w:rPr>
          <w:rFonts w:ascii="Times New Roman" w:eastAsia="Times New Roman" w:hAnsi="Times New Roman" w:cs="Times New Roman"/>
          <w:i/>
          <w:iCs/>
          <w:color w:val="000000" w:themeColor="text1"/>
          <w:sz w:val="22"/>
          <w:szCs w:val="22"/>
        </w:rPr>
        <w:t>Clinical neurophysiology</w:t>
      </w:r>
      <w:r w:rsidRPr="008F01FA">
        <w:rPr>
          <w:rFonts w:ascii="Times New Roman" w:eastAsia="Times New Roman" w:hAnsi="Times New Roman" w:cs="Times New Roman"/>
          <w:color w:val="000000" w:themeColor="text1"/>
          <w:sz w:val="22"/>
          <w:szCs w:val="22"/>
        </w:rPr>
        <w:t>, </w:t>
      </w:r>
      <w:r w:rsidRPr="008F01FA">
        <w:rPr>
          <w:rFonts w:ascii="Times New Roman" w:eastAsia="Times New Roman" w:hAnsi="Times New Roman" w:cs="Times New Roman"/>
          <w:i/>
          <w:iCs/>
          <w:color w:val="000000" w:themeColor="text1"/>
          <w:sz w:val="22"/>
          <w:szCs w:val="22"/>
        </w:rPr>
        <w:t>120</w:t>
      </w:r>
      <w:r w:rsidRPr="008F01FA">
        <w:rPr>
          <w:rFonts w:ascii="Times New Roman" w:eastAsia="Times New Roman" w:hAnsi="Times New Roman" w:cs="Times New Roman"/>
          <w:color w:val="000000" w:themeColor="text1"/>
          <w:sz w:val="22"/>
          <w:szCs w:val="22"/>
        </w:rPr>
        <w:t>(3), 453-463.</w:t>
      </w:r>
    </w:p>
    <w:p w14:paraId="37DE056D" w14:textId="77777777" w:rsidR="00752E6F" w:rsidRPr="008F01FA" w:rsidRDefault="00752E6F" w:rsidP="00752E6F">
      <w:pPr>
        <w:pStyle w:val="ListParagraph"/>
        <w:spacing w:line="360" w:lineRule="auto"/>
        <w:jc w:val="both"/>
        <w:rPr>
          <w:rFonts w:ascii="Times New Roman" w:eastAsia="Times New Roman" w:hAnsi="Times New Roman" w:cs="Times New Roman"/>
          <w:b/>
          <w:bCs/>
          <w:color w:val="000000" w:themeColor="text1"/>
          <w:sz w:val="22"/>
          <w:szCs w:val="22"/>
        </w:rPr>
      </w:pPr>
    </w:p>
    <w:p w14:paraId="5B82E72F"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roofErr w:type="spellStart"/>
      <w:r w:rsidRPr="008F01FA">
        <w:rPr>
          <w:rFonts w:ascii="Times New Roman" w:eastAsia="Times New Roman" w:hAnsi="Times New Roman" w:cs="Times New Roman"/>
          <w:color w:val="000000" w:themeColor="text1"/>
          <w:sz w:val="22"/>
          <w:szCs w:val="22"/>
        </w:rPr>
        <w:t>Oostenveld</w:t>
      </w:r>
      <w:proofErr w:type="spellEnd"/>
      <w:r w:rsidRPr="008F01FA">
        <w:rPr>
          <w:rFonts w:ascii="Times New Roman" w:eastAsia="Times New Roman" w:hAnsi="Times New Roman" w:cs="Times New Roman"/>
          <w:color w:val="000000" w:themeColor="text1"/>
          <w:sz w:val="22"/>
          <w:szCs w:val="22"/>
        </w:rPr>
        <w:t xml:space="preserve">, R., Fries, P., Maris, E., &amp; </w:t>
      </w:r>
      <w:proofErr w:type="spellStart"/>
      <w:r w:rsidRPr="008F01FA">
        <w:rPr>
          <w:rFonts w:ascii="Times New Roman" w:eastAsia="Times New Roman" w:hAnsi="Times New Roman" w:cs="Times New Roman"/>
          <w:color w:val="000000" w:themeColor="text1"/>
          <w:sz w:val="22"/>
          <w:szCs w:val="22"/>
        </w:rPr>
        <w:t>Schoffelen</w:t>
      </w:r>
      <w:proofErr w:type="spellEnd"/>
      <w:r w:rsidRPr="008F01FA">
        <w:rPr>
          <w:rFonts w:ascii="Times New Roman" w:eastAsia="Times New Roman" w:hAnsi="Times New Roman" w:cs="Times New Roman"/>
          <w:color w:val="000000" w:themeColor="text1"/>
          <w:sz w:val="22"/>
          <w:szCs w:val="22"/>
        </w:rPr>
        <w:t xml:space="preserve">, J. M. (2011). </w:t>
      </w:r>
      <w:proofErr w:type="spellStart"/>
      <w:r w:rsidRPr="008F01FA">
        <w:rPr>
          <w:rFonts w:ascii="Times New Roman" w:eastAsia="Times New Roman" w:hAnsi="Times New Roman" w:cs="Times New Roman"/>
          <w:color w:val="000000" w:themeColor="text1"/>
          <w:sz w:val="22"/>
          <w:szCs w:val="22"/>
        </w:rPr>
        <w:t>FieldTrip</w:t>
      </w:r>
      <w:proofErr w:type="spellEnd"/>
      <w:r w:rsidRPr="008F01FA">
        <w:rPr>
          <w:rFonts w:ascii="Times New Roman" w:eastAsia="Times New Roman" w:hAnsi="Times New Roman" w:cs="Times New Roman"/>
          <w:color w:val="000000" w:themeColor="text1"/>
          <w:sz w:val="22"/>
          <w:szCs w:val="22"/>
        </w:rPr>
        <w:t xml:space="preserve">: </w:t>
      </w:r>
      <w:proofErr w:type="gramStart"/>
      <w:r w:rsidRPr="008F01FA">
        <w:rPr>
          <w:rFonts w:ascii="Times New Roman" w:eastAsia="Times New Roman" w:hAnsi="Times New Roman" w:cs="Times New Roman"/>
          <w:color w:val="000000" w:themeColor="text1"/>
          <w:sz w:val="22"/>
          <w:szCs w:val="22"/>
        </w:rPr>
        <w:t>open source</w:t>
      </w:r>
      <w:proofErr w:type="gramEnd"/>
      <w:r w:rsidRPr="008F01FA">
        <w:rPr>
          <w:rFonts w:ascii="Times New Roman" w:eastAsia="Times New Roman" w:hAnsi="Times New Roman" w:cs="Times New Roman"/>
          <w:color w:val="000000" w:themeColor="text1"/>
          <w:sz w:val="22"/>
          <w:szCs w:val="22"/>
        </w:rPr>
        <w:t xml:space="preserve"> software for advanced analysis of MEG, EEG, and invasive electrophysiological data. </w:t>
      </w:r>
      <w:r w:rsidRPr="008F01FA">
        <w:rPr>
          <w:rFonts w:ascii="Times New Roman" w:eastAsia="Times New Roman" w:hAnsi="Times New Roman" w:cs="Times New Roman"/>
          <w:i/>
          <w:iCs/>
          <w:color w:val="000000" w:themeColor="text1"/>
          <w:sz w:val="22"/>
          <w:szCs w:val="22"/>
        </w:rPr>
        <w:t>Computational intelligence and neuroscience</w:t>
      </w:r>
      <w:r w:rsidRPr="008F01FA">
        <w:rPr>
          <w:rFonts w:ascii="Times New Roman" w:eastAsia="Times New Roman" w:hAnsi="Times New Roman" w:cs="Times New Roman"/>
          <w:color w:val="000000" w:themeColor="text1"/>
          <w:sz w:val="22"/>
          <w:szCs w:val="22"/>
        </w:rPr>
        <w:t>, </w:t>
      </w:r>
      <w:r w:rsidRPr="008F01FA">
        <w:rPr>
          <w:rFonts w:ascii="Times New Roman" w:eastAsia="Times New Roman" w:hAnsi="Times New Roman" w:cs="Times New Roman"/>
          <w:i/>
          <w:iCs/>
          <w:color w:val="000000" w:themeColor="text1"/>
          <w:sz w:val="22"/>
          <w:szCs w:val="22"/>
        </w:rPr>
        <w:t>2011</w:t>
      </w:r>
      <w:r w:rsidRPr="008F01FA">
        <w:rPr>
          <w:rFonts w:ascii="Times New Roman" w:eastAsia="Times New Roman" w:hAnsi="Times New Roman" w:cs="Times New Roman"/>
          <w:color w:val="000000" w:themeColor="text1"/>
          <w:sz w:val="22"/>
          <w:szCs w:val="22"/>
        </w:rPr>
        <w:t>(1), 156869.</w:t>
      </w:r>
    </w:p>
    <w:p w14:paraId="47EBE5F1"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3FE12FA8" w14:textId="77777777" w:rsidR="00752E6F" w:rsidRPr="008F01FA" w:rsidRDefault="00752E6F" w:rsidP="00752E6F">
      <w:pPr>
        <w:pStyle w:val="ListParagraph"/>
        <w:spacing w:line="360" w:lineRule="auto"/>
        <w:jc w:val="both"/>
        <w:rPr>
          <w:rFonts w:ascii="Times New Roman" w:eastAsia="Times New Roman" w:hAnsi="Times New Roman" w:cs="Times New Roman"/>
          <w:b/>
          <w:bCs/>
          <w:color w:val="000000" w:themeColor="text1"/>
          <w:sz w:val="22"/>
          <w:szCs w:val="22"/>
        </w:rPr>
      </w:pPr>
      <w:r w:rsidRPr="008F01FA">
        <w:rPr>
          <w:rFonts w:ascii="Times New Roman" w:eastAsia="Times New Roman" w:hAnsi="Times New Roman" w:cs="Times New Roman"/>
          <w:color w:val="000000" w:themeColor="text1"/>
          <w:sz w:val="22"/>
          <w:szCs w:val="22"/>
        </w:rPr>
        <w:t xml:space="preserve">Delorme, A., &amp; </w:t>
      </w:r>
      <w:proofErr w:type="spellStart"/>
      <w:r w:rsidRPr="008F01FA">
        <w:rPr>
          <w:rFonts w:ascii="Times New Roman" w:eastAsia="Times New Roman" w:hAnsi="Times New Roman" w:cs="Times New Roman"/>
          <w:color w:val="000000" w:themeColor="text1"/>
          <w:sz w:val="22"/>
          <w:szCs w:val="22"/>
        </w:rPr>
        <w:t>Makeig</w:t>
      </w:r>
      <w:proofErr w:type="spellEnd"/>
      <w:r w:rsidRPr="008F01FA">
        <w:rPr>
          <w:rFonts w:ascii="Times New Roman" w:eastAsia="Times New Roman" w:hAnsi="Times New Roman" w:cs="Times New Roman"/>
          <w:color w:val="000000" w:themeColor="text1"/>
          <w:sz w:val="22"/>
          <w:szCs w:val="22"/>
        </w:rPr>
        <w:t xml:space="preserve">, S. (2004). EEGLAB: an </w:t>
      </w:r>
      <w:proofErr w:type="gramStart"/>
      <w:r w:rsidRPr="008F01FA">
        <w:rPr>
          <w:rFonts w:ascii="Times New Roman" w:eastAsia="Times New Roman" w:hAnsi="Times New Roman" w:cs="Times New Roman"/>
          <w:color w:val="000000" w:themeColor="text1"/>
          <w:sz w:val="22"/>
          <w:szCs w:val="22"/>
        </w:rPr>
        <w:t>open source</w:t>
      </w:r>
      <w:proofErr w:type="gramEnd"/>
      <w:r w:rsidRPr="008F01FA">
        <w:rPr>
          <w:rFonts w:ascii="Times New Roman" w:eastAsia="Times New Roman" w:hAnsi="Times New Roman" w:cs="Times New Roman"/>
          <w:color w:val="000000" w:themeColor="text1"/>
          <w:sz w:val="22"/>
          <w:szCs w:val="22"/>
        </w:rPr>
        <w:t xml:space="preserve"> toolbox for analysis of single-trial EEG dynamics including independent component analysis. </w:t>
      </w:r>
      <w:r w:rsidRPr="008F01FA">
        <w:rPr>
          <w:rFonts w:ascii="Times New Roman" w:eastAsia="Times New Roman" w:hAnsi="Times New Roman" w:cs="Times New Roman"/>
          <w:i/>
          <w:iCs/>
          <w:color w:val="000000" w:themeColor="text1"/>
          <w:sz w:val="22"/>
          <w:szCs w:val="22"/>
        </w:rPr>
        <w:t>Journal of neuroscience methods</w:t>
      </w:r>
      <w:r w:rsidRPr="008F01FA">
        <w:rPr>
          <w:rFonts w:ascii="Times New Roman" w:eastAsia="Times New Roman" w:hAnsi="Times New Roman" w:cs="Times New Roman"/>
          <w:color w:val="000000" w:themeColor="text1"/>
          <w:sz w:val="22"/>
          <w:szCs w:val="22"/>
        </w:rPr>
        <w:t>, </w:t>
      </w:r>
      <w:r w:rsidRPr="008F01FA">
        <w:rPr>
          <w:rFonts w:ascii="Times New Roman" w:eastAsia="Times New Roman" w:hAnsi="Times New Roman" w:cs="Times New Roman"/>
          <w:i/>
          <w:iCs/>
          <w:color w:val="000000" w:themeColor="text1"/>
          <w:sz w:val="22"/>
          <w:szCs w:val="22"/>
        </w:rPr>
        <w:t>134</w:t>
      </w:r>
      <w:r w:rsidRPr="008F01FA">
        <w:rPr>
          <w:rFonts w:ascii="Times New Roman" w:eastAsia="Times New Roman" w:hAnsi="Times New Roman" w:cs="Times New Roman"/>
          <w:color w:val="000000" w:themeColor="text1"/>
          <w:sz w:val="22"/>
          <w:szCs w:val="22"/>
        </w:rPr>
        <w:t>(1), 9-21.</w:t>
      </w:r>
    </w:p>
    <w:p w14:paraId="3CEE2975"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17B936C9"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r w:rsidRPr="008F01FA">
        <w:rPr>
          <w:rFonts w:ascii="Times New Roman" w:eastAsia="Times New Roman" w:hAnsi="Times New Roman" w:cs="Times New Roman"/>
          <w:color w:val="000000" w:themeColor="text1"/>
          <w:sz w:val="22"/>
          <w:szCs w:val="22"/>
        </w:rPr>
        <w:t>Lopez-Calderon, J., &amp; Luck, S. J. (2014). ERPLAB: An open-source toolbox for the analysis of event-related potentials. Frontiers in human neuroscience, 8, 21</w:t>
      </w:r>
    </w:p>
    <w:p w14:paraId="37778939"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r w:rsidRPr="008F01FA">
        <w:rPr>
          <w:rFonts w:ascii="Times New Roman" w:eastAsia="Times New Roman" w:hAnsi="Times New Roman" w:cs="Times New Roman"/>
          <w:color w:val="000000" w:themeColor="text1"/>
          <w:sz w:val="22"/>
          <w:szCs w:val="22"/>
        </w:rPr>
        <w:t>  </w:t>
      </w:r>
    </w:p>
    <w:p w14:paraId="7FD81F21"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r w:rsidRPr="008F01FA">
        <w:rPr>
          <w:rFonts w:ascii="Times New Roman" w:eastAsia="Times New Roman" w:hAnsi="Times New Roman" w:cs="Times New Roman"/>
          <w:color w:val="000000" w:themeColor="text1"/>
          <w:sz w:val="22"/>
          <w:szCs w:val="22"/>
        </w:rPr>
        <w:lastRenderedPageBreak/>
        <w:t xml:space="preserve">Garcia-Diaz, A. I., Segura, B., Baggio, H. C., Marti, M. J., </w:t>
      </w:r>
      <w:proofErr w:type="spellStart"/>
      <w:r w:rsidRPr="008F01FA">
        <w:rPr>
          <w:rFonts w:ascii="Times New Roman" w:eastAsia="Times New Roman" w:hAnsi="Times New Roman" w:cs="Times New Roman"/>
          <w:color w:val="000000" w:themeColor="text1"/>
          <w:sz w:val="22"/>
          <w:szCs w:val="22"/>
        </w:rPr>
        <w:t>Valldeoriola</w:t>
      </w:r>
      <w:proofErr w:type="spellEnd"/>
      <w:r w:rsidRPr="008F01FA">
        <w:rPr>
          <w:rFonts w:ascii="Times New Roman" w:eastAsia="Times New Roman" w:hAnsi="Times New Roman" w:cs="Times New Roman"/>
          <w:color w:val="000000" w:themeColor="text1"/>
          <w:sz w:val="22"/>
          <w:szCs w:val="22"/>
        </w:rPr>
        <w:t xml:space="preserve">, F., </w:t>
      </w:r>
      <w:proofErr w:type="spellStart"/>
      <w:r w:rsidRPr="008F01FA">
        <w:rPr>
          <w:rFonts w:ascii="Times New Roman" w:eastAsia="Times New Roman" w:hAnsi="Times New Roman" w:cs="Times New Roman"/>
          <w:color w:val="000000" w:themeColor="text1"/>
          <w:sz w:val="22"/>
          <w:szCs w:val="22"/>
        </w:rPr>
        <w:t>Compta</w:t>
      </w:r>
      <w:proofErr w:type="spellEnd"/>
      <w:r w:rsidRPr="008F01FA">
        <w:rPr>
          <w:rFonts w:ascii="Times New Roman" w:eastAsia="Times New Roman" w:hAnsi="Times New Roman" w:cs="Times New Roman"/>
          <w:color w:val="000000" w:themeColor="text1"/>
          <w:sz w:val="22"/>
          <w:szCs w:val="22"/>
        </w:rPr>
        <w:t xml:space="preserve">, Y., ... &amp; </w:t>
      </w:r>
      <w:proofErr w:type="spellStart"/>
      <w:r w:rsidRPr="008F01FA">
        <w:rPr>
          <w:rFonts w:ascii="Times New Roman" w:eastAsia="Times New Roman" w:hAnsi="Times New Roman" w:cs="Times New Roman"/>
          <w:color w:val="000000" w:themeColor="text1"/>
          <w:sz w:val="22"/>
          <w:szCs w:val="22"/>
        </w:rPr>
        <w:t>Junque</w:t>
      </w:r>
      <w:proofErr w:type="spellEnd"/>
      <w:r w:rsidRPr="008F01FA">
        <w:rPr>
          <w:rFonts w:ascii="Times New Roman" w:eastAsia="Times New Roman" w:hAnsi="Times New Roman" w:cs="Times New Roman"/>
          <w:color w:val="000000" w:themeColor="text1"/>
          <w:sz w:val="22"/>
          <w:szCs w:val="22"/>
        </w:rPr>
        <w:t xml:space="preserve">, C. (2018). Structural brain correlations of visuospatial and </w:t>
      </w:r>
      <w:proofErr w:type="spellStart"/>
      <w:r w:rsidRPr="008F01FA">
        <w:rPr>
          <w:rFonts w:ascii="Times New Roman" w:eastAsia="Times New Roman" w:hAnsi="Times New Roman" w:cs="Times New Roman"/>
          <w:color w:val="000000" w:themeColor="text1"/>
          <w:sz w:val="22"/>
          <w:szCs w:val="22"/>
        </w:rPr>
        <w:t>visuoperceptual</w:t>
      </w:r>
      <w:proofErr w:type="spellEnd"/>
      <w:r w:rsidRPr="008F01FA">
        <w:rPr>
          <w:rFonts w:ascii="Times New Roman" w:eastAsia="Times New Roman" w:hAnsi="Times New Roman" w:cs="Times New Roman"/>
          <w:color w:val="000000" w:themeColor="text1"/>
          <w:sz w:val="22"/>
          <w:szCs w:val="22"/>
        </w:rPr>
        <w:t xml:space="preserve"> tests in Parkinson’s disease. </w:t>
      </w:r>
      <w:r w:rsidRPr="008F01FA">
        <w:rPr>
          <w:rFonts w:ascii="Times New Roman" w:eastAsia="Times New Roman" w:hAnsi="Times New Roman" w:cs="Times New Roman"/>
          <w:i/>
          <w:iCs/>
          <w:color w:val="000000" w:themeColor="text1"/>
          <w:sz w:val="22"/>
          <w:szCs w:val="22"/>
        </w:rPr>
        <w:t>Journal of the International Neuropsychological Society</w:t>
      </w:r>
      <w:r w:rsidRPr="008F01FA">
        <w:rPr>
          <w:rFonts w:ascii="Times New Roman" w:eastAsia="Times New Roman" w:hAnsi="Times New Roman" w:cs="Times New Roman"/>
          <w:color w:val="000000" w:themeColor="text1"/>
          <w:sz w:val="22"/>
          <w:szCs w:val="22"/>
        </w:rPr>
        <w:t xml:space="preserve">, </w:t>
      </w:r>
      <w:r w:rsidRPr="008F01FA">
        <w:rPr>
          <w:rFonts w:ascii="Times New Roman" w:eastAsia="Times New Roman" w:hAnsi="Times New Roman" w:cs="Times New Roman"/>
          <w:i/>
          <w:iCs/>
          <w:color w:val="000000" w:themeColor="text1"/>
          <w:sz w:val="22"/>
          <w:szCs w:val="22"/>
        </w:rPr>
        <w:t>24</w:t>
      </w:r>
      <w:r w:rsidRPr="008F01FA">
        <w:rPr>
          <w:rFonts w:ascii="Times New Roman" w:eastAsia="Times New Roman" w:hAnsi="Times New Roman" w:cs="Times New Roman"/>
          <w:color w:val="000000" w:themeColor="text1"/>
          <w:sz w:val="22"/>
          <w:szCs w:val="22"/>
        </w:rPr>
        <w:t>(1), 33-44. </w:t>
      </w:r>
    </w:p>
    <w:p w14:paraId="212F2382"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28720912"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r w:rsidRPr="00BF76E1">
        <w:rPr>
          <w:rFonts w:ascii="Times New Roman" w:hAnsi="Times New Roman" w:cs="Times New Roman"/>
          <w:color w:val="222222"/>
          <w:sz w:val="22"/>
          <w:szCs w:val="22"/>
          <w:shd w:val="clear" w:color="auto" w:fill="FFFFFF"/>
        </w:rPr>
        <w:t xml:space="preserve">Desikan, R. S., </w:t>
      </w:r>
      <w:proofErr w:type="spellStart"/>
      <w:r w:rsidRPr="00BF76E1">
        <w:rPr>
          <w:rFonts w:ascii="Times New Roman" w:hAnsi="Times New Roman" w:cs="Times New Roman"/>
          <w:color w:val="222222"/>
          <w:sz w:val="22"/>
          <w:szCs w:val="22"/>
          <w:shd w:val="clear" w:color="auto" w:fill="FFFFFF"/>
        </w:rPr>
        <w:t>Ségonne</w:t>
      </w:r>
      <w:proofErr w:type="spellEnd"/>
      <w:r w:rsidRPr="00BF76E1">
        <w:rPr>
          <w:rFonts w:ascii="Times New Roman" w:hAnsi="Times New Roman" w:cs="Times New Roman"/>
          <w:color w:val="222222"/>
          <w:sz w:val="22"/>
          <w:szCs w:val="22"/>
          <w:shd w:val="clear" w:color="auto" w:fill="FFFFFF"/>
        </w:rPr>
        <w:t xml:space="preserve">, F., Fischl, B., Quinn, B. T., Dickerson, B. C., Blacker, D., ... &amp; Killiany, R. J. (2006). An automated </w:t>
      </w:r>
      <w:proofErr w:type="spellStart"/>
      <w:r w:rsidRPr="00BF76E1">
        <w:rPr>
          <w:rFonts w:ascii="Times New Roman" w:hAnsi="Times New Roman" w:cs="Times New Roman"/>
          <w:color w:val="222222"/>
          <w:sz w:val="22"/>
          <w:szCs w:val="22"/>
          <w:shd w:val="clear" w:color="auto" w:fill="FFFFFF"/>
        </w:rPr>
        <w:t>labeling</w:t>
      </w:r>
      <w:proofErr w:type="spellEnd"/>
      <w:r w:rsidRPr="00BF76E1">
        <w:rPr>
          <w:rFonts w:ascii="Times New Roman" w:hAnsi="Times New Roman" w:cs="Times New Roman"/>
          <w:color w:val="222222"/>
          <w:sz w:val="22"/>
          <w:szCs w:val="22"/>
          <w:shd w:val="clear" w:color="auto" w:fill="FFFFFF"/>
        </w:rPr>
        <w:t xml:space="preserve"> system for subdividing the human cerebral cortex on MRI scans into </w:t>
      </w:r>
      <w:proofErr w:type="spellStart"/>
      <w:r w:rsidRPr="00BF76E1">
        <w:rPr>
          <w:rFonts w:ascii="Times New Roman" w:hAnsi="Times New Roman" w:cs="Times New Roman"/>
          <w:color w:val="222222"/>
          <w:sz w:val="22"/>
          <w:szCs w:val="22"/>
          <w:shd w:val="clear" w:color="auto" w:fill="FFFFFF"/>
        </w:rPr>
        <w:t>gyral</w:t>
      </w:r>
      <w:proofErr w:type="spellEnd"/>
      <w:r w:rsidRPr="00BF76E1">
        <w:rPr>
          <w:rFonts w:ascii="Times New Roman" w:hAnsi="Times New Roman" w:cs="Times New Roman"/>
          <w:color w:val="222222"/>
          <w:sz w:val="22"/>
          <w:szCs w:val="22"/>
          <w:shd w:val="clear" w:color="auto" w:fill="FFFFFF"/>
        </w:rPr>
        <w:t xml:space="preserve"> based regions of interest. </w:t>
      </w:r>
      <w:r w:rsidRPr="00BF76E1">
        <w:rPr>
          <w:rFonts w:ascii="Times New Roman" w:hAnsi="Times New Roman" w:cs="Times New Roman"/>
          <w:i/>
          <w:iCs/>
          <w:color w:val="222222"/>
          <w:sz w:val="22"/>
          <w:szCs w:val="22"/>
          <w:shd w:val="clear" w:color="auto" w:fill="FFFFFF"/>
        </w:rPr>
        <w:t>Neuroimage</w:t>
      </w:r>
      <w:r w:rsidRPr="00BF76E1">
        <w:rPr>
          <w:rFonts w:ascii="Times New Roman" w:hAnsi="Times New Roman" w:cs="Times New Roman"/>
          <w:color w:val="222222"/>
          <w:sz w:val="22"/>
          <w:szCs w:val="22"/>
          <w:shd w:val="clear" w:color="auto" w:fill="FFFFFF"/>
        </w:rPr>
        <w:t>, </w:t>
      </w:r>
      <w:r w:rsidRPr="00BF76E1">
        <w:rPr>
          <w:rFonts w:ascii="Times New Roman" w:hAnsi="Times New Roman" w:cs="Times New Roman"/>
          <w:i/>
          <w:iCs/>
          <w:color w:val="222222"/>
          <w:sz w:val="22"/>
          <w:szCs w:val="22"/>
          <w:shd w:val="clear" w:color="auto" w:fill="FFFFFF"/>
        </w:rPr>
        <w:t>31</w:t>
      </w:r>
      <w:r w:rsidRPr="00BF76E1">
        <w:rPr>
          <w:rFonts w:ascii="Times New Roman" w:hAnsi="Times New Roman" w:cs="Times New Roman"/>
          <w:color w:val="222222"/>
          <w:sz w:val="22"/>
          <w:szCs w:val="22"/>
          <w:shd w:val="clear" w:color="auto" w:fill="FFFFFF"/>
        </w:rPr>
        <w:t>(3), 968-980.</w:t>
      </w:r>
    </w:p>
    <w:p w14:paraId="39D2BF05"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64F70798"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r w:rsidRPr="008F01FA">
        <w:rPr>
          <w:rFonts w:ascii="Times New Roman" w:eastAsia="Times New Roman" w:hAnsi="Times New Roman" w:cs="Times New Roman"/>
          <w:color w:val="000000" w:themeColor="text1"/>
          <w:sz w:val="22"/>
          <w:szCs w:val="22"/>
        </w:rPr>
        <w:t xml:space="preserve">Dukart J, Holiga S, </w:t>
      </w:r>
      <w:proofErr w:type="spellStart"/>
      <w:r w:rsidRPr="008F01FA">
        <w:rPr>
          <w:rFonts w:ascii="Times New Roman" w:eastAsia="Times New Roman" w:hAnsi="Times New Roman" w:cs="Times New Roman"/>
          <w:color w:val="000000" w:themeColor="text1"/>
          <w:sz w:val="22"/>
          <w:szCs w:val="22"/>
        </w:rPr>
        <w:t>Rullmann</w:t>
      </w:r>
      <w:proofErr w:type="spellEnd"/>
      <w:r w:rsidRPr="008F01FA">
        <w:rPr>
          <w:rFonts w:ascii="Times New Roman" w:eastAsia="Times New Roman" w:hAnsi="Times New Roman" w:cs="Times New Roman"/>
          <w:color w:val="000000" w:themeColor="text1"/>
          <w:sz w:val="22"/>
          <w:szCs w:val="22"/>
        </w:rPr>
        <w:t xml:space="preserve"> M, </w:t>
      </w:r>
      <w:proofErr w:type="spellStart"/>
      <w:r w:rsidRPr="008F01FA">
        <w:rPr>
          <w:rFonts w:ascii="Times New Roman" w:eastAsia="Times New Roman" w:hAnsi="Times New Roman" w:cs="Times New Roman"/>
          <w:color w:val="000000" w:themeColor="text1"/>
          <w:sz w:val="22"/>
          <w:szCs w:val="22"/>
        </w:rPr>
        <w:t>Lanzenberger</w:t>
      </w:r>
      <w:proofErr w:type="spellEnd"/>
      <w:r w:rsidRPr="008F01FA">
        <w:rPr>
          <w:rFonts w:ascii="Times New Roman" w:eastAsia="Times New Roman" w:hAnsi="Times New Roman" w:cs="Times New Roman"/>
          <w:color w:val="000000" w:themeColor="text1"/>
          <w:sz w:val="22"/>
          <w:szCs w:val="22"/>
        </w:rPr>
        <w:t xml:space="preserve"> R, Hawkins PCT, Mehta MA, Hesse S, Barthel H, Sabri O, Jech R, Eickhoff SB. </w:t>
      </w:r>
      <w:proofErr w:type="spellStart"/>
      <w:r w:rsidRPr="008F01FA">
        <w:rPr>
          <w:rFonts w:ascii="Times New Roman" w:eastAsia="Times New Roman" w:hAnsi="Times New Roman" w:cs="Times New Roman"/>
          <w:color w:val="000000" w:themeColor="text1"/>
          <w:sz w:val="22"/>
          <w:szCs w:val="22"/>
        </w:rPr>
        <w:t>JuSpace</w:t>
      </w:r>
      <w:proofErr w:type="spellEnd"/>
      <w:r w:rsidRPr="008F01FA">
        <w:rPr>
          <w:rFonts w:ascii="Times New Roman" w:eastAsia="Times New Roman" w:hAnsi="Times New Roman" w:cs="Times New Roman"/>
          <w:color w:val="000000" w:themeColor="text1"/>
          <w:sz w:val="22"/>
          <w:szCs w:val="22"/>
        </w:rPr>
        <w:t xml:space="preserve">: A tool for spatial correlation analyses of magnetic resonance imaging data with nuclear imaging derived neurotransmitter maps. Hum Brain Mapp. 2021 Feb 15;42(3):555-566. </w:t>
      </w:r>
      <w:proofErr w:type="spellStart"/>
      <w:r w:rsidRPr="008F01FA">
        <w:rPr>
          <w:rFonts w:ascii="Times New Roman" w:eastAsia="Times New Roman" w:hAnsi="Times New Roman" w:cs="Times New Roman"/>
          <w:color w:val="000000" w:themeColor="text1"/>
          <w:sz w:val="22"/>
          <w:szCs w:val="22"/>
        </w:rPr>
        <w:t>doi</w:t>
      </w:r>
      <w:proofErr w:type="spellEnd"/>
      <w:r w:rsidRPr="008F01FA">
        <w:rPr>
          <w:rFonts w:ascii="Times New Roman" w:eastAsia="Times New Roman" w:hAnsi="Times New Roman" w:cs="Times New Roman"/>
          <w:color w:val="000000" w:themeColor="text1"/>
          <w:sz w:val="22"/>
          <w:szCs w:val="22"/>
        </w:rPr>
        <w:t xml:space="preserve">: 10.1002/hbm.25244. </w:t>
      </w:r>
      <w:proofErr w:type="spellStart"/>
      <w:r w:rsidRPr="008F01FA">
        <w:rPr>
          <w:rFonts w:ascii="Times New Roman" w:eastAsia="Times New Roman" w:hAnsi="Times New Roman" w:cs="Times New Roman"/>
          <w:color w:val="000000" w:themeColor="text1"/>
          <w:sz w:val="22"/>
          <w:szCs w:val="22"/>
        </w:rPr>
        <w:t>Epub</w:t>
      </w:r>
      <w:proofErr w:type="spellEnd"/>
      <w:r w:rsidRPr="008F01FA">
        <w:rPr>
          <w:rFonts w:ascii="Times New Roman" w:eastAsia="Times New Roman" w:hAnsi="Times New Roman" w:cs="Times New Roman"/>
          <w:color w:val="000000" w:themeColor="text1"/>
          <w:sz w:val="22"/>
          <w:szCs w:val="22"/>
        </w:rPr>
        <w:t xml:space="preserve"> 2020 Oct 20.</w:t>
      </w:r>
    </w:p>
    <w:p w14:paraId="73EB37D2"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21C958D2" w14:textId="77777777" w:rsidR="00752E6F" w:rsidRPr="008F01FA" w:rsidRDefault="00752E6F" w:rsidP="00752E6F">
      <w:pPr>
        <w:pStyle w:val="ListParagraph"/>
        <w:spacing w:line="360" w:lineRule="auto"/>
        <w:jc w:val="both"/>
        <w:rPr>
          <w:rFonts w:ascii="Times New Roman" w:hAnsi="Times New Roman" w:cs="Times New Roman"/>
          <w:color w:val="000000" w:themeColor="text1"/>
          <w:sz w:val="22"/>
          <w:szCs w:val="22"/>
          <w:shd w:val="clear" w:color="auto" w:fill="FFFFFF"/>
        </w:rPr>
      </w:pPr>
      <w:proofErr w:type="spellStart"/>
      <w:r w:rsidRPr="008F01FA">
        <w:rPr>
          <w:rFonts w:ascii="Times New Roman" w:hAnsi="Times New Roman" w:cs="Times New Roman"/>
          <w:color w:val="000000" w:themeColor="text1"/>
          <w:sz w:val="22"/>
          <w:szCs w:val="22"/>
          <w:shd w:val="clear" w:color="auto" w:fill="FFFFFF"/>
        </w:rPr>
        <w:t>Markello</w:t>
      </w:r>
      <w:proofErr w:type="spellEnd"/>
      <w:r w:rsidRPr="008F01FA">
        <w:rPr>
          <w:rFonts w:ascii="Times New Roman" w:hAnsi="Times New Roman" w:cs="Times New Roman"/>
          <w:color w:val="000000" w:themeColor="text1"/>
          <w:sz w:val="22"/>
          <w:szCs w:val="22"/>
          <w:shd w:val="clear" w:color="auto" w:fill="FFFFFF"/>
        </w:rPr>
        <w:t>, R. D., &amp; Misic, B. (2021). </w:t>
      </w:r>
      <w:r w:rsidRPr="008F01FA">
        <w:rPr>
          <w:rFonts w:ascii="Times New Roman" w:hAnsi="Times New Roman" w:cs="Times New Roman"/>
          <w:i/>
          <w:iCs/>
          <w:color w:val="000000" w:themeColor="text1"/>
          <w:sz w:val="22"/>
          <w:szCs w:val="22"/>
          <w:shd w:val="clear" w:color="auto" w:fill="FFFFFF"/>
        </w:rPr>
        <w:t xml:space="preserve">Comparing spatial null models for brain maps. </w:t>
      </w:r>
      <w:proofErr w:type="spellStart"/>
      <w:r w:rsidRPr="008F01FA">
        <w:rPr>
          <w:rFonts w:ascii="Times New Roman" w:hAnsi="Times New Roman" w:cs="Times New Roman"/>
          <w:i/>
          <w:iCs/>
          <w:color w:val="000000" w:themeColor="text1"/>
          <w:sz w:val="22"/>
          <w:szCs w:val="22"/>
          <w:shd w:val="clear" w:color="auto" w:fill="FFFFFF"/>
        </w:rPr>
        <w:t>NeuroImage</w:t>
      </w:r>
      <w:proofErr w:type="spellEnd"/>
      <w:r w:rsidRPr="008F01FA">
        <w:rPr>
          <w:rFonts w:ascii="Times New Roman" w:hAnsi="Times New Roman" w:cs="Times New Roman"/>
          <w:i/>
          <w:iCs/>
          <w:color w:val="000000" w:themeColor="text1"/>
          <w:sz w:val="22"/>
          <w:szCs w:val="22"/>
          <w:shd w:val="clear" w:color="auto" w:fill="FFFFFF"/>
        </w:rPr>
        <w:t>, 236, Article 118052</w:t>
      </w:r>
      <w:r w:rsidRPr="008F01FA">
        <w:rPr>
          <w:rFonts w:ascii="Times New Roman" w:hAnsi="Times New Roman" w:cs="Times New Roman"/>
          <w:color w:val="000000" w:themeColor="text1"/>
          <w:sz w:val="22"/>
          <w:szCs w:val="22"/>
          <w:shd w:val="clear" w:color="auto" w:fill="FFFFFF"/>
        </w:rPr>
        <w:t>.</w:t>
      </w:r>
    </w:p>
    <w:p w14:paraId="4461288F" w14:textId="77777777" w:rsidR="00752E6F" w:rsidRPr="00BF76E1" w:rsidRDefault="00752E6F" w:rsidP="00752E6F">
      <w:pPr>
        <w:pStyle w:val="ListParagraph"/>
        <w:spacing w:line="360" w:lineRule="auto"/>
        <w:jc w:val="both"/>
        <w:rPr>
          <w:rFonts w:ascii="Times New Roman" w:hAnsi="Times New Roman" w:cs="Times New Roman"/>
          <w:color w:val="000000" w:themeColor="text1"/>
          <w:sz w:val="22"/>
          <w:szCs w:val="22"/>
          <w:shd w:val="clear" w:color="auto" w:fill="FFFFFF"/>
        </w:rPr>
      </w:pPr>
      <w:proofErr w:type="spellStart"/>
      <w:r w:rsidRPr="008F01FA">
        <w:rPr>
          <w:rFonts w:ascii="Times New Roman" w:hAnsi="Times New Roman" w:cs="Times New Roman"/>
          <w:color w:val="222222"/>
          <w:sz w:val="22"/>
          <w:szCs w:val="22"/>
          <w:shd w:val="clear" w:color="auto" w:fill="FFFFFF"/>
        </w:rPr>
        <w:t>Markello</w:t>
      </w:r>
      <w:proofErr w:type="spellEnd"/>
      <w:r w:rsidRPr="008F01FA">
        <w:rPr>
          <w:rFonts w:ascii="Times New Roman" w:hAnsi="Times New Roman" w:cs="Times New Roman"/>
          <w:color w:val="222222"/>
          <w:sz w:val="22"/>
          <w:szCs w:val="22"/>
          <w:shd w:val="clear" w:color="auto" w:fill="FFFFFF"/>
        </w:rPr>
        <w:t xml:space="preserve">, R. D., Hansen, J. Y., Liu, Z. Q., Bazinet, V., Shafiei, G., Suárez, L. E., ... &amp; Misic, B. (2022). </w:t>
      </w:r>
      <w:proofErr w:type="spellStart"/>
      <w:r w:rsidRPr="008F01FA">
        <w:rPr>
          <w:rFonts w:ascii="Times New Roman" w:hAnsi="Times New Roman" w:cs="Times New Roman"/>
          <w:color w:val="222222"/>
          <w:sz w:val="22"/>
          <w:szCs w:val="22"/>
          <w:shd w:val="clear" w:color="auto" w:fill="FFFFFF"/>
        </w:rPr>
        <w:t>Neuromaps</w:t>
      </w:r>
      <w:proofErr w:type="spellEnd"/>
      <w:r w:rsidRPr="008F01FA">
        <w:rPr>
          <w:rFonts w:ascii="Times New Roman" w:hAnsi="Times New Roman" w:cs="Times New Roman"/>
          <w:color w:val="222222"/>
          <w:sz w:val="22"/>
          <w:szCs w:val="22"/>
          <w:shd w:val="clear" w:color="auto" w:fill="FFFFFF"/>
        </w:rPr>
        <w:t>: structural and functional interpretation of brain maps. </w:t>
      </w:r>
      <w:r w:rsidRPr="008F01FA">
        <w:rPr>
          <w:rFonts w:ascii="Times New Roman" w:hAnsi="Times New Roman" w:cs="Times New Roman"/>
          <w:i/>
          <w:iCs/>
          <w:color w:val="222222"/>
          <w:sz w:val="22"/>
          <w:szCs w:val="22"/>
          <w:shd w:val="clear" w:color="auto" w:fill="FFFFFF"/>
        </w:rPr>
        <w:t>Nature Methods</w:t>
      </w:r>
      <w:r w:rsidRPr="008F01FA">
        <w:rPr>
          <w:rFonts w:ascii="Times New Roman" w:hAnsi="Times New Roman" w:cs="Times New Roman"/>
          <w:color w:val="222222"/>
          <w:sz w:val="22"/>
          <w:szCs w:val="22"/>
          <w:shd w:val="clear" w:color="auto" w:fill="FFFFFF"/>
        </w:rPr>
        <w:t>, </w:t>
      </w:r>
      <w:r w:rsidRPr="008F01FA">
        <w:rPr>
          <w:rFonts w:ascii="Times New Roman" w:hAnsi="Times New Roman" w:cs="Times New Roman"/>
          <w:i/>
          <w:iCs/>
          <w:color w:val="222222"/>
          <w:sz w:val="22"/>
          <w:szCs w:val="22"/>
          <w:shd w:val="clear" w:color="auto" w:fill="FFFFFF"/>
        </w:rPr>
        <w:t>19</w:t>
      </w:r>
      <w:r w:rsidRPr="008F01FA">
        <w:rPr>
          <w:rFonts w:ascii="Times New Roman" w:hAnsi="Times New Roman" w:cs="Times New Roman"/>
          <w:color w:val="222222"/>
          <w:sz w:val="22"/>
          <w:szCs w:val="22"/>
          <w:shd w:val="clear" w:color="auto" w:fill="FFFFFF"/>
        </w:rPr>
        <w:t>(11), 1472-1479.</w:t>
      </w:r>
    </w:p>
    <w:p w14:paraId="5E5DDF99" w14:textId="77777777" w:rsidR="00752E6F" w:rsidRPr="008F01FA" w:rsidRDefault="00752E6F" w:rsidP="00752E6F">
      <w:pPr>
        <w:pStyle w:val="ListParagraph"/>
        <w:spacing w:line="360" w:lineRule="auto"/>
        <w:jc w:val="both"/>
        <w:rPr>
          <w:rFonts w:ascii="Times New Roman" w:hAnsi="Times New Roman" w:cs="Times New Roman"/>
          <w:color w:val="000000" w:themeColor="text1"/>
          <w:sz w:val="22"/>
          <w:szCs w:val="22"/>
          <w:shd w:val="clear" w:color="auto" w:fill="FFFFFF"/>
        </w:rPr>
      </w:pPr>
    </w:p>
    <w:p w14:paraId="5257CEC4"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hyperlink r:id="rId21" w:history="1">
        <w:r w:rsidRPr="008F01FA">
          <w:rPr>
            <w:rStyle w:val="Hyperlink"/>
            <w:rFonts w:ascii="Times New Roman" w:hAnsi="Times New Roman" w:cs="Times New Roman"/>
            <w:color w:val="000000" w:themeColor="text1"/>
            <w:sz w:val="22"/>
            <w:szCs w:val="22"/>
            <w:shd w:val="clear" w:color="auto" w:fill="FCFCFC"/>
          </w:rPr>
          <w:t xml:space="preserve">Burt, J.B., Helmer, M., Shinn, M.W., </w:t>
        </w:r>
        <w:proofErr w:type="spellStart"/>
        <w:r w:rsidRPr="008F01FA">
          <w:rPr>
            <w:rStyle w:val="Hyperlink"/>
            <w:rFonts w:ascii="Times New Roman" w:hAnsi="Times New Roman" w:cs="Times New Roman"/>
            <w:color w:val="000000" w:themeColor="text1"/>
            <w:sz w:val="22"/>
            <w:szCs w:val="22"/>
            <w:shd w:val="clear" w:color="auto" w:fill="FCFCFC"/>
          </w:rPr>
          <w:t>Anticevic</w:t>
        </w:r>
        <w:proofErr w:type="spellEnd"/>
        <w:r w:rsidRPr="008F01FA">
          <w:rPr>
            <w:rStyle w:val="Hyperlink"/>
            <w:rFonts w:ascii="Times New Roman" w:hAnsi="Times New Roman" w:cs="Times New Roman"/>
            <w:color w:val="000000" w:themeColor="text1"/>
            <w:sz w:val="22"/>
            <w:szCs w:val="22"/>
            <w:shd w:val="clear" w:color="auto" w:fill="FCFCFC"/>
          </w:rPr>
          <w:t xml:space="preserve">, A., Murray, J.D. Generative </w:t>
        </w:r>
        <w:proofErr w:type="spellStart"/>
        <w:r w:rsidRPr="008F01FA">
          <w:rPr>
            <w:rStyle w:val="Hyperlink"/>
            <w:rFonts w:ascii="Times New Roman" w:hAnsi="Times New Roman" w:cs="Times New Roman"/>
            <w:color w:val="000000" w:themeColor="text1"/>
            <w:sz w:val="22"/>
            <w:szCs w:val="22"/>
            <w:shd w:val="clear" w:color="auto" w:fill="FCFCFC"/>
          </w:rPr>
          <w:t>modeling</w:t>
        </w:r>
        <w:proofErr w:type="spellEnd"/>
        <w:r w:rsidRPr="008F01FA">
          <w:rPr>
            <w:rStyle w:val="Hyperlink"/>
            <w:rFonts w:ascii="Times New Roman" w:hAnsi="Times New Roman" w:cs="Times New Roman"/>
            <w:color w:val="000000" w:themeColor="text1"/>
            <w:sz w:val="22"/>
            <w:szCs w:val="22"/>
            <w:shd w:val="clear" w:color="auto" w:fill="FCFCFC"/>
          </w:rPr>
          <w:t xml:space="preserve"> of brain maps with spatial autocorrelation. Neuroimage, 220 (2020).</w:t>
        </w:r>
      </w:hyperlink>
    </w:p>
    <w:p w14:paraId="0DA41B69" w14:textId="77777777" w:rsidR="00752E6F" w:rsidRPr="008F01FA" w:rsidRDefault="00752E6F" w:rsidP="00752E6F">
      <w:pPr>
        <w:pStyle w:val="ListParagraph"/>
        <w:spacing w:line="360" w:lineRule="auto"/>
        <w:jc w:val="both"/>
        <w:rPr>
          <w:rFonts w:ascii="Times New Roman" w:eastAsia="Times New Roman" w:hAnsi="Times New Roman" w:cs="Times New Roman"/>
          <w:color w:val="000000" w:themeColor="text1"/>
          <w:sz w:val="22"/>
          <w:szCs w:val="22"/>
        </w:rPr>
      </w:pPr>
    </w:p>
    <w:p w14:paraId="6BBC3554" w14:textId="77777777" w:rsidR="00752E6F" w:rsidRPr="008F01FA" w:rsidRDefault="00752E6F" w:rsidP="00752E6F">
      <w:pPr>
        <w:spacing w:line="360" w:lineRule="auto"/>
        <w:jc w:val="both"/>
        <w:rPr>
          <w:rFonts w:ascii="Times New Roman" w:eastAsia="Arial" w:hAnsi="Times New Roman" w:cs="Times New Roman"/>
          <w:color w:val="222222"/>
          <w:sz w:val="22"/>
          <w:szCs w:val="22"/>
        </w:rPr>
      </w:pPr>
    </w:p>
    <w:p w14:paraId="429FA8B6" w14:textId="77777777" w:rsidR="00370789" w:rsidRDefault="00370789"/>
    <w:sectPr w:rsidR="00370789" w:rsidSect="00752E6F">
      <w:footerReference w:type="even" r:id="rId22"/>
      <w:footerReference w:type="default" r:id="rId23"/>
      <w:footnotePr>
        <w:numFmt w:val="lowerLetter"/>
      </w:footnotePr>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5E1392" w14:textId="77777777" w:rsidR="00AC433D" w:rsidRDefault="00AC433D" w:rsidP="00752E6F">
      <w:r>
        <w:separator/>
      </w:r>
    </w:p>
  </w:endnote>
  <w:endnote w:type="continuationSeparator" w:id="0">
    <w:p w14:paraId="4BB68D22" w14:textId="77777777" w:rsidR="00AC433D" w:rsidRDefault="00AC433D" w:rsidP="00752E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0000500000000020000"/>
    <w:charset w:val="00"/>
    <w:family w:val="roman"/>
    <w:pitch w:val="default"/>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88240817"/>
      <w:docPartObj>
        <w:docPartGallery w:val="Page Numbers (Bottom of Page)"/>
        <w:docPartUnique/>
      </w:docPartObj>
    </w:sdtPr>
    <w:sdtContent>
      <w:p w14:paraId="09C0739B" w14:textId="77777777" w:rsidR="005B70E1" w:rsidRDefault="00000000" w:rsidP="00C8295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71FAE6B" w14:textId="77777777" w:rsidR="005B70E1" w:rsidRDefault="005B70E1" w:rsidP="00D827E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60997527"/>
      <w:docPartObj>
        <w:docPartGallery w:val="Page Numbers (Bottom of Page)"/>
        <w:docPartUnique/>
      </w:docPartObj>
    </w:sdtPr>
    <w:sdtContent>
      <w:p w14:paraId="37C7BAFC" w14:textId="77777777" w:rsidR="005B70E1" w:rsidRDefault="00000000" w:rsidP="00C8295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045D2A4B" w14:textId="77777777" w:rsidR="005B70E1" w:rsidRDefault="005B70E1" w:rsidP="00D827E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899A46" w14:textId="77777777" w:rsidR="00AC433D" w:rsidRDefault="00AC433D" w:rsidP="00752E6F">
      <w:r>
        <w:separator/>
      </w:r>
    </w:p>
  </w:footnote>
  <w:footnote w:type="continuationSeparator" w:id="0">
    <w:p w14:paraId="124EACB5" w14:textId="77777777" w:rsidR="00AC433D" w:rsidRDefault="00AC433D" w:rsidP="00752E6F">
      <w:r>
        <w:continuationSeparator/>
      </w:r>
    </w:p>
  </w:footnote>
  <w:footnote w:id="1">
    <w:p w14:paraId="1D47CD13" w14:textId="77777777" w:rsidR="00752E6F" w:rsidRPr="00103A2D" w:rsidRDefault="00752E6F" w:rsidP="00752E6F">
      <w:pPr>
        <w:pStyle w:val="Footer"/>
        <w:rPr>
          <w:rFonts w:ascii="Times New Roman" w:hAnsi="Times New Roman" w:cs="Times New Roman"/>
          <w:sz w:val="20"/>
          <w:szCs w:val="20"/>
        </w:rPr>
      </w:pPr>
      <w:r w:rsidRPr="00103A2D">
        <w:rPr>
          <w:rStyle w:val="FootnoteReference"/>
          <w:rFonts w:ascii="Times New Roman" w:hAnsi="Times New Roman" w:cs="Times New Roman"/>
          <w:sz w:val="20"/>
          <w:szCs w:val="20"/>
        </w:rPr>
        <w:footnoteRef/>
      </w:r>
      <w:r w:rsidRPr="00103A2D">
        <w:rPr>
          <w:rFonts w:ascii="Times New Roman" w:hAnsi="Times New Roman" w:cs="Times New Roman"/>
          <w:sz w:val="20"/>
          <w:szCs w:val="20"/>
        </w:rPr>
        <w:t xml:space="preserve"> </w:t>
      </w:r>
      <w:r w:rsidRPr="00103A2D">
        <w:rPr>
          <w:rFonts w:ascii="Times New Roman" w:hAnsi="Times New Roman" w:cs="Times New Roman"/>
          <w:color w:val="000000" w:themeColor="text1"/>
          <w:kern w:val="0"/>
          <w:sz w:val="20"/>
          <w:szCs w:val="20"/>
          <w:u w:color="000000"/>
        </w:rPr>
        <w:t>A model LV1+ LV-RV+RV-RIT+ RV-RPFC +LPFC.LV+ RPFC-RV proved also fitting [</w:t>
      </w:r>
      <w:r w:rsidRPr="00103A2D">
        <w:rPr>
          <w:rFonts w:ascii="Times New Roman" w:hAnsi="Times New Roman" w:cs="Times New Roman"/>
          <w:i/>
          <w:iCs/>
          <w:color w:val="000000" w:themeColor="text1"/>
          <w:kern w:val="0"/>
          <w:sz w:val="20"/>
          <w:szCs w:val="20"/>
          <w:u w:color="000000"/>
        </w:rPr>
        <w:t>R</w:t>
      </w:r>
      <w:r w:rsidRPr="00103A2D">
        <w:rPr>
          <w:rFonts w:ascii="Times New Roman" w:hAnsi="Times New Roman" w:cs="Times New Roman"/>
          <w:color w:val="000000" w:themeColor="text1"/>
          <w:kern w:val="0"/>
          <w:sz w:val="20"/>
          <w:szCs w:val="20"/>
          <w:u w:color="000000"/>
          <w:vertAlign w:val="superscript"/>
        </w:rPr>
        <w:t>2</w:t>
      </w:r>
      <w:r w:rsidRPr="00103A2D">
        <w:rPr>
          <w:rFonts w:ascii="Times New Roman" w:hAnsi="Times New Roman" w:cs="Times New Roman"/>
          <w:color w:val="000000" w:themeColor="text1"/>
          <w:kern w:val="0"/>
          <w:sz w:val="20"/>
          <w:szCs w:val="20"/>
          <w:u w:color="000000"/>
        </w:rPr>
        <w:t xml:space="preserve"> =  0.572, adjusted R2 = .42, F(5,14) = 3.75, p =.023, RMSE = 5.37, MAE = 4.36] but less significant and with greater BIC = 128.26). </w:t>
      </w:r>
    </w:p>
    <w:p w14:paraId="66931317" w14:textId="77777777" w:rsidR="00752E6F" w:rsidRPr="00103A2D" w:rsidRDefault="00752E6F" w:rsidP="00752E6F">
      <w:pPr>
        <w:pStyle w:val="FootnoteText"/>
        <w:rPr>
          <w:rFonts w:ascii="Times New Roman" w:hAnsi="Times New Roman" w:cs="Times New Roman"/>
        </w:rPr>
      </w:pPr>
    </w:p>
  </w:footnote>
  <w:footnote w:id="2">
    <w:p w14:paraId="3350343F" w14:textId="77777777" w:rsidR="00752E6F" w:rsidRPr="00103A2D" w:rsidRDefault="00752E6F" w:rsidP="00752E6F">
      <w:pPr>
        <w:autoSpaceDE w:val="0"/>
        <w:autoSpaceDN w:val="0"/>
        <w:adjustRightInd w:val="0"/>
        <w:rPr>
          <w:sz w:val="20"/>
          <w:szCs w:val="20"/>
        </w:rPr>
      </w:pPr>
      <w:r w:rsidRPr="00103A2D">
        <w:rPr>
          <w:rStyle w:val="FootnoteReference"/>
          <w:sz w:val="20"/>
          <w:szCs w:val="20"/>
        </w:rPr>
        <w:footnoteRef/>
      </w:r>
      <w:r w:rsidRPr="00103A2D">
        <w:rPr>
          <w:color w:val="000000" w:themeColor="text1"/>
          <w:sz w:val="20"/>
          <w:szCs w:val="20"/>
          <w:u w:color="000000"/>
        </w:rPr>
        <w:t xml:space="preserve">A model with as many as 6 predictors was also significant but had worse residual deviance: </w:t>
      </w:r>
      <w:r w:rsidRPr="00103A2D">
        <w:rPr>
          <w:sz w:val="20"/>
          <w:szCs w:val="20"/>
        </w:rPr>
        <w:t xml:space="preserve">Predictors:  LV.LPFC + RV.RIT  + LPFC.LIT + RPFC.RV + LV1.RV1 + RV1.LV1, residual standard error = 1.88, RMSE: 4.91, MAE = 2.91. Multiple R-squared:  0.6, Adjusted R-squared:  0.414, F (6,13)=3.242,  p=  0.036, BIC = 97.27. </w:t>
      </w:r>
    </w:p>
    <w:p w14:paraId="26F11507" w14:textId="77777777" w:rsidR="00752E6F" w:rsidRDefault="00752E6F" w:rsidP="00752E6F">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FFFFFFFF"/>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FFFFFFFF"/>
    <w:lvl w:ilvl="0" w:tplc="00000065">
      <w:start w:val="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FFFFFFFF"/>
    <w:lvl w:ilvl="0" w:tplc="000000C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2CA1D74"/>
    <w:multiLevelType w:val="hybridMultilevel"/>
    <w:tmpl w:val="FB0CB2BC"/>
    <w:lvl w:ilvl="0" w:tplc="86B07926">
      <w:start w:val="10"/>
      <w:numFmt w:val="decimal"/>
      <w:lvlText w:val="%1."/>
      <w:lvlJc w:val="left"/>
      <w:pPr>
        <w:ind w:left="720" w:hanging="360"/>
      </w:pPr>
    </w:lvl>
    <w:lvl w:ilvl="1" w:tplc="4956C35A">
      <w:start w:val="1"/>
      <w:numFmt w:val="lowerLetter"/>
      <w:lvlText w:val="%2."/>
      <w:lvlJc w:val="left"/>
      <w:pPr>
        <w:ind w:left="1440" w:hanging="360"/>
      </w:pPr>
    </w:lvl>
    <w:lvl w:ilvl="2" w:tplc="F85C8796">
      <w:start w:val="1"/>
      <w:numFmt w:val="lowerRoman"/>
      <w:lvlText w:val="%3."/>
      <w:lvlJc w:val="right"/>
      <w:pPr>
        <w:ind w:left="2160" w:hanging="180"/>
      </w:pPr>
    </w:lvl>
    <w:lvl w:ilvl="3" w:tplc="1FCC491C">
      <w:start w:val="1"/>
      <w:numFmt w:val="decimal"/>
      <w:lvlText w:val="%4."/>
      <w:lvlJc w:val="left"/>
      <w:pPr>
        <w:ind w:left="2880" w:hanging="360"/>
      </w:pPr>
    </w:lvl>
    <w:lvl w:ilvl="4" w:tplc="2ED2AD74">
      <w:start w:val="1"/>
      <w:numFmt w:val="lowerLetter"/>
      <w:lvlText w:val="%5."/>
      <w:lvlJc w:val="left"/>
      <w:pPr>
        <w:ind w:left="3600" w:hanging="360"/>
      </w:pPr>
    </w:lvl>
    <w:lvl w:ilvl="5" w:tplc="B3DEE02C">
      <w:start w:val="1"/>
      <w:numFmt w:val="lowerRoman"/>
      <w:lvlText w:val="%6."/>
      <w:lvlJc w:val="right"/>
      <w:pPr>
        <w:ind w:left="4320" w:hanging="180"/>
      </w:pPr>
    </w:lvl>
    <w:lvl w:ilvl="6" w:tplc="770454CC">
      <w:start w:val="1"/>
      <w:numFmt w:val="decimal"/>
      <w:lvlText w:val="%7."/>
      <w:lvlJc w:val="left"/>
      <w:pPr>
        <w:ind w:left="5040" w:hanging="360"/>
      </w:pPr>
    </w:lvl>
    <w:lvl w:ilvl="7" w:tplc="AE267FCE">
      <w:start w:val="1"/>
      <w:numFmt w:val="lowerLetter"/>
      <w:lvlText w:val="%8."/>
      <w:lvlJc w:val="left"/>
      <w:pPr>
        <w:ind w:left="5760" w:hanging="360"/>
      </w:pPr>
    </w:lvl>
    <w:lvl w:ilvl="8" w:tplc="81728952">
      <w:start w:val="1"/>
      <w:numFmt w:val="lowerRoman"/>
      <w:lvlText w:val="%9."/>
      <w:lvlJc w:val="right"/>
      <w:pPr>
        <w:ind w:left="6480" w:hanging="180"/>
      </w:pPr>
    </w:lvl>
  </w:abstractNum>
  <w:abstractNum w:abstractNumId="4" w15:restartNumberingAfterBreak="0">
    <w:nsid w:val="04F05BEA"/>
    <w:multiLevelType w:val="hybridMultilevel"/>
    <w:tmpl w:val="90DA6B5E"/>
    <w:lvl w:ilvl="0" w:tplc="8AF09CEE">
      <w:start w:val="9"/>
      <w:numFmt w:val="decimal"/>
      <w:lvlText w:val="%1."/>
      <w:lvlJc w:val="left"/>
      <w:pPr>
        <w:ind w:left="720" w:hanging="360"/>
      </w:pPr>
    </w:lvl>
    <w:lvl w:ilvl="1" w:tplc="CFBAD1A4">
      <w:start w:val="1"/>
      <w:numFmt w:val="lowerLetter"/>
      <w:lvlText w:val="%2."/>
      <w:lvlJc w:val="left"/>
      <w:pPr>
        <w:ind w:left="1440" w:hanging="360"/>
      </w:pPr>
    </w:lvl>
    <w:lvl w:ilvl="2" w:tplc="FBB60DCC">
      <w:start w:val="1"/>
      <w:numFmt w:val="lowerRoman"/>
      <w:lvlText w:val="%3."/>
      <w:lvlJc w:val="right"/>
      <w:pPr>
        <w:ind w:left="2160" w:hanging="180"/>
      </w:pPr>
    </w:lvl>
    <w:lvl w:ilvl="3" w:tplc="CDF844C4">
      <w:start w:val="1"/>
      <w:numFmt w:val="decimal"/>
      <w:lvlText w:val="%4."/>
      <w:lvlJc w:val="left"/>
      <w:pPr>
        <w:ind w:left="2880" w:hanging="360"/>
      </w:pPr>
    </w:lvl>
    <w:lvl w:ilvl="4" w:tplc="72A6E64C">
      <w:start w:val="1"/>
      <w:numFmt w:val="lowerLetter"/>
      <w:lvlText w:val="%5."/>
      <w:lvlJc w:val="left"/>
      <w:pPr>
        <w:ind w:left="3600" w:hanging="360"/>
      </w:pPr>
    </w:lvl>
    <w:lvl w:ilvl="5" w:tplc="8F8A481A">
      <w:start w:val="1"/>
      <w:numFmt w:val="lowerRoman"/>
      <w:lvlText w:val="%6."/>
      <w:lvlJc w:val="right"/>
      <w:pPr>
        <w:ind w:left="4320" w:hanging="180"/>
      </w:pPr>
    </w:lvl>
    <w:lvl w:ilvl="6" w:tplc="5E1E1932">
      <w:start w:val="1"/>
      <w:numFmt w:val="decimal"/>
      <w:lvlText w:val="%7."/>
      <w:lvlJc w:val="left"/>
      <w:pPr>
        <w:ind w:left="5040" w:hanging="360"/>
      </w:pPr>
    </w:lvl>
    <w:lvl w:ilvl="7" w:tplc="1458BF2E">
      <w:start w:val="1"/>
      <w:numFmt w:val="lowerLetter"/>
      <w:lvlText w:val="%8."/>
      <w:lvlJc w:val="left"/>
      <w:pPr>
        <w:ind w:left="5760" w:hanging="360"/>
      </w:pPr>
    </w:lvl>
    <w:lvl w:ilvl="8" w:tplc="C688D8F0">
      <w:start w:val="1"/>
      <w:numFmt w:val="lowerRoman"/>
      <w:lvlText w:val="%9."/>
      <w:lvlJc w:val="right"/>
      <w:pPr>
        <w:ind w:left="6480" w:hanging="180"/>
      </w:pPr>
    </w:lvl>
  </w:abstractNum>
  <w:abstractNum w:abstractNumId="5" w15:restartNumberingAfterBreak="0">
    <w:nsid w:val="05B52803"/>
    <w:multiLevelType w:val="hybridMultilevel"/>
    <w:tmpl w:val="2BB299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7615701"/>
    <w:multiLevelType w:val="multilevel"/>
    <w:tmpl w:val="27229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3048E8"/>
    <w:multiLevelType w:val="multilevel"/>
    <w:tmpl w:val="421A3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BE6688"/>
    <w:multiLevelType w:val="hybridMultilevel"/>
    <w:tmpl w:val="E3A49572"/>
    <w:lvl w:ilvl="0" w:tplc="FFFFFFF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E6EA2A5"/>
    <w:multiLevelType w:val="hybridMultilevel"/>
    <w:tmpl w:val="A7560AC4"/>
    <w:lvl w:ilvl="0" w:tplc="5CDA754C">
      <w:start w:val="7"/>
      <w:numFmt w:val="decimal"/>
      <w:lvlText w:val="%1."/>
      <w:lvlJc w:val="left"/>
      <w:pPr>
        <w:ind w:left="720" w:hanging="360"/>
      </w:pPr>
    </w:lvl>
    <w:lvl w:ilvl="1" w:tplc="472AA3F2">
      <w:start w:val="1"/>
      <w:numFmt w:val="lowerLetter"/>
      <w:lvlText w:val="%2."/>
      <w:lvlJc w:val="left"/>
      <w:pPr>
        <w:ind w:left="1440" w:hanging="360"/>
      </w:pPr>
    </w:lvl>
    <w:lvl w:ilvl="2" w:tplc="227E8902">
      <w:start w:val="1"/>
      <w:numFmt w:val="lowerRoman"/>
      <w:lvlText w:val="%3."/>
      <w:lvlJc w:val="right"/>
      <w:pPr>
        <w:ind w:left="2160" w:hanging="180"/>
      </w:pPr>
    </w:lvl>
    <w:lvl w:ilvl="3" w:tplc="BBB241B4">
      <w:start w:val="1"/>
      <w:numFmt w:val="decimal"/>
      <w:lvlText w:val="%4."/>
      <w:lvlJc w:val="left"/>
      <w:pPr>
        <w:ind w:left="2880" w:hanging="360"/>
      </w:pPr>
    </w:lvl>
    <w:lvl w:ilvl="4" w:tplc="2182D5CA">
      <w:start w:val="1"/>
      <w:numFmt w:val="lowerLetter"/>
      <w:lvlText w:val="%5."/>
      <w:lvlJc w:val="left"/>
      <w:pPr>
        <w:ind w:left="3600" w:hanging="360"/>
      </w:pPr>
    </w:lvl>
    <w:lvl w:ilvl="5" w:tplc="4B44DED4">
      <w:start w:val="1"/>
      <w:numFmt w:val="lowerRoman"/>
      <w:lvlText w:val="%6."/>
      <w:lvlJc w:val="right"/>
      <w:pPr>
        <w:ind w:left="4320" w:hanging="180"/>
      </w:pPr>
    </w:lvl>
    <w:lvl w:ilvl="6" w:tplc="11A40D10">
      <w:start w:val="1"/>
      <w:numFmt w:val="decimal"/>
      <w:lvlText w:val="%7."/>
      <w:lvlJc w:val="left"/>
      <w:pPr>
        <w:ind w:left="5040" w:hanging="360"/>
      </w:pPr>
    </w:lvl>
    <w:lvl w:ilvl="7" w:tplc="79424DE2">
      <w:start w:val="1"/>
      <w:numFmt w:val="lowerLetter"/>
      <w:lvlText w:val="%8."/>
      <w:lvlJc w:val="left"/>
      <w:pPr>
        <w:ind w:left="5760" w:hanging="360"/>
      </w:pPr>
    </w:lvl>
    <w:lvl w:ilvl="8" w:tplc="332A1A32">
      <w:start w:val="1"/>
      <w:numFmt w:val="lowerRoman"/>
      <w:lvlText w:val="%9."/>
      <w:lvlJc w:val="right"/>
      <w:pPr>
        <w:ind w:left="6480" w:hanging="180"/>
      </w:pPr>
    </w:lvl>
  </w:abstractNum>
  <w:abstractNum w:abstractNumId="10" w15:restartNumberingAfterBreak="0">
    <w:nsid w:val="12A62D44"/>
    <w:multiLevelType w:val="hybridMultilevel"/>
    <w:tmpl w:val="4AA64A7E"/>
    <w:lvl w:ilvl="0" w:tplc="0809000F">
      <w:start w:val="6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6810EF2"/>
    <w:multiLevelType w:val="hybridMultilevel"/>
    <w:tmpl w:val="515C94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8FC20BC"/>
    <w:multiLevelType w:val="multilevel"/>
    <w:tmpl w:val="EF7278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928EE78"/>
    <w:multiLevelType w:val="hybridMultilevel"/>
    <w:tmpl w:val="E948F718"/>
    <w:lvl w:ilvl="0" w:tplc="EF844F92">
      <w:start w:val="1"/>
      <w:numFmt w:val="decimal"/>
      <w:lvlText w:val="%1."/>
      <w:lvlJc w:val="left"/>
      <w:pPr>
        <w:ind w:left="720" w:hanging="360"/>
      </w:pPr>
    </w:lvl>
    <w:lvl w:ilvl="1" w:tplc="029C69AE">
      <w:start w:val="1"/>
      <w:numFmt w:val="lowerLetter"/>
      <w:lvlText w:val="%2."/>
      <w:lvlJc w:val="left"/>
      <w:pPr>
        <w:ind w:left="1440" w:hanging="360"/>
      </w:pPr>
    </w:lvl>
    <w:lvl w:ilvl="2" w:tplc="AC527828">
      <w:start w:val="1"/>
      <w:numFmt w:val="lowerRoman"/>
      <w:lvlText w:val="%3."/>
      <w:lvlJc w:val="right"/>
      <w:pPr>
        <w:ind w:left="2160" w:hanging="180"/>
      </w:pPr>
    </w:lvl>
    <w:lvl w:ilvl="3" w:tplc="FD880836">
      <w:start w:val="1"/>
      <w:numFmt w:val="decimal"/>
      <w:lvlText w:val="%4."/>
      <w:lvlJc w:val="left"/>
      <w:pPr>
        <w:ind w:left="2880" w:hanging="360"/>
      </w:pPr>
    </w:lvl>
    <w:lvl w:ilvl="4" w:tplc="7382A33A">
      <w:start w:val="1"/>
      <w:numFmt w:val="lowerLetter"/>
      <w:lvlText w:val="%5."/>
      <w:lvlJc w:val="left"/>
      <w:pPr>
        <w:ind w:left="3600" w:hanging="360"/>
      </w:pPr>
    </w:lvl>
    <w:lvl w:ilvl="5" w:tplc="57C6A386">
      <w:start w:val="1"/>
      <w:numFmt w:val="lowerRoman"/>
      <w:lvlText w:val="%6."/>
      <w:lvlJc w:val="right"/>
      <w:pPr>
        <w:ind w:left="4320" w:hanging="180"/>
      </w:pPr>
    </w:lvl>
    <w:lvl w:ilvl="6" w:tplc="BA0CCD78">
      <w:start w:val="1"/>
      <w:numFmt w:val="decimal"/>
      <w:lvlText w:val="%7."/>
      <w:lvlJc w:val="left"/>
      <w:pPr>
        <w:ind w:left="5040" w:hanging="360"/>
      </w:pPr>
    </w:lvl>
    <w:lvl w:ilvl="7" w:tplc="07B02580">
      <w:start w:val="1"/>
      <w:numFmt w:val="lowerLetter"/>
      <w:lvlText w:val="%8."/>
      <w:lvlJc w:val="left"/>
      <w:pPr>
        <w:ind w:left="5760" w:hanging="360"/>
      </w:pPr>
    </w:lvl>
    <w:lvl w:ilvl="8" w:tplc="E806D9A8">
      <w:start w:val="1"/>
      <w:numFmt w:val="lowerRoman"/>
      <w:lvlText w:val="%9."/>
      <w:lvlJc w:val="right"/>
      <w:pPr>
        <w:ind w:left="6480" w:hanging="180"/>
      </w:pPr>
    </w:lvl>
  </w:abstractNum>
  <w:abstractNum w:abstractNumId="14" w15:restartNumberingAfterBreak="0">
    <w:nsid w:val="26E379EC"/>
    <w:multiLevelType w:val="multilevel"/>
    <w:tmpl w:val="58E0E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332FA7"/>
    <w:multiLevelType w:val="hybridMultilevel"/>
    <w:tmpl w:val="10BC7132"/>
    <w:lvl w:ilvl="0" w:tplc="1C64A284">
      <w:start w:val="5"/>
      <w:numFmt w:val="decimal"/>
      <w:lvlText w:val="%1."/>
      <w:lvlJc w:val="left"/>
      <w:pPr>
        <w:ind w:left="720" w:hanging="360"/>
      </w:pPr>
    </w:lvl>
    <w:lvl w:ilvl="1" w:tplc="2A485C42">
      <w:start w:val="1"/>
      <w:numFmt w:val="lowerLetter"/>
      <w:lvlText w:val="%2."/>
      <w:lvlJc w:val="left"/>
      <w:pPr>
        <w:ind w:left="1440" w:hanging="360"/>
      </w:pPr>
    </w:lvl>
    <w:lvl w:ilvl="2" w:tplc="BA063138">
      <w:start w:val="1"/>
      <w:numFmt w:val="lowerRoman"/>
      <w:lvlText w:val="%3."/>
      <w:lvlJc w:val="right"/>
      <w:pPr>
        <w:ind w:left="2160" w:hanging="180"/>
      </w:pPr>
    </w:lvl>
    <w:lvl w:ilvl="3" w:tplc="B608E9D8">
      <w:start w:val="1"/>
      <w:numFmt w:val="decimal"/>
      <w:lvlText w:val="%4."/>
      <w:lvlJc w:val="left"/>
      <w:pPr>
        <w:ind w:left="2880" w:hanging="360"/>
      </w:pPr>
    </w:lvl>
    <w:lvl w:ilvl="4" w:tplc="C7AE1896">
      <w:start w:val="1"/>
      <w:numFmt w:val="lowerLetter"/>
      <w:lvlText w:val="%5."/>
      <w:lvlJc w:val="left"/>
      <w:pPr>
        <w:ind w:left="3600" w:hanging="360"/>
      </w:pPr>
    </w:lvl>
    <w:lvl w:ilvl="5" w:tplc="A4A4A56E">
      <w:start w:val="1"/>
      <w:numFmt w:val="lowerRoman"/>
      <w:lvlText w:val="%6."/>
      <w:lvlJc w:val="right"/>
      <w:pPr>
        <w:ind w:left="4320" w:hanging="180"/>
      </w:pPr>
    </w:lvl>
    <w:lvl w:ilvl="6" w:tplc="F94445E0">
      <w:start w:val="1"/>
      <w:numFmt w:val="decimal"/>
      <w:lvlText w:val="%7."/>
      <w:lvlJc w:val="left"/>
      <w:pPr>
        <w:ind w:left="5040" w:hanging="360"/>
      </w:pPr>
    </w:lvl>
    <w:lvl w:ilvl="7" w:tplc="FC7AA126">
      <w:start w:val="1"/>
      <w:numFmt w:val="lowerLetter"/>
      <w:lvlText w:val="%8."/>
      <w:lvlJc w:val="left"/>
      <w:pPr>
        <w:ind w:left="5760" w:hanging="360"/>
      </w:pPr>
    </w:lvl>
    <w:lvl w:ilvl="8" w:tplc="CB6095BC">
      <w:start w:val="1"/>
      <w:numFmt w:val="lowerRoman"/>
      <w:lvlText w:val="%9."/>
      <w:lvlJc w:val="right"/>
      <w:pPr>
        <w:ind w:left="6480" w:hanging="180"/>
      </w:pPr>
    </w:lvl>
  </w:abstractNum>
  <w:abstractNum w:abstractNumId="16" w15:restartNumberingAfterBreak="0">
    <w:nsid w:val="2F52170E"/>
    <w:multiLevelType w:val="multilevel"/>
    <w:tmpl w:val="38EE78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1AD38CF"/>
    <w:multiLevelType w:val="hybridMultilevel"/>
    <w:tmpl w:val="E43EB60A"/>
    <w:lvl w:ilvl="0" w:tplc="28E8BCCC">
      <w:start w:val="1"/>
      <w:numFmt w:val="bullet"/>
      <w:lvlText w:val="-"/>
      <w:lvlJc w:val="left"/>
      <w:pPr>
        <w:ind w:left="720" w:hanging="360"/>
      </w:pPr>
      <w:rPr>
        <w:rFonts w:ascii="Aptos" w:hAnsi="Aptos" w:hint="default"/>
      </w:rPr>
    </w:lvl>
    <w:lvl w:ilvl="1" w:tplc="871CDD9A">
      <w:start w:val="1"/>
      <w:numFmt w:val="bullet"/>
      <w:lvlText w:val="o"/>
      <w:lvlJc w:val="left"/>
      <w:pPr>
        <w:ind w:left="1440" w:hanging="360"/>
      </w:pPr>
      <w:rPr>
        <w:rFonts w:ascii="Courier New" w:hAnsi="Courier New" w:hint="default"/>
      </w:rPr>
    </w:lvl>
    <w:lvl w:ilvl="2" w:tplc="19E6CEC6">
      <w:start w:val="1"/>
      <w:numFmt w:val="bullet"/>
      <w:lvlText w:val=""/>
      <w:lvlJc w:val="left"/>
      <w:pPr>
        <w:ind w:left="2160" w:hanging="360"/>
      </w:pPr>
      <w:rPr>
        <w:rFonts w:ascii="Wingdings" w:hAnsi="Wingdings" w:hint="default"/>
      </w:rPr>
    </w:lvl>
    <w:lvl w:ilvl="3" w:tplc="2624BEE0">
      <w:start w:val="1"/>
      <w:numFmt w:val="bullet"/>
      <w:lvlText w:val=""/>
      <w:lvlJc w:val="left"/>
      <w:pPr>
        <w:ind w:left="2880" w:hanging="360"/>
      </w:pPr>
      <w:rPr>
        <w:rFonts w:ascii="Symbol" w:hAnsi="Symbol" w:hint="default"/>
      </w:rPr>
    </w:lvl>
    <w:lvl w:ilvl="4" w:tplc="2452DE0A">
      <w:start w:val="1"/>
      <w:numFmt w:val="bullet"/>
      <w:lvlText w:val="o"/>
      <w:lvlJc w:val="left"/>
      <w:pPr>
        <w:ind w:left="3600" w:hanging="360"/>
      </w:pPr>
      <w:rPr>
        <w:rFonts w:ascii="Courier New" w:hAnsi="Courier New" w:hint="default"/>
      </w:rPr>
    </w:lvl>
    <w:lvl w:ilvl="5" w:tplc="B4666552">
      <w:start w:val="1"/>
      <w:numFmt w:val="bullet"/>
      <w:lvlText w:val=""/>
      <w:lvlJc w:val="left"/>
      <w:pPr>
        <w:ind w:left="4320" w:hanging="360"/>
      </w:pPr>
      <w:rPr>
        <w:rFonts w:ascii="Wingdings" w:hAnsi="Wingdings" w:hint="default"/>
      </w:rPr>
    </w:lvl>
    <w:lvl w:ilvl="6" w:tplc="5664CD58">
      <w:start w:val="1"/>
      <w:numFmt w:val="bullet"/>
      <w:lvlText w:val=""/>
      <w:lvlJc w:val="left"/>
      <w:pPr>
        <w:ind w:left="5040" w:hanging="360"/>
      </w:pPr>
      <w:rPr>
        <w:rFonts w:ascii="Symbol" w:hAnsi="Symbol" w:hint="default"/>
      </w:rPr>
    </w:lvl>
    <w:lvl w:ilvl="7" w:tplc="5B5C3912">
      <w:start w:val="1"/>
      <w:numFmt w:val="bullet"/>
      <w:lvlText w:val="o"/>
      <w:lvlJc w:val="left"/>
      <w:pPr>
        <w:ind w:left="5760" w:hanging="360"/>
      </w:pPr>
      <w:rPr>
        <w:rFonts w:ascii="Courier New" w:hAnsi="Courier New" w:hint="default"/>
      </w:rPr>
    </w:lvl>
    <w:lvl w:ilvl="8" w:tplc="BDF4B222">
      <w:start w:val="1"/>
      <w:numFmt w:val="bullet"/>
      <w:lvlText w:val=""/>
      <w:lvlJc w:val="left"/>
      <w:pPr>
        <w:ind w:left="6480" w:hanging="360"/>
      </w:pPr>
      <w:rPr>
        <w:rFonts w:ascii="Wingdings" w:hAnsi="Wingdings" w:hint="default"/>
      </w:rPr>
    </w:lvl>
  </w:abstractNum>
  <w:abstractNum w:abstractNumId="18" w15:restartNumberingAfterBreak="0">
    <w:nsid w:val="3C602571"/>
    <w:multiLevelType w:val="hybridMultilevel"/>
    <w:tmpl w:val="19BCCB5A"/>
    <w:lvl w:ilvl="0" w:tplc="BCD27764">
      <w:start w:val="8"/>
      <w:numFmt w:val="decimal"/>
      <w:lvlText w:val="%1."/>
      <w:lvlJc w:val="left"/>
      <w:pPr>
        <w:ind w:left="720" w:hanging="360"/>
      </w:pPr>
    </w:lvl>
    <w:lvl w:ilvl="1" w:tplc="B5C25AF2">
      <w:start w:val="1"/>
      <w:numFmt w:val="lowerLetter"/>
      <w:lvlText w:val="%2."/>
      <w:lvlJc w:val="left"/>
      <w:pPr>
        <w:ind w:left="1440" w:hanging="360"/>
      </w:pPr>
    </w:lvl>
    <w:lvl w:ilvl="2" w:tplc="83AE3880">
      <w:start w:val="1"/>
      <w:numFmt w:val="lowerRoman"/>
      <w:lvlText w:val="%3."/>
      <w:lvlJc w:val="right"/>
      <w:pPr>
        <w:ind w:left="2160" w:hanging="180"/>
      </w:pPr>
    </w:lvl>
    <w:lvl w:ilvl="3" w:tplc="EB70AC58">
      <w:start w:val="1"/>
      <w:numFmt w:val="decimal"/>
      <w:lvlText w:val="%4."/>
      <w:lvlJc w:val="left"/>
      <w:pPr>
        <w:ind w:left="2880" w:hanging="360"/>
      </w:pPr>
    </w:lvl>
    <w:lvl w:ilvl="4" w:tplc="5F04AC44">
      <w:start w:val="1"/>
      <w:numFmt w:val="lowerLetter"/>
      <w:lvlText w:val="%5."/>
      <w:lvlJc w:val="left"/>
      <w:pPr>
        <w:ind w:left="3600" w:hanging="360"/>
      </w:pPr>
    </w:lvl>
    <w:lvl w:ilvl="5" w:tplc="5600B0E0">
      <w:start w:val="1"/>
      <w:numFmt w:val="lowerRoman"/>
      <w:lvlText w:val="%6."/>
      <w:lvlJc w:val="right"/>
      <w:pPr>
        <w:ind w:left="4320" w:hanging="180"/>
      </w:pPr>
    </w:lvl>
    <w:lvl w:ilvl="6" w:tplc="FFF296FE">
      <w:start w:val="1"/>
      <w:numFmt w:val="decimal"/>
      <w:lvlText w:val="%7."/>
      <w:lvlJc w:val="left"/>
      <w:pPr>
        <w:ind w:left="5040" w:hanging="360"/>
      </w:pPr>
    </w:lvl>
    <w:lvl w:ilvl="7" w:tplc="00B43C36">
      <w:start w:val="1"/>
      <w:numFmt w:val="lowerLetter"/>
      <w:lvlText w:val="%8."/>
      <w:lvlJc w:val="left"/>
      <w:pPr>
        <w:ind w:left="5760" w:hanging="360"/>
      </w:pPr>
    </w:lvl>
    <w:lvl w:ilvl="8" w:tplc="7512CA7C">
      <w:start w:val="1"/>
      <w:numFmt w:val="lowerRoman"/>
      <w:lvlText w:val="%9."/>
      <w:lvlJc w:val="right"/>
      <w:pPr>
        <w:ind w:left="6480" w:hanging="180"/>
      </w:pPr>
    </w:lvl>
  </w:abstractNum>
  <w:abstractNum w:abstractNumId="19" w15:restartNumberingAfterBreak="0">
    <w:nsid w:val="3CD92ADE"/>
    <w:multiLevelType w:val="hybridMultilevel"/>
    <w:tmpl w:val="9768EA56"/>
    <w:lvl w:ilvl="0" w:tplc="74E05370">
      <w:start w:val="9"/>
      <w:numFmt w:val="decimal"/>
      <w:lvlText w:val="%1."/>
      <w:lvlJc w:val="left"/>
      <w:pPr>
        <w:ind w:left="720" w:hanging="360"/>
      </w:pPr>
    </w:lvl>
    <w:lvl w:ilvl="1" w:tplc="71F41366">
      <w:start w:val="1"/>
      <w:numFmt w:val="lowerLetter"/>
      <w:lvlText w:val="%2."/>
      <w:lvlJc w:val="left"/>
      <w:pPr>
        <w:ind w:left="1440" w:hanging="360"/>
      </w:pPr>
    </w:lvl>
    <w:lvl w:ilvl="2" w:tplc="A5A2CFC4">
      <w:start w:val="1"/>
      <w:numFmt w:val="lowerRoman"/>
      <w:lvlText w:val="%3."/>
      <w:lvlJc w:val="right"/>
      <w:pPr>
        <w:ind w:left="2160" w:hanging="180"/>
      </w:pPr>
    </w:lvl>
    <w:lvl w:ilvl="3" w:tplc="07A252E4">
      <w:start w:val="1"/>
      <w:numFmt w:val="decimal"/>
      <w:lvlText w:val="%4."/>
      <w:lvlJc w:val="left"/>
      <w:pPr>
        <w:ind w:left="2880" w:hanging="360"/>
      </w:pPr>
    </w:lvl>
    <w:lvl w:ilvl="4" w:tplc="6EBE0BF2">
      <w:start w:val="1"/>
      <w:numFmt w:val="lowerLetter"/>
      <w:lvlText w:val="%5."/>
      <w:lvlJc w:val="left"/>
      <w:pPr>
        <w:ind w:left="3600" w:hanging="360"/>
      </w:pPr>
    </w:lvl>
    <w:lvl w:ilvl="5" w:tplc="8EEA2D58">
      <w:start w:val="1"/>
      <w:numFmt w:val="lowerRoman"/>
      <w:lvlText w:val="%6."/>
      <w:lvlJc w:val="right"/>
      <w:pPr>
        <w:ind w:left="4320" w:hanging="180"/>
      </w:pPr>
    </w:lvl>
    <w:lvl w:ilvl="6" w:tplc="CFCA35DE">
      <w:start w:val="1"/>
      <w:numFmt w:val="decimal"/>
      <w:lvlText w:val="%7."/>
      <w:lvlJc w:val="left"/>
      <w:pPr>
        <w:ind w:left="5040" w:hanging="360"/>
      </w:pPr>
    </w:lvl>
    <w:lvl w:ilvl="7" w:tplc="0D409A08">
      <w:start w:val="1"/>
      <w:numFmt w:val="lowerLetter"/>
      <w:lvlText w:val="%8."/>
      <w:lvlJc w:val="left"/>
      <w:pPr>
        <w:ind w:left="5760" w:hanging="360"/>
      </w:pPr>
    </w:lvl>
    <w:lvl w:ilvl="8" w:tplc="CB2857F4">
      <w:start w:val="1"/>
      <w:numFmt w:val="lowerRoman"/>
      <w:lvlText w:val="%9."/>
      <w:lvlJc w:val="right"/>
      <w:pPr>
        <w:ind w:left="6480" w:hanging="180"/>
      </w:pPr>
    </w:lvl>
  </w:abstractNum>
  <w:abstractNum w:abstractNumId="20" w15:restartNumberingAfterBreak="0">
    <w:nsid w:val="3E197A63"/>
    <w:multiLevelType w:val="multilevel"/>
    <w:tmpl w:val="DD3C022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09B40AF"/>
    <w:multiLevelType w:val="multilevel"/>
    <w:tmpl w:val="658634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31C2436"/>
    <w:multiLevelType w:val="hybridMultilevel"/>
    <w:tmpl w:val="DC123D32"/>
    <w:lvl w:ilvl="0" w:tplc="13CAA6DA">
      <w:start w:val="3"/>
      <w:numFmt w:val="decimal"/>
      <w:lvlText w:val="%1."/>
      <w:lvlJc w:val="left"/>
      <w:pPr>
        <w:ind w:left="720" w:hanging="360"/>
      </w:pPr>
    </w:lvl>
    <w:lvl w:ilvl="1" w:tplc="97226074">
      <w:start w:val="1"/>
      <w:numFmt w:val="lowerLetter"/>
      <w:lvlText w:val="%2."/>
      <w:lvlJc w:val="left"/>
      <w:pPr>
        <w:ind w:left="1440" w:hanging="360"/>
      </w:pPr>
    </w:lvl>
    <w:lvl w:ilvl="2" w:tplc="BEF43762">
      <w:start w:val="1"/>
      <w:numFmt w:val="lowerRoman"/>
      <w:lvlText w:val="%3."/>
      <w:lvlJc w:val="right"/>
      <w:pPr>
        <w:ind w:left="2160" w:hanging="180"/>
      </w:pPr>
    </w:lvl>
    <w:lvl w:ilvl="3" w:tplc="18BAFEE0">
      <w:start w:val="1"/>
      <w:numFmt w:val="decimal"/>
      <w:lvlText w:val="%4."/>
      <w:lvlJc w:val="left"/>
      <w:pPr>
        <w:ind w:left="2880" w:hanging="360"/>
      </w:pPr>
    </w:lvl>
    <w:lvl w:ilvl="4" w:tplc="8B8E62F4">
      <w:start w:val="1"/>
      <w:numFmt w:val="lowerLetter"/>
      <w:lvlText w:val="%5."/>
      <w:lvlJc w:val="left"/>
      <w:pPr>
        <w:ind w:left="3600" w:hanging="360"/>
      </w:pPr>
    </w:lvl>
    <w:lvl w:ilvl="5" w:tplc="BCD0E830">
      <w:start w:val="1"/>
      <w:numFmt w:val="lowerRoman"/>
      <w:lvlText w:val="%6."/>
      <w:lvlJc w:val="right"/>
      <w:pPr>
        <w:ind w:left="4320" w:hanging="180"/>
      </w:pPr>
    </w:lvl>
    <w:lvl w:ilvl="6" w:tplc="27B6DF1C">
      <w:start w:val="1"/>
      <w:numFmt w:val="decimal"/>
      <w:lvlText w:val="%7."/>
      <w:lvlJc w:val="left"/>
      <w:pPr>
        <w:ind w:left="5040" w:hanging="360"/>
      </w:pPr>
    </w:lvl>
    <w:lvl w:ilvl="7" w:tplc="B5BA303C">
      <w:start w:val="1"/>
      <w:numFmt w:val="lowerLetter"/>
      <w:lvlText w:val="%8."/>
      <w:lvlJc w:val="left"/>
      <w:pPr>
        <w:ind w:left="5760" w:hanging="360"/>
      </w:pPr>
    </w:lvl>
    <w:lvl w:ilvl="8" w:tplc="C94E6EB2">
      <w:start w:val="1"/>
      <w:numFmt w:val="lowerRoman"/>
      <w:lvlText w:val="%9."/>
      <w:lvlJc w:val="right"/>
      <w:pPr>
        <w:ind w:left="6480" w:hanging="180"/>
      </w:pPr>
    </w:lvl>
  </w:abstractNum>
  <w:abstractNum w:abstractNumId="23" w15:restartNumberingAfterBreak="0">
    <w:nsid w:val="47583DA2"/>
    <w:multiLevelType w:val="hybridMultilevel"/>
    <w:tmpl w:val="4B847C5C"/>
    <w:lvl w:ilvl="0" w:tplc="AC943546">
      <w:start w:val="30"/>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2F263B9"/>
    <w:multiLevelType w:val="hybridMultilevel"/>
    <w:tmpl w:val="3D04327A"/>
    <w:lvl w:ilvl="0" w:tplc="E710CDD4">
      <w:start w:val="11"/>
      <w:numFmt w:val="decimal"/>
      <w:lvlText w:val="%1."/>
      <w:lvlJc w:val="left"/>
      <w:pPr>
        <w:ind w:left="720" w:hanging="360"/>
      </w:pPr>
    </w:lvl>
    <w:lvl w:ilvl="1" w:tplc="B6404C78">
      <w:start w:val="1"/>
      <w:numFmt w:val="lowerLetter"/>
      <w:lvlText w:val="%2."/>
      <w:lvlJc w:val="left"/>
      <w:pPr>
        <w:ind w:left="1440" w:hanging="360"/>
      </w:pPr>
    </w:lvl>
    <w:lvl w:ilvl="2" w:tplc="EAAC5D92">
      <w:start w:val="1"/>
      <w:numFmt w:val="lowerRoman"/>
      <w:lvlText w:val="%3."/>
      <w:lvlJc w:val="right"/>
      <w:pPr>
        <w:ind w:left="2160" w:hanging="180"/>
      </w:pPr>
    </w:lvl>
    <w:lvl w:ilvl="3" w:tplc="2D9410DA">
      <w:start w:val="1"/>
      <w:numFmt w:val="decimal"/>
      <w:lvlText w:val="%4."/>
      <w:lvlJc w:val="left"/>
      <w:pPr>
        <w:ind w:left="2880" w:hanging="360"/>
      </w:pPr>
    </w:lvl>
    <w:lvl w:ilvl="4" w:tplc="E3C48B1A">
      <w:start w:val="1"/>
      <w:numFmt w:val="lowerLetter"/>
      <w:lvlText w:val="%5."/>
      <w:lvlJc w:val="left"/>
      <w:pPr>
        <w:ind w:left="3600" w:hanging="360"/>
      </w:pPr>
    </w:lvl>
    <w:lvl w:ilvl="5" w:tplc="C7186CCE">
      <w:start w:val="1"/>
      <w:numFmt w:val="lowerRoman"/>
      <w:lvlText w:val="%6."/>
      <w:lvlJc w:val="right"/>
      <w:pPr>
        <w:ind w:left="4320" w:hanging="180"/>
      </w:pPr>
    </w:lvl>
    <w:lvl w:ilvl="6" w:tplc="808E557A">
      <w:start w:val="1"/>
      <w:numFmt w:val="decimal"/>
      <w:lvlText w:val="%7."/>
      <w:lvlJc w:val="left"/>
      <w:pPr>
        <w:ind w:left="5040" w:hanging="360"/>
      </w:pPr>
    </w:lvl>
    <w:lvl w:ilvl="7" w:tplc="A808B1D6">
      <w:start w:val="1"/>
      <w:numFmt w:val="lowerLetter"/>
      <w:lvlText w:val="%8."/>
      <w:lvlJc w:val="left"/>
      <w:pPr>
        <w:ind w:left="5760" w:hanging="360"/>
      </w:pPr>
    </w:lvl>
    <w:lvl w:ilvl="8" w:tplc="CEAE9C2C">
      <w:start w:val="1"/>
      <w:numFmt w:val="lowerRoman"/>
      <w:lvlText w:val="%9."/>
      <w:lvlJc w:val="right"/>
      <w:pPr>
        <w:ind w:left="6480" w:hanging="180"/>
      </w:pPr>
    </w:lvl>
  </w:abstractNum>
  <w:abstractNum w:abstractNumId="25" w15:restartNumberingAfterBreak="0">
    <w:nsid w:val="542028B5"/>
    <w:multiLevelType w:val="hybridMultilevel"/>
    <w:tmpl w:val="C054EB74"/>
    <w:lvl w:ilvl="0" w:tplc="0410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9303409"/>
    <w:multiLevelType w:val="hybridMultilevel"/>
    <w:tmpl w:val="C35643F2"/>
    <w:lvl w:ilvl="0" w:tplc="0586466A">
      <w:start w:val="2"/>
      <w:numFmt w:val="decimal"/>
      <w:lvlText w:val="%1."/>
      <w:lvlJc w:val="left"/>
      <w:pPr>
        <w:ind w:left="720" w:hanging="360"/>
      </w:pPr>
    </w:lvl>
    <w:lvl w:ilvl="1" w:tplc="C8E8F7EA">
      <w:start w:val="1"/>
      <w:numFmt w:val="lowerLetter"/>
      <w:lvlText w:val="%2."/>
      <w:lvlJc w:val="left"/>
      <w:pPr>
        <w:ind w:left="1440" w:hanging="360"/>
      </w:pPr>
    </w:lvl>
    <w:lvl w:ilvl="2" w:tplc="6A3C11DC">
      <w:start w:val="1"/>
      <w:numFmt w:val="lowerRoman"/>
      <w:lvlText w:val="%3."/>
      <w:lvlJc w:val="right"/>
      <w:pPr>
        <w:ind w:left="2160" w:hanging="180"/>
      </w:pPr>
    </w:lvl>
    <w:lvl w:ilvl="3" w:tplc="92EE570E">
      <w:start w:val="1"/>
      <w:numFmt w:val="decimal"/>
      <w:lvlText w:val="%4."/>
      <w:lvlJc w:val="left"/>
      <w:pPr>
        <w:ind w:left="2880" w:hanging="360"/>
      </w:pPr>
    </w:lvl>
    <w:lvl w:ilvl="4" w:tplc="4FD05BFE">
      <w:start w:val="1"/>
      <w:numFmt w:val="lowerLetter"/>
      <w:lvlText w:val="%5."/>
      <w:lvlJc w:val="left"/>
      <w:pPr>
        <w:ind w:left="3600" w:hanging="360"/>
      </w:pPr>
    </w:lvl>
    <w:lvl w:ilvl="5" w:tplc="73003F02">
      <w:start w:val="1"/>
      <w:numFmt w:val="lowerRoman"/>
      <w:lvlText w:val="%6."/>
      <w:lvlJc w:val="right"/>
      <w:pPr>
        <w:ind w:left="4320" w:hanging="180"/>
      </w:pPr>
    </w:lvl>
    <w:lvl w:ilvl="6" w:tplc="B4EA11B2">
      <w:start w:val="1"/>
      <w:numFmt w:val="decimal"/>
      <w:lvlText w:val="%7."/>
      <w:lvlJc w:val="left"/>
      <w:pPr>
        <w:ind w:left="5040" w:hanging="360"/>
      </w:pPr>
    </w:lvl>
    <w:lvl w:ilvl="7" w:tplc="43E40FD4">
      <w:start w:val="1"/>
      <w:numFmt w:val="lowerLetter"/>
      <w:lvlText w:val="%8."/>
      <w:lvlJc w:val="left"/>
      <w:pPr>
        <w:ind w:left="5760" w:hanging="360"/>
      </w:pPr>
    </w:lvl>
    <w:lvl w:ilvl="8" w:tplc="7B247BC6">
      <w:start w:val="1"/>
      <w:numFmt w:val="lowerRoman"/>
      <w:lvlText w:val="%9."/>
      <w:lvlJc w:val="right"/>
      <w:pPr>
        <w:ind w:left="6480" w:hanging="180"/>
      </w:pPr>
    </w:lvl>
  </w:abstractNum>
  <w:abstractNum w:abstractNumId="27" w15:restartNumberingAfterBreak="0">
    <w:nsid w:val="5F049747"/>
    <w:multiLevelType w:val="hybridMultilevel"/>
    <w:tmpl w:val="9C4EF468"/>
    <w:lvl w:ilvl="0" w:tplc="FFC2735C">
      <w:start w:val="4"/>
      <w:numFmt w:val="decimal"/>
      <w:lvlText w:val="%1."/>
      <w:lvlJc w:val="left"/>
      <w:pPr>
        <w:ind w:left="720" w:hanging="360"/>
      </w:pPr>
    </w:lvl>
    <w:lvl w:ilvl="1" w:tplc="1D20CD30">
      <w:start w:val="1"/>
      <w:numFmt w:val="lowerLetter"/>
      <w:lvlText w:val="%2."/>
      <w:lvlJc w:val="left"/>
      <w:pPr>
        <w:ind w:left="1440" w:hanging="360"/>
      </w:pPr>
    </w:lvl>
    <w:lvl w:ilvl="2" w:tplc="2A28C662">
      <w:start w:val="1"/>
      <w:numFmt w:val="lowerRoman"/>
      <w:lvlText w:val="%3."/>
      <w:lvlJc w:val="right"/>
      <w:pPr>
        <w:ind w:left="2160" w:hanging="180"/>
      </w:pPr>
    </w:lvl>
    <w:lvl w:ilvl="3" w:tplc="219002F4">
      <w:start w:val="1"/>
      <w:numFmt w:val="decimal"/>
      <w:lvlText w:val="%4."/>
      <w:lvlJc w:val="left"/>
      <w:pPr>
        <w:ind w:left="2880" w:hanging="360"/>
      </w:pPr>
    </w:lvl>
    <w:lvl w:ilvl="4" w:tplc="CDC49052">
      <w:start w:val="1"/>
      <w:numFmt w:val="lowerLetter"/>
      <w:lvlText w:val="%5."/>
      <w:lvlJc w:val="left"/>
      <w:pPr>
        <w:ind w:left="3600" w:hanging="360"/>
      </w:pPr>
    </w:lvl>
    <w:lvl w:ilvl="5" w:tplc="111E0C4A">
      <w:start w:val="1"/>
      <w:numFmt w:val="lowerRoman"/>
      <w:lvlText w:val="%6."/>
      <w:lvlJc w:val="right"/>
      <w:pPr>
        <w:ind w:left="4320" w:hanging="180"/>
      </w:pPr>
    </w:lvl>
    <w:lvl w:ilvl="6" w:tplc="DECE0E84">
      <w:start w:val="1"/>
      <w:numFmt w:val="decimal"/>
      <w:lvlText w:val="%7."/>
      <w:lvlJc w:val="left"/>
      <w:pPr>
        <w:ind w:left="5040" w:hanging="360"/>
      </w:pPr>
    </w:lvl>
    <w:lvl w:ilvl="7" w:tplc="38928982">
      <w:start w:val="1"/>
      <w:numFmt w:val="lowerLetter"/>
      <w:lvlText w:val="%8."/>
      <w:lvlJc w:val="left"/>
      <w:pPr>
        <w:ind w:left="5760" w:hanging="360"/>
      </w:pPr>
    </w:lvl>
    <w:lvl w:ilvl="8" w:tplc="E6E8E60E">
      <w:start w:val="1"/>
      <w:numFmt w:val="lowerRoman"/>
      <w:lvlText w:val="%9."/>
      <w:lvlJc w:val="right"/>
      <w:pPr>
        <w:ind w:left="6480" w:hanging="180"/>
      </w:pPr>
    </w:lvl>
  </w:abstractNum>
  <w:abstractNum w:abstractNumId="28" w15:restartNumberingAfterBreak="0">
    <w:nsid w:val="5FD9507E"/>
    <w:multiLevelType w:val="multilevel"/>
    <w:tmpl w:val="5ABAE5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0D16EBC"/>
    <w:multiLevelType w:val="hybridMultilevel"/>
    <w:tmpl w:val="C9205104"/>
    <w:lvl w:ilvl="0" w:tplc="FE3A9AD8">
      <w:start w:val="8"/>
      <w:numFmt w:val="bullet"/>
      <w:lvlText w:val="-"/>
      <w:lvlJc w:val="left"/>
      <w:pPr>
        <w:ind w:left="1440" w:hanging="360"/>
      </w:pPr>
      <w:rPr>
        <w:rFonts w:ascii="Times New Roman" w:eastAsiaTheme="minorHAnsi"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6751488E"/>
    <w:multiLevelType w:val="hybridMultilevel"/>
    <w:tmpl w:val="07EC6B2C"/>
    <w:lvl w:ilvl="0" w:tplc="DDACD496">
      <w:start w:val="30"/>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DC036ED"/>
    <w:multiLevelType w:val="multilevel"/>
    <w:tmpl w:val="E63AC68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2805FEA"/>
    <w:multiLevelType w:val="hybridMultilevel"/>
    <w:tmpl w:val="FF285B0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3F4253B"/>
    <w:multiLevelType w:val="hybridMultilevel"/>
    <w:tmpl w:val="FD044FAC"/>
    <w:lvl w:ilvl="0" w:tplc="AC943546">
      <w:start w:val="30"/>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54EDA4E"/>
    <w:multiLevelType w:val="hybridMultilevel"/>
    <w:tmpl w:val="252ECE44"/>
    <w:lvl w:ilvl="0" w:tplc="A8C62C9C">
      <w:start w:val="6"/>
      <w:numFmt w:val="decimal"/>
      <w:lvlText w:val="%1."/>
      <w:lvlJc w:val="left"/>
      <w:pPr>
        <w:ind w:left="720" w:hanging="360"/>
      </w:pPr>
    </w:lvl>
    <w:lvl w:ilvl="1" w:tplc="B7F608C4">
      <w:start w:val="1"/>
      <w:numFmt w:val="lowerLetter"/>
      <w:lvlText w:val="%2."/>
      <w:lvlJc w:val="left"/>
      <w:pPr>
        <w:ind w:left="1440" w:hanging="360"/>
      </w:pPr>
    </w:lvl>
    <w:lvl w:ilvl="2" w:tplc="A3940F90">
      <w:start w:val="1"/>
      <w:numFmt w:val="lowerRoman"/>
      <w:lvlText w:val="%3."/>
      <w:lvlJc w:val="right"/>
      <w:pPr>
        <w:ind w:left="2160" w:hanging="180"/>
      </w:pPr>
    </w:lvl>
    <w:lvl w:ilvl="3" w:tplc="60D41E2C">
      <w:start w:val="1"/>
      <w:numFmt w:val="decimal"/>
      <w:lvlText w:val="%4."/>
      <w:lvlJc w:val="left"/>
      <w:pPr>
        <w:ind w:left="2880" w:hanging="360"/>
      </w:pPr>
    </w:lvl>
    <w:lvl w:ilvl="4" w:tplc="04128A56">
      <w:start w:val="1"/>
      <w:numFmt w:val="lowerLetter"/>
      <w:lvlText w:val="%5."/>
      <w:lvlJc w:val="left"/>
      <w:pPr>
        <w:ind w:left="3600" w:hanging="360"/>
      </w:pPr>
    </w:lvl>
    <w:lvl w:ilvl="5" w:tplc="AC18BC58">
      <w:start w:val="1"/>
      <w:numFmt w:val="lowerRoman"/>
      <w:lvlText w:val="%6."/>
      <w:lvlJc w:val="right"/>
      <w:pPr>
        <w:ind w:left="4320" w:hanging="180"/>
      </w:pPr>
    </w:lvl>
    <w:lvl w:ilvl="6" w:tplc="FBACA9B6">
      <w:start w:val="1"/>
      <w:numFmt w:val="decimal"/>
      <w:lvlText w:val="%7."/>
      <w:lvlJc w:val="left"/>
      <w:pPr>
        <w:ind w:left="5040" w:hanging="360"/>
      </w:pPr>
    </w:lvl>
    <w:lvl w:ilvl="7" w:tplc="4E707FF0">
      <w:start w:val="1"/>
      <w:numFmt w:val="lowerLetter"/>
      <w:lvlText w:val="%8."/>
      <w:lvlJc w:val="left"/>
      <w:pPr>
        <w:ind w:left="5760" w:hanging="360"/>
      </w:pPr>
    </w:lvl>
    <w:lvl w:ilvl="8" w:tplc="AE7689FE">
      <w:start w:val="1"/>
      <w:numFmt w:val="lowerRoman"/>
      <w:lvlText w:val="%9."/>
      <w:lvlJc w:val="right"/>
      <w:pPr>
        <w:ind w:left="6480" w:hanging="180"/>
      </w:pPr>
    </w:lvl>
  </w:abstractNum>
  <w:abstractNum w:abstractNumId="35" w15:restartNumberingAfterBreak="0">
    <w:nsid w:val="75EB0FF8"/>
    <w:multiLevelType w:val="hybridMultilevel"/>
    <w:tmpl w:val="3E52262C"/>
    <w:lvl w:ilvl="0" w:tplc="82D0EAB8">
      <w:start w:val="6"/>
      <w:numFmt w:val="bullet"/>
      <w:lvlText w:val=""/>
      <w:lvlJc w:val="left"/>
      <w:pPr>
        <w:ind w:left="720" w:hanging="360"/>
      </w:pPr>
      <w:rPr>
        <w:rFonts w:ascii="Wingdings" w:eastAsiaTheme="minorHAns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A987776"/>
    <w:multiLevelType w:val="multilevel"/>
    <w:tmpl w:val="6900C4B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AB41504"/>
    <w:multiLevelType w:val="multilevel"/>
    <w:tmpl w:val="BFA6FE3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B525CAB"/>
    <w:multiLevelType w:val="multilevel"/>
    <w:tmpl w:val="B596D7E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120413284">
    <w:abstractNumId w:val="4"/>
  </w:num>
  <w:num w:numId="2" w16cid:durableId="1814832047">
    <w:abstractNumId w:val="24"/>
  </w:num>
  <w:num w:numId="3" w16cid:durableId="932515126">
    <w:abstractNumId w:val="3"/>
  </w:num>
  <w:num w:numId="4" w16cid:durableId="1013192376">
    <w:abstractNumId w:val="19"/>
  </w:num>
  <w:num w:numId="5" w16cid:durableId="677077221">
    <w:abstractNumId w:val="18"/>
  </w:num>
  <w:num w:numId="6" w16cid:durableId="622465940">
    <w:abstractNumId w:val="9"/>
  </w:num>
  <w:num w:numId="7" w16cid:durableId="1909340281">
    <w:abstractNumId w:val="34"/>
  </w:num>
  <w:num w:numId="8" w16cid:durableId="2024549038">
    <w:abstractNumId w:val="15"/>
  </w:num>
  <w:num w:numId="9" w16cid:durableId="1609923100">
    <w:abstractNumId w:val="27"/>
  </w:num>
  <w:num w:numId="10" w16cid:durableId="391774353">
    <w:abstractNumId w:val="22"/>
  </w:num>
  <w:num w:numId="11" w16cid:durableId="196355170">
    <w:abstractNumId w:val="26"/>
  </w:num>
  <w:num w:numId="12" w16cid:durableId="2046439827">
    <w:abstractNumId w:val="13"/>
  </w:num>
  <w:num w:numId="13" w16cid:durableId="1771268184">
    <w:abstractNumId w:val="0"/>
  </w:num>
  <w:num w:numId="14" w16cid:durableId="1176725180">
    <w:abstractNumId w:val="1"/>
  </w:num>
  <w:num w:numId="15" w16cid:durableId="1386837681">
    <w:abstractNumId w:val="35"/>
  </w:num>
  <w:num w:numId="16" w16cid:durableId="1634753397">
    <w:abstractNumId w:val="30"/>
  </w:num>
  <w:num w:numId="17" w16cid:durableId="758601275">
    <w:abstractNumId w:val="23"/>
  </w:num>
  <w:num w:numId="18" w16cid:durableId="676885017">
    <w:abstractNumId w:val="33"/>
  </w:num>
  <w:num w:numId="19" w16cid:durableId="1635721721">
    <w:abstractNumId w:val="32"/>
  </w:num>
  <w:num w:numId="20" w16cid:durableId="1145970579">
    <w:abstractNumId w:val="8"/>
  </w:num>
  <w:num w:numId="21" w16cid:durableId="38357243">
    <w:abstractNumId w:val="29"/>
  </w:num>
  <w:num w:numId="22" w16cid:durableId="298154009">
    <w:abstractNumId w:val="2"/>
  </w:num>
  <w:num w:numId="23" w16cid:durableId="1919821991">
    <w:abstractNumId w:val="21"/>
  </w:num>
  <w:num w:numId="24" w16cid:durableId="815806643">
    <w:abstractNumId w:val="28"/>
  </w:num>
  <w:num w:numId="25" w16cid:durableId="1221289471">
    <w:abstractNumId w:val="16"/>
  </w:num>
  <w:num w:numId="26" w16cid:durableId="493227185">
    <w:abstractNumId w:val="12"/>
  </w:num>
  <w:num w:numId="27" w16cid:durableId="1691295861">
    <w:abstractNumId w:val="20"/>
  </w:num>
  <w:num w:numId="28" w16cid:durableId="1060322007">
    <w:abstractNumId w:val="31"/>
  </w:num>
  <w:num w:numId="29" w16cid:durableId="569002230">
    <w:abstractNumId w:val="37"/>
  </w:num>
  <w:num w:numId="30" w16cid:durableId="144669381">
    <w:abstractNumId w:val="38"/>
  </w:num>
  <w:num w:numId="31" w16cid:durableId="1350371994">
    <w:abstractNumId w:val="36"/>
  </w:num>
  <w:num w:numId="32" w16cid:durableId="2070227721">
    <w:abstractNumId w:val="11"/>
  </w:num>
  <w:num w:numId="33" w16cid:durableId="471945593">
    <w:abstractNumId w:val="25"/>
  </w:num>
  <w:num w:numId="34" w16cid:durableId="528883290">
    <w:abstractNumId w:val="6"/>
  </w:num>
  <w:num w:numId="35" w16cid:durableId="972753209">
    <w:abstractNumId w:val="14"/>
  </w:num>
  <w:num w:numId="36" w16cid:durableId="434832848">
    <w:abstractNumId w:val="7"/>
  </w:num>
  <w:num w:numId="37" w16cid:durableId="1872180751">
    <w:abstractNumId w:val="10"/>
  </w:num>
  <w:num w:numId="38" w16cid:durableId="694044145">
    <w:abstractNumId w:val="17"/>
  </w:num>
  <w:num w:numId="39" w16cid:durableId="2834659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60"/>
  <w:proofState w:spelling="clean" w:grammar="clean"/>
  <w:defaultTabStop w:val="720"/>
  <w:characterSpacingControl w:val="doNotCompress"/>
  <w:footnotePr>
    <w:numFmt w:val="lowerLette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2E6F"/>
    <w:rsid w:val="000A2DD9"/>
    <w:rsid w:val="00215BFA"/>
    <w:rsid w:val="00370789"/>
    <w:rsid w:val="00375773"/>
    <w:rsid w:val="003C3055"/>
    <w:rsid w:val="00407CF5"/>
    <w:rsid w:val="004F5C11"/>
    <w:rsid w:val="00544737"/>
    <w:rsid w:val="005B70E1"/>
    <w:rsid w:val="00626D7E"/>
    <w:rsid w:val="0069156B"/>
    <w:rsid w:val="00751DBE"/>
    <w:rsid w:val="00752E6F"/>
    <w:rsid w:val="008B1571"/>
    <w:rsid w:val="009579F7"/>
    <w:rsid w:val="009B7600"/>
    <w:rsid w:val="00A73F83"/>
    <w:rsid w:val="00AC433D"/>
    <w:rsid w:val="00B35DE6"/>
    <w:rsid w:val="00C1142B"/>
    <w:rsid w:val="00DA4BEF"/>
    <w:rsid w:val="00E12B92"/>
    <w:rsid w:val="00EF4EF3"/>
    <w:rsid w:val="00F93D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CAD2A0A"/>
  <w15:chartTrackingRefBased/>
  <w15:docId w15:val="{5A7B66E4-2BFC-0142-AE62-44E31FB490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2E6F"/>
    <w:pPr>
      <w:spacing w:after="0" w:line="240" w:lineRule="auto"/>
    </w:pPr>
  </w:style>
  <w:style w:type="paragraph" w:styleId="Heading1">
    <w:name w:val="heading 1"/>
    <w:basedOn w:val="Normal"/>
    <w:next w:val="Normal"/>
    <w:link w:val="Heading1Char"/>
    <w:uiPriority w:val="9"/>
    <w:qFormat/>
    <w:rsid w:val="00752E6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52E6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2E6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2E6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52E6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52E6F"/>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52E6F"/>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52E6F"/>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52E6F"/>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2E6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52E6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2E6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2E6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52E6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52E6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52E6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52E6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52E6F"/>
    <w:rPr>
      <w:rFonts w:eastAsiaTheme="majorEastAsia" w:cstheme="majorBidi"/>
      <w:color w:val="272727" w:themeColor="text1" w:themeTint="D8"/>
    </w:rPr>
  </w:style>
  <w:style w:type="paragraph" w:styleId="Title">
    <w:name w:val="Title"/>
    <w:basedOn w:val="Normal"/>
    <w:next w:val="Normal"/>
    <w:link w:val="TitleChar"/>
    <w:uiPriority w:val="10"/>
    <w:qFormat/>
    <w:rsid w:val="00752E6F"/>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2E6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2E6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2E6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52E6F"/>
    <w:pPr>
      <w:spacing w:before="160"/>
      <w:jc w:val="center"/>
    </w:pPr>
    <w:rPr>
      <w:i/>
      <w:iCs/>
      <w:color w:val="404040" w:themeColor="text1" w:themeTint="BF"/>
    </w:rPr>
  </w:style>
  <w:style w:type="character" w:customStyle="1" w:styleId="QuoteChar">
    <w:name w:val="Quote Char"/>
    <w:basedOn w:val="DefaultParagraphFont"/>
    <w:link w:val="Quote"/>
    <w:uiPriority w:val="29"/>
    <w:rsid w:val="00752E6F"/>
    <w:rPr>
      <w:i/>
      <w:iCs/>
      <w:color w:val="404040" w:themeColor="text1" w:themeTint="BF"/>
    </w:rPr>
  </w:style>
  <w:style w:type="paragraph" w:styleId="ListParagraph">
    <w:name w:val="List Paragraph"/>
    <w:basedOn w:val="Normal"/>
    <w:uiPriority w:val="34"/>
    <w:qFormat/>
    <w:rsid w:val="00752E6F"/>
    <w:pPr>
      <w:ind w:left="720"/>
      <w:contextualSpacing/>
    </w:pPr>
  </w:style>
  <w:style w:type="character" w:styleId="IntenseEmphasis">
    <w:name w:val="Intense Emphasis"/>
    <w:basedOn w:val="DefaultParagraphFont"/>
    <w:uiPriority w:val="21"/>
    <w:qFormat/>
    <w:rsid w:val="00752E6F"/>
    <w:rPr>
      <w:i/>
      <w:iCs/>
      <w:color w:val="0F4761" w:themeColor="accent1" w:themeShade="BF"/>
    </w:rPr>
  </w:style>
  <w:style w:type="paragraph" w:styleId="IntenseQuote">
    <w:name w:val="Intense Quote"/>
    <w:basedOn w:val="Normal"/>
    <w:next w:val="Normal"/>
    <w:link w:val="IntenseQuoteChar"/>
    <w:uiPriority w:val="30"/>
    <w:qFormat/>
    <w:rsid w:val="00752E6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2E6F"/>
    <w:rPr>
      <w:i/>
      <w:iCs/>
      <w:color w:val="0F4761" w:themeColor="accent1" w:themeShade="BF"/>
    </w:rPr>
  </w:style>
  <w:style w:type="character" w:styleId="IntenseReference">
    <w:name w:val="Intense Reference"/>
    <w:basedOn w:val="DefaultParagraphFont"/>
    <w:uiPriority w:val="32"/>
    <w:qFormat/>
    <w:rsid w:val="00752E6F"/>
    <w:rPr>
      <w:b/>
      <w:bCs/>
      <w:smallCaps/>
      <w:color w:val="0F4761" w:themeColor="accent1" w:themeShade="BF"/>
      <w:spacing w:val="5"/>
    </w:rPr>
  </w:style>
  <w:style w:type="character" w:styleId="CommentReference">
    <w:name w:val="annotation reference"/>
    <w:basedOn w:val="DefaultParagraphFont"/>
    <w:uiPriority w:val="99"/>
    <w:semiHidden/>
    <w:unhideWhenUsed/>
    <w:rsid w:val="00752E6F"/>
    <w:rPr>
      <w:sz w:val="16"/>
      <w:szCs w:val="16"/>
    </w:rPr>
  </w:style>
  <w:style w:type="paragraph" w:styleId="CommentText">
    <w:name w:val="annotation text"/>
    <w:basedOn w:val="Normal"/>
    <w:link w:val="CommentTextChar"/>
    <w:uiPriority w:val="99"/>
    <w:unhideWhenUsed/>
    <w:rsid w:val="00752E6F"/>
    <w:rPr>
      <w:sz w:val="20"/>
      <w:szCs w:val="20"/>
    </w:rPr>
  </w:style>
  <w:style w:type="character" w:customStyle="1" w:styleId="CommentTextChar">
    <w:name w:val="Comment Text Char"/>
    <w:basedOn w:val="DefaultParagraphFont"/>
    <w:link w:val="CommentText"/>
    <w:uiPriority w:val="99"/>
    <w:rsid w:val="00752E6F"/>
    <w:rPr>
      <w:sz w:val="20"/>
      <w:szCs w:val="20"/>
    </w:rPr>
  </w:style>
  <w:style w:type="paragraph" w:styleId="CommentSubject">
    <w:name w:val="annotation subject"/>
    <w:basedOn w:val="CommentText"/>
    <w:next w:val="CommentText"/>
    <w:link w:val="CommentSubjectChar"/>
    <w:uiPriority w:val="99"/>
    <w:semiHidden/>
    <w:unhideWhenUsed/>
    <w:rsid w:val="00752E6F"/>
    <w:rPr>
      <w:b/>
      <w:bCs/>
    </w:rPr>
  </w:style>
  <w:style w:type="character" w:customStyle="1" w:styleId="CommentSubjectChar">
    <w:name w:val="Comment Subject Char"/>
    <w:basedOn w:val="CommentTextChar"/>
    <w:link w:val="CommentSubject"/>
    <w:uiPriority w:val="99"/>
    <w:semiHidden/>
    <w:rsid w:val="00752E6F"/>
    <w:rPr>
      <w:b/>
      <w:bCs/>
      <w:sz w:val="20"/>
      <w:szCs w:val="20"/>
    </w:rPr>
  </w:style>
  <w:style w:type="paragraph" w:styleId="Header">
    <w:name w:val="header"/>
    <w:basedOn w:val="Normal"/>
    <w:link w:val="HeaderChar"/>
    <w:uiPriority w:val="99"/>
    <w:unhideWhenUsed/>
    <w:rsid w:val="00752E6F"/>
    <w:pPr>
      <w:tabs>
        <w:tab w:val="center" w:pos="4513"/>
        <w:tab w:val="right" w:pos="9026"/>
      </w:tabs>
    </w:pPr>
  </w:style>
  <w:style w:type="character" w:customStyle="1" w:styleId="HeaderChar">
    <w:name w:val="Header Char"/>
    <w:basedOn w:val="DefaultParagraphFont"/>
    <w:link w:val="Header"/>
    <w:uiPriority w:val="99"/>
    <w:rsid w:val="00752E6F"/>
  </w:style>
  <w:style w:type="paragraph" w:styleId="Footer">
    <w:name w:val="footer"/>
    <w:basedOn w:val="Normal"/>
    <w:link w:val="FooterChar"/>
    <w:uiPriority w:val="99"/>
    <w:unhideWhenUsed/>
    <w:rsid w:val="00752E6F"/>
    <w:pPr>
      <w:tabs>
        <w:tab w:val="center" w:pos="4513"/>
        <w:tab w:val="right" w:pos="9026"/>
      </w:tabs>
    </w:pPr>
  </w:style>
  <w:style w:type="character" w:customStyle="1" w:styleId="FooterChar">
    <w:name w:val="Footer Char"/>
    <w:basedOn w:val="DefaultParagraphFont"/>
    <w:link w:val="Footer"/>
    <w:uiPriority w:val="99"/>
    <w:rsid w:val="00752E6F"/>
  </w:style>
  <w:style w:type="paragraph" w:styleId="FootnoteText">
    <w:name w:val="footnote text"/>
    <w:basedOn w:val="Normal"/>
    <w:link w:val="FootnoteTextChar"/>
    <w:uiPriority w:val="99"/>
    <w:semiHidden/>
    <w:unhideWhenUsed/>
    <w:rsid w:val="00752E6F"/>
    <w:rPr>
      <w:sz w:val="20"/>
      <w:szCs w:val="20"/>
    </w:rPr>
  </w:style>
  <w:style w:type="character" w:customStyle="1" w:styleId="FootnoteTextChar">
    <w:name w:val="Footnote Text Char"/>
    <w:basedOn w:val="DefaultParagraphFont"/>
    <w:link w:val="FootnoteText"/>
    <w:uiPriority w:val="99"/>
    <w:semiHidden/>
    <w:rsid w:val="00752E6F"/>
    <w:rPr>
      <w:sz w:val="20"/>
      <w:szCs w:val="20"/>
    </w:rPr>
  </w:style>
  <w:style w:type="character" w:styleId="FootnoteReference">
    <w:name w:val="footnote reference"/>
    <w:basedOn w:val="DefaultParagraphFont"/>
    <w:uiPriority w:val="99"/>
    <w:semiHidden/>
    <w:unhideWhenUsed/>
    <w:rsid w:val="00752E6F"/>
    <w:rPr>
      <w:vertAlign w:val="superscript"/>
    </w:rPr>
  </w:style>
  <w:style w:type="paragraph" w:customStyle="1" w:styleId="Body">
    <w:name w:val="Body"/>
    <w:basedOn w:val="Normal"/>
    <w:uiPriority w:val="1"/>
    <w:rsid w:val="00752E6F"/>
    <w:rPr>
      <w:rFonts w:ascii="Times New Roman" w:eastAsia="Arial Unicode MS" w:hAnsi="Times New Roman" w:cs="Arial Unicode MS"/>
      <w:color w:val="000000" w:themeColor="text1"/>
      <w:lang w:val="en-US" w:eastAsia="en-GB"/>
    </w:rPr>
  </w:style>
  <w:style w:type="character" w:styleId="Hyperlink">
    <w:name w:val="Hyperlink"/>
    <w:basedOn w:val="DefaultParagraphFont"/>
    <w:uiPriority w:val="99"/>
    <w:unhideWhenUsed/>
    <w:rsid w:val="00752E6F"/>
    <w:rPr>
      <w:color w:val="467886" w:themeColor="hyperlink"/>
      <w:u w:val="single"/>
    </w:rPr>
  </w:style>
  <w:style w:type="character" w:customStyle="1" w:styleId="normaltextrun">
    <w:name w:val="normaltextrun"/>
    <w:basedOn w:val="DefaultParagraphFont"/>
    <w:rsid w:val="00752E6F"/>
    <w:rPr>
      <w:rFonts w:asciiTheme="minorHAnsi" w:eastAsiaTheme="minorEastAsia" w:hAnsiTheme="minorHAnsi" w:cstheme="minorBidi"/>
      <w:sz w:val="24"/>
      <w:szCs w:val="24"/>
    </w:rPr>
  </w:style>
  <w:style w:type="character" w:customStyle="1" w:styleId="eop">
    <w:name w:val="eop"/>
    <w:basedOn w:val="DefaultParagraphFont"/>
    <w:rsid w:val="00752E6F"/>
    <w:rPr>
      <w:rFonts w:asciiTheme="minorHAnsi" w:eastAsiaTheme="minorEastAsia" w:hAnsiTheme="minorHAnsi" w:cstheme="minorBidi"/>
      <w:sz w:val="24"/>
      <w:szCs w:val="24"/>
    </w:rPr>
  </w:style>
  <w:style w:type="paragraph" w:styleId="Revision">
    <w:name w:val="Revision"/>
    <w:hidden/>
    <w:uiPriority w:val="99"/>
    <w:semiHidden/>
    <w:rsid w:val="00752E6F"/>
    <w:pPr>
      <w:spacing w:after="0" w:line="240" w:lineRule="auto"/>
    </w:pPr>
  </w:style>
  <w:style w:type="character" w:styleId="UnresolvedMention">
    <w:name w:val="Unresolved Mention"/>
    <w:basedOn w:val="DefaultParagraphFont"/>
    <w:uiPriority w:val="99"/>
    <w:semiHidden/>
    <w:unhideWhenUsed/>
    <w:rsid w:val="00752E6F"/>
    <w:rPr>
      <w:color w:val="605E5C"/>
      <w:shd w:val="clear" w:color="auto" w:fill="E1DFDD"/>
    </w:rPr>
  </w:style>
  <w:style w:type="character" w:styleId="PageNumber">
    <w:name w:val="page number"/>
    <w:basedOn w:val="DefaultParagraphFont"/>
    <w:uiPriority w:val="99"/>
    <w:semiHidden/>
    <w:unhideWhenUsed/>
    <w:rsid w:val="00752E6F"/>
  </w:style>
  <w:style w:type="paragraph" w:customStyle="1" w:styleId="xp4">
    <w:name w:val="x_p4"/>
    <w:basedOn w:val="Normal"/>
    <w:rsid w:val="00752E6F"/>
    <w:pPr>
      <w:spacing w:before="100" w:beforeAutospacing="1" w:after="100" w:afterAutospacing="1"/>
    </w:pPr>
    <w:rPr>
      <w:rFonts w:ascii="Times New Roman" w:eastAsia="Times New Roman" w:hAnsi="Times New Roman" w:cs="Times New Roman"/>
      <w:kern w:val="0"/>
      <w:lang w:eastAsia="en-GB"/>
      <w14:ligatures w14:val="none"/>
    </w:rPr>
  </w:style>
  <w:style w:type="paragraph" w:customStyle="1" w:styleId="xmsonormal">
    <w:name w:val="x_msonormal"/>
    <w:basedOn w:val="Normal"/>
    <w:rsid w:val="00752E6F"/>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relative">
    <w:name w:val="relative"/>
    <w:basedOn w:val="DefaultParagraphFont"/>
    <w:rsid w:val="00752E6F"/>
  </w:style>
  <w:style w:type="paragraph" w:styleId="NormalWeb">
    <w:name w:val="Normal (Web)"/>
    <w:basedOn w:val="Normal"/>
    <w:uiPriority w:val="99"/>
    <w:semiHidden/>
    <w:unhideWhenUsed/>
    <w:rsid w:val="00752E6F"/>
    <w:pPr>
      <w:spacing w:before="100" w:beforeAutospacing="1" w:after="100" w:afterAutospacing="1"/>
    </w:pPr>
    <w:rPr>
      <w:rFonts w:ascii="Times New Roman" w:eastAsia="Times New Roman" w:hAnsi="Times New Roman" w:cs="Times New Roman"/>
      <w:kern w:val="0"/>
      <w:lang w:eastAsia="en-GB"/>
      <w14:ligatures w14:val="none"/>
    </w:rPr>
  </w:style>
  <w:style w:type="character" w:styleId="Strong">
    <w:name w:val="Strong"/>
    <w:basedOn w:val="DefaultParagraphFont"/>
    <w:uiPriority w:val="22"/>
    <w:qFormat/>
    <w:rsid w:val="00752E6F"/>
    <w:rPr>
      <w:b/>
      <w:bCs/>
    </w:rPr>
  </w:style>
  <w:style w:type="character" w:styleId="Emphasis">
    <w:name w:val="Emphasis"/>
    <w:basedOn w:val="DefaultParagraphFont"/>
    <w:uiPriority w:val="20"/>
    <w:qFormat/>
    <w:rsid w:val="00752E6F"/>
    <w:rPr>
      <w:i/>
      <w:iCs/>
    </w:rPr>
  </w:style>
  <w:style w:type="character" w:customStyle="1" w:styleId="apple-converted-space">
    <w:name w:val="apple-converted-space"/>
    <w:basedOn w:val="DefaultParagraphFont"/>
    <w:rsid w:val="00752E6F"/>
  </w:style>
  <w:style w:type="character" w:customStyle="1" w:styleId="katex-mathml">
    <w:name w:val="katex-mathml"/>
    <w:basedOn w:val="DefaultParagraphFont"/>
    <w:rsid w:val="00752E6F"/>
  </w:style>
  <w:style w:type="character" w:customStyle="1" w:styleId="mord">
    <w:name w:val="mord"/>
    <w:basedOn w:val="DefaultParagraphFont"/>
    <w:rsid w:val="00752E6F"/>
  </w:style>
  <w:style w:type="character" w:customStyle="1" w:styleId="mrel">
    <w:name w:val="mrel"/>
    <w:basedOn w:val="DefaultParagraphFont"/>
    <w:rsid w:val="00752E6F"/>
  </w:style>
  <w:style w:type="character" w:customStyle="1" w:styleId="mpunct">
    <w:name w:val="mpunct"/>
    <w:basedOn w:val="DefaultParagraphFont"/>
    <w:rsid w:val="00752E6F"/>
  </w:style>
  <w:style w:type="paragraph" w:customStyle="1" w:styleId="paragraph">
    <w:name w:val="paragraph"/>
    <w:basedOn w:val="Normal"/>
    <w:rsid w:val="00752E6F"/>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wacimagecontainer">
    <w:name w:val="wacimagecontainer"/>
    <w:basedOn w:val="DefaultParagraphFont"/>
    <w:rsid w:val="00752E6F"/>
  </w:style>
  <w:style w:type="table" w:styleId="TableGrid">
    <w:name w:val="Table Grid"/>
    <w:basedOn w:val="TableNormal"/>
    <w:uiPriority w:val="59"/>
    <w:rsid w:val="00752E6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hyperlink" Target="https://github.com/juryxy/JuSpace/tree/JuSpace_v1.5/JuSpace_v1.5/PETatlas" TargetMode="External"/><Relationship Id="rId3" Type="http://schemas.openxmlformats.org/officeDocument/2006/relationships/settings" Target="settings.xml"/><Relationship Id="rId21" Type="http://schemas.openxmlformats.org/officeDocument/2006/relationships/hyperlink" Target="https://www.sciencedirect.com/science/article/pii/S1053811920305243" TargetMode="Externa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2.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hyperlink" Target="https://github.com/netneurolab/neuromaps"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19</TotalTime>
  <Pages>33</Pages>
  <Words>8848</Words>
  <Characters>50436</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Miriam Vignando</dc:creator>
  <cp:keywords/>
  <dc:description/>
  <cp:lastModifiedBy>Miriam Vignando</cp:lastModifiedBy>
  <cp:revision>7</cp:revision>
  <dcterms:created xsi:type="dcterms:W3CDTF">2025-04-22T14:37:00Z</dcterms:created>
  <dcterms:modified xsi:type="dcterms:W3CDTF">2025-05-09T08:52:00Z</dcterms:modified>
</cp:coreProperties>
</file>