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72" w:type="dxa"/>
        <w:jc w:val="center"/>
        <w:tblLook w:val="04A0" w:firstRow="1" w:lastRow="0" w:firstColumn="1" w:lastColumn="0" w:noHBand="0" w:noVBand="1"/>
      </w:tblPr>
      <w:tblGrid>
        <w:gridCol w:w="3402"/>
        <w:gridCol w:w="7370"/>
      </w:tblGrid>
      <w:tr w:rsidR="005C6BB7" w:rsidRPr="00F83443" w14:paraId="0DC17BE8" w14:textId="77777777" w:rsidTr="00D83D6E">
        <w:trPr>
          <w:trHeight w:val="329"/>
          <w:jc w:val="center"/>
        </w:trPr>
        <w:tc>
          <w:tcPr>
            <w:tcW w:w="10772" w:type="dxa"/>
            <w:gridSpan w:val="2"/>
            <w:shd w:val="clear" w:color="auto" w:fill="auto"/>
            <w:noWrap/>
            <w:vAlign w:val="bottom"/>
          </w:tcPr>
          <w:p w14:paraId="7E11D912" w14:textId="77777777" w:rsidR="005C6BB7" w:rsidRPr="00F83443" w:rsidRDefault="005C6BB7" w:rsidP="00D83D6E">
            <w:pPr>
              <w:widowControl/>
              <w:jc w:val="center"/>
              <w:rPr>
                <w:rFonts w:ascii="Times New Roman" w:eastAsia="SimSu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b/>
                <w:bCs/>
                <w:color w:val="000000"/>
                <w:kern w:val="0"/>
                <w:sz w:val="24"/>
                <w:szCs w:val="24"/>
              </w:rPr>
              <w:t>Appendix A</w:t>
            </w:r>
          </w:p>
        </w:tc>
      </w:tr>
      <w:tr w:rsidR="005C6BB7" w:rsidRPr="00F83443" w14:paraId="714EEC32" w14:textId="77777777" w:rsidTr="00D83D6E">
        <w:trPr>
          <w:trHeight w:val="329"/>
          <w:jc w:val="center"/>
        </w:trPr>
        <w:tc>
          <w:tcPr>
            <w:tcW w:w="1077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2BB2A34" w14:textId="77777777" w:rsidR="005C6BB7" w:rsidRPr="00F83443" w:rsidRDefault="005C6BB7" w:rsidP="00D83D6E">
            <w:pPr>
              <w:widowControl/>
              <w:jc w:val="center"/>
              <w:rPr>
                <w:rFonts w:ascii="Times New Roman" w:eastAsia="SimSu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b/>
                <w:bCs/>
                <w:color w:val="000000"/>
                <w:kern w:val="0"/>
                <w:sz w:val="24"/>
                <w:szCs w:val="24"/>
              </w:rPr>
              <w:t>Definitions of variables</w:t>
            </w:r>
          </w:p>
        </w:tc>
      </w:tr>
      <w:tr w:rsidR="005C6BB7" w:rsidRPr="00F83443" w14:paraId="11E09401" w14:textId="77777777" w:rsidTr="00D83D6E">
        <w:trPr>
          <w:trHeight w:val="329"/>
          <w:jc w:val="center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83C29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b/>
                <w:bCs/>
                <w:color w:val="000000"/>
                <w:kern w:val="0"/>
                <w:sz w:val="24"/>
                <w:szCs w:val="24"/>
              </w:rPr>
              <w:t>Variable Name</w:t>
            </w:r>
          </w:p>
        </w:tc>
        <w:tc>
          <w:tcPr>
            <w:tcW w:w="7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8F6CA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b/>
                <w:bCs/>
                <w:color w:val="000000"/>
                <w:kern w:val="0"/>
                <w:sz w:val="24"/>
                <w:szCs w:val="24"/>
              </w:rPr>
              <w:t>Definition</w:t>
            </w:r>
          </w:p>
        </w:tc>
      </w:tr>
      <w:tr w:rsidR="005C6BB7" w:rsidRPr="00F83443" w14:paraId="5DFE736E" w14:textId="77777777" w:rsidTr="00D83D6E">
        <w:trPr>
          <w:trHeight w:val="329"/>
          <w:jc w:val="center"/>
        </w:trPr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F9A9E10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 w:hint="eastAsia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Dep</w:t>
            </w:r>
            <w:r w:rsidRPr="00F83443">
              <w:rPr>
                <w:rFonts w:ascii="Times New Roman" w:eastAsia="SimSu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endent Variables</w:t>
            </w:r>
          </w:p>
        </w:tc>
        <w:tc>
          <w:tcPr>
            <w:tcW w:w="73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9AEB264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C6BB7" w:rsidRPr="00F83443" w14:paraId="770B11F7" w14:textId="77777777" w:rsidTr="00D83D6E">
        <w:trPr>
          <w:trHeight w:val="329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059F1948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ROAVol</w:t>
            </w:r>
          </w:p>
        </w:tc>
        <w:tc>
          <w:tcPr>
            <w:tcW w:w="7370" w:type="dxa"/>
            <w:shd w:val="clear" w:color="auto" w:fill="auto"/>
            <w:noWrap/>
            <w:vAlign w:val="center"/>
            <w:hideMark/>
          </w:tcPr>
          <w:p w14:paraId="43999C39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The standard deviation of operating rate of return (i.e., operating income/total assets) over the past five years including the current fiscal year.</w:t>
            </w:r>
          </w:p>
        </w:tc>
      </w:tr>
      <w:tr w:rsidR="005C6BB7" w:rsidRPr="00F83443" w14:paraId="4062C222" w14:textId="77777777" w:rsidTr="00D83D6E">
        <w:trPr>
          <w:trHeight w:val="329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7EBD3A12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CFVol</w:t>
            </w:r>
          </w:p>
        </w:tc>
        <w:tc>
          <w:tcPr>
            <w:tcW w:w="7370" w:type="dxa"/>
            <w:shd w:val="clear" w:color="auto" w:fill="auto"/>
            <w:noWrap/>
            <w:vAlign w:val="center"/>
            <w:hideMark/>
          </w:tcPr>
          <w:p w14:paraId="3C69C2CB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hAnsi="Times New Roman"/>
                <w:color w:val="000000"/>
                <w:sz w:val="24"/>
                <w:szCs w:val="24"/>
              </w:rPr>
              <w:t>The standard deviation of the ratios of operating cash flow to total assets for the past five years.</w:t>
            </w:r>
          </w:p>
        </w:tc>
      </w:tr>
      <w:tr w:rsidR="005C6BB7" w:rsidRPr="00F83443" w14:paraId="1E8CD06D" w14:textId="77777777" w:rsidTr="00D83D6E">
        <w:trPr>
          <w:trHeight w:val="329"/>
          <w:jc w:val="center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27BE6AC5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CashShort</w:t>
            </w:r>
          </w:p>
        </w:tc>
        <w:tc>
          <w:tcPr>
            <w:tcW w:w="7370" w:type="dxa"/>
            <w:shd w:val="clear" w:color="auto" w:fill="auto"/>
            <w:noWrap/>
            <w:vAlign w:val="center"/>
            <w:hideMark/>
          </w:tcPr>
          <w:p w14:paraId="4F12C7EE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hAnsi="Times New Roman"/>
                <w:color w:val="000000"/>
                <w:sz w:val="24"/>
                <w:szCs w:val="24"/>
              </w:rPr>
              <w:t>Expected investment plus expected dividend minus available cash flow.</w:t>
            </w:r>
            <w:r w:rsidRPr="00F83443">
              <w:rPr>
                <w:rFonts w:ascii="Times New Roman" w:eastAsia="SimSun" w:hAnsi="Times New Roman" w:hint="eastAsia"/>
                <w:color w:val="000000"/>
                <w:kern w:val="0"/>
                <w:sz w:val="24"/>
                <w:szCs w:val="24"/>
              </w:rPr>
              <w:t xml:space="preserve"> E</w:t>
            </w:r>
            <w:r w:rsidRPr="00F83443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 xml:space="preserve">xpected dividend equals to dividend paid in the previous year. Expected investment is </w:t>
            </w:r>
            <w:r w:rsidRPr="00F83443">
              <w:rPr>
                <w:rFonts w:ascii="Times New Roman" w:hAnsi="Times New Roman"/>
                <w:color w:val="000000"/>
                <w:sz w:val="24"/>
                <w:szCs w:val="24"/>
              </w:rPr>
              <w:t>the median value of industry</w:t>
            </w:r>
            <w:r w:rsidRPr="00F83443"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</w:t>
            </w:r>
            <w:r w:rsidRPr="00F83443">
              <w:rPr>
                <w:rFonts w:ascii="Times New Roman" w:hAnsi="Times New Roman"/>
                <w:color w:val="000000"/>
                <w:sz w:val="24"/>
                <w:szCs w:val="24"/>
              </w:rPr>
              <w:t>investment scaled by total assets, where industry investment includes capital expenditure for fixed assets, intangible assets, and other long-term assets.</w:t>
            </w:r>
          </w:p>
        </w:tc>
      </w:tr>
      <w:tr w:rsidR="005C6BB7" w:rsidRPr="00F83443" w14:paraId="1AD12326" w14:textId="77777777" w:rsidTr="00D83D6E">
        <w:trPr>
          <w:trHeight w:val="329"/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1B24ACB5" w14:textId="77777777" w:rsidR="005C6BB7" w:rsidRPr="00F83443" w:rsidRDefault="005C6BB7" w:rsidP="00D83D6E">
            <w:pPr>
              <w:widowControl/>
              <w:jc w:val="left"/>
              <w:rPr>
                <w:rFonts w:ascii="Times New Roman" w:eastAsia="SimSu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Independent Variables</w:t>
            </w:r>
          </w:p>
        </w:tc>
        <w:tc>
          <w:tcPr>
            <w:tcW w:w="7370" w:type="dxa"/>
            <w:shd w:val="clear" w:color="auto" w:fill="auto"/>
            <w:noWrap/>
            <w:vAlign w:val="center"/>
          </w:tcPr>
          <w:p w14:paraId="69025DB0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C6BB7" w:rsidRPr="00F83443" w14:paraId="553A1915" w14:textId="77777777" w:rsidTr="00D83D6E">
        <w:trPr>
          <w:trHeight w:val="329"/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643E2618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hAnsi="Times New Roman"/>
                <w:color w:val="000000"/>
                <w:sz w:val="24"/>
                <w:szCs w:val="24"/>
              </w:rPr>
              <w:t>Customer Sales</w:t>
            </w:r>
          </w:p>
        </w:tc>
        <w:tc>
          <w:tcPr>
            <w:tcW w:w="7370" w:type="dxa"/>
            <w:shd w:val="clear" w:color="auto" w:fill="auto"/>
            <w:noWrap/>
            <w:vAlign w:val="center"/>
          </w:tcPr>
          <w:p w14:paraId="3F4856E3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hAnsi="Times New Roman"/>
                <w:color w:val="000000"/>
                <w:sz w:val="24"/>
                <w:szCs w:val="24"/>
              </w:rPr>
              <w:t>The fraction of a supplier’s annual total sales to the top five major customers.</w:t>
            </w:r>
          </w:p>
        </w:tc>
      </w:tr>
      <w:tr w:rsidR="005C6BB7" w:rsidRPr="00F83443" w14:paraId="54E54067" w14:textId="77777777" w:rsidTr="00D83D6E">
        <w:trPr>
          <w:trHeight w:val="329"/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30E11392" w14:textId="77777777" w:rsidR="005C6BB7" w:rsidRPr="00F83443" w:rsidRDefault="005C6BB7" w:rsidP="00D83D6E">
            <w:pPr>
              <w:widowControl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83443">
              <w:rPr>
                <w:rFonts w:ascii="Times New Roman" w:hAnsi="Times New Roman"/>
                <w:color w:val="000000"/>
                <w:sz w:val="24"/>
                <w:szCs w:val="24"/>
              </w:rPr>
              <w:t>Customer HHI</w:t>
            </w:r>
          </w:p>
        </w:tc>
        <w:tc>
          <w:tcPr>
            <w:tcW w:w="7370" w:type="dxa"/>
            <w:shd w:val="clear" w:color="auto" w:fill="auto"/>
            <w:noWrap/>
            <w:vAlign w:val="center"/>
          </w:tcPr>
          <w:p w14:paraId="45B892D1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Customer concentration Herfindahl-Hirschman index, measured by the sum of squared sales to the top five customers scaled by the supplier firm’s total sales.</w:t>
            </w:r>
          </w:p>
        </w:tc>
      </w:tr>
      <w:tr w:rsidR="005C6BB7" w:rsidRPr="00F83443" w14:paraId="6588E54B" w14:textId="77777777" w:rsidTr="00D83D6E">
        <w:trPr>
          <w:trHeight w:val="329"/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79E49F82" w14:textId="77777777" w:rsidR="005C6BB7" w:rsidRPr="00F83443" w:rsidRDefault="005C6BB7" w:rsidP="00D83D6E">
            <w:pPr>
              <w:widowControl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834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Major Customer </w:t>
            </w:r>
          </w:p>
        </w:tc>
        <w:tc>
          <w:tcPr>
            <w:tcW w:w="7370" w:type="dxa"/>
            <w:shd w:val="clear" w:color="auto" w:fill="auto"/>
            <w:noWrap/>
            <w:vAlign w:val="center"/>
          </w:tcPr>
          <w:p w14:paraId="52C8343D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val="en-GB"/>
              </w:rPr>
              <w:t>A dummy variable that equals to 1 if a supplier firm discloses at</w:t>
            </w:r>
            <w:r w:rsidRPr="00F83443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  <w:lang w:val="en-GB"/>
              </w:rPr>
              <w:t xml:space="preserve"> </w:t>
            </w:r>
            <w:r w:rsidRPr="00F83443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val="en-GB"/>
              </w:rPr>
              <w:t>least one customer that accounts for 10% or more of its total sales, and 0</w:t>
            </w:r>
            <w:r w:rsidRPr="00F83443"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  <w:lang w:val="en-GB"/>
              </w:rPr>
              <w:t xml:space="preserve"> </w:t>
            </w:r>
            <w:r w:rsidRPr="00F83443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val="en-GB"/>
              </w:rPr>
              <w:t>otherwise.</w:t>
            </w:r>
          </w:p>
        </w:tc>
      </w:tr>
      <w:tr w:rsidR="005C6BB7" w:rsidRPr="00F83443" w14:paraId="19876E86" w14:textId="77777777" w:rsidTr="00D83D6E">
        <w:trPr>
          <w:trHeight w:val="329"/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4FD165FB" w14:textId="77777777" w:rsidR="005C6BB7" w:rsidRPr="00F83443" w:rsidRDefault="005C6BB7" w:rsidP="00D83D6E">
            <w:pPr>
              <w:widowControl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83443">
              <w:rPr>
                <w:rFonts w:ascii="Times New Roman" w:hAnsi="Times New Roman"/>
                <w:color w:val="000000"/>
                <w:sz w:val="24"/>
                <w:szCs w:val="24"/>
              </w:rPr>
              <w:t>Major Customer Max</w:t>
            </w:r>
          </w:p>
        </w:tc>
        <w:tc>
          <w:tcPr>
            <w:tcW w:w="7370" w:type="dxa"/>
            <w:shd w:val="clear" w:color="auto" w:fill="auto"/>
            <w:noWrap/>
            <w:vAlign w:val="center"/>
          </w:tcPr>
          <w:p w14:paraId="2F423210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val="en-GB"/>
              </w:rPr>
              <w:t>The highest percentage sales to the top one major customer.</w:t>
            </w:r>
          </w:p>
        </w:tc>
      </w:tr>
      <w:tr w:rsidR="005C6BB7" w:rsidRPr="00F83443" w14:paraId="5F622131" w14:textId="77777777" w:rsidTr="00D83D6E">
        <w:trPr>
          <w:trHeight w:val="329"/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7BA7D4EE" w14:textId="77777777" w:rsidR="005C6BB7" w:rsidRPr="00F83443" w:rsidRDefault="005C6BB7" w:rsidP="00D83D6E">
            <w:pPr>
              <w:widowControl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83443">
              <w:rPr>
                <w:rFonts w:ascii="Times New Roman" w:hAnsi="Times New Roman"/>
                <w:color w:val="000000"/>
                <w:sz w:val="24"/>
                <w:szCs w:val="24"/>
              </w:rPr>
              <w:t>Major Customer Count</w:t>
            </w:r>
          </w:p>
        </w:tc>
        <w:tc>
          <w:tcPr>
            <w:tcW w:w="7370" w:type="dxa"/>
            <w:shd w:val="clear" w:color="auto" w:fill="auto"/>
            <w:noWrap/>
            <w:vAlign w:val="center"/>
          </w:tcPr>
          <w:p w14:paraId="70A0AEE3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  <w:lang w:val="en-GB"/>
              </w:rPr>
              <w:t>The total number of a supplier firm’s customers that account for 10% or more of its total sales</w:t>
            </w:r>
            <w:r w:rsidRPr="00F83443">
              <w:rPr>
                <w:rFonts w:ascii="Times New Roman" w:eastAsia="SimSun" w:hAnsi="Times New Roman" w:hint="eastAsia"/>
                <w:color w:val="000000"/>
                <w:kern w:val="0"/>
                <w:sz w:val="24"/>
                <w:szCs w:val="24"/>
              </w:rPr>
              <w:t>.</w:t>
            </w:r>
            <w:r w:rsidRPr="00F83443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5C6BB7" w:rsidRPr="00F83443" w14:paraId="5CCADDE3" w14:textId="77777777" w:rsidTr="00D83D6E">
        <w:trPr>
          <w:trHeight w:val="329"/>
          <w:jc w:val="center"/>
        </w:trPr>
        <w:tc>
          <w:tcPr>
            <w:tcW w:w="3402" w:type="dxa"/>
            <w:shd w:val="clear" w:color="auto" w:fill="auto"/>
            <w:noWrap/>
            <w:vAlign w:val="center"/>
          </w:tcPr>
          <w:p w14:paraId="52A02FD6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Controls</w:t>
            </w:r>
          </w:p>
        </w:tc>
        <w:tc>
          <w:tcPr>
            <w:tcW w:w="7370" w:type="dxa"/>
            <w:shd w:val="clear" w:color="auto" w:fill="auto"/>
            <w:noWrap/>
            <w:vAlign w:val="center"/>
          </w:tcPr>
          <w:p w14:paraId="6658192E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C6BB7" w:rsidRPr="00F83443" w14:paraId="5BC3C169" w14:textId="77777777" w:rsidTr="00D83D6E">
        <w:trPr>
          <w:trHeight w:val="329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F480C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Firm Size</w:t>
            </w:r>
          </w:p>
        </w:tc>
        <w:tc>
          <w:tcPr>
            <w:tcW w:w="7370" w:type="dxa"/>
            <w:shd w:val="clear" w:color="auto" w:fill="auto"/>
            <w:noWrap/>
            <w:vAlign w:val="center"/>
            <w:hideMark/>
          </w:tcPr>
          <w:p w14:paraId="786BD47D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The logarithm of total assets.</w:t>
            </w:r>
          </w:p>
        </w:tc>
      </w:tr>
      <w:tr w:rsidR="005C6BB7" w:rsidRPr="00F83443" w14:paraId="16879094" w14:textId="77777777" w:rsidTr="00D83D6E">
        <w:trPr>
          <w:trHeight w:val="329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FB8AD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Sales Growth</w:t>
            </w:r>
          </w:p>
        </w:tc>
        <w:tc>
          <w:tcPr>
            <w:tcW w:w="7370" w:type="dxa"/>
            <w:shd w:val="clear" w:color="auto" w:fill="auto"/>
            <w:noWrap/>
            <w:vAlign w:val="center"/>
            <w:hideMark/>
          </w:tcPr>
          <w:p w14:paraId="44BCB564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The difference of current sales and lagged sales divided by lagged sales.</w:t>
            </w:r>
          </w:p>
        </w:tc>
      </w:tr>
      <w:tr w:rsidR="005C6BB7" w:rsidRPr="00F83443" w14:paraId="2F223599" w14:textId="77777777" w:rsidTr="00D83D6E">
        <w:trPr>
          <w:trHeight w:val="329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229AC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Capital Expenditures</w:t>
            </w:r>
          </w:p>
        </w:tc>
        <w:tc>
          <w:tcPr>
            <w:tcW w:w="7370" w:type="dxa"/>
            <w:shd w:val="clear" w:color="auto" w:fill="auto"/>
            <w:noWrap/>
          </w:tcPr>
          <w:p w14:paraId="58C59642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Capital expenditures scaled by total assets.</w:t>
            </w:r>
          </w:p>
        </w:tc>
      </w:tr>
      <w:tr w:rsidR="005C6BB7" w:rsidRPr="00F83443" w14:paraId="0818ADDB" w14:textId="77777777" w:rsidTr="00D83D6E">
        <w:trPr>
          <w:trHeight w:val="329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EFD55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Scaled debts</w:t>
            </w:r>
          </w:p>
        </w:tc>
        <w:tc>
          <w:tcPr>
            <w:tcW w:w="7370" w:type="dxa"/>
            <w:shd w:val="clear" w:color="auto" w:fill="auto"/>
            <w:noWrap/>
            <w:vAlign w:val="center"/>
          </w:tcPr>
          <w:p w14:paraId="12F97C0D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Long-term debts scaled by total assets.</w:t>
            </w:r>
          </w:p>
        </w:tc>
      </w:tr>
      <w:tr w:rsidR="005C6BB7" w:rsidRPr="00F83443" w14:paraId="4E9F62D6" w14:textId="77777777" w:rsidTr="00D83D6E">
        <w:trPr>
          <w:trHeight w:val="329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267B3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Tangibility</w:t>
            </w:r>
          </w:p>
        </w:tc>
        <w:tc>
          <w:tcPr>
            <w:tcW w:w="7370" w:type="dxa"/>
            <w:shd w:val="clear" w:color="auto" w:fill="auto"/>
            <w:noWrap/>
            <w:vAlign w:val="center"/>
            <w:hideMark/>
          </w:tcPr>
          <w:p w14:paraId="63E12042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Tangible assets scaled by total assets.</w:t>
            </w:r>
          </w:p>
        </w:tc>
      </w:tr>
      <w:tr w:rsidR="005C6BB7" w:rsidRPr="00F83443" w14:paraId="5CD15644" w14:textId="77777777" w:rsidTr="00D83D6E">
        <w:trPr>
          <w:trHeight w:val="329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F83EF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R&amp;D Expenditures</w:t>
            </w:r>
          </w:p>
        </w:tc>
        <w:tc>
          <w:tcPr>
            <w:tcW w:w="7370" w:type="dxa"/>
            <w:shd w:val="clear" w:color="auto" w:fill="auto"/>
            <w:noWrap/>
            <w:vAlign w:val="center"/>
          </w:tcPr>
          <w:p w14:paraId="299539A6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R&amp;D expenditures scaled by total assets.</w:t>
            </w:r>
          </w:p>
        </w:tc>
      </w:tr>
      <w:tr w:rsidR="005C6BB7" w:rsidRPr="00F83443" w14:paraId="55A04C01" w14:textId="77777777" w:rsidTr="00D83D6E">
        <w:trPr>
          <w:trHeight w:val="329"/>
          <w:jc w:val="center"/>
        </w:trPr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E75B0C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Profitability</w:t>
            </w:r>
          </w:p>
        </w:tc>
        <w:tc>
          <w:tcPr>
            <w:tcW w:w="7370" w:type="dxa"/>
            <w:shd w:val="clear" w:color="auto" w:fill="auto"/>
            <w:noWrap/>
            <w:vAlign w:val="center"/>
          </w:tcPr>
          <w:p w14:paraId="779CCE39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Return on assets (ROA).</w:t>
            </w:r>
          </w:p>
        </w:tc>
      </w:tr>
      <w:tr w:rsidR="005C6BB7" w:rsidRPr="00F83443" w14:paraId="01E4BF96" w14:textId="77777777" w:rsidTr="00D83D6E">
        <w:trPr>
          <w:trHeight w:val="329"/>
          <w:jc w:val="center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90A067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Stock Return Volatility</w:t>
            </w:r>
          </w:p>
        </w:tc>
        <w:tc>
          <w:tcPr>
            <w:tcW w:w="73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664152" w14:textId="77777777" w:rsidR="005C6BB7" w:rsidRPr="00F83443" w:rsidRDefault="005C6BB7" w:rsidP="00D83D6E">
            <w:pPr>
              <w:widowControl/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</w:pPr>
            <w:r w:rsidRPr="00F83443">
              <w:rPr>
                <w:rFonts w:ascii="Times New Roman" w:eastAsia="SimSun" w:hAnsi="Times New Roman"/>
                <w:color w:val="000000"/>
                <w:kern w:val="0"/>
                <w:sz w:val="24"/>
                <w:szCs w:val="24"/>
              </w:rPr>
              <w:t>The standard deviation of monthly stock returns.</w:t>
            </w:r>
          </w:p>
        </w:tc>
      </w:tr>
    </w:tbl>
    <w:p w14:paraId="3F967F79" w14:textId="77777777" w:rsidR="005C6BB7" w:rsidRPr="00F83443" w:rsidRDefault="005C6BB7" w:rsidP="005C6BB7">
      <w:pPr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0BA519F8" w14:textId="77777777" w:rsidR="005C6BB7" w:rsidRPr="00F83443" w:rsidRDefault="005C6BB7" w:rsidP="005C6BB7">
      <w:pPr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57E1F916" w14:textId="77777777" w:rsidR="005C6BB7" w:rsidRPr="00043D4E" w:rsidRDefault="005C6BB7" w:rsidP="005C6BB7">
      <w:pPr>
        <w:widowControl/>
        <w:spacing w:beforeLines="50" w:before="156" w:line="360" w:lineRule="auto"/>
        <w:ind w:left="480" w:hangingChars="200" w:hanging="480"/>
        <w:rPr>
          <w:rStyle w:val="fontstyle01"/>
          <w:b w:val="0"/>
          <w:bCs w:val="0"/>
          <w:color w:val="000000" w:themeColor="text1"/>
        </w:rPr>
      </w:pPr>
    </w:p>
    <w:p w14:paraId="131DB176" w14:textId="77777777" w:rsidR="005C6BB7" w:rsidRPr="00CD4477" w:rsidRDefault="005C6BB7" w:rsidP="005C6BB7">
      <w:pPr>
        <w:widowControl/>
        <w:spacing w:beforeLines="50" w:before="156" w:line="360" w:lineRule="auto"/>
        <w:ind w:left="480" w:hangingChars="200" w:hanging="480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14:paraId="0DBE7AC5" w14:textId="77777777" w:rsidR="00755780" w:rsidRDefault="00755780"/>
    <w:sectPr w:rsidR="00755780" w:rsidSect="005C6B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BB7"/>
    <w:rsid w:val="00011C58"/>
    <w:rsid w:val="0006021D"/>
    <w:rsid w:val="00331A6B"/>
    <w:rsid w:val="005C6BB7"/>
    <w:rsid w:val="00755780"/>
    <w:rsid w:val="00857596"/>
    <w:rsid w:val="009459F9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D2DA9"/>
  <w15:chartTrackingRefBased/>
  <w15:docId w15:val="{925C5257-99FB-4E11-9439-8496CD415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6BB7"/>
    <w:pPr>
      <w:widowControl w:val="0"/>
      <w:spacing w:after="0" w:line="240" w:lineRule="auto"/>
      <w:jc w:val="both"/>
    </w:pPr>
    <w:rPr>
      <w:rFonts w:eastAsiaTheme="minorEastAsia"/>
      <w:sz w:val="21"/>
      <w:szCs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C6BB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6BB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6BB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6BB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6BB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6BB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6BB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6BB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6BB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6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6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6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6B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6B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6B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6B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6B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6B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6BB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C6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6BB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C6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6BB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C6B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6BB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C6B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6BB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6B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6BB7"/>
    <w:rPr>
      <w:b/>
      <w:bCs/>
      <w:smallCaps/>
      <w:color w:val="0F4761" w:themeColor="accent1" w:themeShade="BF"/>
      <w:spacing w:val="5"/>
    </w:rPr>
  </w:style>
  <w:style w:type="character" w:customStyle="1" w:styleId="fontstyle01">
    <w:name w:val="fontstyle01"/>
    <w:basedOn w:val="DefaultParagraphFont"/>
    <w:rsid w:val="005C6BB7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277</Words>
  <Characters>1579</Characters>
  <Application>Microsoft Office Word</Application>
  <DocSecurity>0</DocSecurity>
  <Lines>13</Lines>
  <Paragraphs>3</Paragraphs>
  <ScaleCrop>false</ScaleCrop>
  <Company>Springer Nature</Company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2025-07-02T11:45:00Z</dcterms:created>
  <dcterms:modified xsi:type="dcterms:W3CDTF">2025-07-02T11:46:00Z</dcterms:modified>
</cp:coreProperties>
</file>