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B08E0" w14:textId="2618E671" w:rsidR="004659A5" w:rsidRPr="00587CB1" w:rsidRDefault="00587CB1" w:rsidP="00587CB1">
      <w:pPr>
        <w:jc w:val="center"/>
        <w:rPr>
          <w:rFonts w:ascii="Arial" w:hAnsi="Arial" w:cs="Arial"/>
          <w:b/>
          <w:bCs/>
          <w:sz w:val="28"/>
          <w:szCs w:val="36"/>
        </w:rPr>
      </w:pPr>
      <w:r w:rsidRPr="00587CB1">
        <w:rPr>
          <w:rFonts w:ascii="Arial" w:hAnsi="Arial" w:cs="Arial"/>
          <w:b/>
          <w:bCs/>
          <w:sz w:val="28"/>
          <w:szCs w:val="36"/>
        </w:rPr>
        <w:t>Supplemental materials</w:t>
      </w:r>
    </w:p>
    <w:p w14:paraId="244D474F" w14:textId="43B55566" w:rsidR="00587CB1" w:rsidRDefault="00587CB1"/>
    <w:p w14:paraId="752EFC4F" w14:textId="2DB03CED" w:rsidR="00587CB1" w:rsidRPr="00587CB1" w:rsidRDefault="00587CB1" w:rsidP="00587CB1">
      <w:pPr>
        <w:rPr>
          <w:rFonts w:ascii="Arial" w:hAnsi="Arial" w:cs="Arial"/>
          <w:b/>
          <w:bCs/>
        </w:rPr>
      </w:pPr>
      <w:r w:rsidRPr="00587CB1">
        <w:rPr>
          <w:rFonts w:ascii="Arial" w:hAnsi="Arial" w:cs="Arial"/>
          <w:b/>
          <w:bCs/>
        </w:rPr>
        <w:t xml:space="preserve">Clinical </w:t>
      </w:r>
      <w:r w:rsidRPr="00587CB1">
        <w:rPr>
          <w:rFonts w:ascii="Arial" w:hAnsi="Arial" w:cs="Arial" w:hint="eastAsia"/>
          <w:b/>
          <w:bCs/>
        </w:rPr>
        <w:t>contribution</w:t>
      </w:r>
      <w:r w:rsidRPr="00587CB1">
        <w:rPr>
          <w:rFonts w:ascii="Arial" w:hAnsi="Arial" w:cs="Arial"/>
          <w:b/>
          <w:bCs/>
        </w:rPr>
        <w:t xml:space="preserve"> </w:t>
      </w:r>
      <w:r w:rsidRPr="00587CB1">
        <w:rPr>
          <w:rFonts w:ascii="Arial" w:hAnsi="Arial" w:cs="Arial" w:hint="eastAsia"/>
          <w:b/>
          <w:bCs/>
        </w:rPr>
        <w:t xml:space="preserve">of </w:t>
      </w:r>
      <w:proofErr w:type="spellStart"/>
      <w:r w:rsidR="00F964CF">
        <w:rPr>
          <w:rFonts w:ascii="Arial" w:hAnsi="Arial" w:cs="Arial"/>
          <w:b/>
          <w:bCs/>
        </w:rPr>
        <w:t>apoB</w:t>
      </w:r>
      <w:proofErr w:type="spellEnd"/>
      <w:r w:rsidR="00F964CF">
        <w:rPr>
          <w:rFonts w:ascii="Arial" w:hAnsi="Arial" w:cs="Arial"/>
          <w:b/>
          <w:bCs/>
        </w:rPr>
        <w:t xml:space="preserve"> 100</w:t>
      </w:r>
      <w:r w:rsidRPr="00587CB1">
        <w:rPr>
          <w:rFonts w:ascii="Arial" w:hAnsi="Arial" w:cs="Arial"/>
          <w:b/>
          <w:bCs/>
        </w:rPr>
        <w:t xml:space="preserve"> </w:t>
      </w:r>
      <w:r w:rsidRPr="00587CB1">
        <w:rPr>
          <w:rFonts w:ascii="Arial" w:hAnsi="Arial" w:cs="Arial" w:hint="eastAsia"/>
          <w:b/>
          <w:bCs/>
        </w:rPr>
        <w:t>to</w:t>
      </w:r>
      <w:r w:rsidRPr="00587CB1">
        <w:rPr>
          <w:rFonts w:ascii="Arial" w:hAnsi="Arial" w:cs="Arial"/>
          <w:b/>
          <w:bCs/>
        </w:rPr>
        <w:t xml:space="preserve"> the stroke progression in Chinese population: a single-centered cohort study</w:t>
      </w:r>
    </w:p>
    <w:p w14:paraId="26925DCF" w14:textId="77777777" w:rsidR="00587CB1" w:rsidRDefault="00587CB1" w:rsidP="00587CB1">
      <w:pPr>
        <w:rPr>
          <w:rFonts w:ascii="Arial" w:hAnsi="Arial" w:cs="Arial"/>
        </w:rPr>
      </w:pPr>
    </w:p>
    <w:p w14:paraId="259B24DE" w14:textId="1469A91C" w:rsidR="005802FA" w:rsidRPr="00812DE4" w:rsidRDefault="005802FA" w:rsidP="005802FA">
      <w:pPr>
        <w:rPr>
          <w:rFonts w:ascii="Arial" w:hAnsi="Arial" w:cs="Arial"/>
          <w:vertAlign w:val="superscript"/>
        </w:rPr>
      </w:pPr>
      <w:proofErr w:type="spellStart"/>
      <w:r>
        <w:rPr>
          <w:rFonts w:ascii="Arial" w:hAnsi="Arial" w:cs="Arial" w:hint="eastAsia"/>
        </w:rPr>
        <w:t>D</w:t>
      </w:r>
      <w:r>
        <w:rPr>
          <w:rFonts w:ascii="Arial" w:hAnsi="Arial" w:cs="Arial"/>
        </w:rPr>
        <w:t>uanlu</w:t>
      </w:r>
      <w:proofErr w:type="spellEnd"/>
      <w:r>
        <w:rPr>
          <w:rFonts w:ascii="Arial" w:hAnsi="Arial" w:cs="Arial"/>
        </w:rPr>
        <w:t xml:space="preserve"> Hou</w:t>
      </w:r>
      <w:r>
        <w:rPr>
          <w:rFonts w:ascii="Arial" w:hAnsi="Arial" w:cs="Arial"/>
          <w:vertAlign w:val="superscript"/>
        </w:rPr>
        <w:t>1,2#</w:t>
      </w:r>
      <w:r>
        <w:rPr>
          <w:rFonts w:ascii="Arial" w:hAnsi="Arial" w:cs="Arial"/>
        </w:rPr>
        <w:t>, Yuanyuan Wang</w:t>
      </w:r>
      <w:r>
        <w:rPr>
          <w:rFonts w:ascii="Arial" w:hAnsi="Arial" w:cs="Arial"/>
          <w:vertAlign w:val="superscript"/>
        </w:rPr>
        <w:t>1#</w:t>
      </w:r>
      <w:r>
        <w:rPr>
          <w:rFonts w:ascii="Arial" w:hAnsi="Arial" w:cs="Arial"/>
        </w:rPr>
        <w:t>, Shuang Zhai</w:t>
      </w:r>
      <w:r>
        <w:rPr>
          <w:rFonts w:ascii="Arial" w:hAnsi="Arial" w:cs="Arial"/>
          <w:vertAlign w:val="superscript"/>
        </w:rPr>
        <w:t>1#</w:t>
      </w:r>
      <w:r>
        <w:rPr>
          <w:rFonts w:ascii="Arial" w:hAnsi="Arial" w:cs="Arial"/>
        </w:rPr>
        <w:t xml:space="preserve">, </w:t>
      </w:r>
      <w:proofErr w:type="spellStart"/>
      <w:r w:rsidR="003F7BC0">
        <w:rPr>
          <w:rFonts w:ascii="Arial" w:hAnsi="Arial" w:cs="Arial"/>
        </w:rPr>
        <w:t>Xiaoli</w:t>
      </w:r>
      <w:proofErr w:type="spellEnd"/>
      <w:r w:rsidR="003F7BC0">
        <w:rPr>
          <w:rFonts w:ascii="Arial" w:hAnsi="Arial" w:cs="Arial"/>
        </w:rPr>
        <w:t xml:space="preserve"> Yang</w:t>
      </w:r>
      <w:r w:rsidR="003F7BC0">
        <w:rPr>
          <w:rFonts w:ascii="Arial" w:hAnsi="Arial" w:cs="Arial"/>
          <w:vertAlign w:val="superscript"/>
        </w:rPr>
        <w:t>1</w:t>
      </w:r>
      <w:r w:rsidR="003F7BC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Yuping</w:t>
      </w:r>
      <w:proofErr w:type="spellEnd"/>
      <w:r>
        <w:rPr>
          <w:rFonts w:ascii="Arial" w:hAnsi="Arial" w:cs="Arial"/>
        </w:rPr>
        <w:t xml:space="preserve"> Tang</w:t>
      </w:r>
      <w:r>
        <w:rPr>
          <w:rFonts w:ascii="Arial" w:hAnsi="Arial" w:cs="Arial"/>
          <w:vertAlign w:val="superscript"/>
        </w:rPr>
        <w:t>3*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Danhong</w:t>
      </w:r>
      <w:proofErr w:type="spellEnd"/>
      <w:r>
        <w:rPr>
          <w:rFonts w:ascii="Arial" w:hAnsi="Arial" w:cs="Arial"/>
        </w:rPr>
        <w:t xml:space="preserve"> Wu</w:t>
      </w:r>
      <w:r>
        <w:rPr>
          <w:rFonts w:ascii="Arial" w:hAnsi="Arial" w:cs="Arial"/>
          <w:vertAlign w:val="superscript"/>
        </w:rPr>
        <w:t>1*</w:t>
      </w:r>
    </w:p>
    <w:p w14:paraId="4BE22AD8" w14:textId="77777777" w:rsidR="005802FA" w:rsidRDefault="005802FA" w:rsidP="005802FA">
      <w:pPr>
        <w:rPr>
          <w:rFonts w:ascii="Arial" w:hAnsi="Arial" w:cs="Arial"/>
        </w:rPr>
      </w:pPr>
    </w:p>
    <w:p w14:paraId="3E928446" w14:textId="77777777" w:rsidR="005802FA" w:rsidRPr="00812DE4" w:rsidRDefault="005802FA" w:rsidP="005802FA">
      <w:pPr>
        <w:pStyle w:val="a3"/>
        <w:numPr>
          <w:ilvl w:val="0"/>
          <w:numId w:val="1"/>
        </w:numPr>
        <w:ind w:firstLineChars="0"/>
        <w:rPr>
          <w:rFonts w:ascii="Arial" w:hAnsi="Arial" w:cs="Arial"/>
        </w:rPr>
      </w:pPr>
      <w:r w:rsidRPr="00812DE4">
        <w:rPr>
          <w:rFonts w:ascii="Arial" w:hAnsi="Arial" w:cs="Arial"/>
        </w:rPr>
        <w:t>Department of Neurology, Shanghai Fifth People’s Hospital, Fudan University, Shanghai, China</w:t>
      </w:r>
    </w:p>
    <w:p w14:paraId="15E9492C" w14:textId="77777777" w:rsidR="005802FA" w:rsidRPr="00812DE4" w:rsidRDefault="005802FA" w:rsidP="005802FA">
      <w:pPr>
        <w:pStyle w:val="a3"/>
        <w:numPr>
          <w:ilvl w:val="0"/>
          <w:numId w:val="1"/>
        </w:numPr>
        <w:ind w:firstLineChars="0"/>
        <w:rPr>
          <w:rFonts w:ascii="Arial" w:hAnsi="Arial" w:cs="Arial"/>
        </w:rPr>
      </w:pPr>
      <w:r w:rsidRPr="00812DE4">
        <w:rPr>
          <w:rFonts w:ascii="Arial" w:hAnsi="Arial" w:cs="Arial"/>
        </w:rPr>
        <w:t xml:space="preserve">Department of Neurology, Shanghai </w:t>
      </w:r>
      <w:r>
        <w:rPr>
          <w:rFonts w:ascii="Arial" w:hAnsi="Arial" w:cs="Arial"/>
        </w:rPr>
        <w:t>General</w:t>
      </w:r>
      <w:r w:rsidRPr="00812DE4">
        <w:rPr>
          <w:rFonts w:ascii="Arial" w:hAnsi="Arial" w:cs="Arial"/>
        </w:rPr>
        <w:t xml:space="preserve"> Hospital, </w:t>
      </w:r>
      <w:r>
        <w:rPr>
          <w:rFonts w:ascii="Arial" w:hAnsi="Arial" w:cs="Arial"/>
        </w:rPr>
        <w:t>Shanghai Jiao Tong</w:t>
      </w:r>
      <w:r w:rsidRPr="00812DE4">
        <w:rPr>
          <w:rFonts w:ascii="Arial" w:hAnsi="Arial" w:cs="Arial"/>
        </w:rPr>
        <w:t xml:space="preserve"> University</w:t>
      </w:r>
      <w:r>
        <w:rPr>
          <w:rFonts w:ascii="Arial" w:hAnsi="Arial" w:cs="Arial"/>
        </w:rPr>
        <w:t xml:space="preserve"> School of Medicine</w:t>
      </w:r>
      <w:r w:rsidRPr="00812DE4">
        <w:rPr>
          <w:rFonts w:ascii="Arial" w:hAnsi="Arial" w:cs="Arial"/>
        </w:rPr>
        <w:t>, Shanghai, China</w:t>
      </w:r>
    </w:p>
    <w:p w14:paraId="31A8EB5C" w14:textId="77777777" w:rsidR="005802FA" w:rsidRDefault="005802FA" w:rsidP="005802FA">
      <w:pPr>
        <w:pStyle w:val="a3"/>
        <w:numPr>
          <w:ilvl w:val="0"/>
          <w:numId w:val="1"/>
        </w:numPr>
        <w:ind w:firstLineChars="0"/>
        <w:rPr>
          <w:rFonts w:ascii="Arial" w:hAnsi="Arial" w:cs="Arial"/>
        </w:rPr>
      </w:pPr>
      <w:r w:rsidRPr="00812DE4">
        <w:rPr>
          <w:rFonts w:ascii="Arial" w:hAnsi="Arial" w:cs="Arial"/>
        </w:rPr>
        <w:t xml:space="preserve">Department of Neurology, </w:t>
      </w:r>
      <w:proofErr w:type="spellStart"/>
      <w:r>
        <w:rPr>
          <w:rFonts w:ascii="Arial" w:hAnsi="Arial" w:cs="Arial"/>
        </w:rPr>
        <w:t>Huashan</w:t>
      </w:r>
      <w:proofErr w:type="spellEnd"/>
      <w:r w:rsidRPr="00812DE4">
        <w:rPr>
          <w:rFonts w:ascii="Arial" w:hAnsi="Arial" w:cs="Arial"/>
        </w:rPr>
        <w:t xml:space="preserve"> Hospital, Fudan University, Shanghai, China</w:t>
      </w:r>
    </w:p>
    <w:p w14:paraId="385A021D" w14:textId="77777777" w:rsidR="005802FA" w:rsidRDefault="005802FA" w:rsidP="005802FA">
      <w:pPr>
        <w:pStyle w:val="a3"/>
        <w:ind w:left="360" w:firstLineChars="0" w:firstLine="0"/>
        <w:rPr>
          <w:rFonts w:ascii="Arial" w:hAnsi="Arial" w:cs="Arial"/>
        </w:rPr>
      </w:pPr>
    </w:p>
    <w:p w14:paraId="700FD645" w14:textId="77777777" w:rsidR="005802FA" w:rsidRPr="00B523E4" w:rsidRDefault="005802FA" w:rsidP="005802FA">
      <w:pPr>
        <w:rPr>
          <w:rFonts w:ascii="Arial" w:hAnsi="Arial" w:cs="Arial"/>
        </w:rPr>
      </w:pPr>
      <w:r>
        <w:rPr>
          <w:rFonts w:ascii="Arial" w:hAnsi="Arial" w:cs="Arial" w:hint="eastAsia"/>
          <w:vertAlign w:val="superscript"/>
        </w:rPr>
        <w:t>#</w:t>
      </w:r>
      <w:r>
        <w:rPr>
          <w:rFonts w:ascii="Arial" w:hAnsi="Arial" w:cs="Arial"/>
        </w:rPr>
        <w:t xml:space="preserve"> The authors contribute equally to this article and share the first authorship.</w:t>
      </w:r>
    </w:p>
    <w:p w14:paraId="2A9BF6B3" w14:textId="77777777" w:rsidR="005802FA" w:rsidRPr="00F93094" w:rsidRDefault="005802FA" w:rsidP="005802FA">
      <w:pPr>
        <w:rPr>
          <w:rFonts w:ascii="Arial" w:hAnsi="Arial" w:cs="Arial"/>
        </w:rPr>
      </w:pPr>
      <w:r w:rsidRPr="00F93094">
        <w:rPr>
          <w:rFonts w:ascii="Arial" w:hAnsi="Arial" w:cs="Arial"/>
        </w:rPr>
        <w:t>*Correspondence</w:t>
      </w:r>
    </w:p>
    <w:p w14:paraId="3C53FE94" w14:textId="77777777" w:rsidR="005802FA" w:rsidRPr="00F93094" w:rsidRDefault="005802FA" w:rsidP="005802FA">
      <w:pPr>
        <w:rPr>
          <w:rFonts w:ascii="Arial" w:hAnsi="Arial" w:cs="Arial"/>
        </w:rPr>
      </w:pPr>
      <w:proofErr w:type="spellStart"/>
      <w:r w:rsidRPr="00F93094">
        <w:rPr>
          <w:rFonts w:ascii="Arial" w:hAnsi="Arial" w:cs="Arial"/>
        </w:rPr>
        <w:t>Yuping</w:t>
      </w:r>
      <w:proofErr w:type="spellEnd"/>
      <w:r w:rsidRPr="00F93094">
        <w:rPr>
          <w:rFonts w:ascii="Arial" w:hAnsi="Arial" w:cs="Arial"/>
        </w:rPr>
        <w:t xml:space="preserve"> Tang</w:t>
      </w:r>
      <w:r>
        <w:rPr>
          <w:rFonts w:ascii="Arial" w:hAnsi="Arial" w:cs="Arial"/>
        </w:rPr>
        <w:t>, MD, PhD</w:t>
      </w:r>
    </w:p>
    <w:p w14:paraId="7D5A4D87" w14:textId="77777777" w:rsidR="005802FA" w:rsidRPr="00F93094" w:rsidRDefault="005802FA" w:rsidP="005802FA">
      <w:pPr>
        <w:rPr>
          <w:rFonts w:ascii="Arial" w:hAnsi="Arial" w:cs="Arial"/>
        </w:rPr>
      </w:pPr>
      <w:r w:rsidRPr="00F93094">
        <w:rPr>
          <w:rFonts w:ascii="Arial" w:hAnsi="Arial" w:cs="Arial"/>
        </w:rPr>
        <w:t>No.12, Mid-Wulumuqi Road, Shanghai, 200041, China</w:t>
      </w:r>
    </w:p>
    <w:p w14:paraId="0C5D251D" w14:textId="77777777" w:rsidR="005802FA" w:rsidRPr="00F93094" w:rsidRDefault="005802FA" w:rsidP="005802FA">
      <w:pPr>
        <w:rPr>
          <w:rFonts w:ascii="Arial" w:hAnsi="Arial" w:cs="Arial"/>
        </w:rPr>
      </w:pPr>
      <w:r w:rsidRPr="00F93094">
        <w:rPr>
          <w:rFonts w:ascii="Arial" w:hAnsi="Arial" w:cs="Arial"/>
        </w:rPr>
        <w:t>Tel: 13764480396</w:t>
      </w:r>
    </w:p>
    <w:p w14:paraId="6C6580C1" w14:textId="77777777" w:rsidR="005802FA" w:rsidRPr="00F93094" w:rsidRDefault="005802FA" w:rsidP="005802FA">
      <w:pPr>
        <w:rPr>
          <w:rFonts w:ascii="Arial" w:hAnsi="Arial" w:cs="Arial"/>
        </w:rPr>
      </w:pPr>
      <w:r w:rsidRPr="00F93094">
        <w:rPr>
          <w:rFonts w:ascii="Arial" w:hAnsi="Arial" w:cs="Arial"/>
        </w:rPr>
        <w:t>E-mail: tangyuping39@163.com</w:t>
      </w:r>
    </w:p>
    <w:p w14:paraId="0D09674C" w14:textId="77777777" w:rsidR="005802FA" w:rsidRPr="00F93094" w:rsidRDefault="005802FA" w:rsidP="005802FA">
      <w:pPr>
        <w:rPr>
          <w:rFonts w:ascii="Arial" w:hAnsi="Arial" w:cs="Arial"/>
        </w:rPr>
      </w:pPr>
      <w:proofErr w:type="spellStart"/>
      <w:r w:rsidRPr="00F93094">
        <w:rPr>
          <w:rFonts w:ascii="Arial" w:hAnsi="Arial" w:cs="Arial"/>
        </w:rPr>
        <w:t>Danhong</w:t>
      </w:r>
      <w:proofErr w:type="spellEnd"/>
      <w:r w:rsidRPr="00F93094">
        <w:rPr>
          <w:rFonts w:ascii="Arial" w:hAnsi="Arial" w:cs="Arial"/>
        </w:rPr>
        <w:t xml:space="preserve"> Wu</w:t>
      </w:r>
      <w:r>
        <w:rPr>
          <w:rFonts w:ascii="Arial" w:hAnsi="Arial" w:cs="Arial"/>
        </w:rPr>
        <w:t>, MD</w:t>
      </w:r>
    </w:p>
    <w:p w14:paraId="3CCC99C3" w14:textId="77777777" w:rsidR="005802FA" w:rsidRPr="00F93094" w:rsidRDefault="005802FA" w:rsidP="005802FA">
      <w:pPr>
        <w:rPr>
          <w:rFonts w:ascii="Arial" w:hAnsi="Arial" w:cs="Arial"/>
        </w:rPr>
      </w:pPr>
      <w:r w:rsidRPr="00F93094">
        <w:rPr>
          <w:rFonts w:ascii="Arial" w:hAnsi="Arial" w:cs="Arial"/>
        </w:rPr>
        <w:t xml:space="preserve">No. 801, </w:t>
      </w:r>
      <w:proofErr w:type="spellStart"/>
      <w:r w:rsidRPr="00F93094">
        <w:rPr>
          <w:rFonts w:ascii="Arial" w:hAnsi="Arial" w:cs="Arial"/>
        </w:rPr>
        <w:t>Heqing</w:t>
      </w:r>
      <w:proofErr w:type="spellEnd"/>
      <w:r w:rsidRPr="00F93094">
        <w:rPr>
          <w:rFonts w:ascii="Arial" w:hAnsi="Arial" w:cs="Arial"/>
        </w:rPr>
        <w:t xml:space="preserve"> Road, Shanghai, 200240, China</w:t>
      </w:r>
    </w:p>
    <w:p w14:paraId="1033AECD" w14:textId="77777777" w:rsidR="005802FA" w:rsidRPr="00F93094" w:rsidRDefault="005802FA" w:rsidP="005802FA">
      <w:pPr>
        <w:rPr>
          <w:rFonts w:ascii="Arial" w:hAnsi="Arial" w:cs="Arial"/>
        </w:rPr>
      </w:pPr>
      <w:r w:rsidRPr="00F93094">
        <w:rPr>
          <w:rFonts w:ascii="Arial" w:hAnsi="Arial" w:cs="Arial"/>
        </w:rPr>
        <w:t>Tel: 18116125596</w:t>
      </w:r>
    </w:p>
    <w:p w14:paraId="29C5A399" w14:textId="77777777" w:rsidR="005802FA" w:rsidRDefault="005802FA" w:rsidP="005802FA">
      <w:pPr>
        <w:rPr>
          <w:rFonts w:ascii="Arial" w:hAnsi="Arial" w:cs="Arial"/>
        </w:rPr>
      </w:pPr>
      <w:r w:rsidRPr="00F93094">
        <w:rPr>
          <w:rFonts w:ascii="Arial" w:hAnsi="Arial" w:cs="Arial"/>
        </w:rPr>
        <w:t>E-mail: danhongwu@fudan.edu.cn</w:t>
      </w:r>
    </w:p>
    <w:p w14:paraId="1E9A10A2" w14:textId="147C8187" w:rsidR="00587CB1" w:rsidRPr="005802FA" w:rsidRDefault="00587CB1"/>
    <w:p w14:paraId="0781D557" w14:textId="64C6156E" w:rsidR="003A4710" w:rsidRDefault="003A4710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34F9E7" w14:textId="77777777" w:rsidR="003A4710" w:rsidRPr="003A4710" w:rsidRDefault="003A4710" w:rsidP="003A4710">
      <w:pPr>
        <w:rPr>
          <w:rFonts w:ascii="Arial" w:hAnsi="Arial" w:cs="Arial"/>
          <w:b/>
          <w:bCs/>
        </w:rPr>
      </w:pPr>
      <w:r w:rsidRPr="003A4710">
        <w:rPr>
          <w:rFonts w:ascii="Arial" w:hAnsi="Arial" w:cs="Arial"/>
          <w:b/>
          <w:bCs/>
        </w:rPr>
        <w:lastRenderedPageBreak/>
        <w:t>Expanded Materials &amp; Methods</w:t>
      </w:r>
    </w:p>
    <w:p w14:paraId="4664173E" w14:textId="77777777" w:rsidR="003A4710" w:rsidRPr="003A4710" w:rsidRDefault="003A4710" w:rsidP="003A4710">
      <w:pPr>
        <w:rPr>
          <w:rFonts w:ascii="Arial" w:hAnsi="Arial" w:cs="Arial"/>
        </w:rPr>
      </w:pPr>
    </w:p>
    <w:p w14:paraId="08DC76F9" w14:textId="77777777" w:rsidR="003A4710" w:rsidRPr="003A4710" w:rsidRDefault="003A4710" w:rsidP="003A4710">
      <w:pPr>
        <w:rPr>
          <w:rFonts w:ascii="Arial" w:hAnsi="Arial" w:cs="Arial"/>
        </w:rPr>
      </w:pPr>
      <w:r w:rsidRPr="003A4710">
        <w:rPr>
          <w:rFonts w:ascii="Arial" w:hAnsi="Arial" w:cs="Arial"/>
        </w:rPr>
        <w:t>Inclusion and exclusion criteria</w:t>
      </w:r>
    </w:p>
    <w:p w14:paraId="0CCCF2F2" w14:textId="18FCF474" w:rsidR="003A4710" w:rsidRPr="003A4710" w:rsidRDefault="003A4710" w:rsidP="003A4710">
      <w:pPr>
        <w:rPr>
          <w:rFonts w:ascii="Arial" w:hAnsi="Arial" w:cs="Arial"/>
        </w:rPr>
      </w:pPr>
      <w:r w:rsidRPr="003A4710">
        <w:rPr>
          <w:rFonts w:ascii="Arial" w:hAnsi="Arial" w:cs="Arial"/>
        </w:rPr>
        <w:t>Patients were included in the present study if they met the following criteria: (1) diagnosed with acute mild stroke (acute ischemic stroke [AIS] with National Institute of Health Stroke Scale [NIHSS]</w:t>
      </w:r>
      <w:r>
        <w:rPr>
          <w:rFonts w:ascii="Arial" w:hAnsi="Arial" w:cs="Arial"/>
        </w:rPr>
        <w:t xml:space="preserve"> &gt; 0</w:t>
      </w:r>
      <w:r w:rsidRPr="003A4710">
        <w:rPr>
          <w:rFonts w:ascii="Arial" w:hAnsi="Arial" w:cs="Arial"/>
        </w:rPr>
        <w:t>) within 24 h of onset; (2) aged 18 years or older; and (3) completed a head magnetic resonance imaging (MRI) or computed tomography (CT) within 48 h. AIS was diagnosed if there were new focal neurological deficits explained by relevant lesions detected on head diffusion-weighted imaging (DWI). According to the relevant guidelines, if the patients in the cohort met the criteria of thrombolysis, they were treated with intravenous alteplase</w:t>
      </w:r>
      <w:r w:rsidR="008579A8">
        <w:rPr>
          <w:rFonts w:ascii="Arial" w:hAnsi="Arial" w:cs="Arial"/>
        </w:rPr>
        <w:t xml:space="preserve">, or </w:t>
      </w:r>
      <w:proofErr w:type="spellStart"/>
      <w:r w:rsidR="008579A8">
        <w:rPr>
          <w:rFonts w:ascii="Arial" w:hAnsi="Arial" w:cs="Arial"/>
        </w:rPr>
        <w:t>rtPA</w:t>
      </w:r>
      <w:proofErr w:type="spellEnd"/>
      <w:r w:rsidRPr="003A4710">
        <w:rPr>
          <w:rFonts w:ascii="Arial" w:hAnsi="Arial" w:cs="Arial"/>
        </w:rPr>
        <w:t xml:space="preserve"> (dosage = 0.9 mg/kg × patient’s body weight (kg); 10% of the dosage was injected intravenously as a bolus within the first minute, and the remaining 90% was injected intravenously within 1 h) or neuro-intervention. The inclusion/exclusion criteria for thrombolysis followed Chinese guidelines.</w:t>
      </w:r>
    </w:p>
    <w:p w14:paraId="2D90E224" w14:textId="77777777" w:rsidR="003A4710" w:rsidRPr="003A4710" w:rsidRDefault="003A4710" w:rsidP="003A4710">
      <w:pPr>
        <w:rPr>
          <w:rFonts w:ascii="Arial" w:hAnsi="Arial" w:cs="Arial"/>
        </w:rPr>
      </w:pPr>
      <w:r w:rsidRPr="003A4710">
        <w:rPr>
          <w:rFonts w:ascii="Arial" w:hAnsi="Arial" w:cs="Arial"/>
        </w:rPr>
        <w:t xml:space="preserve">Patients were excluded if they met the following criteria: (1) previous AIS or cerebral hemorrhage; (2) pregnant patients; (3) severe heart (with cardiac function in grade 3 or 4 according to the New York Heart Association or left ventricular ejection fraction &lt; 40% on echocardiography), lung (with blood oxygen saturation less than 95% and symptoms of shortness of breath, cyanosis, and abnormal blood gas analysis), liver (serum alanine aminotransferase levels &gt; 10-fold the upper limit of the reference range), kidney (serum creatinine &gt; 443 </w:t>
      </w:r>
      <w:proofErr w:type="spellStart"/>
      <w:r w:rsidRPr="003A4710">
        <w:rPr>
          <w:rFonts w:ascii="Arial" w:hAnsi="Arial" w:cs="Arial"/>
        </w:rPr>
        <w:t>μmol</w:t>
      </w:r>
      <w:proofErr w:type="spellEnd"/>
      <w:r w:rsidRPr="003A4710">
        <w:rPr>
          <w:rFonts w:ascii="Arial" w:hAnsi="Arial" w:cs="Arial"/>
        </w:rPr>
        <w:t>/L), and neoplastic diseases; (4) autoimmune diseases; and (5) infection symptoms or signs present at stroke onset.</w:t>
      </w:r>
    </w:p>
    <w:p w14:paraId="2A4049B5" w14:textId="77777777" w:rsidR="003A4710" w:rsidRPr="003A4710" w:rsidRDefault="003A4710" w:rsidP="003A4710">
      <w:pPr>
        <w:rPr>
          <w:rFonts w:ascii="Arial" w:hAnsi="Arial" w:cs="Arial"/>
        </w:rPr>
      </w:pPr>
    </w:p>
    <w:p w14:paraId="7F587B4B" w14:textId="77777777" w:rsidR="003A4710" w:rsidRPr="003A4710" w:rsidRDefault="003A4710" w:rsidP="003A4710">
      <w:pPr>
        <w:rPr>
          <w:rFonts w:ascii="Arial" w:hAnsi="Arial" w:cs="Arial"/>
        </w:rPr>
      </w:pPr>
      <w:r w:rsidRPr="003A4710">
        <w:rPr>
          <w:rFonts w:ascii="Arial" w:hAnsi="Arial" w:cs="Arial"/>
        </w:rPr>
        <w:t>Sample size calculation</w:t>
      </w:r>
    </w:p>
    <w:p w14:paraId="1E311C6B" w14:textId="0918D0CB" w:rsidR="00587CB1" w:rsidRDefault="003A4710" w:rsidP="003A4710">
      <w:pPr>
        <w:rPr>
          <w:rFonts w:ascii="Arial" w:hAnsi="Arial" w:cs="Arial"/>
        </w:rPr>
      </w:pPr>
      <w:r w:rsidRPr="003A4710">
        <w:rPr>
          <w:rFonts w:ascii="Arial" w:hAnsi="Arial" w:cs="Arial"/>
        </w:rPr>
        <w:t>The number of participants required for the study was calculated by using R language. The prevalence rate of positive results in general population (p0) and in stroke patients (p1) were set at 0.4 and 0.2 respectively according to the previous study. A 2-sided 0.05 level of significance and sample size of 216 patients (108 per groups) provided 90% statistical power to demonstrate the differences in the primary outcomes. To accommodate for 15% attrition rate, we finally recruited</w:t>
      </w:r>
      <w:r w:rsidR="00705056">
        <w:rPr>
          <w:rFonts w:ascii="Arial" w:hAnsi="Arial" w:cs="Arial"/>
        </w:rPr>
        <w:t xml:space="preserve"> 262</w:t>
      </w:r>
      <w:r w:rsidRPr="003A4710">
        <w:rPr>
          <w:rFonts w:ascii="Arial" w:hAnsi="Arial" w:cs="Arial"/>
        </w:rPr>
        <w:t xml:space="preserve"> participants.</w:t>
      </w:r>
    </w:p>
    <w:p w14:paraId="180EA76F" w14:textId="0539FCD5" w:rsidR="00B31831" w:rsidRDefault="00B31831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2457"/>
        <w:gridCol w:w="2608"/>
        <w:gridCol w:w="1212"/>
      </w:tblGrid>
      <w:tr w:rsidR="00B31831" w:rsidRPr="00B31831" w14:paraId="5719CCDB" w14:textId="77777777" w:rsidTr="00EC5A9C">
        <w:trPr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11405990" w14:textId="1BDC79BE" w:rsidR="00B31831" w:rsidRPr="00B31831" w:rsidRDefault="00B31831" w:rsidP="00EC5A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183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Supplementary tables</w:t>
            </w:r>
          </w:p>
          <w:p w14:paraId="08559AA1" w14:textId="4FF8A78B" w:rsidR="00B31831" w:rsidRPr="00B31831" w:rsidRDefault="00B31831" w:rsidP="00EC5A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31831">
              <w:rPr>
                <w:rFonts w:ascii="Arial" w:hAnsi="Arial" w:cs="Arial"/>
                <w:b/>
                <w:bCs/>
                <w:sz w:val="18"/>
                <w:szCs w:val="18"/>
              </w:rPr>
              <w:t>STable</w:t>
            </w:r>
            <w:proofErr w:type="spellEnd"/>
            <w:r w:rsidRPr="00B318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1. Comparisons between thrombolysis-treated ischemic stroke patients with or without improvement</w:t>
            </w:r>
          </w:p>
        </w:tc>
      </w:tr>
      <w:tr w:rsidR="00B31831" w:rsidRPr="00B31831" w14:paraId="373BAA11" w14:textId="77777777" w:rsidTr="00EC5A9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D4DA82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CF64BF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With improvement (n=62)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58E415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Without improvement(n=100)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32B44C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1831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</w:tr>
      <w:tr w:rsidR="00B31831" w:rsidRPr="00B31831" w14:paraId="7746C897" w14:textId="77777777" w:rsidTr="00EC5A9C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06F81B95" w14:textId="77777777" w:rsidR="00B31831" w:rsidRPr="00B31831" w:rsidRDefault="00B31831" w:rsidP="00EC5A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Demographic data</w:t>
            </w:r>
          </w:p>
        </w:tc>
      </w:tr>
      <w:tr w:rsidR="00B31831" w:rsidRPr="00B31831" w14:paraId="16C45118" w14:textId="77777777" w:rsidTr="00EC5A9C">
        <w:trPr>
          <w:jc w:val="center"/>
        </w:trPr>
        <w:tc>
          <w:tcPr>
            <w:tcW w:w="0" w:type="auto"/>
          </w:tcPr>
          <w:p w14:paraId="718A4229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Age, years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0" w:type="auto"/>
          </w:tcPr>
          <w:p w14:paraId="60192218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67.1(11.6)</w:t>
            </w:r>
          </w:p>
        </w:tc>
        <w:tc>
          <w:tcPr>
            <w:tcW w:w="0" w:type="auto"/>
          </w:tcPr>
          <w:p w14:paraId="3F3DCEA8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67.3(11.7)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412DD800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</w:tr>
      <w:tr w:rsidR="00B31831" w:rsidRPr="00B31831" w14:paraId="0058FFFD" w14:textId="77777777" w:rsidTr="00EC5A9C">
        <w:trPr>
          <w:jc w:val="center"/>
        </w:trPr>
        <w:tc>
          <w:tcPr>
            <w:tcW w:w="0" w:type="auto"/>
          </w:tcPr>
          <w:p w14:paraId="0467B813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0" w:type="auto"/>
          </w:tcPr>
          <w:p w14:paraId="1A0D66C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35(56%)</w:t>
            </w:r>
          </w:p>
        </w:tc>
        <w:tc>
          <w:tcPr>
            <w:tcW w:w="0" w:type="auto"/>
          </w:tcPr>
          <w:p w14:paraId="0F2CAAC6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32(32%)</w:t>
            </w:r>
          </w:p>
        </w:tc>
        <w:tc>
          <w:tcPr>
            <w:tcW w:w="0" w:type="auto"/>
          </w:tcPr>
          <w:p w14:paraId="3FA03689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0.004</w:t>
            </w:r>
            <w:r w:rsidRPr="00B31831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B31831" w:rsidRPr="00B31831" w14:paraId="024DE1F8" w14:textId="77777777" w:rsidTr="00EC5A9C">
        <w:trPr>
          <w:jc w:val="center"/>
        </w:trPr>
        <w:tc>
          <w:tcPr>
            <w:tcW w:w="0" w:type="auto"/>
          </w:tcPr>
          <w:p w14:paraId="716134B2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0" w:type="auto"/>
          </w:tcPr>
          <w:p w14:paraId="392F7BD0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48(77%)</w:t>
            </w:r>
          </w:p>
        </w:tc>
        <w:tc>
          <w:tcPr>
            <w:tcW w:w="0" w:type="auto"/>
          </w:tcPr>
          <w:p w14:paraId="6DADB90B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82(82%)</w:t>
            </w:r>
          </w:p>
        </w:tc>
        <w:tc>
          <w:tcPr>
            <w:tcW w:w="0" w:type="auto"/>
          </w:tcPr>
          <w:p w14:paraId="3CA0DD12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</w:tr>
      <w:tr w:rsidR="00B31831" w:rsidRPr="00B31831" w14:paraId="53951C02" w14:textId="77777777" w:rsidTr="00EC5A9C">
        <w:trPr>
          <w:jc w:val="center"/>
        </w:trPr>
        <w:tc>
          <w:tcPr>
            <w:tcW w:w="0" w:type="auto"/>
          </w:tcPr>
          <w:p w14:paraId="00E2A630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14:paraId="120E30AC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Atrial fibrillation</w:t>
            </w:r>
          </w:p>
          <w:p w14:paraId="456DE78E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Coronary artery disease</w:t>
            </w:r>
          </w:p>
        </w:tc>
        <w:tc>
          <w:tcPr>
            <w:tcW w:w="0" w:type="auto"/>
          </w:tcPr>
          <w:p w14:paraId="24591EB1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22(36%)</w:t>
            </w:r>
          </w:p>
          <w:p w14:paraId="09FB2BC5" w14:textId="77777777" w:rsidR="00B31831" w:rsidRPr="00B31831" w:rsidRDefault="00B31831" w:rsidP="00EC5A9C">
            <w:pPr>
              <w:ind w:firstLineChars="500" w:firstLine="90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15(24%)</w:t>
            </w:r>
          </w:p>
          <w:p w14:paraId="03CAD24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6(10%)</w:t>
            </w:r>
          </w:p>
        </w:tc>
        <w:tc>
          <w:tcPr>
            <w:tcW w:w="0" w:type="auto"/>
          </w:tcPr>
          <w:p w14:paraId="16F199A1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34(34%)</w:t>
            </w:r>
          </w:p>
          <w:p w14:paraId="4D9F72EE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11(11%)</w:t>
            </w:r>
          </w:p>
          <w:p w14:paraId="7908EC33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7(7%)</w:t>
            </w:r>
          </w:p>
        </w:tc>
        <w:tc>
          <w:tcPr>
            <w:tcW w:w="0" w:type="auto"/>
          </w:tcPr>
          <w:p w14:paraId="665A5543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0.85</w:t>
            </w:r>
          </w:p>
          <w:p w14:paraId="3285EB8B" w14:textId="77777777" w:rsidR="00B31831" w:rsidRPr="00B31831" w:rsidRDefault="00B31831" w:rsidP="00EC5A9C">
            <w:pPr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 xml:space="preserve">    0.045</w:t>
            </w:r>
            <w:r w:rsidRPr="00B31831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  <w:p w14:paraId="56AA052B" w14:textId="77777777" w:rsidR="00B31831" w:rsidRPr="00B31831" w:rsidRDefault="00B31831" w:rsidP="00EC5A9C">
            <w:pPr>
              <w:tabs>
                <w:tab w:val="left" w:pos="350"/>
              </w:tabs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ab/>
              <w:t>0.54</w:t>
            </w:r>
          </w:p>
        </w:tc>
      </w:tr>
      <w:tr w:rsidR="00B31831" w:rsidRPr="00B31831" w14:paraId="5B1C7331" w14:textId="77777777" w:rsidTr="00EC5A9C">
        <w:trPr>
          <w:jc w:val="center"/>
        </w:trPr>
        <w:tc>
          <w:tcPr>
            <w:tcW w:w="0" w:type="auto"/>
          </w:tcPr>
          <w:p w14:paraId="1A606D51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Smoking</w:t>
            </w:r>
          </w:p>
        </w:tc>
        <w:tc>
          <w:tcPr>
            <w:tcW w:w="0" w:type="auto"/>
          </w:tcPr>
          <w:p w14:paraId="004E882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21(34%)</w:t>
            </w:r>
          </w:p>
        </w:tc>
        <w:tc>
          <w:tcPr>
            <w:tcW w:w="0" w:type="auto"/>
          </w:tcPr>
          <w:p w14:paraId="5FCB18B0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42(42%)</w:t>
            </w:r>
          </w:p>
        </w:tc>
        <w:tc>
          <w:tcPr>
            <w:tcW w:w="0" w:type="auto"/>
          </w:tcPr>
          <w:p w14:paraId="0D7EF8D3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0.30</w:t>
            </w:r>
          </w:p>
        </w:tc>
      </w:tr>
      <w:tr w:rsidR="00B31831" w:rsidRPr="00B31831" w14:paraId="2CEAE504" w14:textId="77777777" w:rsidTr="00EC5A9C">
        <w:trPr>
          <w:jc w:val="center"/>
        </w:trPr>
        <w:tc>
          <w:tcPr>
            <w:tcW w:w="0" w:type="auto"/>
          </w:tcPr>
          <w:p w14:paraId="6D7C1602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Drinking</w:t>
            </w:r>
          </w:p>
        </w:tc>
        <w:tc>
          <w:tcPr>
            <w:tcW w:w="0" w:type="auto"/>
          </w:tcPr>
          <w:p w14:paraId="4C654A8E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6(10%)</w:t>
            </w:r>
          </w:p>
        </w:tc>
        <w:tc>
          <w:tcPr>
            <w:tcW w:w="0" w:type="auto"/>
          </w:tcPr>
          <w:p w14:paraId="64E9FEE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21(21%)</w:t>
            </w:r>
          </w:p>
        </w:tc>
        <w:tc>
          <w:tcPr>
            <w:tcW w:w="0" w:type="auto"/>
          </w:tcPr>
          <w:p w14:paraId="7FE5C60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B31831" w:rsidRPr="00B31831" w14:paraId="72A84833" w14:textId="77777777" w:rsidTr="00EC5A9C">
        <w:trPr>
          <w:jc w:val="center"/>
        </w:trPr>
        <w:tc>
          <w:tcPr>
            <w:tcW w:w="0" w:type="auto"/>
          </w:tcPr>
          <w:p w14:paraId="4A60A8A3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Fatty liver</w:t>
            </w:r>
          </w:p>
        </w:tc>
        <w:tc>
          <w:tcPr>
            <w:tcW w:w="0" w:type="auto"/>
          </w:tcPr>
          <w:p w14:paraId="79325B6A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28(45%)</w:t>
            </w:r>
          </w:p>
        </w:tc>
        <w:tc>
          <w:tcPr>
            <w:tcW w:w="0" w:type="auto"/>
          </w:tcPr>
          <w:p w14:paraId="1BE9E86C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43(43%)</w:t>
            </w:r>
          </w:p>
        </w:tc>
        <w:tc>
          <w:tcPr>
            <w:tcW w:w="0" w:type="auto"/>
          </w:tcPr>
          <w:p w14:paraId="778634E6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</w:tr>
      <w:tr w:rsidR="00B31831" w:rsidRPr="00B31831" w14:paraId="06C8E7B6" w14:textId="77777777" w:rsidTr="00EC5A9C">
        <w:trPr>
          <w:jc w:val="center"/>
        </w:trPr>
        <w:tc>
          <w:tcPr>
            <w:tcW w:w="0" w:type="auto"/>
          </w:tcPr>
          <w:p w14:paraId="3CE6B50E" w14:textId="77777777" w:rsidR="00B31831" w:rsidRPr="00B31831" w:rsidRDefault="00B31831" w:rsidP="00EC5A9C">
            <w:pPr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Admission NIHSS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0" w:type="auto"/>
          </w:tcPr>
          <w:p w14:paraId="79BC9C8B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8.5(3.8)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53CE851E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4.7(3.2)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34D5BD38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&lt; .001</w:t>
            </w:r>
            <w:r w:rsidRPr="00B31831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B31831" w:rsidRPr="00B31831" w14:paraId="3ADE53DD" w14:textId="77777777" w:rsidTr="00EC5A9C">
        <w:trPr>
          <w:jc w:val="center"/>
        </w:trPr>
        <w:tc>
          <w:tcPr>
            <w:tcW w:w="0" w:type="auto"/>
          </w:tcPr>
          <w:p w14:paraId="646DE6D7" w14:textId="77777777" w:rsidR="00B31831" w:rsidRPr="00B31831" w:rsidRDefault="00B31831" w:rsidP="00EC5A9C">
            <w:pPr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7-day NIHSS</w:t>
            </w:r>
          </w:p>
        </w:tc>
        <w:tc>
          <w:tcPr>
            <w:tcW w:w="0" w:type="auto"/>
          </w:tcPr>
          <w:p w14:paraId="673DA902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3(4)</w:t>
            </w:r>
          </w:p>
        </w:tc>
        <w:tc>
          <w:tcPr>
            <w:tcW w:w="0" w:type="auto"/>
          </w:tcPr>
          <w:p w14:paraId="4389A8F0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3(4)</w:t>
            </w:r>
          </w:p>
        </w:tc>
        <w:tc>
          <w:tcPr>
            <w:tcW w:w="0" w:type="auto"/>
          </w:tcPr>
          <w:p w14:paraId="1322D8A8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</w:tr>
      <w:tr w:rsidR="00B31831" w:rsidRPr="00B31831" w14:paraId="13B05FBA" w14:textId="77777777" w:rsidTr="00EC5A9C">
        <w:trPr>
          <w:jc w:val="center"/>
        </w:trPr>
        <w:tc>
          <w:tcPr>
            <w:tcW w:w="0" w:type="auto"/>
            <w:gridSpan w:val="4"/>
          </w:tcPr>
          <w:p w14:paraId="7E440CEA" w14:textId="77777777" w:rsidR="00B31831" w:rsidRPr="00B31831" w:rsidRDefault="00B31831" w:rsidP="00EC5A9C">
            <w:pPr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Laboratory data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>†</w:t>
            </w:r>
          </w:p>
        </w:tc>
      </w:tr>
      <w:tr w:rsidR="00B31831" w:rsidRPr="00B31831" w14:paraId="13DF57FE" w14:textId="77777777" w:rsidTr="00EC5A9C">
        <w:trPr>
          <w:jc w:val="center"/>
        </w:trPr>
        <w:tc>
          <w:tcPr>
            <w:tcW w:w="0" w:type="auto"/>
          </w:tcPr>
          <w:p w14:paraId="705519A4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1831">
              <w:rPr>
                <w:rFonts w:ascii="Arial" w:hAnsi="Arial" w:cs="Arial"/>
                <w:sz w:val="18"/>
                <w:szCs w:val="18"/>
              </w:rPr>
              <w:t>ApoB</w:t>
            </w:r>
            <w:proofErr w:type="spellEnd"/>
            <w:r w:rsidRPr="00B31831">
              <w:rPr>
                <w:rFonts w:ascii="Arial" w:hAnsi="Arial" w:cs="Arial"/>
                <w:sz w:val="18"/>
                <w:szCs w:val="18"/>
              </w:rPr>
              <w:t xml:space="preserve"> 100, ng/ml</w:t>
            </w:r>
          </w:p>
        </w:tc>
        <w:tc>
          <w:tcPr>
            <w:tcW w:w="0" w:type="auto"/>
          </w:tcPr>
          <w:p w14:paraId="0BC595D4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31.7(14.1)</w:t>
            </w:r>
          </w:p>
        </w:tc>
        <w:tc>
          <w:tcPr>
            <w:tcW w:w="0" w:type="auto"/>
          </w:tcPr>
          <w:p w14:paraId="36119333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29.5(14.3)</w:t>
            </w:r>
          </w:p>
        </w:tc>
        <w:tc>
          <w:tcPr>
            <w:tcW w:w="0" w:type="auto"/>
          </w:tcPr>
          <w:p w14:paraId="5B48D34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B31831" w:rsidRPr="00B31831" w14:paraId="71E432F6" w14:textId="77777777" w:rsidTr="00EC5A9C">
        <w:trPr>
          <w:jc w:val="center"/>
        </w:trPr>
        <w:tc>
          <w:tcPr>
            <w:tcW w:w="0" w:type="auto"/>
          </w:tcPr>
          <w:p w14:paraId="7A3F5A07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RC, mmol/L</w:t>
            </w:r>
          </w:p>
        </w:tc>
        <w:tc>
          <w:tcPr>
            <w:tcW w:w="0" w:type="auto"/>
          </w:tcPr>
          <w:p w14:paraId="6B6DA591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0.4(0.3)</w:t>
            </w:r>
          </w:p>
        </w:tc>
        <w:tc>
          <w:tcPr>
            <w:tcW w:w="0" w:type="auto"/>
          </w:tcPr>
          <w:p w14:paraId="6875A296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0.5(0.3)</w:t>
            </w:r>
          </w:p>
        </w:tc>
        <w:tc>
          <w:tcPr>
            <w:tcW w:w="0" w:type="auto"/>
          </w:tcPr>
          <w:p w14:paraId="03EB388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</w:tr>
      <w:tr w:rsidR="00B31831" w:rsidRPr="00B31831" w14:paraId="57EB03C1" w14:textId="77777777" w:rsidTr="00EC5A9C">
        <w:trPr>
          <w:jc w:val="center"/>
        </w:trPr>
        <w:tc>
          <w:tcPr>
            <w:tcW w:w="0" w:type="auto"/>
          </w:tcPr>
          <w:p w14:paraId="5A83EFBE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TC, mmol/L</w:t>
            </w:r>
          </w:p>
        </w:tc>
        <w:tc>
          <w:tcPr>
            <w:tcW w:w="0" w:type="auto"/>
          </w:tcPr>
          <w:p w14:paraId="129126EA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4.3(1)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658E9F25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4.6(3)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2B7C3AD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</w:tr>
      <w:tr w:rsidR="00B31831" w:rsidRPr="00B31831" w14:paraId="55327D87" w14:textId="77777777" w:rsidTr="00EC5A9C">
        <w:trPr>
          <w:jc w:val="center"/>
        </w:trPr>
        <w:tc>
          <w:tcPr>
            <w:tcW w:w="0" w:type="auto"/>
          </w:tcPr>
          <w:p w14:paraId="6DFBEA49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TG, mmol/L</w:t>
            </w:r>
          </w:p>
        </w:tc>
        <w:tc>
          <w:tcPr>
            <w:tcW w:w="0" w:type="auto"/>
          </w:tcPr>
          <w:p w14:paraId="7457F74A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1.4(0.9)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6DB6CCF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1.4(1.0)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18E2F089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</w:tr>
      <w:tr w:rsidR="00B31831" w:rsidRPr="00B31831" w14:paraId="29154781" w14:textId="77777777" w:rsidTr="00EC5A9C">
        <w:trPr>
          <w:jc w:val="center"/>
        </w:trPr>
        <w:tc>
          <w:tcPr>
            <w:tcW w:w="0" w:type="auto"/>
          </w:tcPr>
          <w:p w14:paraId="0D068202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HDL, mmol/L</w:t>
            </w:r>
          </w:p>
        </w:tc>
        <w:tc>
          <w:tcPr>
            <w:tcW w:w="0" w:type="auto"/>
          </w:tcPr>
          <w:p w14:paraId="4DB631A9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1.1(0.3)</w:t>
            </w:r>
          </w:p>
        </w:tc>
        <w:tc>
          <w:tcPr>
            <w:tcW w:w="0" w:type="auto"/>
          </w:tcPr>
          <w:p w14:paraId="619BFD4E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1.2(0.4)</w:t>
            </w:r>
          </w:p>
        </w:tc>
        <w:tc>
          <w:tcPr>
            <w:tcW w:w="0" w:type="auto"/>
          </w:tcPr>
          <w:p w14:paraId="38517C2B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</w:tr>
      <w:tr w:rsidR="00B31831" w:rsidRPr="00B31831" w14:paraId="3D76EA2D" w14:textId="77777777" w:rsidTr="00EC5A9C">
        <w:trPr>
          <w:jc w:val="center"/>
        </w:trPr>
        <w:tc>
          <w:tcPr>
            <w:tcW w:w="0" w:type="auto"/>
          </w:tcPr>
          <w:p w14:paraId="3064D716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LDL, mmol/L</w:t>
            </w:r>
          </w:p>
        </w:tc>
        <w:tc>
          <w:tcPr>
            <w:tcW w:w="0" w:type="auto"/>
          </w:tcPr>
          <w:p w14:paraId="279C3BD0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2.8(0.8)</w:t>
            </w:r>
          </w:p>
        </w:tc>
        <w:tc>
          <w:tcPr>
            <w:tcW w:w="0" w:type="auto"/>
          </w:tcPr>
          <w:p w14:paraId="2FAF65B8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2.9(1.0)</w:t>
            </w:r>
          </w:p>
        </w:tc>
        <w:tc>
          <w:tcPr>
            <w:tcW w:w="0" w:type="auto"/>
          </w:tcPr>
          <w:p w14:paraId="76DDFE6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</w:tr>
      <w:tr w:rsidR="00B31831" w:rsidRPr="00B31831" w14:paraId="2963D52B" w14:textId="77777777" w:rsidTr="00EC5A9C">
        <w:trPr>
          <w:jc w:val="center"/>
        </w:trPr>
        <w:tc>
          <w:tcPr>
            <w:tcW w:w="0" w:type="auto"/>
          </w:tcPr>
          <w:p w14:paraId="160291F3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 xml:space="preserve">HCY, </w:t>
            </w:r>
            <w:proofErr w:type="spellStart"/>
            <w:r w:rsidRPr="00B31831">
              <w:rPr>
                <w:rFonts w:ascii="Arial" w:hAnsi="Arial" w:cs="Arial"/>
                <w:sz w:val="18"/>
                <w:szCs w:val="18"/>
              </w:rPr>
              <w:t>μmol</w:t>
            </w:r>
            <w:proofErr w:type="spellEnd"/>
            <w:r w:rsidRPr="00B31831">
              <w:rPr>
                <w:rFonts w:ascii="Arial" w:hAnsi="Arial" w:cs="Arial"/>
                <w:sz w:val="18"/>
                <w:szCs w:val="18"/>
              </w:rPr>
              <w:t>/L</w:t>
            </w:r>
          </w:p>
        </w:tc>
        <w:tc>
          <w:tcPr>
            <w:tcW w:w="0" w:type="auto"/>
          </w:tcPr>
          <w:p w14:paraId="7BA5C355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15.6(10.1)</w:t>
            </w:r>
          </w:p>
        </w:tc>
        <w:tc>
          <w:tcPr>
            <w:tcW w:w="0" w:type="auto"/>
          </w:tcPr>
          <w:p w14:paraId="21438C9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12.3(7.5)</w:t>
            </w:r>
          </w:p>
        </w:tc>
        <w:tc>
          <w:tcPr>
            <w:tcW w:w="0" w:type="auto"/>
          </w:tcPr>
          <w:p w14:paraId="3775484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</w:tr>
      <w:tr w:rsidR="00B31831" w:rsidRPr="00B31831" w14:paraId="7FA301F8" w14:textId="77777777" w:rsidTr="00EC5A9C">
        <w:trPr>
          <w:jc w:val="center"/>
        </w:trPr>
        <w:tc>
          <w:tcPr>
            <w:tcW w:w="0" w:type="auto"/>
          </w:tcPr>
          <w:p w14:paraId="75F59D9F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1831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B31831">
              <w:rPr>
                <w:rFonts w:ascii="Arial" w:hAnsi="Arial" w:cs="Arial"/>
                <w:sz w:val="18"/>
                <w:szCs w:val="18"/>
              </w:rPr>
              <w:t>(a), nmol/L</w:t>
            </w:r>
          </w:p>
        </w:tc>
        <w:tc>
          <w:tcPr>
            <w:tcW w:w="0" w:type="auto"/>
          </w:tcPr>
          <w:p w14:paraId="6AACD625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54.7(88.4)</w:t>
            </w:r>
          </w:p>
        </w:tc>
        <w:tc>
          <w:tcPr>
            <w:tcW w:w="0" w:type="auto"/>
          </w:tcPr>
          <w:p w14:paraId="03A02D2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44.0(57.2)</w:t>
            </w:r>
          </w:p>
        </w:tc>
        <w:tc>
          <w:tcPr>
            <w:tcW w:w="0" w:type="auto"/>
          </w:tcPr>
          <w:p w14:paraId="32F1C1C2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</w:tr>
      <w:tr w:rsidR="00B31831" w:rsidRPr="00B31831" w14:paraId="710B7429" w14:textId="77777777" w:rsidTr="00EC5A9C">
        <w:trPr>
          <w:jc w:val="center"/>
        </w:trPr>
        <w:tc>
          <w:tcPr>
            <w:tcW w:w="0" w:type="auto"/>
          </w:tcPr>
          <w:p w14:paraId="2B8F86C6" w14:textId="77777777" w:rsidR="00B31831" w:rsidRPr="00B31831" w:rsidRDefault="00B31831" w:rsidP="00EC5A9C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HbA1C, mmol/L</w:t>
            </w:r>
          </w:p>
        </w:tc>
        <w:tc>
          <w:tcPr>
            <w:tcW w:w="0" w:type="auto"/>
          </w:tcPr>
          <w:p w14:paraId="3C322130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6.5(1.4)</w:t>
            </w:r>
          </w:p>
        </w:tc>
        <w:tc>
          <w:tcPr>
            <w:tcW w:w="0" w:type="auto"/>
          </w:tcPr>
          <w:p w14:paraId="6A2FFE4F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6.7(1.8)</w:t>
            </w:r>
          </w:p>
        </w:tc>
        <w:tc>
          <w:tcPr>
            <w:tcW w:w="0" w:type="auto"/>
          </w:tcPr>
          <w:p w14:paraId="4E3C0EAA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</w:tr>
      <w:tr w:rsidR="00B31831" w:rsidRPr="00B31831" w14:paraId="69163DBC" w14:textId="77777777" w:rsidTr="00EC5A9C">
        <w:trPr>
          <w:jc w:val="center"/>
        </w:trPr>
        <w:tc>
          <w:tcPr>
            <w:tcW w:w="0" w:type="auto"/>
          </w:tcPr>
          <w:p w14:paraId="5F743204" w14:textId="77777777" w:rsidR="00B31831" w:rsidRPr="00B31831" w:rsidRDefault="00B31831" w:rsidP="00EC5A9C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ALT,</w:t>
            </w:r>
            <w:r w:rsidRPr="00B3183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B31831">
              <w:rPr>
                <w:rFonts w:ascii="Arial" w:hAnsi="Arial" w:cs="Arial"/>
                <w:sz w:val="18"/>
                <w:szCs w:val="18"/>
              </w:rPr>
              <w:t>mmol/L</w:t>
            </w:r>
          </w:p>
        </w:tc>
        <w:tc>
          <w:tcPr>
            <w:tcW w:w="0" w:type="auto"/>
          </w:tcPr>
          <w:p w14:paraId="07AFBDAA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18.2(19.1)</w:t>
            </w:r>
          </w:p>
        </w:tc>
        <w:tc>
          <w:tcPr>
            <w:tcW w:w="0" w:type="auto"/>
          </w:tcPr>
          <w:p w14:paraId="7C0BE00C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17.0(11.9)</w:t>
            </w:r>
          </w:p>
        </w:tc>
        <w:tc>
          <w:tcPr>
            <w:tcW w:w="0" w:type="auto"/>
          </w:tcPr>
          <w:p w14:paraId="6E9F1C86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</w:tr>
      <w:tr w:rsidR="00B31831" w:rsidRPr="00B31831" w14:paraId="2011E6FF" w14:textId="77777777" w:rsidTr="00EC5A9C">
        <w:trPr>
          <w:jc w:val="center"/>
        </w:trPr>
        <w:tc>
          <w:tcPr>
            <w:tcW w:w="0" w:type="auto"/>
          </w:tcPr>
          <w:p w14:paraId="154B3548" w14:textId="77777777" w:rsidR="00B31831" w:rsidRPr="00B31831" w:rsidRDefault="00B31831" w:rsidP="00EC5A9C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INR</w:t>
            </w:r>
          </w:p>
        </w:tc>
        <w:tc>
          <w:tcPr>
            <w:tcW w:w="0" w:type="auto"/>
          </w:tcPr>
          <w:p w14:paraId="0147D8C9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1(0.2)</w:t>
            </w:r>
          </w:p>
        </w:tc>
        <w:tc>
          <w:tcPr>
            <w:tcW w:w="0" w:type="auto"/>
          </w:tcPr>
          <w:p w14:paraId="3C545164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1(0.1)</w:t>
            </w:r>
          </w:p>
        </w:tc>
        <w:tc>
          <w:tcPr>
            <w:tcW w:w="0" w:type="auto"/>
          </w:tcPr>
          <w:p w14:paraId="09C32FEA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</w:tr>
      <w:tr w:rsidR="00A0419A" w:rsidRPr="00A0419A" w14:paraId="399A47F7" w14:textId="77777777" w:rsidTr="007115DF">
        <w:trPr>
          <w:jc w:val="center"/>
        </w:trPr>
        <w:tc>
          <w:tcPr>
            <w:tcW w:w="0" w:type="auto"/>
            <w:gridSpan w:val="4"/>
            <w:vAlign w:val="center"/>
          </w:tcPr>
          <w:p w14:paraId="580B03B6" w14:textId="77777777" w:rsidR="00A0419A" w:rsidRPr="00A0419A" w:rsidRDefault="00A0419A" w:rsidP="007115DF">
            <w:pPr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Imaging</w:t>
            </w:r>
          </w:p>
        </w:tc>
      </w:tr>
      <w:tr w:rsidR="00A0419A" w:rsidRPr="00A0419A" w14:paraId="33B2F574" w14:textId="77777777" w:rsidTr="007115DF">
        <w:trPr>
          <w:jc w:val="center"/>
        </w:trPr>
        <w:tc>
          <w:tcPr>
            <w:tcW w:w="0" w:type="auto"/>
          </w:tcPr>
          <w:p w14:paraId="6EC7A951" w14:textId="0482D777" w:rsidR="00A0419A" w:rsidRPr="00A0419A" w:rsidRDefault="00A0419A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White matter lesion</w:t>
            </w:r>
            <w:r w:rsidR="00087FF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7CB7796A" w14:textId="63816CBC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25B9D46A" w14:textId="31AAFAFA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6516B88D" w14:textId="1F7B9156" w:rsidR="00A0419A" w:rsidRPr="00A0419A" w:rsidRDefault="00A0419A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</w:t>
            </w:r>
            <w:r w:rsidR="008B6430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A0419A" w:rsidRPr="00A0419A" w14:paraId="6125F0BE" w14:textId="77777777" w:rsidTr="007115DF">
        <w:trPr>
          <w:jc w:val="center"/>
        </w:trPr>
        <w:tc>
          <w:tcPr>
            <w:tcW w:w="0" w:type="auto"/>
          </w:tcPr>
          <w:p w14:paraId="737F431F" w14:textId="77777777" w:rsidR="00A0419A" w:rsidRPr="00A0419A" w:rsidRDefault="00A0419A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Microbleeds</w:t>
            </w:r>
          </w:p>
        </w:tc>
        <w:tc>
          <w:tcPr>
            <w:tcW w:w="0" w:type="auto"/>
          </w:tcPr>
          <w:p w14:paraId="743EF03F" w14:textId="6830B993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4%)</w:t>
            </w:r>
          </w:p>
        </w:tc>
        <w:tc>
          <w:tcPr>
            <w:tcW w:w="0" w:type="auto"/>
          </w:tcPr>
          <w:p w14:paraId="2D93A7FC" w14:textId="2CAB7106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14A03535" w14:textId="0CF694A4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</w:tr>
      <w:tr w:rsidR="00A0419A" w:rsidRPr="00A0419A" w14:paraId="54FC423E" w14:textId="77777777" w:rsidTr="007115DF">
        <w:trPr>
          <w:jc w:val="center"/>
        </w:trPr>
        <w:tc>
          <w:tcPr>
            <w:tcW w:w="0" w:type="auto"/>
          </w:tcPr>
          <w:p w14:paraId="07919599" w14:textId="77777777" w:rsidR="00A0419A" w:rsidRPr="00A0419A" w:rsidRDefault="00A0419A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MCA stenosis</w:t>
            </w:r>
          </w:p>
        </w:tc>
        <w:tc>
          <w:tcPr>
            <w:tcW w:w="0" w:type="auto"/>
          </w:tcPr>
          <w:p w14:paraId="7724C99F" w14:textId="4AC2C1CA" w:rsidR="00A0419A" w:rsidRPr="00A0419A" w:rsidRDefault="00A0419A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1</w:t>
            </w:r>
            <w:r w:rsidR="008B6430">
              <w:rPr>
                <w:rFonts w:ascii="Arial" w:hAnsi="Arial" w:cs="Arial"/>
                <w:sz w:val="18"/>
                <w:szCs w:val="18"/>
              </w:rPr>
              <w:t>8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 w:rsidR="008B6430">
              <w:rPr>
                <w:rFonts w:ascii="Arial" w:hAnsi="Arial" w:cs="Arial"/>
                <w:sz w:val="18"/>
                <w:szCs w:val="18"/>
              </w:rPr>
              <w:t>29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957DE0F" w14:textId="6DC1683B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1AEEC4B0" w14:textId="7F38FED7" w:rsidR="00A0419A" w:rsidRPr="00A0419A" w:rsidRDefault="00A0419A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</w:t>
            </w:r>
            <w:r w:rsidR="008B6430"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A0419A" w:rsidRPr="00A0419A" w14:paraId="3FDAC177" w14:textId="77777777" w:rsidTr="007115DF">
        <w:trPr>
          <w:jc w:val="center"/>
        </w:trPr>
        <w:tc>
          <w:tcPr>
            <w:tcW w:w="0" w:type="auto"/>
          </w:tcPr>
          <w:p w14:paraId="6C86281A" w14:textId="77777777" w:rsidR="00A0419A" w:rsidRPr="00A0419A" w:rsidRDefault="00A0419A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ACA stenosis</w:t>
            </w:r>
          </w:p>
        </w:tc>
        <w:tc>
          <w:tcPr>
            <w:tcW w:w="0" w:type="auto"/>
          </w:tcPr>
          <w:p w14:paraId="71BD56A4" w14:textId="28EABC28" w:rsidR="00A0419A" w:rsidRPr="00A0419A" w:rsidRDefault="00A0419A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7(</w:t>
            </w:r>
            <w:r w:rsidR="008B6430">
              <w:rPr>
                <w:rFonts w:ascii="Arial" w:hAnsi="Arial" w:cs="Arial"/>
                <w:sz w:val="18"/>
                <w:szCs w:val="18"/>
              </w:rPr>
              <w:t>5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07B1D2AF" w14:textId="4D7F0B94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4BEC35DA" w14:textId="01D1E4FA" w:rsidR="00A0419A" w:rsidRPr="00A0419A" w:rsidRDefault="00A0419A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</w:t>
            </w:r>
            <w:r w:rsidR="008B6430">
              <w:rPr>
                <w:rFonts w:ascii="Arial" w:hAnsi="Arial" w:cs="Arial"/>
                <w:sz w:val="18"/>
                <w:szCs w:val="18"/>
              </w:rPr>
              <w:t>3</w:t>
            </w:r>
            <w:r w:rsidRPr="00A0419A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0419A" w:rsidRPr="00A0419A" w14:paraId="4713F60B" w14:textId="77777777" w:rsidTr="007115DF">
        <w:trPr>
          <w:jc w:val="center"/>
        </w:trPr>
        <w:tc>
          <w:tcPr>
            <w:tcW w:w="0" w:type="auto"/>
          </w:tcPr>
          <w:p w14:paraId="463CC0D5" w14:textId="77777777" w:rsidR="00A0419A" w:rsidRPr="00A0419A" w:rsidRDefault="00A0419A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PCA stenosis</w:t>
            </w:r>
          </w:p>
        </w:tc>
        <w:tc>
          <w:tcPr>
            <w:tcW w:w="0" w:type="auto"/>
          </w:tcPr>
          <w:p w14:paraId="23BE739D" w14:textId="4A9C1D95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C660568" w14:textId="21CDE15D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(16%)</w:t>
            </w:r>
          </w:p>
        </w:tc>
        <w:tc>
          <w:tcPr>
            <w:tcW w:w="0" w:type="auto"/>
          </w:tcPr>
          <w:p w14:paraId="50EA4989" w14:textId="522E6B33" w:rsidR="00A0419A" w:rsidRPr="00A0419A" w:rsidRDefault="00A0419A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0.4</w:t>
            </w:r>
            <w:r w:rsidR="008B643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0419A" w:rsidRPr="00A0419A" w14:paraId="6474DA27" w14:textId="77777777" w:rsidTr="007115DF">
        <w:trPr>
          <w:jc w:val="center"/>
        </w:trPr>
        <w:tc>
          <w:tcPr>
            <w:tcW w:w="0" w:type="auto"/>
          </w:tcPr>
          <w:p w14:paraId="63D2E5B3" w14:textId="77777777" w:rsidR="00A0419A" w:rsidRPr="00A0419A" w:rsidRDefault="00A0419A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BA stenosis</w:t>
            </w:r>
          </w:p>
        </w:tc>
        <w:tc>
          <w:tcPr>
            <w:tcW w:w="0" w:type="auto"/>
          </w:tcPr>
          <w:p w14:paraId="2CC2FED6" w14:textId="3C4D40DF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4FB7266B" w14:textId="77498FE7" w:rsidR="00A0419A" w:rsidRPr="00A0419A" w:rsidRDefault="008B6430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>(7%)</w:t>
            </w:r>
          </w:p>
        </w:tc>
        <w:tc>
          <w:tcPr>
            <w:tcW w:w="0" w:type="auto"/>
          </w:tcPr>
          <w:p w14:paraId="4049A612" w14:textId="1B5845C5" w:rsidR="00A0419A" w:rsidRPr="00A0419A" w:rsidRDefault="00A0419A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</w:t>
            </w:r>
            <w:r w:rsidR="008B643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B31831" w:rsidRPr="00B31831" w14:paraId="25179C96" w14:textId="77777777" w:rsidTr="00EC5A9C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69D786F2" w14:textId="64B24112" w:rsidR="00B31831" w:rsidRPr="00B31831" w:rsidRDefault="00B31831" w:rsidP="00EC5A9C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Abbreviations: NIHSS = National Institute of Health stroke scale; RC = remnant cholesterol; TC = total cholesterol; TG = total triglyceride; HDL = high density lipoprotein; LDL = low density lipoprotein; HCY = homocysteine; ALT =</w:t>
            </w:r>
            <w:r w:rsidRPr="00B31831">
              <w:rPr>
                <w:rFonts w:ascii="Arial" w:hAnsi="Arial" w:cs="Arial"/>
              </w:rPr>
              <w:t xml:space="preserve"> </w:t>
            </w:r>
            <w:r w:rsidRPr="00B31831">
              <w:rPr>
                <w:rFonts w:ascii="Arial" w:hAnsi="Arial" w:cs="Arial"/>
                <w:sz w:val="18"/>
                <w:szCs w:val="18"/>
              </w:rPr>
              <w:t>alanine transaminase; INR = international normalized ratio</w:t>
            </w:r>
            <w:r w:rsidR="00A0419A">
              <w:rPr>
                <w:rFonts w:ascii="Arial" w:hAnsi="Arial" w:cs="Arial"/>
                <w:sz w:val="18"/>
                <w:szCs w:val="18"/>
              </w:rPr>
              <w:t>;</w:t>
            </w:r>
            <w:r w:rsidR="00A0419A">
              <w:t xml:space="preserve"> 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 xml:space="preserve">MCA = middle cerebral artery; ACA = anterior </w:t>
            </w:r>
            <w:r w:rsidR="00A0419A">
              <w:rPr>
                <w:rFonts w:ascii="Arial" w:hAnsi="Arial" w:cs="Arial"/>
                <w:sz w:val="18"/>
                <w:szCs w:val="18"/>
              </w:rPr>
              <w:t>cerebral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 xml:space="preserve"> artery; PCA = posterior </w:t>
            </w:r>
            <w:r w:rsidR="00A0419A">
              <w:rPr>
                <w:rFonts w:ascii="Arial" w:hAnsi="Arial" w:cs="Arial"/>
                <w:sz w:val="18"/>
                <w:szCs w:val="18"/>
              </w:rPr>
              <w:t>cerebral</w:t>
            </w:r>
            <w:r w:rsidR="00A0419A" w:rsidRPr="00A0419A">
              <w:rPr>
                <w:rFonts w:ascii="Arial" w:hAnsi="Arial" w:cs="Arial"/>
                <w:sz w:val="18"/>
                <w:szCs w:val="18"/>
              </w:rPr>
              <w:t xml:space="preserve"> artery; BA = basilar artery</w:t>
            </w:r>
            <w:r w:rsidRPr="00B318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60E89B" w14:textId="77777777" w:rsidR="00B31831" w:rsidRPr="00B31831" w:rsidRDefault="00B31831" w:rsidP="00EC5A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Unless specified, values are numbers of patients (%).</w:t>
            </w:r>
          </w:p>
          <w:p w14:paraId="7CC82AFE" w14:textId="77777777" w:rsidR="00B31831" w:rsidRPr="00B31831" w:rsidRDefault="00B31831" w:rsidP="00EC5A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>†</w:t>
            </w:r>
            <w:r w:rsidRPr="00B31831">
              <w:rPr>
                <w:rFonts w:ascii="Arial" w:hAnsi="Arial" w:cs="Arial"/>
                <w:sz w:val="18"/>
                <w:szCs w:val="18"/>
              </w:rPr>
              <w:t>Mean (standard deviation).</w:t>
            </w:r>
          </w:p>
          <w:p w14:paraId="26264451" w14:textId="77777777" w:rsidR="00B31831" w:rsidRPr="00B31831" w:rsidRDefault="00B31831" w:rsidP="00EC5A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B31831">
              <w:rPr>
                <w:rFonts w:ascii="Arial" w:hAnsi="Arial" w:cs="Arial"/>
                <w:sz w:val="18"/>
                <w:szCs w:val="18"/>
              </w:rPr>
              <w:t>Statistically significant.</w:t>
            </w:r>
          </w:p>
        </w:tc>
      </w:tr>
    </w:tbl>
    <w:p w14:paraId="1FCBC5A9" w14:textId="19203987" w:rsidR="00B31831" w:rsidRDefault="00B31831">
      <w:pPr>
        <w:widowControl/>
        <w:jc w:val="left"/>
        <w:rPr>
          <w:rFonts w:ascii="Arial" w:hAnsi="Arial" w:cs="Arial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2382"/>
        <w:gridCol w:w="2592"/>
        <w:gridCol w:w="1198"/>
      </w:tblGrid>
      <w:tr w:rsidR="00B31831" w:rsidRPr="00B31831" w14:paraId="48DBBBE6" w14:textId="77777777" w:rsidTr="00EC5A9C">
        <w:trPr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1B272C50" w14:textId="77777777" w:rsidR="00B31831" w:rsidRPr="00B31831" w:rsidRDefault="00B31831" w:rsidP="00EC5A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31831">
              <w:rPr>
                <w:rFonts w:ascii="Arial" w:hAnsi="Arial" w:cs="Arial"/>
                <w:b/>
                <w:bCs/>
                <w:sz w:val="18"/>
                <w:szCs w:val="18"/>
              </w:rPr>
              <w:t>STable</w:t>
            </w:r>
            <w:proofErr w:type="spellEnd"/>
            <w:r w:rsidRPr="00B318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2. Comparisons between non-thrombolysis-treated ischemic stroke patients with or without improvement</w:t>
            </w:r>
          </w:p>
        </w:tc>
      </w:tr>
      <w:tr w:rsidR="00B31831" w:rsidRPr="00B31831" w14:paraId="6D227C73" w14:textId="77777777" w:rsidTr="00EC5A9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C4414B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09B2CF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With improvement (n=60)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1DA3D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Without improvement(n=37)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242815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1831"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</w:p>
        </w:tc>
      </w:tr>
      <w:tr w:rsidR="00B31831" w:rsidRPr="00B31831" w14:paraId="1C0DB43E" w14:textId="77777777" w:rsidTr="00EC5A9C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5F0D4B46" w14:textId="77777777" w:rsidR="00B31831" w:rsidRPr="00B31831" w:rsidRDefault="00B31831" w:rsidP="00EC5A9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Demographic data</w:t>
            </w:r>
          </w:p>
        </w:tc>
      </w:tr>
      <w:tr w:rsidR="00B31831" w:rsidRPr="00B31831" w14:paraId="17F94976" w14:textId="77777777" w:rsidTr="00EC5A9C">
        <w:trPr>
          <w:jc w:val="center"/>
        </w:trPr>
        <w:tc>
          <w:tcPr>
            <w:tcW w:w="0" w:type="auto"/>
          </w:tcPr>
          <w:p w14:paraId="54C87302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Age, years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0" w:type="auto"/>
          </w:tcPr>
          <w:p w14:paraId="28F0EE51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65.6(11.0)</w:t>
            </w:r>
          </w:p>
        </w:tc>
        <w:tc>
          <w:tcPr>
            <w:tcW w:w="0" w:type="auto"/>
          </w:tcPr>
          <w:p w14:paraId="3DF3640E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65.9(11.7)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3D5243A1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</w:tr>
      <w:tr w:rsidR="00B31831" w:rsidRPr="00B31831" w14:paraId="100C7E99" w14:textId="77777777" w:rsidTr="00EC5A9C">
        <w:trPr>
          <w:jc w:val="center"/>
        </w:trPr>
        <w:tc>
          <w:tcPr>
            <w:tcW w:w="0" w:type="auto"/>
          </w:tcPr>
          <w:p w14:paraId="518402C4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0" w:type="auto"/>
          </w:tcPr>
          <w:p w14:paraId="506AFD4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18(30%)</w:t>
            </w:r>
          </w:p>
        </w:tc>
        <w:tc>
          <w:tcPr>
            <w:tcW w:w="0" w:type="auto"/>
          </w:tcPr>
          <w:p w14:paraId="33848CF4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9(24%)</w:t>
            </w:r>
          </w:p>
        </w:tc>
        <w:tc>
          <w:tcPr>
            <w:tcW w:w="0" w:type="auto"/>
          </w:tcPr>
          <w:p w14:paraId="7F202A8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</w:tr>
      <w:tr w:rsidR="00B31831" w:rsidRPr="00B31831" w14:paraId="2289B804" w14:textId="77777777" w:rsidTr="00EC5A9C">
        <w:trPr>
          <w:jc w:val="center"/>
        </w:trPr>
        <w:tc>
          <w:tcPr>
            <w:tcW w:w="0" w:type="auto"/>
          </w:tcPr>
          <w:p w14:paraId="4A61694E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0" w:type="auto"/>
          </w:tcPr>
          <w:p w14:paraId="1611B83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50(83%)</w:t>
            </w:r>
          </w:p>
        </w:tc>
        <w:tc>
          <w:tcPr>
            <w:tcW w:w="0" w:type="auto"/>
          </w:tcPr>
          <w:p w14:paraId="40D5F35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28(76%)</w:t>
            </w:r>
          </w:p>
        </w:tc>
        <w:tc>
          <w:tcPr>
            <w:tcW w:w="0" w:type="auto"/>
          </w:tcPr>
          <w:p w14:paraId="6AE65CF9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</w:tr>
      <w:tr w:rsidR="00B31831" w:rsidRPr="00B31831" w14:paraId="223D6B66" w14:textId="77777777" w:rsidTr="00EC5A9C">
        <w:trPr>
          <w:jc w:val="center"/>
        </w:trPr>
        <w:tc>
          <w:tcPr>
            <w:tcW w:w="0" w:type="auto"/>
          </w:tcPr>
          <w:p w14:paraId="1865392A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14:paraId="7E4EAD36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Atrial fibrillation</w:t>
            </w:r>
          </w:p>
          <w:p w14:paraId="2B57F039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Coronary artery disease</w:t>
            </w:r>
          </w:p>
        </w:tc>
        <w:tc>
          <w:tcPr>
            <w:tcW w:w="0" w:type="auto"/>
          </w:tcPr>
          <w:p w14:paraId="67A77B11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20(33%)</w:t>
            </w:r>
          </w:p>
          <w:p w14:paraId="1F293C81" w14:textId="77777777" w:rsidR="00B31831" w:rsidRPr="00B31831" w:rsidRDefault="00B31831" w:rsidP="00EC5A9C">
            <w:pPr>
              <w:ind w:firstLineChars="500" w:firstLine="90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3(5%)</w:t>
            </w:r>
          </w:p>
          <w:p w14:paraId="0C02E7F9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6(10%)</w:t>
            </w:r>
          </w:p>
        </w:tc>
        <w:tc>
          <w:tcPr>
            <w:tcW w:w="0" w:type="auto"/>
          </w:tcPr>
          <w:p w14:paraId="6689FD64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18(49%)</w:t>
            </w:r>
          </w:p>
          <w:p w14:paraId="56CADF89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3(8%)</w:t>
            </w:r>
          </w:p>
          <w:p w14:paraId="3FEE6E6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3(8%)</w:t>
            </w:r>
          </w:p>
        </w:tc>
        <w:tc>
          <w:tcPr>
            <w:tcW w:w="0" w:type="auto"/>
          </w:tcPr>
          <w:p w14:paraId="390F156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0.13</w:t>
            </w:r>
          </w:p>
          <w:p w14:paraId="12B4E70A" w14:textId="77777777" w:rsidR="00B31831" w:rsidRPr="00B31831" w:rsidRDefault="00B31831" w:rsidP="00EC5A9C">
            <w:pPr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 xml:space="preserve">    0.54</w:t>
            </w:r>
          </w:p>
          <w:p w14:paraId="41101D36" w14:textId="77777777" w:rsidR="00B31831" w:rsidRPr="00B31831" w:rsidRDefault="00B31831" w:rsidP="00EC5A9C">
            <w:pPr>
              <w:tabs>
                <w:tab w:val="left" w:pos="350"/>
              </w:tabs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ab/>
              <w:t>0.76</w:t>
            </w:r>
          </w:p>
        </w:tc>
      </w:tr>
      <w:tr w:rsidR="00B31831" w:rsidRPr="00B31831" w14:paraId="4E6FB720" w14:textId="77777777" w:rsidTr="00EC5A9C">
        <w:trPr>
          <w:jc w:val="center"/>
        </w:trPr>
        <w:tc>
          <w:tcPr>
            <w:tcW w:w="0" w:type="auto"/>
          </w:tcPr>
          <w:p w14:paraId="294DE62C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Smoking</w:t>
            </w:r>
          </w:p>
        </w:tc>
        <w:tc>
          <w:tcPr>
            <w:tcW w:w="0" w:type="auto"/>
          </w:tcPr>
          <w:p w14:paraId="2C83EFB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26(43%)</w:t>
            </w:r>
          </w:p>
        </w:tc>
        <w:tc>
          <w:tcPr>
            <w:tcW w:w="0" w:type="auto"/>
          </w:tcPr>
          <w:p w14:paraId="5C900F21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12(32%)</w:t>
            </w:r>
          </w:p>
        </w:tc>
        <w:tc>
          <w:tcPr>
            <w:tcW w:w="0" w:type="auto"/>
          </w:tcPr>
          <w:p w14:paraId="1DA1420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</w:tr>
      <w:tr w:rsidR="00B31831" w:rsidRPr="00B31831" w14:paraId="543EB1AA" w14:textId="77777777" w:rsidTr="00EC5A9C">
        <w:trPr>
          <w:jc w:val="center"/>
        </w:trPr>
        <w:tc>
          <w:tcPr>
            <w:tcW w:w="0" w:type="auto"/>
          </w:tcPr>
          <w:p w14:paraId="2ED12EA0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Drinking</w:t>
            </w:r>
          </w:p>
        </w:tc>
        <w:tc>
          <w:tcPr>
            <w:tcW w:w="0" w:type="auto"/>
          </w:tcPr>
          <w:p w14:paraId="29F68E76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16(27%)</w:t>
            </w:r>
          </w:p>
        </w:tc>
        <w:tc>
          <w:tcPr>
            <w:tcW w:w="0" w:type="auto"/>
          </w:tcPr>
          <w:p w14:paraId="72C412A4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10(27%)</w:t>
            </w:r>
          </w:p>
        </w:tc>
        <w:tc>
          <w:tcPr>
            <w:tcW w:w="0" w:type="auto"/>
          </w:tcPr>
          <w:p w14:paraId="670C0C3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</w:tr>
      <w:tr w:rsidR="00B31831" w:rsidRPr="00B31831" w14:paraId="348B0F9E" w14:textId="77777777" w:rsidTr="00EC5A9C">
        <w:trPr>
          <w:jc w:val="center"/>
        </w:trPr>
        <w:tc>
          <w:tcPr>
            <w:tcW w:w="0" w:type="auto"/>
          </w:tcPr>
          <w:p w14:paraId="0432AC5D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Fatty liver</w:t>
            </w:r>
          </w:p>
        </w:tc>
        <w:tc>
          <w:tcPr>
            <w:tcW w:w="0" w:type="auto"/>
          </w:tcPr>
          <w:p w14:paraId="270B2AF4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31(53%)</w:t>
            </w:r>
          </w:p>
        </w:tc>
        <w:tc>
          <w:tcPr>
            <w:tcW w:w="0" w:type="auto"/>
          </w:tcPr>
          <w:p w14:paraId="727B8AD6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16(46%)</w:t>
            </w:r>
          </w:p>
        </w:tc>
        <w:tc>
          <w:tcPr>
            <w:tcW w:w="0" w:type="auto"/>
          </w:tcPr>
          <w:p w14:paraId="088A166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</w:tr>
      <w:tr w:rsidR="00B31831" w:rsidRPr="00B31831" w14:paraId="7ABD00AB" w14:textId="77777777" w:rsidTr="00EC5A9C">
        <w:trPr>
          <w:jc w:val="center"/>
        </w:trPr>
        <w:tc>
          <w:tcPr>
            <w:tcW w:w="0" w:type="auto"/>
          </w:tcPr>
          <w:p w14:paraId="55E2E6D4" w14:textId="77777777" w:rsidR="00B31831" w:rsidRPr="00B31831" w:rsidRDefault="00B31831" w:rsidP="00EC5A9C">
            <w:pPr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Admission NIHSS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0" w:type="auto"/>
          </w:tcPr>
          <w:p w14:paraId="7CBE4953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4.6(2.6)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2B0FEE1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2.9(3.0)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1D2DA26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&lt; .001</w:t>
            </w:r>
            <w:r w:rsidRPr="00B31831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B31831" w:rsidRPr="00B31831" w14:paraId="17FBADEB" w14:textId="77777777" w:rsidTr="00EC5A9C">
        <w:trPr>
          <w:jc w:val="center"/>
        </w:trPr>
        <w:tc>
          <w:tcPr>
            <w:tcW w:w="0" w:type="auto"/>
          </w:tcPr>
          <w:p w14:paraId="3FCF8E7E" w14:textId="77777777" w:rsidR="00B31831" w:rsidRPr="00B31831" w:rsidRDefault="00B31831" w:rsidP="00EC5A9C">
            <w:pPr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7-day NIHSS</w:t>
            </w:r>
          </w:p>
        </w:tc>
        <w:tc>
          <w:tcPr>
            <w:tcW w:w="0" w:type="auto"/>
          </w:tcPr>
          <w:p w14:paraId="189A40AE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3(4)</w:t>
            </w:r>
          </w:p>
        </w:tc>
        <w:tc>
          <w:tcPr>
            <w:tcW w:w="0" w:type="auto"/>
          </w:tcPr>
          <w:p w14:paraId="70B022EF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3(4)</w:t>
            </w:r>
          </w:p>
        </w:tc>
        <w:tc>
          <w:tcPr>
            <w:tcW w:w="0" w:type="auto"/>
          </w:tcPr>
          <w:p w14:paraId="30390EDB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</w:tr>
      <w:tr w:rsidR="00B31831" w:rsidRPr="00B31831" w14:paraId="51DE2863" w14:textId="77777777" w:rsidTr="00EC5A9C">
        <w:trPr>
          <w:jc w:val="center"/>
        </w:trPr>
        <w:tc>
          <w:tcPr>
            <w:tcW w:w="0" w:type="auto"/>
            <w:gridSpan w:val="4"/>
          </w:tcPr>
          <w:p w14:paraId="2D4BD95A" w14:textId="77777777" w:rsidR="00B31831" w:rsidRPr="00B31831" w:rsidRDefault="00B31831" w:rsidP="00EC5A9C">
            <w:pPr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Laboratory data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>†</w:t>
            </w:r>
          </w:p>
        </w:tc>
      </w:tr>
      <w:tr w:rsidR="00B31831" w:rsidRPr="00B31831" w14:paraId="4F59E4C4" w14:textId="77777777" w:rsidTr="00EC5A9C">
        <w:trPr>
          <w:jc w:val="center"/>
        </w:trPr>
        <w:tc>
          <w:tcPr>
            <w:tcW w:w="0" w:type="auto"/>
          </w:tcPr>
          <w:p w14:paraId="52C03DDF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1831">
              <w:rPr>
                <w:rFonts w:ascii="Arial" w:hAnsi="Arial" w:cs="Arial"/>
                <w:sz w:val="18"/>
                <w:szCs w:val="18"/>
              </w:rPr>
              <w:t>ApoB</w:t>
            </w:r>
            <w:proofErr w:type="spellEnd"/>
            <w:r w:rsidRPr="00B31831">
              <w:rPr>
                <w:rFonts w:ascii="Arial" w:hAnsi="Arial" w:cs="Arial"/>
                <w:sz w:val="18"/>
                <w:szCs w:val="18"/>
              </w:rPr>
              <w:t xml:space="preserve"> 100, ng/ml</w:t>
            </w:r>
          </w:p>
        </w:tc>
        <w:tc>
          <w:tcPr>
            <w:tcW w:w="0" w:type="auto"/>
          </w:tcPr>
          <w:p w14:paraId="34128109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31.7(14.1)</w:t>
            </w:r>
          </w:p>
        </w:tc>
        <w:tc>
          <w:tcPr>
            <w:tcW w:w="0" w:type="auto"/>
          </w:tcPr>
          <w:p w14:paraId="44ECF4C2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29.5(14.3)</w:t>
            </w:r>
          </w:p>
        </w:tc>
        <w:tc>
          <w:tcPr>
            <w:tcW w:w="0" w:type="auto"/>
          </w:tcPr>
          <w:p w14:paraId="5176A30C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B31831" w:rsidRPr="00B31831" w14:paraId="2E0196C5" w14:textId="77777777" w:rsidTr="00EC5A9C">
        <w:trPr>
          <w:jc w:val="center"/>
        </w:trPr>
        <w:tc>
          <w:tcPr>
            <w:tcW w:w="0" w:type="auto"/>
          </w:tcPr>
          <w:p w14:paraId="46AA1223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TC, mmol/L</w:t>
            </w:r>
          </w:p>
        </w:tc>
        <w:tc>
          <w:tcPr>
            <w:tcW w:w="0" w:type="auto"/>
          </w:tcPr>
          <w:p w14:paraId="0586A7E1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4.5(0.9)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19E30A14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4.6(1.3)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3606629B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</w:tr>
      <w:tr w:rsidR="00B31831" w:rsidRPr="00B31831" w14:paraId="78008B5F" w14:textId="77777777" w:rsidTr="00EC5A9C">
        <w:trPr>
          <w:jc w:val="center"/>
        </w:trPr>
        <w:tc>
          <w:tcPr>
            <w:tcW w:w="0" w:type="auto"/>
          </w:tcPr>
          <w:p w14:paraId="0E01E1D4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TG, mmol/L</w:t>
            </w:r>
          </w:p>
        </w:tc>
        <w:tc>
          <w:tcPr>
            <w:tcW w:w="0" w:type="auto"/>
          </w:tcPr>
          <w:p w14:paraId="794148D2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1.6(0.8)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58939314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1.5(0.7)</w:t>
            </w: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 xml:space="preserve"> </w:t>
            </w:r>
          </w:p>
        </w:tc>
        <w:tc>
          <w:tcPr>
            <w:tcW w:w="0" w:type="auto"/>
          </w:tcPr>
          <w:p w14:paraId="307E4A99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</w:tr>
      <w:tr w:rsidR="00B31831" w:rsidRPr="00B31831" w14:paraId="20E9A0B6" w14:textId="77777777" w:rsidTr="00EC5A9C">
        <w:trPr>
          <w:jc w:val="center"/>
        </w:trPr>
        <w:tc>
          <w:tcPr>
            <w:tcW w:w="0" w:type="auto"/>
          </w:tcPr>
          <w:p w14:paraId="47EFB9C4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HDL, mmol/L</w:t>
            </w:r>
          </w:p>
        </w:tc>
        <w:tc>
          <w:tcPr>
            <w:tcW w:w="0" w:type="auto"/>
          </w:tcPr>
          <w:p w14:paraId="52B67097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1.1(0.3)</w:t>
            </w:r>
          </w:p>
        </w:tc>
        <w:tc>
          <w:tcPr>
            <w:tcW w:w="0" w:type="auto"/>
          </w:tcPr>
          <w:p w14:paraId="3C0A2945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1.1(0.4)</w:t>
            </w:r>
          </w:p>
        </w:tc>
        <w:tc>
          <w:tcPr>
            <w:tcW w:w="0" w:type="auto"/>
          </w:tcPr>
          <w:p w14:paraId="6CDE22CA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</w:tr>
      <w:tr w:rsidR="00B31831" w:rsidRPr="00B31831" w14:paraId="400A7535" w14:textId="77777777" w:rsidTr="00EC5A9C">
        <w:trPr>
          <w:jc w:val="center"/>
        </w:trPr>
        <w:tc>
          <w:tcPr>
            <w:tcW w:w="0" w:type="auto"/>
          </w:tcPr>
          <w:p w14:paraId="3DC72D60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LDL, mmol/L</w:t>
            </w:r>
          </w:p>
        </w:tc>
        <w:tc>
          <w:tcPr>
            <w:tcW w:w="0" w:type="auto"/>
          </w:tcPr>
          <w:p w14:paraId="1D248BC0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2.9(0.9)</w:t>
            </w:r>
          </w:p>
        </w:tc>
        <w:tc>
          <w:tcPr>
            <w:tcW w:w="0" w:type="auto"/>
          </w:tcPr>
          <w:p w14:paraId="1E12105B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3.1(1.2)</w:t>
            </w:r>
          </w:p>
        </w:tc>
        <w:tc>
          <w:tcPr>
            <w:tcW w:w="0" w:type="auto"/>
          </w:tcPr>
          <w:p w14:paraId="360A311A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</w:tr>
      <w:tr w:rsidR="00B31831" w:rsidRPr="00B31831" w14:paraId="1C015B4C" w14:textId="77777777" w:rsidTr="00EC5A9C">
        <w:trPr>
          <w:jc w:val="center"/>
        </w:trPr>
        <w:tc>
          <w:tcPr>
            <w:tcW w:w="0" w:type="auto"/>
          </w:tcPr>
          <w:p w14:paraId="6C3F4605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 xml:space="preserve">HCY, </w:t>
            </w:r>
            <w:proofErr w:type="spellStart"/>
            <w:r w:rsidRPr="00B31831">
              <w:rPr>
                <w:rFonts w:ascii="Arial" w:hAnsi="Arial" w:cs="Arial"/>
                <w:sz w:val="18"/>
                <w:szCs w:val="18"/>
              </w:rPr>
              <w:t>μmol</w:t>
            </w:r>
            <w:proofErr w:type="spellEnd"/>
            <w:r w:rsidRPr="00B31831">
              <w:rPr>
                <w:rFonts w:ascii="Arial" w:hAnsi="Arial" w:cs="Arial"/>
                <w:sz w:val="18"/>
                <w:szCs w:val="18"/>
              </w:rPr>
              <w:t>/L</w:t>
            </w:r>
          </w:p>
        </w:tc>
        <w:tc>
          <w:tcPr>
            <w:tcW w:w="0" w:type="auto"/>
          </w:tcPr>
          <w:p w14:paraId="526E30DD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14.9(10.1)</w:t>
            </w:r>
          </w:p>
        </w:tc>
        <w:tc>
          <w:tcPr>
            <w:tcW w:w="0" w:type="auto"/>
          </w:tcPr>
          <w:p w14:paraId="685582A6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16.0(7.5)</w:t>
            </w:r>
          </w:p>
        </w:tc>
        <w:tc>
          <w:tcPr>
            <w:tcW w:w="0" w:type="auto"/>
          </w:tcPr>
          <w:p w14:paraId="3381F784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</w:tr>
      <w:tr w:rsidR="00B31831" w:rsidRPr="00B31831" w14:paraId="2E0720B4" w14:textId="77777777" w:rsidTr="00EC5A9C">
        <w:trPr>
          <w:jc w:val="center"/>
        </w:trPr>
        <w:tc>
          <w:tcPr>
            <w:tcW w:w="0" w:type="auto"/>
          </w:tcPr>
          <w:p w14:paraId="7B182C00" w14:textId="77777777" w:rsidR="00B31831" w:rsidRPr="00B31831" w:rsidRDefault="00B31831" w:rsidP="00EC5A9C">
            <w:pPr>
              <w:ind w:firstLineChars="50" w:firstLin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1831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B31831">
              <w:rPr>
                <w:rFonts w:ascii="Arial" w:hAnsi="Arial" w:cs="Arial"/>
                <w:sz w:val="18"/>
                <w:szCs w:val="18"/>
              </w:rPr>
              <w:t>(a), nmol/L</w:t>
            </w:r>
          </w:p>
        </w:tc>
        <w:tc>
          <w:tcPr>
            <w:tcW w:w="0" w:type="auto"/>
          </w:tcPr>
          <w:p w14:paraId="695D0172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43.0(50.4)</w:t>
            </w:r>
          </w:p>
        </w:tc>
        <w:tc>
          <w:tcPr>
            <w:tcW w:w="0" w:type="auto"/>
          </w:tcPr>
          <w:p w14:paraId="300D5F96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55.3(55.2)</w:t>
            </w:r>
          </w:p>
        </w:tc>
        <w:tc>
          <w:tcPr>
            <w:tcW w:w="0" w:type="auto"/>
          </w:tcPr>
          <w:p w14:paraId="0C18C9EC" w14:textId="77777777" w:rsidR="00B31831" w:rsidRPr="00B31831" w:rsidRDefault="00B31831" w:rsidP="00EC5A9C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B31831" w:rsidRPr="00B31831" w14:paraId="14DBC3E7" w14:textId="77777777" w:rsidTr="00EC5A9C">
        <w:trPr>
          <w:jc w:val="center"/>
        </w:trPr>
        <w:tc>
          <w:tcPr>
            <w:tcW w:w="0" w:type="auto"/>
          </w:tcPr>
          <w:p w14:paraId="627E552E" w14:textId="77777777" w:rsidR="00B31831" w:rsidRPr="00B31831" w:rsidRDefault="00B31831" w:rsidP="00EC5A9C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HbA1C, mmol/L</w:t>
            </w:r>
          </w:p>
        </w:tc>
        <w:tc>
          <w:tcPr>
            <w:tcW w:w="0" w:type="auto"/>
          </w:tcPr>
          <w:p w14:paraId="2396C3F8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6.7(1.8)</w:t>
            </w:r>
          </w:p>
        </w:tc>
        <w:tc>
          <w:tcPr>
            <w:tcW w:w="0" w:type="auto"/>
          </w:tcPr>
          <w:p w14:paraId="69E8B70A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6.7(1.9)</w:t>
            </w:r>
          </w:p>
        </w:tc>
        <w:tc>
          <w:tcPr>
            <w:tcW w:w="0" w:type="auto"/>
          </w:tcPr>
          <w:p w14:paraId="1FC2F272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</w:tr>
      <w:tr w:rsidR="00B31831" w:rsidRPr="00B31831" w14:paraId="31C555FF" w14:textId="77777777" w:rsidTr="00EC5A9C">
        <w:trPr>
          <w:jc w:val="center"/>
        </w:trPr>
        <w:tc>
          <w:tcPr>
            <w:tcW w:w="0" w:type="auto"/>
          </w:tcPr>
          <w:p w14:paraId="4DF72924" w14:textId="77777777" w:rsidR="00B31831" w:rsidRPr="00B31831" w:rsidRDefault="00B31831" w:rsidP="00EC5A9C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ALT,</w:t>
            </w:r>
            <w:r w:rsidRPr="00B31831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B31831">
              <w:rPr>
                <w:rFonts w:ascii="Arial" w:hAnsi="Arial" w:cs="Arial"/>
                <w:sz w:val="18"/>
                <w:szCs w:val="18"/>
              </w:rPr>
              <w:t>mmol/L</w:t>
            </w:r>
          </w:p>
        </w:tc>
        <w:tc>
          <w:tcPr>
            <w:tcW w:w="0" w:type="auto"/>
          </w:tcPr>
          <w:p w14:paraId="1DF23B13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20.6(14.9)</w:t>
            </w:r>
          </w:p>
        </w:tc>
        <w:tc>
          <w:tcPr>
            <w:tcW w:w="0" w:type="auto"/>
          </w:tcPr>
          <w:p w14:paraId="70D0F814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15.1(6.9)</w:t>
            </w:r>
          </w:p>
        </w:tc>
        <w:tc>
          <w:tcPr>
            <w:tcW w:w="0" w:type="auto"/>
          </w:tcPr>
          <w:p w14:paraId="1BCA0F9A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B31831" w:rsidRPr="00B31831" w14:paraId="6A88F273" w14:textId="77777777" w:rsidTr="00EC5A9C">
        <w:trPr>
          <w:jc w:val="center"/>
        </w:trPr>
        <w:tc>
          <w:tcPr>
            <w:tcW w:w="0" w:type="auto"/>
          </w:tcPr>
          <w:p w14:paraId="7A80E350" w14:textId="77777777" w:rsidR="00B31831" w:rsidRPr="00B31831" w:rsidRDefault="00B31831" w:rsidP="00EC5A9C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INR</w:t>
            </w:r>
          </w:p>
        </w:tc>
        <w:tc>
          <w:tcPr>
            <w:tcW w:w="0" w:type="auto"/>
          </w:tcPr>
          <w:p w14:paraId="3D9D5F6F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1(0.1)</w:t>
            </w:r>
          </w:p>
        </w:tc>
        <w:tc>
          <w:tcPr>
            <w:tcW w:w="0" w:type="auto"/>
          </w:tcPr>
          <w:p w14:paraId="59630A67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1(0.1)</w:t>
            </w:r>
          </w:p>
        </w:tc>
        <w:tc>
          <w:tcPr>
            <w:tcW w:w="0" w:type="auto"/>
          </w:tcPr>
          <w:p w14:paraId="4792EC88" w14:textId="77777777" w:rsidR="00B31831" w:rsidRPr="00B31831" w:rsidRDefault="00B31831" w:rsidP="00EC5A9C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</w:tr>
      <w:tr w:rsidR="00D539B1" w:rsidRPr="00A0419A" w14:paraId="4ECA8D3F" w14:textId="77777777" w:rsidTr="007115DF">
        <w:trPr>
          <w:jc w:val="center"/>
        </w:trPr>
        <w:tc>
          <w:tcPr>
            <w:tcW w:w="0" w:type="auto"/>
            <w:gridSpan w:val="4"/>
            <w:vAlign w:val="center"/>
          </w:tcPr>
          <w:p w14:paraId="62E6E420" w14:textId="77777777" w:rsidR="00D539B1" w:rsidRPr="00A0419A" w:rsidRDefault="00D539B1" w:rsidP="007115DF">
            <w:pPr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Imaging</w:t>
            </w:r>
          </w:p>
        </w:tc>
      </w:tr>
      <w:tr w:rsidR="00D539B1" w:rsidRPr="00A0419A" w14:paraId="6F58CB78" w14:textId="77777777" w:rsidTr="007115DF">
        <w:trPr>
          <w:jc w:val="center"/>
        </w:trPr>
        <w:tc>
          <w:tcPr>
            <w:tcW w:w="0" w:type="auto"/>
          </w:tcPr>
          <w:p w14:paraId="4B9979C3" w14:textId="77777777" w:rsidR="00D539B1" w:rsidRPr="00A0419A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White matter lesion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14:paraId="59E0F971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26CE4875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2BE7344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D539B1" w:rsidRPr="00A0419A" w14:paraId="7EE32B77" w14:textId="77777777" w:rsidTr="007115DF">
        <w:trPr>
          <w:jc w:val="center"/>
        </w:trPr>
        <w:tc>
          <w:tcPr>
            <w:tcW w:w="0" w:type="auto"/>
          </w:tcPr>
          <w:p w14:paraId="3C82BDA5" w14:textId="77777777" w:rsidR="00D539B1" w:rsidRPr="00A0419A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Microbleeds</w:t>
            </w:r>
          </w:p>
        </w:tc>
        <w:tc>
          <w:tcPr>
            <w:tcW w:w="0" w:type="auto"/>
          </w:tcPr>
          <w:p w14:paraId="7EB230F0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0419A">
              <w:rPr>
                <w:rFonts w:ascii="Arial" w:hAnsi="Arial" w:cs="Arial"/>
                <w:sz w:val="18"/>
                <w:szCs w:val="18"/>
              </w:rPr>
              <w:t>4%)</w:t>
            </w:r>
          </w:p>
        </w:tc>
        <w:tc>
          <w:tcPr>
            <w:tcW w:w="0" w:type="auto"/>
          </w:tcPr>
          <w:p w14:paraId="150C6AC4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1868932F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</w:tr>
      <w:tr w:rsidR="00D539B1" w:rsidRPr="00A0419A" w14:paraId="4133841D" w14:textId="77777777" w:rsidTr="007115DF">
        <w:trPr>
          <w:jc w:val="center"/>
        </w:trPr>
        <w:tc>
          <w:tcPr>
            <w:tcW w:w="0" w:type="auto"/>
          </w:tcPr>
          <w:p w14:paraId="6C0779AD" w14:textId="77777777" w:rsidR="00D539B1" w:rsidRPr="00A0419A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MCA stenosis</w:t>
            </w:r>
          </w:p>
        </w:tc>
        <w:tc>
          <w:tcPr>
            <w:tcW w:w="0" w:type="auto"/>
          </w:tcPr>
          <w:p w14:paraId="75D3CF04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9B9BF51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A0419A">
              <w:rPr>
                <w:rFonts w:ascii="Arial" w:hAnsi="Arial" w:cs="Arial"/>
                <w:sz w:val="18"/>
                <w:szCs w:val="18"/>
              </w:rPr>
              <w:t>(2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45ED71CC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</w:tr>
      <w:tr w:rsidR="00D539B1" w:rsidRPr="00A0419A" w14:paraId="6F1126CF" w14:textId="77777777" w:rsidTr="007115DF">
        <w:trPr>
          <w:jc w:val="center"/>
        </w:trPr>
        <w:tc>
          <w:tcPr>
            <w:tcW w:w="0" w:type="auto"/>
          </w:tcPr>
          <w:p w14:paraId="706020AD" w14:textId="77777777" w:rsidR="00D539B1" w:rsidRPr="00A0419A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ACA stenosis</w:t>
            </w:r>
          </w:p>
        </w:tc>
        <w:tc>
          <w:tcPr>
            <w:tcW w:w="0" w:type="auto"/>
          </w:tcPr>
          <w:p w14:paraId="32D28C60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7(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2601EB5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4C86EBCE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A0419A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539B1" w:rsidRPr="00A0419A" w14:paraId="64E3DFBA" w14:textId="77777777" w:rsidTr="007115DF">
        <w:trPr>
          <w:jc w:val="center"/>
        </w:trPr>
        <w:tc>
          <w:tcPr>
            <w:tcW w:w="0" w:type="auto"/>
          </w:tcPr>
          <w:p w14:paraId="000ABF66" w14:textId="77777777" w:rsidR="00D539B1" w:rsidRPr="00A0419A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PCA stenosis</w:t>
            </w:r>
          </w:p>
        </w:tc>
        <w:tc>
          <w:tcPr>
            <w:tcW w:w="0" w:type="auto"/>
          </w:tcPr>
          <w:p w14:paraId="375D6A9F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15D022F1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A0419A">
              <w:rPr>
                <w:rFonts w:ascii="Arial" w:hAnsi="Arial" w:cs="Arial"/>
                <w:sz w:val="18"/>
                <w:szCs w:val="18"/>
              </w:rPr>
              <w:t>(16%)</w:t>
            </w:r>
          </w:p>
        </w:tc>
        <w:tc>
          <w:tcPr>
            <w:tcW w:w="0" w:type="auto"/>
          </w:tcPr>
          <w:p w14:paraId="6CD93C1C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0.4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539B1" w:rsidRPr="00A0419A" w14:paraId="5A5DBDE2" w14:textId="77777777" w:rsidTr="007115DF">
        <w:trPr>
          <w:jc w:val="center"/>
        </w:trPr>
        <w:tc>
          <w:tcPr>
            <w:tcW w:w="0" w:type="auto"/>
          </w:tcPr>
          <w:p w14:paraId="150ACF98" w14:textId="77777777" w:rsidR="00D539B1" w:rsidRPr="00A0419A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BA stenosis</w:t>
            </w:r>
          </w:p>
        </w:tc>
        <w:tc>
          <w:tcPr>
            <w:tcW w:w="0" w:type="auto"/>
          </w:tcPr>
          <w:p w14:paraId="5ACAB8B5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041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0419A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2E1CE454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0419A">
              <w:rPr>
                <w:rFonts w:ascii="Arial" w:hAnsi="Arial" w:cs="Arial"/>
                <w:sz w:val="18"/>
                <w:szCs w:val="18"/>
              </w:rPr>
              <w:t>(7%)</w:t>
            </w:r>
          </w:p>
        </w:tc>
        <w:tc>
          <w:tcPr>
            <w:tcW w:w="0" w:type="auto"/>
          </w:tcPr>
          <w:p w14:paraId="25702590" w14:textId="77777777" w:rsidR="00D539B1" w:rsidRPr="00A0419A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</w:tr>
      <w:tr w:rsidR="00D539B1" w:rsidRPr="00A0419A" w14:paraId="1641E60B" w14:textId="77777777" w:rsidTr="007115DF">
        <w:trPr>
          <w:jc w:val="center"/>
        </w:trPr>
        <w:tc>
          <w:tcPr>
            <w:tcW w:w="0" w:type="auto"/>
            <w:gridSpan w:val="4"/>
            <w:vAlign w:val="center"/>
          </w:tcPr>
          <w:p w14:paraId="594A6642" w14:textId="77777777" w:rsidR="00D539B1" w:rsidRPr="00A0419A" w:rsidRDefault="00D539B1" w:rsidP="007115DF">
            <w:pPr>
              <w:rPr>
                <w:rFonts w:ascii="Arial" w:hAnsi="Arial" w:cs="Arial"/>
                <w:sz w:val="18"/>
                <w:szCs w:val="18"/>
              </w:rPr>
            </w:pPr>
            <w:r w:rsidRPr="00A0419A">
              <w:rPr>
                <w:rFonts w:ascii="Arial" w:hAnsi="Arial" w:cs="Arial"/>
                <w:sz w:val="18"/>
                <w:szCs w:val="18"/>
              </w:rPr>
              <w:t>Imaging</w:t>
            </w:r>
          </w:p>
        </w:tc>
      </w:tr>
      <w:tr w:rsidR="00E62E64" w:rsidRPr="00E62E64" w14:paraId="4D1704CA" w14:textId="77777777" w:rsidTr="007115DF">
        <w:trPr>
          <w:jc w:val="center"/>
        </w:trPr>
        <w:tc>
          <w:tcPr>
            <w:tcW w:w="0" w:type="auto"/>
          </w:tcPr>
          <w:p w14:paraId="7922F555" w14:textId="77777777" w:rsidR="00D539B1" w:rsidRPr="008C4255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White matter lesions</w:t>
            </w:r>
          </w:p>
        </w:tc>
        <w:tc>
          <w:tcPr>
            <w:tcW w:w="0" w:type="auto"/>
          </w:tcPr>
          <w:p w14:paraId="4D2AA6B4" w14:textId="0F9D1758" w:rsidR="00D539B1" w:rsidRPr="008C4255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5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7</w:t>
            </w:r>
            <w:r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95</w:t>
            </w:r>
            <w:r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784A25B9" w14:textId="08C9B083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32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86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4F961E58" w14:textId="1AA7DFCC" w:rsidR="00D539B1" w:rsidRPr="008C4255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0.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E62E64" w:rsidRPr="00E62E64" w14:paraId="513F2972" w14:textId="77777777" w:rsidTr="007115DF">
        <w:trPr>
          <w:jc w:val="center"/>
        </w:trPr>
        <w:tc>
          <w:tcPr>
            <w:tcW w:w="0" w:type="auto"/>
          </w:tcPr>
          <w:p w14:paraId="071F85AA" w14:textId="77777777" w:rsidR="00D539B1" w:rsidRPr="008C4255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Microbleeds</w:t>
            </w:r>
          </w:p>
        </w:tc>
        <w:tc>
          <w:tcPr>
            <w:tcW w:w="0" w:type="auto"/>
          </w:tcPr>
          <w:p w14:paraId="5F577AC9" w14:textId="4063EF8D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33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55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3A0E5B6B" w14:textId="5F300553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21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57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3D5EF03" w14:textId="3FEDF2C8" w:rsidR="00D539B1" w:rsidRPr="008C4255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0.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E62E64" w:rsidRPr="00E62E64" w14:paraId="7CBE7D75" w14:textId="77777777" w:rsidTr="007115DF">
        <w:trPr>
          <w:jc w:val="center"/>
        </w:trPr>
        <w:tc>
          <w:tcPr>
            <w:tcW w:w="0" w:type="auto"/>
          </w:tcPr>
          <w:p w14:paraId="7F25CEB4" w14:textId="77777777" w:rsidR="00D539B1" w:rsidRPr="008C4255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MCA stenosis</w:t>
            </w:r>
          </w:p>
        </w:tc>
        <w:tc>
          <w:tcPr>
            <w:tcW w:w="0" w:type="auto"/>
          </w:tcPr>
          <w:p w14:paraId="6877DCDA" w14:textId="1112FB10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8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13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9609500" w14:textId="49D75BFC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8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22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6940F9DD" w14:textId="45B1678D" w:rsidR="00D539B1" w:rsidRPr="008C4255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0.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E62E64" w:rsidRPr="00E62E64" w14:paraId="249F753C" w14:textId="77777777" w:rsidTr="007115DF">
        <w:trPr>
          <w:jc w:val="center"/>
        </w:trPr>
        <w:tc>
          <w:tcPr>
            <w:tcW w:w="0" w:type="auto"/>
          </w:tcPr>
          <w:p w14:paraId="32DFDA1B" w14:textId="77777777" w:rsidR="00D539B1" w:rsidRPr="008C4255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ACA stenosis</w:t>
            </w:r>
          </w:p>
        </w:tc>
        <w:tc>
          <w:tcPr>
            <w:tcW w:w="0" w:type="auto"/>
          </w:tcPr>
          <w:p w14:paraId="50BF072A" w14:textId="5A930425" w:rsidR="00D539B1" w:rsidRPr="008C4255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7(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12</w:t>
            </w:r>
            <w:r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4B82A96E" w14:textId="6B765CE6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0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0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6EAAAC43" w14:textId="01F01A5F" w:rsidR="00D539B1" w:rsidRPr="008C4255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0.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E62E64" w:rsidRPr="00E62E64" w14:paraId="5510182C" w14:textId="77777777" w:rsidTr="007115DF">
        <w:trPr>
          <w:jc w:val="center"/>
        </w:trPr>
        <w:tc>
          <w:tcPr>
            <w:tcW w:w="0" w:type="auto"/>
          </w:tcPr>
          <w:p w14:paraId="1461520C" w14:textId="77777777" w:rsidR="00D539B1" w:rsidRPr="008C4255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PCA stenosis</w:t>
            </w:r>
          </w:p>
        </w:tc>
        <w:tc>
          <w:tcPr>
            <w:tcW w:w="0" w:type="auto"/>
          </w:tcPr>
          <w:p w14:paraId="74954244" w14:textId="111F30E6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10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(1</w:t>
            </w:r>
            <w:r w:rsidRPr="008C4255">
              <w:rPr>
                <w:rFonts w:ascii="Arial" w:hAnsi="Arial" w:cs="Arial"/>
                <w:sz w:val="18"/>
                <w:szCs w:val="18"/>
              </w:rPr>
              <w:t>7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1D1C157A" w14:textId="26D44525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8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22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970BD04" w14:textId="54E1D911" w:rsidR="00D539B1" w:rsidRPr="008C4255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0.4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E62E64" w:rsidRPr="00E62E64" w14:paraId="2A0EDA96" w14:textId="77777777" w:rsidTr="007115DF">
        <w:trPr>
          <w:jc w:val="center"/>
        </w:trPr>
        <w:tc>
          <w:tcPr>
            <w:tcW w:w="0" w:type="auto"/>
          </w:tcPr>
          <w:p w14:paraId="657C2207" w14:textId="77777777" w:rsidR="00D539B1" w:rsidRPr="008C4255" w:rsidRDefault="00D539B1" w:rsidP="007115DF">
            <w:pPr>
              <w:ind w:firstLineChars="50" w:firstLine="9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BA stenosis</w:t>
            </w:r>
          </w:p>
        </w:tc>
        <w:tc>
          <w:tcPr>
            <w:tcW w:w="0" w:type="auto"/>
          </w:tcPr>
          <w:p w14:paraId="663262C6" w14:textId="45A973A3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9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15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360425EA" w14:textId="358EE285" w:rsidR="00D539B1" w:rsidRPr="008C4255" w:rsidRDefault="008C4255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2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(</w:t>
            </w:r>
            <w:r w:rsidRPr="008C4255">
              <w:rPr>
                <w:rFonts w:ascii="Arial" w:hAnsi="Arial" w:cs="Arial"/>
                <w:sz w:val="18"/>
                <w:szCs w:val="18"/>
              </w:rPr>
              <w:t>5</w:t>
            </w:r>
            <w:r w:rsidR="00D539B1" w:rsidRPr="008C4255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</w:tcPr>
          <w:p w14:paraId="582F4FA2" w14:textId="7ADD53E6" w:rsidR="00D539B1" w:rsidRPr="008C4255" w:rsidRDefault="00D539B1" w:rsidP="007115DF">
            <w:pPr>
              <w:ind w:firstLineChars="50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255">
              <w:rPr>
                <w:rFonts w:ascii="Arial" w:hAnsi="Arial" w:cs="Arial"/>
                <w:sz w:val="18"/>
                <w:szCs w:val="18"/>
              </w:rPr>
              <w:t>0.</w:t>
            </w:r>
            <w:r w:rsidR="008C4255" w:rsidRPr="008C4255">
              <w:rPr>
                <w:rFonts w:ascii="Arial" w:hAnsi="Arial" w:cs="Arial"/>
                <w:sz w:val="18"/>
                <w:szCs w:val="18"/>
              </w:rPr>
              <w:t>2</w:t>
            </w:r>
            <w:r w:rsidRPr="008C425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B31831" w:rsidRPr="00B31831" w14:paraId="05FC6452" w14:textId="77777777" w:rsidTr="00EC5A9C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22CA05D6" w14:textId="342978B6" w:rsidR="00B31831" w:rsidRPr="00B31831" w:rsidRDefault="00B31831" w:rsidP="00EC5A9C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Abbreviations: NIHSS = National Institute of Health stroke scale; TC = total cholesterol; TG = total triglyceride; HDL = high density lipoprotein; LDL = low density lipoprotein; HCY = homocysteine; ALT =</w:t>
            </w:r>
            <w:r w:rsidRPr="00B31831">
              <w:rPr>
                <w:rFonts w:ascii="Arial" w:hAnsi="Arial" w:cs="Arial"/>
              </w:rPr>
              <w:t xml:space="preserve"> </w:t>
            </w:r>
            <w:r w:rsidRPr="00B31831">
              <w:rPr>
                <w:rFonts w:ascii="Arial" w:hAnsi="Arial" w:cs="Arial"/>
                <w:sz w:val="18"/>
                <w:szCs w:val="18"/>
              </w:rPr>
              <w:lastRenderedPageBreak/>
              <w:t>alanine transaminase; INR = international normalized ratio</w:t>
            </w:r>
            <w:r w:rsidR="00D539B1">
              <w:rPr>
                <w:rFonts w:ascii="Arial" w:hAnsi="Arial" w:cs="Arial"/>
                <w:sz w:val="18"/>
                <w:szCs w:val="18"/>
              </w:rPr>
              <w:t>;</w:t>
            </w:r>
            <w:r w:rsidR="00D539B1">
              <w:t xml:space="preserve"> </w:t>
            </w:r>
            <w:r w:rsidR="00D539B1" w:rsidRPr="00A0419A">
              <w:rPr>
                <w:rFonts w:ascii="Arial" w:hAnsi="Arial" w:cs="Arial"/>
                <w:sz w:val="18"/>
                <w:szCs w:val="18"/>
              </w:rPr>
              <w:t xml:space="preserve">MCA = middle cerebral artery; ACA = anterior </w:t>
            </w:r>
            <w:r w:rsidR="00D539B1">
              <w:rPr>
                <w:rFonts w:ascii="Arial" w:hAnsi="Arial" w:cs="Arial"/>
                <w:sz w:val="18"/>
                <w:szCs w:val="18"/>
              </w:rPr>
              <w:t>cerebral</w:t>
            </w:r>
            <w:r w:rsidR="00D539B1" w:rsidRPr="00A0419A">
              <w:rPr>
                <w:rFonts w:ascii="Arial" w:hAnsi="Arial" w:cs="Arial"/>
                <w:sz w:val="18"/>
                <w:szCs w:val="18"/>
              </w:rPr>
              <w:t xml:space="preserve"> artery; PCA = posterior </w:t>
            </w:r>
            <w:r w:rsidR="00D539B1">
              <w:rPr>
                <w:rFonts w:ascii="Arial" w:hAnsi="Arial" w:cs="Arial"/>
                <w:sz w:val="18"/>
                <w:szCs w:val="18"/>
              </w:rPr>
              <w:t>cerebral</w:t>
            </w:r>
            <w:r w:rsidR="00D539B1" w:rsidRPr="00A0419A">
              <w:rPr>
                <w:rFonts w:ascii="Arial" w:hAnsi="Arial" w:cs="Arial"/>
                <w:sz w:val="18"/>
                <w:szCs w:val="18"/>
              </w:rPr>
              <w:t xml:space="preserve"> artery; BA = basilar artery</w:t>
            </w:r>
            <w:r w:rsidR="00D539B1" w:rsidRPr="00B318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4EB756" w14:textId="77777777" w:rsidR="00B31831" w:rsidRPr="00B31831" w:rsidRDefault="00B31831" w:rsidP="00EC5A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</w:rPr>
              <w:t>Unless specified, values are numbers of patients (%).</w:t>
            </w:r>
          </w:p>
          <w:p w14:paraId="55DC3ADA" w14:textId="77777777" w:rsidR="00B31831" w:rsidRPr="00B31831" w:rsidRDefault="00B31831" w:rsidP="00EC5A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eastAsia="宋体" w:hAnsi="Arial" w:cs="Arial"/>
                <w:b/>
                <w:bCs/>
                <w:color w:val="191919"/>
                <w:kern w:val="0"/>
                <w:sz w:val="18"/>
                <w:szCs w:val="18"/>
                <w:shd w:val="clear" w:color="auto" w:fill="FFFFFF"/>
                <w:vertAlign w:val="superscript"/>
              </w:rPr>
              <w:t>†</w:t>
            </w:r>
            <w:r w:rsidRPr="00B31831">
              <w:rPr>
                <w:rFonts w:ascii="Arial" w:hAnsi="Arial" w:cs="Arial"/>
                <w:sz w:val="18"/>
                <w:szCs w:val="18"/>
              </w:rPr>
              <w:t>Mean (standard deviation).</w:t>
            </w:r>
          </w:p>
          <w:p w14:paraId="7CCAAA83" w14:textId="77777777" w:rsidR="00B31831" w:rsidRPr="00B31831" w:rsidRDefault="00B31831" w:rsidP="00EC5A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31831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  <w:r w:rsidRPr="00B31831">
              <w:rPr>
                <w:rFonts w:ascii="Arial" w:hAnsi="Arial" w:cs="Arial"/>
                <w:sz w:val="18"/>
                <w:szCs w:val="18"/>
              </w:rPr>
              <w:t>Statistically significant.</w:t>
            </w:r>
          </w:p>
        </w:tc>
      </w:tr>
    </w:tbl>
    <w:p w14:paraId="36E444C5" w14:textId="0BCF3A45" w:rsidR="00B31831" w:rsidRDefault="00B31831" w:rsidP="003A4710">
      <w:pPr>
        <w:rPr>
          <w:rFonts w:ascii="Arial" w:hAnsi="Arial" w:cs="Arial"/>
        </w:rPr>
      </w:pPr>
    </w:p>
    <w:p w14:paraId="27FB125B" w14:textId="65FBE3C1" w:rsidR="00B31831" w:rsidRDefault="00B31831" w:rsidP="003A4710">
      <w:pPr>
        <w:rPr>
          <w:rFonts w:ascii="Arial" w:hAnsi="Arial" w:cs="Arial"/>
        </w:rPr>
      </w:pPr>
    </w:p>
    <w:p w14:paraId="0B5D53E2" w14:textId="1667C6BE" w:rsidR="00B31831" w:rsidRDefault="00B31831" w:rsidP="003A4710">
      <w:pPr>
        <w:rPr>
          <w:rFonts w:ascii="Arial" w:hAnsi="Arial" w:cs="Arial"/>
        </w:rPr>
      </w:pPr>
    </w:p>
    <w:p w14:paraId="26401EFF" w14:textId="04F1EA6B" w:rsidR="00B31831" w:rsidRDefault="00B31831">
      <w:pPr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a4"/>
        <w:tblpPr w:leftFromText="180" w:rightFromText="180" w:horzAnchor="page" w:tblpX="1990" w:tblpY="544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1594"/>
        <w:gridCol w:w="1215"/>
        <w:gridCol w:w="1559"/>
        <w:gridCol w:w="2200"/>
      </w:tblGrid>
      <w:tr w:rsidR="00B31831" w:rsidRPr="00B31831" w14:paraId="4305EB56" w14:textId="77777777" w:rsidTr="00EC5A9C">
        <w:trPr>
          <w:trHeight w:val="452"/>
        </w:trPr>
        <w:tc>
          <w:tcPr>
            <w:tcW w:w="8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48C44" w14:textId="77777777" w:rsidR="00B31831" w:rsidRPr="008E718E" w:rsidRDefault="00B31831" w:rsidP="00EC5A9C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E71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STable</w:t>
            </w:r>
            <w:proofErr w:type="spellEnd"/>
            <w:r w:rsidRPr="008E71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 Multivariable regression analysis of factors for symptomatic improvement in patients with or without thrombolysis</w:t>
            </w:r>
          </w:p>
        </w:tc>
      </w:tr>
      <w:tr w:rsidR="00B31831" w:rsidRPr="00B31831" w14:paraId="521E85DB" w14:textId="77777777" w:rsidTr="00EC5A9C">
        <w:trPr>
          <w:trHeight w:val="452"/>
        </w:trPr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22BE4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AA804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Beta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C614B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D4ACA" w14:textId="77777777" w:rsidR="00B31831" w:rsidRPr="008E718E" w:rsidRDefault="00B31831" w:rsidP="00EC5A9C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718E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B31B3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95%CI</w:t>
            </w:r>
          </w:p>
        </w:tc>
      </w:tr>
      <w:tr w:rsidR="00B31831" w:rsidRPr="00B31831" w14:paraId="0AB221BC" w14:textId="77777777" w:rsidTr="00EC5A9C">
        <w:tc>
          <w:tcPr>
            <w:tcW w:w="1722" w:type="dxa"/>
            <w:tcBorders>
              <w:top w:val="single" w:sz="4" w:space="0" w:color="auto"/>
              <w:left w:val="nil"/>
              <w:right w:val="nil"/>
            </w:tcBorders>
          </w:tcPr>
          <w:p w14:paraId="7801F6A0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Admission NIHSS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5F50AE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A72D75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8799EE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.007</w:t>
            </w:r>
            <w:r w:rsidRPr="008E718E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628EA52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1.05-1.38</w:t>
            </w:r>
          </w:p>
        </w:tc>
      </w:tr>
      <w:tr w:rsidR="00B31831" w:rsidRPr="00B31831" w14:paraId="5185CD23" w14:textId="77777777" w:rsidTr="00EC5A9C">
        <w:tc>
          <w:tcPr>
            <w:tcW w:w="1722" w:type="dxa"/>
            <w:tcBorders>
              <w:left w:val="nil"/>
              <w:right w:val="nil"/>
            </w:tcBorders>
          </w:tcPr>
          <w:p w14:paraId="6EC4E9E2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14:paraId="134D72F9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1D407547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CDFEED2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45D9D9D0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0.96-1.01</w:t>
            </w:r>
          </w:p>
        </w:tc>
      </w:tr>
      <w:tr w:rsidR="00B31831" w:rsidRPr="00B31831" w14:paraId="558330F7" w14:textId="77777777" w:rsidTr="00EC5A9C">
        <w:tc>
          <w:tcPr>
            <w:tcW w:w="1722" w:type="dxa"/>
            <w:tcBorders>
              <w:left w:val="nil"/>
              <w:right w:val="nil"/>
            </w:tcBorders>
          </w:tcPr>
          <w:p w14:paraId="151BA9FC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718E">
              <w:rPr>
                <w:rFonts w:ascii="Arial" w:hAnsi="Arial" w:cs="Arial"/>
                <w:sz w:val="20"/>
                <w:szCs w:val="20"/>
              </w:rPr>
              <w:t>ApoB</w:t>
            </w:r>
            <w:proofErr w:type="spellEnd"/>
            <w:r w:rsidRPr="008E718E">
              <w:rPr>
                <w:rFonts w:ascii="Arial" w:hAnsi="Arial" w:cs="Arial"/>
                <w:sz w:val="20"/>
                <w:szCs w:val="20"/>
              </w:rPr>
              <w:t xml:space="preserve"> 100</w:t>
            </w:r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14:paraId="6154DC19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-0.13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0F8C83BA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CA6257A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&lt; .001</w:t>
            </w:r>
            <w:r w:rsidRPr="008E718E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2CF887EC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0.84-0.91</w:t>
            </w:r>
          </w:p>
        </w:tc>
      </w:tr>
      <w:tr w:rsidR="00B31831" w:rsidRPr="00B31831" w14:paraId="6A0E944D" w14:textId="77777777" w:rsidTr="00EC5A9C">
        <w:tc>
          <w:tcPr>
            <w:tcW w:w="1722" w:type="dxa"/>
            <w:tcBorders>
              <w:left w:val="nil"/>
              <w:right w:val="nil"/>
            </w:tcBorders>
          </w:tcPr>
          <w:p w14:paraId="24FA5178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594" w:type="dxa"/>
            <w:tcBorders>
              <w:left w:val="nil"/>
              <w:right w:val="nil"/>
            </w:tcBorders>
            <w:vAlign w:val="center"/>
          </w:tcPr>
          <w:p w14:paraId="321424FD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14:paraId="49DBC0D2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E811A00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14:paraId="09CF2016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>0.67-3.77</w:t>
            </w:r>
          </w:p>
        </w:tc>
      </w:tr>
      <w:tr w:rsidR="00B31831" w:rsidRPr="00B31831" w14:paraId="79896ABA" w14:textId="77777777" w:rsidTr="00EC5A9C">
        <w:trPr>
          <w:trHeight w:val="63"/>
        </w:trPr>
        <w:tc>
          <w:tcPr>
            <w:tcW w:w="82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C4389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 xml:space="preserve">After adjusting TG, TC, LDL, HDL, </w:t>
            </w:r>
            <w:proofErr w:type="spellStart"/>
            <w:r w:rsidRPr="008E718E">
              <w:rPr>
                <w:rFonts w:ascii="Arial" w:hAnsi="Arial" w:cs="Arial"/>
                <w:sz w:val="20"/>
                <w:szCs w:val="20"/>
              </w:rPr>
              <w:t>Lpa</w:t>
            </w:r>
            <w:proofErr w:type="spellEnd"/>
            <w:r w:rsidRPr="008E718E">
              <w:rPr>
                <w:rFonts w:ascii="Arial" w:hAnsi="Arial" w:cs="Arial"/>
                <w:sz w:val="20"/>
                <w:szCs w:val="20"/>
              </w:rPr>
              <w:t>, and glucose levels.</w:t>
            </w:r>
          </w:p>
          <w:p w14:paraId="0A97B863" w14:textId="77777777" w:rsidR="00B31831" w:rsidRPr="008E718E" w:rsidRDefault="00B31831" w:rsidP="00EC5A9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718E">
              <w:rPr>
                <w:rFonts w:ascii="Arial" w:hAnsi="Arial" w:cs="Arial"/>
                <w:sz w:val="20"/>
                <w:szCs w:val="20"/>
              </w:rPr>
              <w:t xml:space="preserve">Abbreviations: OR, odd ratio; NIHSS, National Institute of Health stroke scale; TC = total cholesterol; TG = total triglyceride; HDL = high density lipoprotein; LDL = low density lipoprotein. </w:t>
            </w:r>
            <w:r w:rsidRPr="008E718E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8E718E">
              <w:rPr>
                <w:rFonts w:ascii="Arial" w:hAnsi="Arial" w:cs="Arial"/>
                <w:sz w:val="20"/>
                <w:szCs w:val="20"/>
              </w:rPr>
              <w:t>indicates statistically significant.</w:t>
            </w:r>
          </w:p>
        </w:tc>
      </w:tr>
    </w:tbl>
    <w:p w14:paraId="4FBAACD0" w14:textId="7C202C14" w:rsidR="00B31831" w:rsidRDefault="00B31831" w:rsidP="003A4710">
      <w:pPr>
        <w:rPr>
          <w:rFonts w:ascii="Arial" w:hAnsi="Arial" w:cs="Arial" w:hint="eastAsia"/>
        </w:rPr>
      </w:pPr>
    </w:p>
    <w:p w14:paraId="1D35CCCE" w14:textId="6D176630" w:rsidR="00140E88" w:rsidRDefault="00140E88" w:rsidP="003A4710">
      <w:pPr>
        <w:rPr>
          <w:rFonts w:ascii="Arial" w:hAnsi="Arial" w:cs="Arial"/>
        </w:rPr>
      </w:pPr>
    </w:p>
    <w:p w14:paraId="35B84410" w14:textId="7917E0C4" w:rsidR="00D9348F" w:rsidRDefault="00D9348F" w:rsidP="003A4710">
      <w:pPr>
        <w:rPr>
          <w:rFonts w:ascii="Arial" w:hAnsi="Arial" w:cs="Arial"/>
        </w:rPr>
      </w:pPr>
    </w:p>
    <w:p w14:paraId="2416BFEF" w14:textId="17CDE9B3" w:rsidR="00D9348F" w:rsidRDefault="00D9348F" w:rsidP="003A4710">
      <w:pPr>
        <w:rPr>
          <w:rFonts w:ascii="Arial" w:hAnsi="Arial" w:cs="Arial"/>
        </w:rPr>
      </w:pPr>
    </w:p>
    <w:p w14:paraId="518B4281" w14:textId="0849CD10" w:rsidR="00D9348F" w:rsidRDefault="00D9348F" w:rsidP="003A471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sFigure</w:t>
      </w:r>
      <w:proofErr w:type="spellEnd"/>
      <w:r>
        <w:rPr>
          <w:rFonts w:ascii="Arial" w:hAnsi="Arial" w:cs="Arial"/>
        </w:rPr>
        <w:t xml:space="preserve"> 1 </w:t>
      </w:r>
      <w:r w:rsidR="00B85501">
        <w:rPr>
          <w:rFonts w:ascii="Arial" w:hAnsi="Arial" w:cs="Arial"/>
        </w:rPr>
        <w:t>E</w:t>
      </w:r>
      <w:r w:rsidRPr="00D9348F">
        <w:rPr>
          <w:rFonts w:ascii="Arial" w:hAnsi="Arial" w:cs="Arial"/>
        </w:rPr>
        <w:t>xample</w:t>
      </w:r>
      <w:r w:rsidR="00B85501">
        <w:rPr>
          <w:rFonts w:ascii="Arial" w:hAnsi="Arial" w:cs="Arial"/>
        </w:rPr>
        <w:t>s</w:t>
      </w:r>
      <w:r w:rsidRPr="00D9348F">
        <w:rPr>
          <w:rFonts w:ascii="Arial" w:hAnsi="Arial" w:cs="Arial"/>
        </w:rPr>
        <w:t xml:space="preserve"> of decision trees</w:t>
      </w:r>
      <w:r w:rsidR="00B85501">
        <w:rPr>
          <w:rFonts w:ascii="Arial" w:hAnsi="Arial" w:cs="Arial"/>
        </w:rPr>
        <w:t xml:space="preserve"> (No.0, 1)</w:t>
      </w:r>
      <w:r w:rsidRPr="00D9348F">
        <w:rPr>
          <w:rFonts w:ascii="Arial" w:hAnsi="Arial" w:cs="Arial"/>
        </w:rPr>
        <w:t xml:space="preserve"> and there were 100</w:t>
      </w:r>
      <w:r w:rsidR="00B85501">
        <w:rPr>
          <w:rFonts w:ascii="Arial" w:hAnsi="Arial" w:cs="Arial"/>
        </w:rPr>
        <w:t xml:space="preserve"> (0-99)</w:t>
      </w:r>
      <w:r w:rsidRPr="00D9348F">
        <w:rPr>
          <w:rFonts w:ascii="Arial" w:hAnsi="Arial" w:cs="Arial"/>
        </w:rPr>
        <w:t xml:space="preserve"> trees showing the analytic process of the random forest</w:t>
      </w:r>
    </w:p>
    <w:p w14:paraId="582D51B2" w14:textId="5DA3EC9C" w:rsidR="00D9348F" w:rsidRDefault="00D9348F" w:rsidP="003A4710">
      <w:pPr>
        <w:rPr>
          <w:rFonts w:ascii="Arial" w:hAnsi="Arial" w:cs="Arial"/>
        </w:rPr>
      </w:pPr>
    </w:p>
    <w:p w14:paraId="74B8F96E" w14:textId="124C95BD" w:rsidR="00D9348F" w:rsidRDefault="00D9348F" w:rsidP="003A4710">
      <w:pPr>
        <w:rPr>
          <w:rFonts w:ascii="Arial" w:hAnsi="Arial" w:cs="Arial"/>
        </w:rPr>
      </w:pPr>
      <w:r>
        <w:rPr>
          <w:rFonts w:ascii="Arial" w:hAnsi="Arial" w:cs="Arial" w:hint="eastAsia"/>
          <w:noProof/>
        </w:rPr>
        <w:drawing>
          <wp:inline distT="0" distB="0" distL="0" distR="0" wp14:anchorId="70FC7C02" wp14:editId="318B02A3">
            <wp:extent cx="4389120" cy="38881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178" cy="389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2C9C" w14:textId="23D111F3" w:rsidR="00B85501" w:rsidRDefault="00B85501" w:rsidP="003A4710">
      <w:pPr>
        <w:rPr>
          <w:rFonts w:ascii="Arial" w:hAnsi="Arial" w:cs="Arial"/>
        </w:rPr>
      </w:pPr>
    </w:p>
    <w:p w14:paraId="26AA5060" w14:textId="6EDA3615" w:rsidR="00B85501" w:rsidRDefault="00B85501" w:rsidP="003A4710">
      <w:pPr>
        <w:rPr>
          <w:rFonts w:ascii="Arial" w:hAnsi="Arial" w:cs="Arial"/>
        </w:rPr>
      </w:pPr>
    </w:p>
    <w:p w14:paraId="4459C135" w14:textId="772E15F0" w:rsidR="00B85501" w:rsidRPr="00B31831" w:rsidRDefault="00B85501" w:rsidP="00B85501">
      <w:pPr>
        <w:jc w:val="center"/>
        <w:rPr>
          <w:rFonts w:ascii="Arial" w:hAnsi="Arial" w:cs="Arial" w:hint="eastAsia"/>
        </w:rPr>
      </w:pPr>
      <w:r>
        <w:rPr>
          <w:rFonts w:ascii="Arial" w:hAnsi="Arial" w:cs="Arial" w:hint="eastAsia"/>
          <w:noProof/>
        </w:rPr>
        <w:lastRenderedPageBreak/>
        <w:drawing>
          <wp:inline distT="0" distB="0" distL="0" distR="0" wp14:anchorId="3E0C7FAA" wp14:editId="715408DE">
            <wp:extent cx="3115750" cy="53381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279" cy="53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501" w:rsidRPr="00B3183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C953" w14:textId="77777777" w:rsidR="00314700" w:rsidRDefault="00314700" w:rsidP="00097CB3">
      <w:r>
        <w:separator/>
      </w:r>
    </w:p>
  </w:endnote>
  <w:endnote w:type="continuationSeparator" w:id="0">
    <w:p w14:paraId="14D6B55D" w14:textId="77777777" w:rsidR="00314700" w:rsidRDefault="00314700" w:rsidP="0009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20810607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6D928C5B" w14:textId="125FA1C0" w:rsidR="00097CB3" w:rsidRDefault="00097CB3" w:rsidP="006D21CF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0BF14EC" w14:textId="77777777" w:rsidR="00097CB3" w:rsidRDefault="00097C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03508547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F0F6931" w14:textId="6903EF4B" w:rsidR="00097CB3" w:rsidRDefault="00097CB3" w:rsidP="006D21CF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3C19A659" w14:textId="77777777" w:rsidR="00097CB3" w:rsidRDefault="00097C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E951" w14:textId="77777777" w:rsidR="00314700" w:rsidRDefault="00314700" w:rsidP="00097CB3">
      <w:r>
        <w:separator/>
      </w:r>
    </w:p>
  </w:footnote>
  <w:footnote w:type="continuationSeparator" w:id="0">
    <w:p w14:paraId="63592F41" w14:textId="77777777" w:rsidR="00314700" w:rsidRDefault="00314700" w:rsidP="0009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C4E23"/>
    <w:multiLevelType w:val="hybridMultilevel"/>
    <w:tmpl w:val="6290CB64"/>
    <w:lvl w:ilvl="0" w:tplc="B366E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495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B1"/>
    <w:rsid w:val="000018F3"/>
    <w:rsid w:val="00005EB3"/>
    <w:rsid w:val="00013F8F"/>
    <w:rsid w:val="00014B33"/>
    <w:rsid w:val="000174DA"/>
    <w:rsid w:val="00021932"/>
    <w:rsid w:val="000235D0"/>
    <w:rsid w:val="0004361F"/>
    <w:rsid w:val="0004596A"/>
    <w:rsid w:val="000525F9"/>
    <w:rsid w:val="000533D0"/>
    <w:rsid w:val="000641D9"/>
    <w:rsid w:val="00071027"/>
    <w:rsid w:val="00080D9D"/>
    <w:rsid w:val="00086FDD"/>
    <w:rsid w:val="00087FF7"/>
    <w:rsid w:val="0009109D"/>
    <w:rsid w:val="000916AC"/>
    <w:rsid w:val="00092BB9"/>
    <w:rsid w:val="000941AC"/>
    <w:rsid w:val="0009426C"/>
    <w:rsid w:val="00097CB3"/>
    <w:rsid w:val="000A1BEB"/>
    <w:rsid w:val="000A2536"/>
    <w:rsid w:val="000A2F36"/>
    <w:rsid w:val="000A531E"/>
    <w:rsid w:val="000B057E"/>
    <w:rsid w:val="000B516B"/>
    <w:rsid w:val="000B5B32"/>
    <w:rsid w:val="000B7B6A"/>
    <w:rsid w:val="000D4EC5"/>
    <w:rsid w:val="000D56B3"/>
    <w:rsid w:val="000E6208"/>
    <w:rsid w:val="000F5100"/>
    <w:rsid w:val="00100820"/>
    <w:rsid w:val="0010114C"/>
    <w:rsid w:val="00103454"/>
    <w:rsid w:val="001044A5"/>
    <w:rsid w:val="0010695F"/>
    <w:rsid w:val="00116875"/>
    <w:rsid w:val="00117F42"/>
    <w:rsid w:val="001203F9"/>
    <w:rsid w:val="0012062F"/>
    <w:rsid w:val="00121C0E"/>
    <w:rsid w:val="00126608"/>
    <w:rsid w:val="001279E0"/>
    <w:rsid w:val="00127E84"/>
    <w:rsid w:val="0013585E"/>
    <w:rsid w:val="00137616"/>
    <w:rsid w:val="00140A5D"/>
    <w:rsid w:val="00140E88"/>
    <w:rsid w:val="00141452"/>
    <w:rsid w:val="00145979"/>
    <w:rsid w:val="0015021B"/>
    <w:rsid w:val="00151DFF"/>
    <w:rsid w:val="001531D7"/>
    <w:rsid w:val="001546A1"/>
    <w:rsid w:val="001600AB"/>
    <w:rsid w:val="0016164A"/>
    <w:rsid w:val="001625AD"/>
    <w:rsid w:val="00167E7B"/>
    <w:rsid w:val="001767FE"/>
    <w:rsid w:val="00187C04"/>
    <w:rsid w:val="00196478"/>
    <w:rsid w:val="00197A83"/>
    <w:rsid w:val="001A0156"/>
    <w:rsid w:val="001A6090"/>
    <w:rsid w:val="001C0199"/>
    <w:rsid w:val="001C3E44"/>
    <w:rsid w:val="001C7B4F"/>
    <w:rsid w:val="00205D7A"/>
    <w:rsid w:val="00212664"/>
    <w:rsid w:val="0022390F"/>
    <w:rsid w:val="00224F91"/>
    <w:rsid w:val="0023161E"/>
    <w:rsid w:val="0024099B"/>
    <w:rsid w:val="00242D0F"/>
    <w:rsid w:val="00245EEA"/>
    <w:rsid w:val="002511E8"/>
    <w:rsid w:val="00251836"/>
    <w:rsid w:val="00254A24"/>
    <w:rsid w:val="0025693F"/>
    <w:rsid w:val="00256DB1"/>
    <w:rsid w:val="00257E6D"/>
    <w:rsid w:val="00262098"/>
    <w:rsid w:val="00264145"/>
    <w:rsid w:val="00264D51"/>
    <w:rsid w:val="002714A1"/>
    <w:rsid w:val="00277B18"/>
    <w:rsid w:val="002973BC"/>
    <w:rsid w:val="002A2E8B"/>
    <w:rsid w:val="002A5A47"/>
    <w:rsid w:val="002B5ACC"/>
    <w:rsid w:val="002C09A6"/>
    <w:rsid w:val="002C37BE"/>
    <w:rsid w:val="002E67CC"/>
    <w:rsid w:val="00304434"/>
    <w:rsid w:val="00306257"/>
    <w:rsid w:val="003066E9"/>
    <w:rsid w:val="003110D3"/>
    <w:rsid w:val="00314700"/>
    <w:rsid w:val="00314CF1"/>
    <w:rsid w:val="00326590"/>
    <w:rsid w:val="00343C56"/>
    <w:rsid w:val="003572A4"/>
    <w:rsid w:val="003630DF"/>
    <w:rsid w:val="00364522"/>
    <w:rsid w:val="00367EA1"/>
    <w:rsid w:val="00381EC7"/>
    <w:rsid w:val="003830C6"/>
    <w:rsid w:val="003A1C22"/>
    <w:rsid w:val="003A4710"/>
    <w:rsid w:val="003B0760"/>
    <w:rsid w:val="003C42B2"/>
    <w:rsid w:val="003D047F"/>
    <w:rsid w:val="003D711E"/>
    <w:rsid w:val="003F7BC0"/>
    <w:rsid w:val="00400C49"/>
    <w:rsid w:val="00407895"/>
    <w:rsid w:val="00410FB0"/>
    <w:rsid w:val="0041148D"/>
    <w:rsid w:val="00411CE6"/>
    <w:rsid w:val="004120E4"/>
    <w:rsid w:val="004138AC"/>
    <w:rsid w:val="004151D9"/>
    <w:rsid w:val="00427FB0"/>
    <w:rsid w:val="0043262A"/>
    <w:rsid w:val="00437AA8"/>
    <w:rsid w:val="004401FB"/>
    <w:rsid w:val="00452AA2"/>
    <w:rsid w:val="00455CD4"/>
    <w:rsid w:val="00457E12"/>
    <w:rsid w:val="00457ED9"/>
    <w:rsid w:val="004623FC"/>
    <w:rsid w:val="00464429"/>
    <w:rsid w:val="004659A5"/>
    <w:rsid w:val="00470E21"/>
    <w:rsid w:val="00477B85"/>
    <w:rsid w:val="00480E88"/>
    <w:rsid w:val="00481A2E"/>
    <w:rsid w:val="00494127"/>
    <w:rsid w:val="004A089D"/>
    <w:rsid w:val="004D7504"/>
    <w:rsid w:val="004E2887"/>
    <w:rsid w:val="004F647B"/>
    <w:rsid w:val="004F7527"/>
    <w:rsid w:val="0050324B"/>
    <w:rsid w:val="0050336A"/>
    <w:rsid w:val="00507119"/>
    <w:rsid w:val="005138FB"/>
    <w:rsid w:val="00515BD1"/>
    <w:rsid w:val="00530185"/>
    <w:rsid w:val="00536043"/>
    <w:rsid w:val="005431D4"/>
    <w:rsid w:val="005460E0"/>
    <w:rsid w:val="00552717"/>
    <w:rsid w:val="00556CBF"/>
    <w:rsid w:val="005575F7"/>
    <w:rsid w:val="00566335"/>
    <w:rsid w:val="005713EF"/>
    <w:rsid w:val="00575E2F"/>
    <w:rsid w:val="005777D5"/>
    <w:rsid w:val="005802FA"/>
    <w:rsid w:val="005839C7"/>
    <w:rsid w:val="005856EA"/>
    <w:rsid w:val="00587B27"/>
    <w:rsid w:val="00587CB1"/>
    <w:rsid w:val="005932B4"/>
    <w:rsid w:val="0059422B"/>
    <w:rsid w:val="005963C7"/>
    <w:rsid w:val="005A287B"/>
    <w:rsid w:val="005B0A71"/>
    <w:rsid w:val="005B1F37"/>
    <w:rsid w:val="005B2F9A"/>
    <w:rsid w:val="005B532B"/>
    <w:rsid w:val="005B5EAB"/>
    <w:rsid w:val="005C6008"/>
    <w:rsid w:val="005D04DF"/>
    <w:rsid w:val="005E274F"/>
    <w:rsid w:val="005E3FAB"/>
    <w:rsid w:val="005E4341"/>
    <w:rsid w:val="005E7748"/>
    <w:rsid w:val="005F4C07"/>
    <w:rsid w:val="005F75C9"/>
    <w:rsid w:val="00601ADD"/>
    <w:rsid w:val="0060384C"/>
    <w:rsid w:val="00615276"/>
    <w:rsid w:val="00616376"/>
    <w:rsid w:val="006165C6"/>
    <w:rsid w:val="006214CF"/>
    <w:rsid w:val="00624C54"/>
    <w:rsid w:val="00633101"/>
    <w:rsid w:val="0063619D"/>
    <w:rsid w:val="006507D6"/>
    <w:rsid w:val="00652818"/>
    <w:rsid w:val="006543DB"/>
    <w:rsid w:val="00655F6D"/>
    <w:rsid w:val="006734E5"/>
    <w:rsid w:val="006750C4"/>
    <w:rsid w:val="00676351"/>
    <w:rsid w:val="00692176"/>
    <w:rsid w:val="006938D6"/>
    <w:rsid w:val="00693E81"/>
    <w:rsid w:val="00694727"/>
    <w:rsid w:val="006959BD"/>
    <w:rsid w:val="00696FAA"/>
    <w:rsid w:val="006A1590"/>
    <w:rsid w:val="006A252F"/>
    <w:rsid w:val="006B05C4"/>
    <w:rsid w:val="006B0DC3"/>
    <w:rsid w:val="006B1A70"/>
    <w:rsid w:val="006B462C"/>
    <w:rsid w:val="006C4C0C"/>
    <w:rsid w:val="006C73D0"/>
    <w:rsid w:val="006D09B6"/>
    <w:rsid w:val="006D458B"/>
    <w:rsid w:val="006D491A"/>
    <w:rsid w:val="006D560F"/>
    <w:rsid w:val="006D77CA"/>
    <w:rsid w:val="006E14C5"/>
    <w:rsid w:val="006E2C67"/>
    <w:rsid w:val="006E647C"/>
    <w:rsid w:val="006F0CD8"/>
    <w:rsid w:val="006F61B1"/>
    <w:rsid w:val="006F63E2"/>
    <w:rsid w:val="00701908"/>
    <w:rsid w:val="00702760"/>
    <w:rsid w:val="00705056"/>
    <w:rsid w:val="00706788"/>
    <w:rsid w:val="00712247"/>
    <w:rsid w:val="007122F1"/>
    <w:rsid w:val="00712CA9"/>
    <w:rsid w:val="0071500C"/>
    <w:rsid w:val="00717286"/>
    <w:rsid w:val="00717F93"/>
    <w:rsid w:val="0072264F"/>
    <w:rsid w:val="00732E4B"/>
    <w:rsid w:val="007343A2"/>
    <w:rsid w:val="007344D0"/>
    <w:rsid w:val="00734FDD"/>
    <w:rsid w:val="00741FB3"/>
    <w:rsid w:val="007436E6"/>
    <w:rsid w:val="007556D5"/>
    <w:rsid w:val="00782914"/>
    <w:rsid w:val="00786388"/>
    <w:rsid w:val="00787306"/>
    <w:rsid w:val="007937CF"/>
    <w:rsid w:val="0079634F"/>
    <w:rsid w:val="007B46ED"/>
    <w:rsid w:val="007B4CB0"/>
    <w:rsid w:val="007B55A5"/>
    <w:rsid w:val="007B77B2"/>
    <w:rsid w:val="007C468D"/>
    <w:rsid w:val="007C6C85"/>
    <w:rsid w:val="007D64F7"/>
    <w:rsid w:val="007E0141"/>
    <w:rsid w:val="007E046D"/>
    <w:rsid w:val="007F7162"/>
    <w:rsid w:val="00802E7A"/>
    <w:rsid w:val="00803B05"/>
    <w:rsid w:val="00803C38"/>
    <w:rsid w:val="008173A5"/>
    <w:rsid w:val="00822F09"/>
    <w:rsid w:val="00830854"/>
    <w:rsid w:val="00836E2C"/>
    <w:rsid w:val="008415A5"/>
    <w:rsid w:val="00841E11"/>
    <w:rsid w:val="008439E1"/>
    <w:rsid w:val="00844305"/>
    <w:rsid w:val="00846D08"/>
    <w:rsid w:val="008579A8"/>
    <w:rsid w:val="00857A09"/>
    <w:rsid w:val="00864D72"/>
    <w:rsid w:val="00866372"/>
    <w:rsid w:val="00866FBB"/>
    <w:rsid w:val="00872688"/>
    <w:rsid w:val="00873760"/>
    <w:rsid w:val="008804B7"/>
    <w:rsid w:val="0088221E"/>
    <w:rsid w:val="00883697"/>
    <w:rsid w:val="00890231"/>
    <w:rsid w:val="008905DF"/>
    <w:rsid w:val="008A0170"/>
    <w:rsid w:val="008A55DE"/>
    <w:rsid w:val="008B36D3"/>
    <w:rsid w:val="008B58E6"/>
    <w:rsid w:val="008B5EFF"/>
    <w:rsid w:val="008B6430"/>
    <w:rsid w:val="008C1516"/>
    <w:rsid w:val="008C4255"/>
    <w:rsid w:val="008C69BB"/>
    <w:rsid w:val="008D44AF"/>
    <w:rsid w:val="008D57AE"/>
    <w:rsid w:val="008D78D7"/>
    <w:rsid w:val="008E3E2E"/>
    <w:rsid w:val="008E5CD0"/>
    <w:rsid w:val="008E718E"/>
    <w:rsid w:val="008F0405"/>
    <w:rsid w:val="008F16C7"/>
    <w:rsid w:val="008F5DDC"/>
    <w:rsid w:val="008F6E4F"/>
    <w:rsid w:val="00900058"/>
    <w:rsid w:val="00921F8B"/>
    <w:rsid w:val="009235BB"/>
    <w:rsid w:val="00924156"/>
    <w:rsid w:val="00935519"/>
    <w:rsid w:val="00941B80"/>
    <w:rsid w:val="00944EEA"/>
    <w:rsid w:val="00950CEC"/>
    <w:rsid w:val="00953B13"/>
    <w:rsid w:val="0095402C"/>
    <w:rsid w:val="0095652C"/>
    <w:rsid w:val="00963282"/>
    <w:rsid w:val="009665FA"/>
    <w:rsid w:val="00972407"/>
    <w:rsid w:val="00980719"/>
    <w:rsid w:val="009902FE"/>
    <w:rsid w:val="00990B46"/>
    <w:rsid w:val="0099141A"/>
    <w:rsid w:val="009A0FC2"/>
    <w:rsid w:val="009A3C2D"/>
    <w:rsid w:val="009A42E7"/>
    <w:rsid w:val="009A44AA"/>
    <w:rsid w:val="009B2F16"/>
    <w:rsid w:val="009B6285"/>
    <w:rsid w:val="009C4779"/>
    <w:rsid w:val="009C6C11"/>
    <w:rsid w:val="009E2968"/>
    <w:rsid w:val="009E49F7"/>
    <w:rsid w:val="009E66E9"/>
    <w:rsid w:val="009F10B4"/>
    <w:rsid w:val="009F2506"/>
    <w:rsid w:val="009F28A0"/>
    <w:rsid w:val="009F4ACA"/>
    <w:rsid w:val="009F6205"/>
    <w:rsid w:val="009F6999"/>
    <w:rsid w:val="00A01F9F"/>
    <w:rsid w:val="00A03CC9"/>
    <w:rsid w:val="00A0419A"/>
    <w:rsid w:val="00A04508"/>
    <w:rsid w:val="00A1461A"/>
    <w:rsid w:val="00A14F06"/>
    <w:rsid w:val="00A20C49"/>
    <w:rsid w:val="00A234B2"/>
    <w:rsid w:val="00A237B4"/>
    <w:rsid w:val="00A23DA5"/>
    <w:rsid w:val="00A27DE6"/>
    <w:rsid w:val="00A30511"/>
    <w:rsid w:val="00A30E96"/>
    <w:rsid w:val="00A34D40"/>
    <w:rsid w:val="00A42091"/>
    <w:rsid w:val="00A43691"/>
    <w:rsid w:val="00A65951"/>
    <w:rsid w:val="00A70AE6"/>
    <w:rsid w:val="00A7343A"/>
    <w:rsid w:val="00A82359"/>
    <w:rsid w:val="00A84943"/>
    <w:rsid w:val="00A8500F"/>
    <w:rsid w:val="00A8617F"/>
    <w:rsid w:val="00A865FC"/>
    <w:rsid w:val="00A86806"/>
    <w:rsid w:val="00A90131"/>
    <w:rsid w:val="00A936C2"/>
    <w:rsid w:val="00A9395A"/>
    <w:rsid w:val="00A93C64"/>
    <w:rsid w:val="00A948BD"/>
    <w:rsid w:val="00A94972"/>
    <w:rsid w:val="00AA1789"/>
    <w:rsid w:val="00AA575E"/>
    <w:rsid w:val="00AA6D75"/>
    <w:rsid w:val="00AC29D0"/>
    <w:rsid w:val="00AC56D0"/>
    <w:rsid w:val="00AD2EBF"/>
    <w:rsid w:val="00AD4450"/>
    <w:rsid w:val="00AD4A6D"/>
    <w:rsid w:val="00AD75C7"/>
    <w:rsid w:val="00AE2EEA"/>
    <w:rsid w:val="00AF0600"/>
    <w:rsid w:val="00AF0A68"/>
    <w:rsid w:val="00B11D4C"/>
    <w:rsid w:val="00B12ADB"/>
    <w:rsid w:val="00B12EA6"/>
    <w:rsid w:val="00B1514F"/>
    <w:rsid w:val="00B209E4"/>
    <w:rsid w:val="00B23346"/>
    <w:rsid w:val="00B31831"/>
    <w:rsid w:val="00B3320C"/>
    <w:rsid w:val="00B35343"/>
    <w:rsid w:val="00B353A4"/>
    <w:rsid w:val="00B367E0"/>
    <w:rsid w:val="00B45AFA"/>
    <w:rsid w:val="00B47141"/>
    <w:rsid w:val="00B54BB7"/>
    <w:rsid w:val="00B6035C"/>
    <w:rsid w:val="00B626CC"/>
    <w:rsid w:val="00B636A2"/>
    <w:rsid w:val="00B6631A"/>
    <w:rsid w:val="00B678AC"/>
    <w:rsid w:val="00B80771"/>
    <w:rsid w:val="00B818F1"/>
    <w:rsid w:val="00B84DAC"/>
    <w:rsid w:val="00B85501"/>
    <w:rsid w:val="00B85599"/>
    <w:rsid w:val="00B941D2"/>
    <w:rsid w:val="00B96B95"/>
    <w:rsid w:val="00B97C5E"/>
    <w:rsid w:val="00BA0B06"/>
    <w:rsid w:val="00BA5AC3"/>
    <w:rsid w:val="00BB0828"/>
    <w:rsid w:val="00BB4055"/>
    <w:rsid w:val="00BC0B59"/>
    <w:rsid w:val="00BD273C"/>
    <w:rsid w:val="00BD71AB"/>
    <w:rsid w:val="00BE46A8"/>
    <w:rsid w:val="00BF064E"/>
    <w:rsid w:val="00BF12B2"/>
    <w:rsid w:val="00BF1454"/>
    <w:rsid w:val="00C01DC5"/>
    <w:rsid w:val="00C07123"/>
    <w:rsid w:val="00C12C3F"/>
    <w:rsid w:val="00C13A67"/>
    <w:rsid w:val="00C202F0"/>
    <w:rsid w:val="00C22D59"/>
    <w:rsid w:val="00C4497B"/>
    <w:rsid w:val="00C534E6"/>
    <w:rsid w:val="00C56D35"/>
    <w:rsid w:val="00C62DBE"/>
    <w:rsid w:val="00C72F6C"/>
    <w:rsid w:val="00C809B7"/>
    <w:rsid w:val="00C9441F"/>
    <w:rsid w:val="00CB0079"/>
    <w:rsid w:val="00CB73AA"/>
    <w:rsid w:val="00CD16AA"/>
    <w:rsid w:val="00CE5695"/>
    <w:rsid w:val="00CE5CAA"/>
    <w:rsid w:val="00CF2DA6"/>
    <w:rsid w:val="00CF4EC7"/>
    <w:rsid w:val="00CF540E"/>
    <w:rsid w:val="00D02B5F"/>
    <w:rsid w:val="00D12E71"/>
    <w:rsid w:val="00D14D77"/>
    <w:rsid w:val="00D20C08"/>
    <w:rsid w:val="00D24A06"/>
    <w:rsid w:val="00D27AA3"/>
    <w:rsid w:val="00D40EC9"/>
    <w:rsid w:val="00D41C63"/>
    <w:rsid w:val="00D506B9"/>
    <w:rsid w:val="00D50884"/>
    <w:rsid w:val="00D539B1"/>
    <w:rsid w:val="00D61190"/>
    <w:rsid w:val="00D628C4"/>
    <w:rsid w:val="00D662AC"/>
    <w:rsid w:val="00D674DB"/>
    <w:rsid w:val="00D67E69"/>
    <w:rsid w:val="00D7425D"/>
    <w:rsid w:val="00D74887"/>
    <w:rsid w:val="00D77CCE"/>
    <w:rsid w:val="00D80EEE"/>
    <w:rsid w:val="00D833CE"/>
    <w:rsid w:val="00D84CE5"/>
    <w:rsid w:val="00D855AC"/>
    <w:rsid w:val="00D904CB"/>
    <w:rsid w:val="00D91BE7"/>
    <w:rsid w:val="00D9348F"/>
    <w:rsid w:val="00D94457"/>
    <w:rsid w:val="00D9482A"/>
    <w:rsid w:val="00DA219B"/>
    <w:rsid w:val="00DA393E"/>
    <w:rsid w:val="00DA43B3"/>
    <w:rsid w:val="00DA440F"/>
    <w:rsid w:val="00DA4AD7"/>
    <w:rsid w:val="00DB0EDB"/>
    <w:rsid w:val="00DB195A"/>
    <w:rsid w:val="00DB5CE5"/>
    <w:rsid w:val="00DC004C"/>
    <w:rsid w:val="00DC00DD"/>
    <w:rsid w:val="00DD4D5E"/>
    <w:rsid w:val="00DD5096"/>
    <w:rsid w:val="00DD62A2"/>
    <w:rsid w:val="00DE151F"/>
    <w:rsid w:val="00DE34B3"/>
    <w:rsid w:val="00DF15D2"/>
    <w:rsid w:val="00DF5F1F"/>
    <w:rsid w:val="00DF611F"/>
    <w:rsid w:val="00DF74EA"/>
    <w:rsid w:val="00E01C56"/>
    <w:rsid w:val="00E1376E"/>
    <w:rsid w:val="00E33254"/>
    <w:rsid w:val="00E44DD5"/>
    <w:rsid w:val="00E45F6A"/>
    <w:rsid w:val="00E47C77"/>
    <w:rsid w:val="00E54183"/>
    <w:rsid w:val="00E56082"/>
    <w:rsid w:val="00E5709B"/>
    <w:rsid w:val="00E57509"/>
    <w:rsid w:val="00E62E64"/>
    <w:rsid w:val="00E65269"/>
    <w:rsid w:val="00E75DBB"/>
    <w:rsid w:val="00E7609D"/>
    <w:rsid w:val="00E8792D"/>
    <w:rsid w:val="00E9244B"/>
    <w:rsid w:val="00E9394D"/>
    <w:rsid w:val="00E94A67"/>
    <w:rsid w:val="00EA6DBA"/>
    <w:rsid w:val="00EB1ABD"/>
    <w:rsid w:val="00EB2FF4"/>
    <w:rsid w:val="00EC5305"/>
    <w:rsid w:val="00EC6A07"/>
    <w:rsid w:val="00ED68A4"/>
    <w:rsid w:val="00EE3A73"/>
    <w:rsid w:val="00EE54CD"/>
    <w:rsid w:val="00EF102A"/>
    <w:rsid w:val="00EF4BDC"/>
    <w:rsid w:val="00F02B28"/>
    <w:rsid w:val="00F100F6"/>
    <w:rsid w:val="00F15E45"/>
    <w:rsid w:val="00F17014"/>
    <w:rsid w:val="00F21971"/>
    <w:rsid w:val="00F31372"/>
    <w:rsid w:val="00F4151E"/>
    <w:rsid w:val="00F43952"/>
    <w:rsid w:val="00F73C11"/>
    <w:rsid w:val="00F74C08"/>
    <w:rsid w:val="00F818AC"/>
    <w:rsid w:val="00F964CF"/>
    <w:rsid w:val="00F96BD3"/>
    <w:rsid w:val="00FA09CC"/>
    <w:rsid w:val="00FA1C44"/>
    <w:rsid w:val="00FA3603"/>
    <w:rsid w:val="00FA683A"/>
    <w:rsid w:val="00FB028D"/>
    <w:rsid w:val="00FC3702"/>
    <w:rsid w:val="00FC3E7C"/>
    <w:rsid w:val="00FC777F"/>
    <w:rsid w:val="00FD52EF"/>
    <w:rsid w:val="00FD6757"/>
    <w:rsid w:val="00FD7410"/>
    <w:rsid w:val="00FE192A"/>
    <w:rsid w:val="00FE1B28"/>
    <w:rsid w:val="00FE732D"/>
    <w:rsid w:val="00FE7915"/>
    <w:rsid w:val="00FF0F38"/>
    <w:rsid w:val="00FF4889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BE9B"/>
  <w15:chartTrackingRefBased/>
  <w15:docId w15:val="{E475D852-8348-974D-9E9D-49D95284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CB1"/>
    <w:pPr>
      <w:ind w:firstLineChars="200" w:firstLine="420"/>
    </w:pPr>
  </w:style>
  <w:style w:type="table" w:styleId="a4">
    <w:name w:val="Table Grid"/>
    <w:basedOn w:val="a1"/>
    <w:uiPriority w:val="39"/>
    <w:rsid w:val="00B3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7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CB3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09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端鲁</dc:creator>
  <cp:keywords/>
  <dc:description/>
  <cp:lastModifiedBy>侯 端鲁</cp:lastModifiedBy>
  <cp:revision>30</cp:revision>
  <dcterms:created xsi:type="dcterms:W3CDTF">2025-03-06T03:22:00Z</dcterms:created>
  <dcterms:modified xsi:type="dcterms:W3CDTF">2025-05-09T05:07:00Z</dcterms:modified>
</cp:coreProperties>
</file>