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1C0" w:rsidRDefault="00D411C0" w:rsidP="00D411C0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D411C0" w:rsidRPr="00D5768D" w:rsidRDefault="00D411C0" w:rsidP="00D411C0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D5768D">
        <w:rPr>
          <w:rFonts w:ascii="Times New Roman" w:hAnsi="Times New Roman" w:cs="Times New Roman"/>
          <w:b/>
          <w:bCs/>
          <w:sz w:val="20"/>
          <w:szCs w:val="20"/>
        </w:rPr>
        <w:t>Graphical abstract:</w:t>
      </w:r>
    </w:p>
    <w:p w:rsidR="00D82711" w:rsidRDefault="00EA7484" w:rsidP="00D411C0">
      <w:r w:rsidRPr="00EA7484">
        <w:drawing>
          <wp:inline distT="0" distB="0" distL="0" distR="0">
            <wp:extent cx="5943600" cy="6400800"/>
            <wp:effectExtent l="19050" t="0" r="0" b="0"/>
            <wp:docPr id="4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943600" cy="6400800"/>
                      <a:chOff x="152400" y="457200"/>
                      <a:chExt cx="5943600" cy="6400800"/>
                    </a:xfrm>
                  </a:grpSpPr>
                  <a:grpSp>
                    <a:nvGrpSpPr>
                      <a:cNvPr id="35" name="Group 34"/>
                      <a:cNvGrpSpPr/>
                    </a:nvGrpSpPr>
                    <a:grpSpPr>
                      <a:xfrm>
                        <a:off x="152400" y="457200"/>
                        <a:ext cx="5943600" cy="6400800"/>
                        <a:chOff x="152400" y="457200"/>
                        <a:chExt cx="5943600" cy="6400800"/>
                      </a:xfrm>
                    </a:grpSpPr>
                    <a:grpSp>
                      <a:nvGrpSpPr>
                        <a:cNvPr id="3" name="Group 31"/>
                        <a:cNvGrpSpPr/>
                      </a:nvGrpSpPr>
                      <a:grpSpPr>
                        <a:xfrm>
                          <a:off x="457200" y="457200"/>
                          <a:ext cx="5410200" cy="5549444"/>
                          <a:chOff x="152400" y="457200"/>
                          <a:chExt cx="5410200" cy="5549444"/>
                        </a:xfrm>
                      </a:grpSpPr>
                      <a:grpSp>
                        <a:nvGrpSpPr>
                          <a:cNvPr id="5" name="Group 32"/>
                          <a:cNvGrpSpPr/>
                        </a:nvGrpSpPr>
                        <a:grpSpPr>
                          <a:xfrm>
                            <a:off x="152400" y="457200"/>
                            <a:ext cx="5410200" cy="5549444"/>
                            <a:chOff x="152400" y="457200"/>
                            <a:chExt cx="5410200" cy="5549444"/>
                          </a:xfrm>
                        </a:grpSpPr>
                        <a:pic>
                          <a:nvPicPr>
                            <a:cNvPr id="1026" name="Picture 2" descr="Pectin - Wikipedia"/>
                            <a:cNvPicPr>
                              <a:picLocks noChangeAspect="1" noChangeArrowheads="1"/>
                            </a:cNvPicPr>
                          </a:nvPicPr>
                          <a:blipFill>
                            <a:blip r:embed="rId4"/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685800" y="1066800"/>
                              <a:ext cx="990600" cy="990601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pic>
                        <a:sp>
                          <a:nvSpPr>
                            <a:cNvPr id="2" name="Right Arrow 2"/>
                            <a:cNvSpPr/>
                          </a:nvSpPr>
                          <a:spPr>
                            <a:xfrm>
                              <a:off x="1371600" y="1524000"/>
                              <a:ext cx="533400" cy="76200"/>
                            </a:xfrm>
                            <a:prstGeom prst="rightArrow">
                              <a:avLst/>
                            </a:prstGeom>
                          </a:spPr>
                          <a:txSp>
                            <a:txBody>
                              <a:bodyPr rtlCol="0" anchor="ctr"/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pic>
                          <a:nvPicPr>
                            <a:cNvPr id="4" name="Picture 3" descr="Bacillus cereus: Selective Media for Unpasteurized Food Samples"/>
                            <a:cNvPicPr/>
                          </a:nvPicPr>
                          <a:blipFill>
                            <a:blip r:embed="rId5"/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2286000" y="457200"/>
                              <a:ext cx="990600" cy="9594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</a:pic>
                        <a:pic>
                          <a:nvPicPr>
                            <a:cNvPr id="6" name="Picture 4" descr="ASMscience | Luria Broth (LB) and Luria Agar (LA) Media and Their ..."/>
                            <a:cNvPicPr/>
                          </a:nvPicPr>
                          <a:blipFill>
                            <a:blip r:embed="rId6" cstate="print"/>
                            <a:srcRect l="3249" t="2888" r="3302" b="3454"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2286000" y="1524000"/>
                              <a:ext cx="990600" cy="990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</a:pic>
                        <a:sp>
                          <a:nvSpPr>
                            <a:cNvPr id="7" name="Right Arrow 5"/>
                            <a:cNvSpPr/>
                          </a:nvSpPr>
                          <a:spPr>
                            <a:xfrm>
                              <a:off x="3048000" y="1524000"/>
                              <a:ext cx="533400" cy="76200"/>
                            </a:xfrm>
                            <a:prstGeom prst="rightArrow">
                              <a:avLst/>
                            </a:prstGeom>
                          </a:spPr>
                          <a:txSp>
                            <a:txBody>
                              <a:bodyPr rtlCol="0" anchor="ctr"/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pic>
                          <a:nvPicPr>
                            <a:cNvPr id="8" name="Picture 6" descr="https://www.researchgate.net/profile/Seyyed_Amin_Ayatollahi_Mousavi2/publication/283126270/figure/fig1/AS:305745804447748@1449906888338/Cultivation-of-Bacillus-sp-MSh-1-in-nutrient-broth-a-with-and-b-without-selenium_W640.jpg"/>
                            <a:cNvPicPr/>
                          </a:nvPicPr>
                          <a:blipFill>
                            <a:blip r:embed="rId7" cstate="print"/>
                            <a:srcRect t="5385" r="51196"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3962401" y="1371600"/>
                              <a:ext cx="457200" cy="94705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</a:pic>
                        <a:pic>
                          <a:nvPicPr>
                            <a:cNvPr id="9" name="Picture 7" descr="Compact clinical centrifuge"/>
                            <a:cNvPicPr/>
                          </a:nvPicPr>
                          <a:blipFill>
                            <a:blip r:embed="rId8"/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3657600" y="2438400"/>
                              <a:ext cx="1066800" cy="113246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</a:pic>
                        <a:sp>
                          <a:nvSpPr>
                            <a:cNvPr id="10" name="Curved Left Arrow 8"/>
                            <a:cNvSpPr/>
                          </a:nvSpPr>
                          <a:spPr>
                            <a:xfrm>
                              <a:off x="4343400" y="1524000"/>
                              <a:ext cx="609600" cy="1524000"/>
                            </a:xfrm>
                            <a:prstGeom prst="curvedLeftArrow">
                              <a:avLst/>
                            </a:prstGeom>
                          </a:spPr>
                          <a:txSp>
                            <a:txBody>
                              <a:bodyPr rtlCol="0" anchor="ctr"/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>
                                  <a:solidFill>
                                    <a:schemeClr val="tx1"/>
                                  </a:solidFill>
                                </a:endParaRPr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pic>
                          <a:nvPicPr>
                            <a:cNvPr id="11" name="Picture 9" descr="Science Source - Precipitating Protein with Ammonium Sulfate"/>
                            <a:cNvPicPr/>
                          </a:nvPicPr>
                          <a:blipFill>
                            <a:blip r:embed="rId9"/>
                            <a:srcRect t="15496" r="9984"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2133600" y="2743200"/>
                              <a:ext cx="1238811" cy="73335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</a:pic>
                        <a:sp>
                          <a:nvSpPr>
                            <a:cNvPr id="16" name="TextBox 15"/>
                            <a:cNvSpPr txBox="1"/>
                          </a:nvSpPr>
                          <a:spPr>
                            <a:xfrm>
                              <a:off x="2133600" y="4724400"/>
                              <a:ext cx="914400" cy="215444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 sz="800" dirty="0" smtClean="0"/>
                                  <a:t>Enzyme assay  </a:t>
                                </a:r>
                                <a:endParaRPr lang="en-US" sz="800" dirty="0"/>
                              </a:p>
                            </a:txBody>
                            <a:useSpRect/>
                          </a:txSp>
                        </a:sp>
                        <a:pic>
                          <a:nvPicPr>
                            <a:cNvPr id="17" name="Picture 16" descr="https://www.researchgate.net/profile/Ahmad_Ghoroghi/publication/286221822/figure/fig4/AS:667669984452619@1536196337286/Enzyme-assay-with-DNS-method-Tube-4-was-blank-and-1-to-3-was-samples-Chitinase_W640.jpg"/>
                            <a:cNvPicPr/>
                          </a:nvPicPr>
                          <a:blipFill>
                            <a:blip r:embed="rId10"/>
                            <a:srcRect l="23987" t="20181" r="18974" b="20456"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1524000" y="3886200"/>
                              <a:ext cx="1143000" cy="685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</a:pic>
                        <a:pic>
                          <a:nvPicPr>
                            <a:cNvPr id="18" name="Picture 17"/>
                            <a:cNvPicPr/>
                          </a:nvPicPr>
                          <a:blipFill>
                            <a:blip r:embed="rId11"/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3124200" y="3733800"/>
                              <a:ext cx="1295400" cy="990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</a:pic>
                        <a:sp>
                          <a:nvSpPr>
                            <a:cNvPr id="19" name="TextBox 18"/>
                            <a:cNvSpPr txBox="1"/>
                          </a:nvSpPr>
                          <a:spPr>
                            <a:xfrm>
                              <a:off x="152400" y="1887379"/>
                              <a:ext cx="1295400" cy="246221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 sz="1000" dirty="0" err="1" smtClean="0"/>
                                  <a:t>Polygalacturonic</a:t>
                                </a:r>
                                <a:r>
                                  <a:rPr lang="en-US" sz="1000" dirty="0" smtClean="0"/>
                                  <a:t> acid</a:t>
                                </a:r>
                                <a:endParaRPr lang="en-US" sz="1000" dirty="0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20" name="TextBox 19"/>
                            <a:cNvSpPr txBox="1"/>
                          </a:nvSpPr>
                          <a:spPr>
                            <a:xfrm>
                              <a:off x="1676400" y="2514600"/>
                              <a:ext cx="2057400" cy="215444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 sz="800" i="1" dirty="0" smtClean="0"/>
                                  <a:t>B. cereus </a:t>
                                </a:r>
                                <a:r>
                                  <a:rPr lang="en-US" sz="800" dirty="0" smtClean="0"/>
                                  <a:t>and non. </a:t>
                                </a:r>
                                <a:r>
                                  <a:rPr lang="en-US" sz="800" i="1" dirty="0" smtClean="0"/>
                                  <a:t>B. cereus</a:t>
                                </a:r>
                                <a:r>
                                  <a:rPr lang="en-US" sz="800" dirty="0" smtClean="0"/>
                                  <a:t>  bacilli</a:t>
                                </a:r>
                                <a:endParaRPr lang="en-US" sz="800" dirty="0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21" name="TextBox 20"/>
                            <a:cNvSpPr txBox="1"/>
                          </a:nvSpPr>
                          <a:spPr>
                            <a:xfrm>
                              <a:off x="3200400" y="2299156"/>
                              <a:ext cx="2057400" cy="215444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 sz="800" dirty="0" err="1" smtClean="0"/>
                                  <a:t>Polygalactouronase</a:t>
                                </a:r>
                                <a:r>
                                  <a:rPr lang="en-US" sz="800" dirty="0" smtClean="0"/>
                                  <a:t> production</a:t>
                                </a:r>
                                <a:endParaRPr lang="en-US" sz="800" dirty="0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23" name="TextBox 22"/>
                            <a:cNvSpPr txBox="1"/>
                          </a:nvSpPr>
                          <a:spPr>
                            <a:xfrm>
                              <a:off x="3505200" y="3518356"/>
                              <a:ext cx="2057400" cy="215444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 sz="800" dirty="0" err="1" smtClean="0"/>
                                  <a:t>Polygalactouronase</a:t>
                                </a:r>
                                <a:r>
                                  <a:rPr lang="en-US" sz="800" dirty="0" smtClean="0"/>
                                  <a:t>  collection as CFCS</a:t>
                                </a:r>
                                <a:endParaRPr lang="en-US" sz="800" dirty="0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24" name="Left Arrow 23"/>
                            <a:cNvSpPr/>
                          </a:nvSpPr>
                          <a:spPr>
                            <a:xfrm>
                              <a:off x="3124200" y="3276600"/>
                              <a:ext cx="228600" cy="76200"/>
                            </a:xfrm>
                            <a:prstGeom prst="leftArrow">
                              <a:avLst/>
                            </a:prstGeom>
                          </a:spPr>
                          <a:txSp>
                            <a:txBody>
                              <a:bodyPr rtlCol="0" anchor="ctr"/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sp>
                          <a:nvSpPr>
                            <a:cNvPr id="25" name="Left Arrow 24"/>
                            <a:cNvSpPr/>
                          </a:nvSpPr>
                          <a:spPr>
                            <a:xfrm>
                              <a:off x="1447800" y="3124200"/>
                              <a:ext cx="228600" cy="76200"/>
                            </a:xfrm>
                            <a:prstGeom prst="leftArrow">
                              <a:avLst/>
                            </a:prstGeom>
                          </a:spPr>
                          <a:txSp>
                            <a:txBody>
                              <a:bodyPr rtlCol="0" anchor="ctr"/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sp>
                          <a:nvSpPr>
                            <a:cNvPr id="26" name="TextBox 25"/>
                            <a:cNvSpPr txBox="1"/>
                          </a:nvSpPr>
                          <a:spPr>
                            <a:xfrm>
                              <a:off x="990600" y="3429000"/>
                              <a:ext cx="2057400" cy="215444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 sz="800" dirty="0" err="1" smtClean="0"/>
                                  <a:t>Polygalactouronase</a:t>
                                </a:r>
                                <a:r>
                                  <a:rPr lang="en-US" sz="800" dirty="0" smtClean="0"/>
                                  <a:t> purification through  ASP</a:t>
                                </a:r>
                                <a:endParaRPr lang="en-US" sz="800" dirty="0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28" name="Curved Right Arrow 27"/>
                            <a:cNvSpPr/>
                          </a:nvSpPr>
                          <a:spPr>
                            <a:xfrm>
                              <a:off x="609600" y="3657600"/>
                              <a:ext cx="304800" cy="685800"/>
                            </a:xfrm>
                            <a:prstGeom prst="curvedRightArrow">
                              <a:avLst/>
                            </a:prstGeom>
                          </a:spPr>
                          <a:txSp>
                            <a:txBody>
                              <a:bodyPr rtlCol="0" anchor="ctr"/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>
                                  <a:solidFill>
                                    <a:schemeClr val="tx1"/>
                                  </a:solidFill>
                                </a:endParaRPr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graphicFrame>
                          <a:nvGraphicFramePr>
                            <a:cNvPr id="29" name="Chart 28"/>
                            <a:cNvGraphicFramePr/>
                          </a:nvGraphicFramePr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12"/>
                            </a:graphicData>
                          </a:graphic>
                          <a:xfrm>
                            <a:off x="1219200" y="4953000"/>
                            <a:ext cx="2438400" cy="990600"/>
                          </a:xfrm>
                        </a:graphicFrame>
                        <a:sp>
                          <a:nvSpPr>
                            <a:cNvPr id="31" name="TextBox 30"/>
                            <a:cNvSpPr txBox="1"/>
                          </a:nvSpPr>
                          <a:spPr>
                            <a:xfrm>
                              <a:off x="1752600" y="5791200"/>
                              <a:ext cx="2590800" cy="215444"/>
                            </a:xfrm>
                            <a:prstGeom prst="rect">
                              <a:avLst/>
                            </a:prstGeom>
                            <a:noFill/>
                          </a:spPr>
                          <a:txSp>
                            <a:txBody>
                              <a:bodyPr wrap="square" rtlCol="0"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marL="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sz="1800" kern="1200">
                                    <a:solidFill>
                                      <a:schemeClr val="tx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 sz="800" dirty="0" smtClean="0"/>
                                  <a:t>Physicochemical  characterization</a:t>
                                </a:r>
                                <a:endParaRPr lang="en-US" sz="800" dirty="0"/>
                              </a:p>
                            </a:txBody>
                            <a:useSpRect/>
                          </a:txSp>
                        </a:sp>
                      </a:grpSp>
                      <a:pic>
                        <a:nvPicPr>
                          <a:cNvPr id="2052" name="Picture 4" descr="Thermo Scientific 66333 Slide-A-Lyzer Dialysis Cassettes, 3500 ...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3" cstate="print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1066801" y="2968625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</a:grpSp>
                    <a:sp>
                      <a:nvSpPr>
                        <a:cNvPr id="34" name="TextBox 33"/>
                        <a:cNvSpPr txBox="1"/>
                      </a:nvSpPr>
                      <a:spPr>
                        <a:xfrm>
                          <a:off x="152400" y="6019800"/>
                          <a:ext cx="5943600" cy="838200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200" dirty="0" smtClean="0"/>
                              <a:t>The </a:t>
                            </a:r>
                            <a:r>
                              <a:rPr lang="en-US" sz="1200" dirty="0" smtClean="0"/>
                              <a:t>studied non-</a:t>
                            </a:r>
                            <a:r>
                              <a:rPr lang="en-US" sz="1200" i="1" dirty="0" smtClean="0"/>
                              <a:t>Bacillus cereus</a:t>
                            </a:r>
                            <a:r>
                              <a:rPr lang="en-US" sz="1200" dirty="0" smtClean="0"/>
                              <a:t> group strains were more efficient </a:t>
                            </a:r>
                            <a:r>
                              <a:rPr lang="en-US" sz="1200" dirty="0" err="1" smtClean="0"/>
                              <a:t>PGase</a:t>
                            </a:r>
                            <a:r>
                              <a:rPr lang="en-US" sz="1200" dirty="0" smtClean="0"/>
                              <a:t>  producers as compared to Bt </a:t>
                            </a:r>
                            <a:r>
                              <a:rPr lang="en-US" sz="1200" dirty="0" smtClean="0"/>
                              <a:t>S140 </a:t>
                            </a:r>
                            <a:r>
                              <a:rPr lang="en-US" sz="1200" dirty="0" smtClean="0"/>
                              <a:t>(b). The </a:t>
                            </a:r>
                            <a:r>
                              <a:rPr lang="en-US" sz="1200" dirty="0" err="1" smtClean="0"/>
                              <a:t>PGase</a:t>
                            </a:r>
                            <a:r>
                              <a:rPr lang="en-US" sz="1200" dirty="0" smtClean="0"/>
                              <a:t> from Bp S76;an insect gut isolate; being more stable with highest level of production may be a promising candidate for possible industrial </a:t>
                            </a:r>
                            <a:r>
                              <a:rPr lang="en-US" sz="1200" dirty="0" smtClean="0"/>
                              <a:t>applications. </a:t>
                            </a:r>
                            <a:endParaRPr lang="en-US" sz="1200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</w:p>
    <w:sectPr w:rsidR="00D82711" w:rsidSect="00D827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D411C0"/>
    <w:rsid w:val="00764D66"/>
    <w:rsid w:val="008463C8"/>
    <w:rsid w:val="00D411C0"/>
    <w:rsid w:val="00D82711"/>
    <w:rsid w:val="00EA7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1C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11C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7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4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emf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r%20Samina\Personal\Pectinases\pectinase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hart>
    <c:plotArea>
      <c:layout/>
      <c:lineChart>
        <c:grouping val="standard"/>
        <c:ser>
          <c:idx val="0"/>
          <c:order val="0"/>
          <c:tx>
            <c:strRef>
              <c:f>Sheet2!$A$24</c:f>
              <c:strCache>
                <c:ptCount val="1"/>
                <c:pt idx="0">
                  <c:v>Bp S76</c:v>
                </c:pt>
              </c:strCache>
            </c:strRef>
          </c:tx>
          <c:errBars>
            <c:errDir val="y"/>
            <c:errBarType val="both"/>
            <c:errValType val="cust"/>
            <c:plus>
              <c:numRef>
                <c:f>Sheet2!$B$27:$E$27</c:f>
                <c:numCache>
                  <c:formatCode>General</c:formatCode>
                  <c:ptCount val="4"/>
                  <c:pt idx="0">
                    <c:v>1.2E-2</c:v>
                  </c:pt>
                  <c:pt idx="1">
                    <c:v>3.2000000000000001E-2</c:v>
                  </c:pt>
                  <c:pt idx="2">
                    <c:v>3.9E-2</c:v>
                  </c:pt>
                  <c:pt idx="3">
                    <c:v>3.1800000000000002E-2</c:v>
                  </c:pt>
                </c:numCache>
              </c:numRef>
            </c:plus>
            <c:minus>
              <c:numRef>
                <c:f>Sheet2!$B$27:$E$27</c:f>
                <c:numCache>
                  <c:formatCode>General</c:formatCode>
                  <c:ptCount val="4"/>
                  <c:pt idx="0">
                    <c:v>1.2E-2</c:v>
                  </c:pt>
                  <c:pt idx="1">
                    <c:v>3.2000000000000001E-2</c:v>
                  </c:pt>
                  <c:pt idx="2">
                    <c:v>3.9E-2</c:v>
                  </c:pt>
                  <c:pt idx="3">
                    <c:v>3.1800000000000002E-2</c:v>
                  </c:pt>
                </c:numCache>
              </c:numRef>
            </c:minus>
          </c:errBars>
          <c:cat>
            <c:numRef>
              <c:f>Sheet2!$B$23:$E$23</c:f>
              <c:numCache>
                <c:formatCode>General</c:formatCode>
                <c:ptCount val="4"/>
                <c:pt idx="0">
                  <c:v>6</c:v>
                </c:pt>
                <c:pt idx="1">
                  <c:v>7</c:v>
                </c:pt>
                <c:pt idx="2">
                  <c:v>8</c:v>
                </c:pt>
                <c:pt idx="3">
                  <c:v>9</c:v>
                </c:pt>
              </c:numCache>
            </c:numRef>
          </c:cat>
          <c:val>
            <c:numRef>
              <c:f>Sheet2!$B$24:$E$24</c:f>
              <c:numCache>
                <c:formatCode>General</c:formatCode>
                <c:ptCount val="4"/>
                <c:pt idx="0">
                  <c:v>0.88</c:v>
                </c:pt>
                <c:pt idx="1">
                  <c:v>1.34</c:v>
                </c:pt>
                <c:pt idx="2">
                  <c:v>0.55000000000000004</c:v>
                </c:pt>
                <c:pt idx="3">
                  <c:v>0.44</c:v>
                </c:pt>
              </c:numCache>
            </c:numRef>
          </c:val>
        </c:ser>
        <c:ser>
          <c:idx val="1"/>
          <c:order val="1"/>
          <c:tx>
            <c:strRef>
              <c:f>Sheet2!$A$25</c:f>
              <c:strCache>
                <c:ptCount val="1"/>
                <c:pt idx="0">
                  <c:v>Bt S140(b)</c:v>
                </c:pt>
              </c:strCache>
            </c:strRef>
          </c:tx>
          <c:errBars>
            <c:errDir val="y"/>
            <c:errBarType val="both"/>
            <c:errValType val="cust"/>
            <c:plus>
              <c:numRef>
                <c:f>Sheet2!$B$29:$E$29</c:f>
                <c:numCache>
                  <c:formatCode>General</c:formatCode>
                  <c:ptCount val="4"/>
                  <c:pt idx="0">
                    <c:v>2.8000000000000001E-2</c:v>
                  </c:pt>
                  <c:pt idx="1">
                    <c:v>3.5999999999999997E-2</c:v>
                  </c:pt>
                  <c:pt idx="2">
                    <c:v>3.7999999999999999E-2</c:v>
                  </c:pt>
                  <c:pt idx="3">
                    <c:v>4.9000000000000002E-2</c:v>
                  </c:pt>
                </c:numCache>
              </c:numRef>
            </c:plus>
            <c:minus>
              <c:numRef>
                <c:f>Sheet2!$B$29:$E$29</c:f>
                <c:numCache>
                  <c:formatCode>General</c:formatCode>
                  <c:ptCount val="4"/>
                  <c:pt idx="0">
                    <c:v>2.8000000000000001E-2</c:v>
                  </c:pt>
                  <c:pt idx="1">
                    <c:v>3.5999999999999997E-2</c:v>
                  </c:pt>
                  <c:pt idx="2">
                    <c:v>3.7999999999999999E-2</c:v>
                  </c:pt>
                  <c:pt idx="3">
                    <c:v>4.9000000000000002E-2</c:v>
                  </c:pt>
                </c:numCache>
              </c:numRef>
            </c:minus>
          </c:errBars>
          <c:cat>
            <c:numRef>
              <c:f>Sheet2!$B$23:$E$23</c:f>
              <c:numCache>
                <c:formatCode>General</c:formatCode>
                <c:ptCount val="4"/>
                <c:pt idx="0">
                  <c:v>6</c:v>
                </c:pt>
                <c:pt idx="1">
                  <c:v>7</c:v>
                </c:pt>
                <c:pt idx="2">
                  <c:v>8</c:v>
                </c:pt>
                <c:pt idx="3">
                  <c:v>9</c:v>
                </c:pt>
              </c:numCache>
            </c:numRef>
          </c:cat>
          <c:val>
            <c:numRef>
              <c:f>Sheet2!$B$25:$E$25</c:f>
              <c:numCache>
                <c:formatCode>General</c:formatCode>
                <c:ptCount val="4"/>
                <c:pt idx="0">
                  <c:v>0.18</c:v>
                </c:pt>
                <c:pt idx="1">
                  <c:v>0.2</c:v>
                </c:pt>
                <c:pt idx="2">
                  <c:v>0.17</c:v>
                </c:pt>
                <c:pt idx="3">
                  <c:v>0.16</c:v>
                </c:pt>
              </c:numCache>
            </c:numRef>
          </c:val>
        </c:ser>
        <c:ser>
          <c:idx val="2"/>
          <c:order val="2"/>
          <c:tx>
            <c:strRef>
              <c:f>Sheet2!$A$26</c:f>
              <c:strCache>
                <c:ptCount val="1"/>
                <c:pt idx="0">
                  <c:v>Btq S140 (c )</c:v>
                </c:pt>
              </c:strCache>
            </c:strRef>
          </c:tx>
          <c:errBars>
            <c:errDir val="y"/>
            <c:errBarType val="both"/>
            <c:errValType val="cust"/>
            <c:plus>
              <c:numRef>
                <c:f>Sheet2!$B$28:$E$28</c:f>
                <c:numCache>
                  <c:formatCode>General</c:formatCode>
                  <c:ptCount val="4"/>
                  <c:pt idx="0">
                    <c:v>0.02</c:v>
                  </c:pt>
                  <c:pt idx="1">
                    <c:v>4.8000000000000001E-2</c:v>
                  </c:pt>
                  <c:pt idx="2">
                    <c:v>5.8000000000000003E-2</c:v>
                  </c:pt>
                  <c:pt idx="3">
                    <c:v>1.8499999999999999E-2</c:v>
                  </c:pt>
                </c:numCache>
              </c:numRef>
            </c:plus>
            <c:minus>
              <c:numRef>
                <c:f>Sheet2!$B$28:$E$28</c:f>
                <c:numCache>
                  <c:formatCode>General</c:formatCode>
                  <c:ptCount val="4"/>
                  <c:pt idx="0">
                    <c:v>0.02</c:v>
                  </c:pt>
                  <c:pt idx="1">
                    <c:v>4.8000000000000001E-2</c:v>
                  </c:pt>
                  <c:pt idx="2">
                    <c:v>5.8000000000000003E-2</c:v>
                  </c:pt>
                  <c:pt idx="3">
                    <c:v>1.8499999999999999E-2</c:v>
                  </c:pt>
                </c:numCache>
              </c:numRef>
            </c:minus>
          </c:errBars>
          <c:cat>
            <c:numRef>
              <c:f>Sheet2!$B$23:$E$23</c:f>
              <c:numCache>
                <c:formatCode>General</c:formatCode>
                <c:ptCount val="4"/>
                <c:pt idx="0">
                  <c:v>6</c:v>
                </c:pt>
                <c:pt idx="1">
                  <c:v>7</c:v>
                </c:pt>
                <c:pt idx="2">
                  <c:v>8</c:v>
                </c:pt>
                <c:pt idx="3">
                  <c:v>9</c:v>
                </c:pt>
              </c:numCache>
            </c:numRef>
          </c:cat>
          <c:val>
            <c:numRef>
              <c:f>Sheet2!$B$26:$E$26</c:f>
              <c:numCache>
                <c:formatCode>General</c:formatCode>
                <c:ptCount val="4"/>
                <c:pt idx="0">
                  <c:v>0.34</c:v>
                </c:pt>
                <c:pt idx="1">
                  <c:v>0.48</c:v>
                </c:pt>
                <c:pt idx="2">
                  <c:v>0.38</c:v>
                </c:pt>
                <c:pt idx="3">
                  <c:v>0.28000000000000003</c:v>
                </c:pt>
              </c:numCache>
            </c:numRef>
          </c:val>
        </c:ser>
        <c:marker val="1"/>
        <c:axId val="145005568"/>
        <c:axId val="144528512"/>
      </c:lineChart>
      <c:catAx>
        <c:axId val="14500556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800" b="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sz="800" b="0">
                    <a:latin typeface="Times New Roman" pitchFamily="18" charset="0"/>
                    <a:cs typeface="Times New Roman" pitchFamily="18" charset="0"/>
                  </a:rPr>
                  <a:t>pH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sz="800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144528512"/>
        <c:crosses val="autoZero"/>
        <c:auto val="1"/>
        <c:lblAlgn val="ctr"/>
        <c:lblOffset val="100"/>
      </c:catAx>
      <c:valAx>
        <c:axId val="144528512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sz="800" b="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sz="800" b="0">
                    <a:latin typeface="Times New Roman" pitchFamily="18" charset="0"/>
                    <a:cs typeface="Times New Roman" pitchFamily="18" charset="0"/>
                  </a:rPr>
                  <a:t>Enzyme activity (IU/ml)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sz="800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145005568"/>
        <c:crosses val="autoZero"/>
        <c:crossBetween val="between"/>
      </c:valAx>
      <c:spPr>
        <a:noFill/>
        <a:ln>
          <a:noFill/>
        </a:ln>
      </c:spPr>
    </c:plotArea>
    <c:plotVisOnly val="1"/>
  </c:chart>
  <c:spPr>
    <a:noFill/>
    <a:ln>
      <a:noFill/>
    </a:ln>
  </c:sp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Samina</dc:creator>
  <cp:lastModifiedBy>Dr. Samina</cp:lastModifiedBy>
  <cp:revision>2</cp:revision>
  <dcterms:created xsi:type="dcterms:W3CDTF">2020-08-26T09:33:00Z</dcterms:created>
  <dcterms:modified xsi:type="dcterms:W3CDTF">2020-08-26T10:14:00Z</dcterms:modified>
</cp:coreProperties>
</file>