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3F" w:rsidRPr="00BE23CE" w:rsidRDefault="00BB133F" w:rsidP="00BB133F">
      <w:pPr>
        <w:pStyle w:val="p"/>
        <w:shd w:val="clear" w:color="auto" w:fill="FFFFFF"/>
        <w:spacing w:before="0" w:beforeAutospacing="0" w:after="0" w:afterAutospacing="0" w:line="360" w:lineRule="auto"/>
        <w:rPr>
          <w:rFonts w:ascii="Arial" w:hAnsi="Arial" w:cs="Arial"/>
          <w:b/>
          <w:color w:val="000000" w:themeColor="text1"/>
          <w:lang w:val="en-GB"/>
        </w:rPr>
      </w:pPr>
      <w:r w:rsidRPr="00BE23CE">
        <w:rPr>
          <w:rFonts w:ascii="Arial" w:hAnsi="Arial" w:cs="Arial"/>
          <w:b/>
          <w:color w:val="000000" w:themeColor="text1"/>
          <w:lang w:val="en-GB"/>
        </w:rPr>
        <w:t>Supplemental material</w:t>
      </w:r>
    </w:p>
    <w:p w:rsidR="00BB133F" w:rsidRDefault="00BB133F" w:rsidP="00BB133F">
      <w:pPr>
        <w:rPr>
          <w:rFonts w:ascii="Arial" w:hAnsi="Arial" w:cs="Arial"/>
          <w:b/>
          <w:sz w:val="24"/>
          <w:szCs w:val="24"/>
          <w:lang w:val="en-GB"/>
        </w:rPr>
      </w:pPr>
    </w:p>
    <w:p w:rsidR="00BB133F" w:rsidRPr="00BE23CE" w:rsidRDefault="00BB133F" w:rsidP="00BB133F">
      <w:pPr>
        <w:rPr>
          <w:rFonts w:ascii="Arial" w:hAnsi="Arial" w:cs="Arial"/>
          <w:b/>
          <w:sz w:val="24"/>
          <w:szCs w:val="24"/>
          <w:lang w:val="en-GB"/>
        </w:rPr>
      </w:pPr>
      <w:proofErr w:type="spellStart"/>
      <w:r w:rsidRPr="00BE23CE">
        <w:rPr>
          <w:rFonts w:ascii="Arial" w:hAnsi="Arial" w:cs="Arial"/>
          <w:b/>
          <w:sz w:val="24"/>
          <w:szCs w:val="24"/>
          <w:lang w:val="en-GB"/>
        </w:rPr>
        <w:t>Clonal</w:t>
      </w:r>
      <w:proofErr w:type="spellEnd"/>
      <w:r w:rsidRPr="00BE23CE">
        <w:rPr>
          <w:rFonts w:ascii="Arial" w:hAnsi="Arial" w:cs="Arial"/>
          <w:b/>
          <w:sz w:val="24"/>
          <w:szCs w:val="24"/>
          <w:lang w:val="en-GB"/>
        </w:rPr>
        <w:t xml:space="preserve"> </w:t>
      </w:r>
      <w:proofErr w:type="spellStart"/>
      <w:r w:rsidRPr="00BE23CE">
        <w:rPr>
          <w:rFonts w:ascii="Arial" w:hAnsi="Arial" w:cs="Arial"/>
          <w:b/>
          <w:sz w:val="24"/>
          <w:szCs w:val="24"/>
          <w:lang w:val="en-GB"/>
        </w:rPr>
        <w:t>megakaryocyte</w:t>
      </w:r>
      <w:proofErr w:type="spellEnd"/>
      <w:r w:rsidRPr="00BE23CE">
        <w:rPr>
          <w:rFonts w:ascii="Arial" w:hAnsi="Arial" w:cs="Arial"/>
          <w:b/>
          <w:sz w:val="24"/>
          <w:szCs w:val="24"/>
          <w:lang w:val="en-GB"/>
        </w:rPr>
        <w:t xml:space="preserve"> dysplasia with normal blood values (CMD-NBV): </w:t>
      </w:r>
      <w:r>
        <w:rPr>
          <w:rFonts w:ascii="Arial" w:hAnsi="Arial" w:cs="Arial"/>
          <w:b/>
          <w:sz w:val="24"/>
          <w:szCs w:val="24"/>
          <w:lang w:val="en-GB"/>
        </w:rPr>
        <w:t xml:space="preserve">an unique form of early </w:t>
      </w:r>
      <w:proofErr w:type="spellStart"/>
      <w:r>
        <w:rPr>
          <w:rFonts w:ascii="Arial" w:hAnsi="Arial" w:cs="Arial"/>
          <w:b/>
          <w:sz w:val="24"/>
          <w:szCs w:val="24"/>
          <w:lang w:val="en-GB"/>
        </w:rPr>
        <w:t>myeloproliferative</w:t>
      </w:r>
      <w:proofErr w:type="spellEnd"/>
      <w:r>
        <w:rPr>
          <w:rFonts w:ascii="Arial" w:hAnsi="Arial" w:cs="Arial"/>
          <w:b/>
          <w:sz w:val="24"/>
          <w:szCs w:val="24"/>
          <w:lang w:val="en-GB"/>
        </w:rPr>
        <w:t xml:space="preserve"> neoplasm</w:t>
      </w:r>
    </w:p>
    <w:p w:rsidR="00BB133F" w:rsidRPr="00BE23CE" w:rsidRDefault="00BB133F" w:rsidP="00BB133F">
      <w:pPr>
        <w:rPr>
          <w:rFonts w:ascii="Arial" w:hAnsi="Arial" w:cs="Arial"/>
          <w:b/>
          <w:sz w:val="24"/>
          <w:szCs w:val="24"/>
          <w:lang w:val="en-GB"/>
        </w:rPr>
      </w:pPr>
    </w:p>
    <w:p w:rsidR="00BB133F" w:rsidRPr="00BE23CE" w:rsidRDefault="00BB133F" w:rsidP="00BB133F">
      <w:pPr>
        <w:rPr>
          <w:rFonts w:ascii="Arial" w:hAnsi="Arial" w:cs="Arial"/>
          <w:sz w:val="24"/>
          <w:szCs w:val="24"/>
        </w:rPr>
      </w:pPr>
      <w:r w:rsidRPr="00BE23CE">
        <w:rPr>
          <w:rFonts w:ascii="Arial" w:hAnsi="Arial" w:cs="Arial"/>
          <w:sz w:val="24"/>
          <w:szCs w:val="24"/>
        </w:rPr>
        <w:t xml:space="preserve">Giovanni </w:t>
      </w:r>
      <w:proofErr w:type="spellStart"/>
      <w:r w:rsidRPr="00BE23CE">
        <w:rPr>
          <w:rFonts w:ascii="Arial" w:hAnsi="Arial" w:cs="Arial"/>
          <w:sz w:val="24"/>
          <w:szCs w:val="24"/>
        </w:rPr>
        <w:t>Barosi</w:t>
      </w:r>
      <w:proofErr w:type="spellEnd"/>
      <w:r w:rsidRPr="00BE23CE">
        <w:rPr>
          <w:rFonts w:ascii="Arial" w:hAnsi="Arial" w:cs="Arial"/>
          <w:sz w:val="24"/>
          <w:szCs w:val="24"/>
        </w:rPr>
        <w:t xml:space="preserve">, </w:t>
      </w:r>
      <w:r w:rsidRPr="00BE23CE">
        <w:rPr>
          <w:rFonts w:ascii="Arial" w:hAnsi="Arial" w:cs="Arial"/>
          <w:sz w:val="24"/>
          <w:szCs w:val="24"/>
          <w:vertAlign w:val="superscript"/>
        </w:rPr>
        <w:t>1</w:t>
      </w:r>
      <w:r w:rsidRPr="00BE23CE">
        <w:rPr>
          <w:rFonts w:ascii="Arial" w:hAnsi="Arial" w:cs="Arial"/>
          <w:sz w:val="24"/>
          <w:szCs w:val="24"/>
        </w:rPr>
        <w:t xml:space="preserve"> Vittorio </w:t>
      </w:r>
      <w:proofErr w:type="spellStart"/>
      <w:r w:rsidRPr="00BE23CE">
        <w:rPr>
          <w:rFonts w:ascii="Arial" w:hAnsi="Arial" w:cs="Arial"/>
          <w:sz w:val="24"/>
          <w:szCs w:val="24"/>
        </w:rPr>
        <w:t>Rosti</w:t>
      </w:r>
      <w:proofErr w:type="spellEnd"/>
      <w:r w:rsidRPr="00BE23CE">
        <w:rPr>
          <w:rFonts w:ascii="Arial" w:hAnsi="Arial" w:cs="Arial"/>
          <w:sz w:val="24"/>
          <w:szCs w:val="24"/>
        </w:rPr>
        <w:t>,</w:t>
      </w:r>
      <w:r w:rsidRPr="00BE23CE">
        <w:rPr>
          <w:rFonts w:ascii="Arial" w:hAnsi="Arial" w:cs="Arial"/>
          <w:sz w:val="24"/>
          <w:szCs w:val="24"/>
          <w:vertAlign w:val="superscript"/>
        </w:rPr>
        <w:t>1</w:t>
      </w:r>
      <w:r w:rsidRPr="00BE23CE">
        <w:rPr>
          <w:rFonts w:ascii="Arial" w:hAnsi="Arial" w:cs="Arial"/>
          <w:sz w:val="24"/>
          <w:szCs w:val="24"/>
        </w:rPr>
        <w:t xml:space="preserve"> Rita Campanelli,</w:t>
      </w:r>
      <w:r w:rsidRPr="00BE23CE">
        <w:rPr>
          <w:rFonts w:ascii="Arial" w:hAnsi="Arial" w:cs="Arial"/>
          <w:sz w:val="24"/>
          <w:szCs w:val="24"/>
          <w:vertAlign w:val="superscript"/>
        </w:rPr>
        <w:t>1</w:t>
      </w:r>
      <w:r w:rsidRPr="00BE23CE">
        <w:rPr>
          <w:rFonts w:ascii="Arial" w:hAnsi="Arial" w:cs="Arial"/>
          <w:sz w:val="24"/>
          <w:szCs w:val="24"/>
        </w:rPr>
        <w:t xml:space="preserve"> Margherita Massa,</w:t>
      </w:r>
      <w:r w:rsidRPr="00BE23CE">
        <w:rPr>
          <w:rFonts w:ascii="Arial" w:hAnsi="Arial" w:cs="Arial"/>
          <w:sz w:val="24"/>
          <w:szCs w:val="24"/>
          <w:vertAlign w:val="superscript"/>
        </w:rPr>
        <w:t>2</w:t>
      </w:r>
      <w:r w:rsidRPr="00BE23CE">
        <w:rPr>
          <w:rFonts w:ascii="Arial" w:hAnsi="Arial" w:cs="Arial"/>
          <w:sz w:val="24"/>
          <w:szCs w:val="24"/>
        </w:rPr>
        <w:t xml:space="preserve"> Carlotta </w:t>
      </w:r>
      <w:proofErr w:type="spellStart"/>
      <w:r w:rsidRPr="00BE23CE">
        <w:rPr>
          <w:rFonts w:ascii="Arial" w:hAnsi="Arial" w:cs="Arial"/>
          <w:sz w:val="24"/>
          <w:szCs w:val="24"/>
        </w:rPr>
        <w:t>Abbà</w:t>
      </w:r>
      <w:proofErr w:type="spellEnd"/>
      <w:r w:rsidRPr="00BE23CE">
        <w:rPr>
          <w:rFonts w:ascii="Arial" w:hAnsi="Arial" w:cs="Arial"/>
          <w:sz w:val="24"/>
          <w:szCs w:val="24"/>
        </w:rPr>
        <w:t>,</w:t>
      </w:r>
      <w:r w:rsidRPr="00BE23CE">
        <w:rPr>
          <w:rFonts w:ascii="Arial" w:hAnsi="Arial" w:cs="Arial"/>
          <w:sz w:val="24"/>
          <w:szCs w:val="24"/>
          <w:vertAlign w:val="superscript"/>
        </w:rPr>
        <w:t>2</w:t>
      </w:r>
      <w:r w:rsidRPr="00BE23CE">
        <w:rPr>
          <w:rFonts w:ascii="Arial" w:hAnsi="Arial" w:cs="Arial"/>
          <w:sz w:val="24"/>
          <w:szCs w:val="24"/>
        </w:rPr>
        <w:t xml:space="preserve"> Adriana </w:t>
      </w:r>
      <w:proofErr w:type="spellStart"/>
      <w:r w:rsidRPr="00BE23CE">
        <w:rPr>
          <w:rFonts w:ascii="Arial" w:hAnsi="Arial" w:cs="Arial"/>
          <w:sz w:val="24"/>
          <w:szCs w:val="24"/>
        </w:rPr>
        <w:t>Carolei</w:t>
      </w:r>
      <w:proofErr w:type="spellEnd"/>
      <w:r w:rsidRPr="00BE23CE">
        <w:rPr>
          <w:rFonts w:ascii="Arial" w:hAnsi="Arial" w:cs="Arial"/>
          <w:sz w:val="24"/>
          <w:szCs w:val="24"/>
        </w:rPr>
        <w:t>,</w:t>
      </w:r>
      <w:r w:rsidRPr="00BE23CE">
        <w:rPr>
          <w:rFonts w:ascii="Arial" w:hAnsi="Arial" w:cs="Arial"/>
          <w:sz w:val="24"/>
          <w:szCs w:val="24"/>
          <w:vertAlign w:val="superscript"/>
        </w:rPr>
        <w:t>1</w:t>
      </w:r>
      <w:r w:rsidRPr="00BE23CE">
        <w:rPr>
          <w:rFonts w:ascii="Arial" w:hAnsi="Arial" w:cs="Arial"/>
          <w:sz w:val="24"/>
          <w:szCs w:val="24"/>
        </w:rPr>
        <w:t xml:space="preserve"> Paolo Catarsi,</w:t>
      </w:r>
      <w:r w:rsidRPr="00BE23CE">
        <w:rPr>
          <w:rFonts w:ascii="Arial" w:hAnsi="Arial" w:cs="Arial"/>
          <w:sz w:val="24"/>
          <w:szCs w:val="24"/>
          <w:vertAlign w:val="superscript"/>
        </w:rPr>
        <w:t>1</w:t>
      </w:r>
      <w:r w:rsidRPr="00BE23CE">
        <w:rPr>
          <w:rFonts w:ascii="Arial" w:hAnsi="Arial" w:cs="Arial"/>
          <w:sz w:val="24"/>
          <w:szCs w:val="24"/>
        </w:rPr>
        <w:t xml:space="preserve"> Alessandro </w:t>
      </w:r>
      <w:proofErr w:type="spellStart"/>
      <w:r w:rsidRPr="00BE23CE">
        <w:rPr>
          <w:rFonts w:ascii="Arial" w:hAnsi="Arial" w:cs="Arial"/>
          <w:sz w:val="24"/>
          <w:szCs w:val="24"/>
        </w:rPr>
        <w:t>Inzoli</w:t>
      </w:r>
      <w:proofErr w:type="spellEnd"/>
      <w:r w:rsidRPr="00BE23CE">
        <w:rPr>
          <w:rFonts w:ascii="Arial" w:hAnsi="Arial" w:cs="Arial"/>
          <w:sz w:val="24"/>
          <w:szCs w:val="24"/>
        </w:rPr>
        <w:t>,</w:t>
      </w:r>
      <w:r w:rsidRPr="00BE23CE">
        <w:rPr>
          <w:rFonts w:ascii="Arial" w:hAnsi="Arial" w:cs="Arial"/>
          <w:sz w:val="24"/>
          <w:szCs w:val="24"/>
          <w:vertAlign w:val="superscript"/>
        </w:rPr>
        <w:t>3</w:t>
      </w:r>
      <w:r w:rsidRPr="00BE23CE">
        <w:rPr>
          <w:rFonts w:ascii="Arial" w:hAnsi="Arial" w:cs="Arial"/>
          <w:sz w:val="24"/>
          <w:szCs w:val="24"/>
        </w:rPr>
        <w:t xml:space="preserve"> Lorena Pergola,</w:t>
      </w:r>
      <w:r w:rsidRPr="00BE23CE">
        <w:rPr>
          <w:rFonts w:ascii="Arial" w:hAnsi="Arial" w:cs="Arial"/>
          <w:sz w:val="24"/>
          <w:szCs w:val="24"/>
          <w:vertAlign w:val="superscript"/>
        </w:rPr>
        <w:t>4</w:t>
      </w:r>
      <w:r w:rsidRPr="00BE23CE">
        <w:rPr>
          <w:rFonts w:ascii="Arial" w:hAnsi="Arial" w:cs="Arial"/>
          <w:sz w:val="24"/>
          <w:szCs w:val="24"/>
        </w:rPr>
        <w:t xml:space="preserve"> Tiziano </w:t>
      </w:r>
      <w:proofErr w:type="spellStart"/>
      <w:r w:rsidRPr="00BE23CE">
        <w:rPr>
          <w:rFonts w:ascii="Arial" w:hAnsi="Arial" w:cs="Arial"/>
          <w:sz w:val="24"/>
          <w:szCs w:val="24"/>
        </w:rPr>
        <w:t>Barbui</w:t>
      </w:r>
      <w:proofErr w:type="spellEnd"/>
      <w:r w:rsidRPr="00BE23CE">
        <w:rPr>
          <w:rFonts w:ascii="Arial" w:hAnsi="Arial" w:cs="Arial"/>
          <w:sz w:val="24"/>
          <w:szCs w:val="24"/>
        </w:rPr>
        <w:t>,</w:t>
      </w:r>
      <w:r w:rsidRPr="00BE23CE">
        <w:rPr>
          <w:rFonts w:ascii="Arial" w:hAnsi="Arial" w:cs="Arial"/>
          <w:sz w:val="24"/>
          <w:szCs w:val="24"/>
          <w:vertAlign w:val="superscript"/>
        </w:rPr>
        <w:t>5</w:t>
      </w:r>
      <w:r w:rsidRPr="00BE23CE">
        <w:rPr>
          <w:rFonts w:ascii="Arial" w:hAnsi="Arial" w:cs="Arial"/>
          <w:sz w:val="24"/>
          <w:szCs w:val="24"/>
        </w:rPr>
        <w:t xml:space="preserve"> Caterina </w:t>
      </w:r>
      <w:proofErr w:type="spellStart"/>
      <w:r w:rsidRPr="00BE23CE">
        <w:rPr>
          <w:rFonts w:ascii="Arial" w:hAnsi="Arial" w:cs="Arial"/>
          <w:sz w:val="24"/>
          <w:szCs w:val="24"/>
        </w:rPr>
        <w:t>Tatarelli</w:t>
      </w:r>
      <w:proofErr w:type="spellEnd"/>
      <w:r w:rsidRPr="00BE23CE">
        <w:rPr>
          <w:rFonts w:ascii="Arial" w:hAnsi="Arial" w:cs="Arial"/>
          <w:sz w:val="24"/>
          <w:szCs w:val="24"/>
        </w:rPr>
        <w:t>,</w:t>
      </w:r>
      <w:r w:rsidRPr="00BE23CE">
        <w:rPr>
          <w:rFonts w:ascii="Arial" w:hAnsi="Arial" w:cs="Arial"/>
          <w:sz w:val="24"/>
          <w:szCs w:val="24"/>
          <w:vertAlign w:val="superscript"/>
        </w:rPr>
        <w:t>6</w:t>
      </w:r>
      <w:r w:rsidRPr="00BE23CE">
        <w:rPr>
          <w:rFonts w:ascii="Arial" w:hAnsi="Arial" w:cs="Arial"/>
          <w:sz w:val="24"/>
          <w:szCs w:val="24"/>
        </w:rPr>
        <w:t xml:space="preserve"> Maria Chiara </w:t>
      </w:r>
      <w:proofErr w:type="spellStart"/>
      <w:r w:rsidRPr="00BE23CE">
        <w:rPr>
          <w:rFonts w:ascii="Arial" w:hAnsi="Arial" w:cs="Arial"/>
          <w:sz w:val="24"/>
          <w:szCs w:val="24"/>
        </w:rPr>
        <w:t>Finazzi</w:t>
      </w:r>
      <w:proofErr w:type="spellEnd"/>
      <w:r w:rsidRPr="00BE23CE">
        <w:rPr>
          <w:rFonts w:ascii="Arial" w:hAnsi="Arial" w:cs="Arial"/>
          <w:sz w:val="24"/>
          <w:szCs w:val="24"/>
        </w:rPr>
        <w:t>,</w:t>
      </w:r>
      <w:r w:rsidRPr="00BE23CE">
        <w:rPr>
          <w:rFonts w:ascii="Arial" w:hAnsi="Arial" w:cs="Arial"/>
          <w:sz w:val="24"/>
          <w:szCs w:val="24"/>
          <w:vertAlign w:val="superscript"/>
        </w:rPr>
        <w:t>7,8</w:t>
      </w:r>
      <w:r w:rsidRPr="00BE23CE">
        <w:rPr>
          <w:rFonts w:ascii="Arial" w:hAnsi="Arial" w:cs="Arial"/>
          <w:sz w:val="24"/>
          <w:szCs w:val="24"/>
        </w:rPr>
        <w:t xml:space="preserve"> Annalisa Condorelli,</w:t>
      </w:r>
      <w:r w:rsidRPr="00BE23CE">
        <w:rPr>
          <w:rFonts w:ascii="Arial" w:hAnsi="Arial" w:cs="Arial"/>
          <w:sz w:val="24"/>
          <w:szCs w:val="24"/>
          <w:vertAlign w:val="superscript"/>
        </w:rPr>
        <w:t>7</w:t>
      </w:r>
      <w:r w:rsidRPr="00BE23CE">
        <w:rPr>
          <w:rFonts w:ascii="Arial" w:hAnsi="Arial" w:cs="Arial"/>
          <w:sz w:val="24"/>
          <w:szCs w:val="24"/>
        </w:rPr>
        <w:t xml:space="preserve"> S</w:t>
      </w:r>
      <w:r>
        <w:rPr>
          <w:rFonts w:ascii="Arial" w:hAnsi="Arial" w:cs="Arial"/>
          <w:sz w:val="24"/>
          <w:szCs w:val="24"/>
        </w:rPr>
        <w:t>i</w:t>
      </w:r>
      <w:r w:rsidRPr="00BE23CE">
        <w:rPr>
          <w:rFonts w:ascii="Arial" w:hAnsi="Arial" w:cs="Arial"/>
          <w:sz w:val="24"/>
          <w:szCs w:val="24"/>
        </w:rPr>
        <w:t xml:space="preserve">lvia </w:t>
      </w:r>
      <w:proofErr w:type="spellStart"/>
      <w:r w:rsidRPr="00BE23CE">
        <w:rPr>
          <w:rFonts w:ascii="Arial" w:hAnsi="Arial" w:cs="Arial"/>
          <w:sz w:val="24"/>
          <w:szCs w:val="24"/>
        </w:rPr>
        <w:t>Salmoiraghi</w:t>
      </w:r>
      <w:proofErr w:type="spellEnd"/>
      <w:r w:rsidRPr="00BE23CE">
        <w:rPr>
          <w:rFonts w:ascii="Arial" w:hAnsi="Arial" w:cs="Arial"/>
          <w:sz w:val="24"/>
          <w:szCs w:val="24"/>
        </w:rPr>
        <w:t>,</w:t>
      </w:r>
      <w:r w:rsidRPr="00BE23CE">
        <w:rPr>
          <w:rFonts w:ascii="Arial" w:hAnsi="Arial" w:cs="Arial"/>
          <w:sz w:val="24"/>
          <w:szCs w:val="24"/>
          <w:vertAlign w:val="superscript"/>
        </w:rPr>
        <w:t>7</w:t>
      </w:r>
      <w:r w:rsidRPr="00BE23CE">
        <w:rPr>
          <w:rFonts w:ascii="Arial" w:hAnsi="Arial" w:cs="Arial"/>
          <w:sz w:val="24"/>
          <w:szCs w:val="24"/>
        </w:rPr>
        <w:t xml:space="preserve"> Alessandro Rambaldi,</w:t>
      </w:r>
      <w:r w:rsidRPr="00BE23CE">
        <w:rPr>
          <w:rFonts w:ascii="Arial" w:hAnsi="Arial" w:cs="Arial"/>
          <w:sz w:val="24"/>
          <w:szCs w:val="24"/>
          <w:vertAlign w:val="superscript"/>
        </w:rPr>
        <w:t>7,8</w:t>
      </w:r>
      <w:r w:rsidRPr="00BE23CE">
        <w:rPr>
          <w:rFonts w:ascii="Arial" w:hAnsi="Arial" w:cs="Arial"/>
          <w:sz w:val="24"/>
          <w:szCs w:val="24"/>
        </w:rPr>
        <w:t xml:space="preserve"> </w:t>
      </w:r>
      <w:r>
        <w:rPr>
          <w:rFonts w:ascii="Arial" w:hAnsi="Arial" w:cs="Arial"/>
          <w:sz w:val="24"/>
          <w:szCs w:val="24"/>
        </w:rPr>
        <w:t xml:space="preserve">Andrea </w:t>
      </w:r>
      <w:proofErr w:type="spellStart"/>
      <w:r w:rsidRPr="00BE23CE">
        <w:rPr>
          <w:rFonts w:ascii="Arial" w:hAnsi="Arial" w:cs="Arial"/>
          <w:sz w:val="24"/>
          <w:szCs w:val="24"/>
        </w:rPr>
        <w:t>Gianatti</w:t>
      </w:r>
      <w:proofErr w:type="spellEnd"/>
      <w:r w:rsidRPr="00BE23CE">
        <w:rPr>
          <w:rFonts w:ascii="Arial" w:hAnsi="Arial" w:cs="Arial"/>
          <w:sz w:val="24"/>
          <w:szCs w:val="24"/>
        </w:rPr>
        <w:t>,</w:t>
      </w:r>
      <w:r w:rsidRPr="00BE23CE">
        <w:rPr>
          <w:rFonts w:ascii="Arial" w:hAnsi="Arial" w:cs="Arial"/>
          <w:sz w:val="24"/>
          <w:szCs w:val="24"/>
          <w:vertAlign w:val="superscript"/>
        </w:rPr>
        <w:t>9</w:t>
      </w:r>
      <w:r w:rsidRPr="00BE23CE">
        <w:rPr>
          <w:rFonts w:ascii="Arial" w:hAnsi="Arial" w:cs="Arial"/>
          <w:sz w:val="24"/>
          <w:szCs w:val="24"/>
        </w:rPr>
        <w:t xml:space="preserve"> Valerio D</w:t>
      </w:r>
      <w:r>
        <w:rPr>
          <w:rFonts w:ascii="Arial" w:hAnsi="Arial" w:cs="Arial"/>
          <w:sz w:val="24"/>
          <w:szCs w:val="24"/>
        </w:rPr>
        <w:t>e</w:t>
      </w:r>
      <w:r w:rsidRPr="00BE23CE">
        <w:rPr>
          <w:rFonts w:ascii="Arial" w:hAnsi="Arial" w:cs="Arial"/>
          <w:sz w:val="24"/>
          <w:szCs w:val="24"/>
        </w:rPr>
        <w:t xml:space="preserve"> Stefano,</w:t>
      </w:r>
      <w:r w:rsidRPr="00BE23CE">
        <w:rPr>
          <w:rFonts w:ascii="Arial" w:hAnsi="Arial" w:cs="Arial"/>
          <w:sz w:val="24"/>
          <w:szCs w:val="24"/>
          <w:vertAlign w:val="superscript"/>
        </w:rPr>
        <w:t>10</w:t>
      </w:r>
      <w:r w:rsidRPr="00BE23CE">
        <w:rPr>
          <w:rFonts w:ascii="Arial" w:hAnsi="Arial" w:cs="Arial"/>
          <w:sz w:val="24"/>
          <w:szCs w:val="24"/>
        </w:rPr>
        <w:t xml:space="preserve"> </w:t>
      </w:r>
      <w:r>
        <w:rPr>
          <w:rFonts w:ascii="Arial" w:hAnsi="Arial" w:cs="Arial"/>
          <w:sz w:val="24"/>
          <w:szCs w:val="24"/>
        </w:rPr>
        <w:t xml:space="preserve">Anna </w:t>
      </w:r>
      <w:proofErr w:type="spellStart"/>
      <w:r w:rsidRPr="00BE23CE">
        <w:rPr>
          <w:rFonts w:ascii="Arial" w:hAnsi="Arial" w:cs="Arial"/>
          <w:sz w:val="24"/>
          <w:szCs w:val="24"/>
        </w:rPr>
        <w:t>Gallì</w:t>
      </w:r>
      <w:proofErr w:type="spellEnd"/>
      <w:r w:rsidRPr="00BE23CE">
        <w:rPr>
          <w:rFonts w:ascii="Arial" w:hAnsi="Arial" w:cs="Arial"/>
          <w:sz w:val="24"/>
          <w:szCs w:val="24"/>
        </w:rPr>
        <w:t>,</w:t>
      </w:r>
      <w:r w:rsidRPr="00BE23CE">
        <w:rPr>
          <w:rFonts w:ascii="Arial" w:hAnsi="Arial" w:cs="Arial"/>
          <w:sz w:val="24"/>
          <w:szCs w:val="24"/>
          <w:vertAlign w:val="superscript"/>
        </w:rPr>
        <w:t>11</w:t>
      </w:r>
      <w:r w:rsidRPr="00BE23CE">
        <w:rPr>
          <w:rFonts w:ascii="Arial" w:hAnsi="Arial" w:cs="Arial"/>
          <w:sz w:val="24"/>
          <w:szCs w:val="24"/>
        </w:rPr>
        <w:t xml:space="preserve"> </w:t>
      </w:r>
      <w:r>
        <w:rPr>
          <w:rFonts w:ascii="Arial" w:hAnsi="Arial" w:cs="Arial"/>
          <w:sz w:val="24"/>
          <w:szCs w:val="24"/>
        </w:rPr>
        <w:t xml:space="preserve">Martina </w:t>
      </w:r>
      <w:proofErr w:type="spellStart"/>
      <w:r>
        <w:rPr>
          <w:rFonts w:ascii="Arial" w:hAnsi="Arial" w:cs="Arial"/>
          <w:sz w:val="24"/>
          <w:szCs w:val="24"/>
        </w:rPr>
        <w:t>Gandossini</w:t>
      </w:r>
      <w:proofErr w:type="spellEnd"/>
      <w:r>
        <w:rPr>
          <w:rFonts w:ascii="Arial" w:hAnsi="Arial" w:cs="Arial"/>
          <w:sz w:val="24"/>
          <w:szCs w:val="24"/>
        </w:rPr>
        <w:t>,</w:t>
      </w:r>
      <w:r w:rsidRPr="00FD3D9E">
        <w:rPr>
          <w:rFonts w:ascii="Arial" w:hAnsi="Arial" w:cs="Arial"/>
          <w:sz w:val="24"/>
          <w:szCs w:val="24"/>
          <w:vertAlign w:val="superscript"/>
        </w:rPr>
        <w:t>11</w:t>
      </w:r>
      <w:r>
        <w:rPr>
          <w:rFonts w:ascii="Arial" w:hAnsi="Arial" w:cs="Arial"/>
          <w:sz w:val="24"/>
          <w:szCs w:val="24"/>
        </w:rPr>
        <w:t xml:space="preserve"> Michela </w:t>
      </w:r>
      <w:proofErr w:type="spellStart"/>
      <w:r>
        <w:rPr>
          <w:rFonts w:ascii="Arial" w:hAnsi="Arial" w:cs="Arial"/>
          <w:sz w:val="24"/>
          <w:szCs w:val="24"/>
        </w:rPr>
        <w:t>Bardelli</w:t>
      </w:r>
      <w:proofErr w:type="spellEnd"/>
      <w:r>
        <w:rPr>
          <w:rFonts w:ascii="Arial" w:hAnsi="Arial" w:cs="Arial"/>
          <w:sz w:val="24"/>
          <w:szCs w:val="24"/>
        </w:rPr>
        <w:t>,</w:t>
      </w:r>
      <w:r w:rsidRPr="00FD3D9E">
        <w:rPr>
          <w:rFonts w:ascii="Arial" w:hAnsi="Arial" w:cs="Arial"/>
          <w:sz w:val="24"/>
          <w:szCs w:val="24"/>
          <w:vertAlign w:val="superscript"/>
        </w:rPr>
        <w:t>11</w:t>
      </w:r>
      <w:r>
        <w:rPr>
          <w:rFonts w:ascii="Arial" w:hAnsi="Arial" w:cs="Arial"/>
          <w:sz w:val="24"/>
          <w:szCs w:val="24"/>
        </w:rPr>
        <w:t xml:space="preserve"> </w:t>
      </w:r>
      <w:r w:rsidRPr="00BE23CE">
        <w:rPr>
          <w:rFonts w:ascii="Arial" w:hAnsi="Arial" w:cs="Arial"/>
          <w:sz w:val="24"/>
          <w:szCs w:val="24"/>
        </w:rPr>
        <w:t>Robert Peter Gale,</w:t>
      </w:r>
      <w:r w:rsidRPr="00BE23CE">
        <w:rPr>
          <w:rFonts w:ascii="Arial" w:hAnsi="Arial" w:cs="Arial"/>
          <w:sz w:val="24"/>
          <w:szCs w:val="24"/>
          <w:vertAlign w:val="superscript"/>
        </w:rPr>
        <w:t>12</w:t>
      </w:r>
      <w:r w:rsidRPr="00BE23CE">
        <w:rPr>
          <w:rFonts w:ascii="Arial" w:hAnsi="Arial" w:cs="Arial"/>
          <w:sz w:val="24"/>
          <w:szCs w:val="24"/>
        </w:rPr>
        <w:t xml:space="preserve"> Luca </w:t>
      </w:r>
      <w:proofErr w:type="spellStart"/>
      <w:r w:rsidRPr="00BE23CE">
        <w:rPr>
          <w:rFonts w:ascii="Arial" w:hAnsi="Arial" w:cs="Arial"/>
          <w:sz w:val="24"/>
          <w:szCs w:val="24"/>
        </w:rPr>
        <w:t>Malcovati</w:t>
      </w:r>
      <w:proofErr w:type="spellEnd"/>
      <w:r w:rsidRPr="00BE23CE">
        <w:rPr>
          <w:rFonts w:ascii="Arial" w:hAnsi="Arial" w:cs="Arial"/>
          <w:sz w:val="24"/>
          <w:szCs w:val="24"/>
        </w:rPr>
        <w:t>.</w:t>
      </w:r>
      <w:r w:rsidRPr="00BE23CE">
        <w:rPr>
          <w:rFonts w:ascii="Arial" w:hAnsi="Arial" w:cs="Arial"/>
          <w:sz w:val="24"/>
          <w:szCs w:val="24"/>
          <w:vertAlign w:val="superscript"/>
        </w:rPr>
        <w:t>1</w:t>
      </w:r>
      <w:r>
        <w:rPr>
          <w:rFonts w:ascii="Arial" w:hAnsi="Arial" w:cs="Arial"/>
          <w:sz w:val="24"/>
          <w:szCs w:val="24"/>
          <w:vertAlign w:val="superscript"/>
        </w:rPr>
        <w:t>1</w:t>
      </w:r>
    </w:p>
    <w:p w:rsidR="00BB133F" w:rsidRPr="00BE23CE" w:rsidRDefault="00BB133F" w:rsidP="00BB133F">
      <w:pPr>
        <w:rPr>
          <w:rFonts w:ascii="Arial" w:hAnsi="Arial" w:cs="Arial"/>
          <w:sz w:val="24"/>
          <w:szCs w:val="24"/>
        </w:rPr>
      </w:pPr>
    </w:p>
    <w:p w:rsidR="00BB133F" w:rsidRPr="00BE23CE" w:rsidRDefault="00BB133F" w:rsidP="00BB133F">
      <w:pPr>
        <w:shd w:val="clear" w:color="auto" w:fill="FFFFFF"/>
        <w:rPr>
          <w:rFonts w:ascii="Arial" w:eastAsia="Times New Roman" w:hAnsi="Arial" w:cs="Arial"/>
          <w:color w:val="212121"/>
          <w:sz w:val="24"/>
          <w:szCs w:val="24"/>
          <w:lang w:eastAsia="it-IT"/>
        </w:rPr>
      </w:pPr>
      <w:r w:rsidRPr="00BE23CE">
        <w:rPr>
          <w:rFonts w:ascii="Arial" w:eastAsia="Times New Roman" w:hAnsi="Arial" w:cs="Arial"/>
          <w:color w:val="212121"/>
          <w:sz w:val="24"/>
          <w:szCs w:val="24"/>
          <w:lang w:eastAsia="it-IT"/>
        </w:rPr>
        <w:t xml:space="preserve">1. Center </w:t>
      </w:r>
      <w:proofErr w:type="spellStart"/>
      <w:r w:rsidRPr="00BE23CE">
        <w:rPr>
          <w:rFonts w:ascii="Arial" w:eastAsia="Times New Roman" w:hAnsi="Arial" w:cs="Arial"/>
          <w:color w:val="212121"/>
          <w:sz w:val="24"/>
          <w:szCs w:val="24"/>
          <w:lang w:eastAsia="it-IT"/>
        </w:rPr>
        <w:t>for</w:t>
      </w:r>
      <w:proofErr w:type="spellEnd"/>
      <w:r w:rsidRPr="00BE23CE">
        <w:rPr>
          <w:rFonts w:ascii="Arial" w:eastAsia="Times New Roman" w:hAnsi="Arial" w:cs="Arial"/>
          <w:color w:val="212121"/>
          <w:sz w:val="24"/>
          <w:szCs w:val="24"/>
          <w:lang w:eastAsia="it-IT"/>
        </w:rPr>
        <w:t xml:space="preserve"> the </w:t>
      </w:r>
      <w:proofErr w:type="spellStart"/>
      <w:r w:rsidRPr="00BE23CE">
        <w:rPr>
          <w:rFonts w:ascii="Arial" w:eastAsia="Times New Roman" w:hAnsi="Arial" w:cs="Arial"/>
          <w:color w:val="212121"/>
          <w:sz w:val="24"/>
          <w:szCs w:val="24"/>
          <w:lang w:eastAsia="it-IT"/>
        </w:rPr>
        <w:t>Study</w:t>
      </w:r>
      <w:proofErr w:type="spellEnd"/>
      <w:r w:rsidRPr="00BE23CE">
        <w:rPr>
          <w:rFonts w:ascii="Arial" w:eastAsia="Times New Roman" w:hAnsi="Arial" w:cs="Arial"/>
          <w:color w:val="212121"/>
          <w:sz w:val="24"/>
          <w:szCs w:val="24"/>
          <w:lang w:eastAsia="it-IT"/>
        </w:rPr>
        <w:t xml:space="preserve"> </w:t>
      </w:r>
      <w:proofErr w:type="spellStart"/>
      <w:r w:rsidRPr="00BE23CE">
        <w:rPr>
          <w:rFonts w:ascii="Arial" w:eastAsia="Times New Roman" w:hAnsi="Arial" w:cs="Arial"/>
          <w:color w:val="212121"/>
          <w:sz w:val="24"/>
          <w:szCs w:val="24"/>
          <w:lang w:eastAsia="it-IT"/>
        </w:rPr>
        <w:t>of</w:t>
      </w:r>
      <w:proofErr w:type="spellEnd"/>
      <w:r w:rsidRPr="00BE23CE">
        <w:rPr>
          <w:rFonts w:ascii="Arial" w:eastAsia="Times New Roman" w:hAnsi="Arial" w:cs="Arial"/>
          <w:color w:val="212121"/>
          <w:sz w:val="24"/>
          <w:szCs w:val="24"/>
          <w:lang w:eastAsia="it-IT"/>
        </w:rPr>
        <w:t xml:space="preserve"> </w:t>
      </w:r>
      <w:proofErr w:type="spellStart"/>
      <w:r w:rsidRPr="00BE23CE">
        <w:rPr>
          <w:rFonts w:ascii="Arial" w:eastAsia="Times New Roman" w:hAnsi="Arial" w:cs="Arial"/>
          <w:color w:val="212121"/>
          <w:sz w:val="24"/>
          <w:szCs w:val="24"/>
          <w:lang w:eastAsia="it-IT"/>
        </w:rPr>
        <w:t>Myelofibrosis</w:t>
      </w:r>
      <w:proofErr w:type="spellEnd"/>
      <w:r w:rsidRPr="00BE23CE">
        <w:rPr>
          <w:rFonts w:ascii="Arial" w:eastAsia="Times New Roman" w:hAnsi="Arial" w:cs="Arial"/>
          <w:color w:val="212121"/>
          <w:sz w:val="24"/>
          <w:szCs w:val="24"/>
          <w:lang w:eastAsia="it-IT"/>
        </w:rPr>
        <w:t>, Fondazione IRCCS Policlinico San Matteo, 27100 Pavia, Italy.</w:t>
      </w:r>
    </w:p>
    <w:p w:rsidR="00BB133F" w:rsidRPr="00BE23CE" w:rsidRDefault="00BB133F" w:rsidP="00BB133F">
      <w:pPr>
        <w:shd w:val="clear" w:color="auto" w:fill="FFFFFF"/>
        <w:rPr>
          <w:rFonts w:ascii="Arial" w:eastAsia="Times New Roman" w:hAnsi="Arial" w:cs="Arial"/>
          <w:color w:val="212121"/>
          <w:sz w:val="24"/>
          <w:szCs w:val="24"/>
          <w:lang w:eastAsia="it-IT"/>
        </w:rPr>
      </w:pPr>
      <w:r w:rsidRPr="00BE23CE">
        <w:rPr>
          <w:rFonts w:ascii="Arial" w:eastAsia="Times New Roman" w:hAnsi="Arial" w:cs="Arial"/>
          <w:color w:val="212121"/>
          <w:sz w:val="24"/>
          <w:szCs w:val="24"/>
          <w:lang w:eastAsia="it-IT"/>
        </w:rPr>
        <w:t xml:space="preserve">2. </w:t>
      </w:r>
      <w:proofErr w:type="spellStart"/>
      <w:r w:rsidRPr="00BE23CE">
        <w:rPr>
          <w:rFonts w:ascii="Arial" w:eastAsia="Times New Roman" w:hAnsi="Arial" w:cs="Arial"/>
          <w:color w:val="212121"/>
          <w:sz w:val="24"/>
          <w:szCs w:val="24"/>
          <w:lang w:eastAsia="it-IT"/>
        </w:rPr>
        <w:t>General</w:t>
      </w:r>
      <w:proofErr w:type="spellEnd"/>
      <w:r w:rsidRPr="00BE23CE">
        <w:rPr>
          <w:rFonts w:ascii="Arial" w:eastAsia="Times New Roman" w:hAnsi="Arial" w:cs="Arial"/>
          <w:color w:val="212121"/>
          <w:sz w:val="24"/>
          <w:szCs w:val="24"/>
          <w:lang w:eastAsia="it-IT"/>
        </w:rPr>
        <w:t xml:space="preserve"> Medicine 2-Center </w:t>
      </w:r>
      <w:proofErr w:type="spellStart"/>
      <w:r w:rsidRPr="00BE23CE">
        <w:rPr>
          <w:rFonts w:ascii="Arial" w:eastAsia="Times New Roman" w:hAnsi="Arial" w:cs="Arial"/>
          <w:color w:val="212121"/>
          <w:sz w:val="24"/>
          <w:szCs w:val="24"/>
          <w:lang w:eastAsia="it-IT"/>
        </w:rPr>
        <w:t>for</w:t>
      </w:r>
      <w:proofErr w:type="spellEnd"/>
      <w:r w:rsidRPr="00BE23CE">
        <w:rPr>
          <w:rFonts w:ascii="Arial" w:eastAsia="Times New Roman" w:hAnsi="Arial" w:cs="Arial"/>
          <w:color w:val="212121"/>
          <w:sz w:val="24"/>
          <w:szCs w:val="24"/>
          <w:lang w:eastAsia="it-IT"/>
        </w:rPr>
        <w:t xml:space="preserve"> </w:t>
      </w:r>
      <w:proofErr w:type="spellStart"/>
      <w:r w:rsidRPr="00BE23CE">
        <w:rPr>
          <w:rFonts w:ascii="Arial" w:eastAsia="Times New Roman" w:hAnsi="Arial" w:cs="Arial"/>
          <w:color w:val="212121"/>
          <w:sz w:val="24"/>
          <w:szCs w:val="24"/>
          <w:lang w:eastAsia="it-IT"/>
        </w:rPr>
        <w:t>Systemic</w:t>
      </w:r>
      <w:proofErr w:type="spellEnd"/>
      <w:r w:rsidRPr="00BE23CE">
        <w:rPr>
          <w:rFonts w:ascii="Arial" w:eastAsia="Times New Roman" w:hAnsi="Arial" w:cs="Arial"/>
          <w:color w:val="212121"/>
          <w:sz w:val="24"/>
          <w:szCs w:val="24"/>
          <w:lang w:eastAsia="it-IT"/>
        </w:rPr>
        <w:t xml:space="preserve"> </w:t>
      </w:r>
      <w:proofErr w:type="spellStart"/>
      <w:r w:rsidRPr="00BE23CE">
        <w:rPr>
          <w:rFonts w:ascii="Arial" w:eastAsia="Times New Roman" w:hAnsi="Arial" w:cs="Arial"/>
          <w:color w:val="212121"/>
          <w:sz w:val="24"/>
          <w:szCs w:val="24"/>
          <w:lang w:eastAsia="it-IT"/>
        </w:rPr>
        <w:t>Amyloidosis</w:t>
      </w:r>
      <w:proofErr w:type="spellEnd"/>
      <w:r w:rsidRPr="00BE23CE">
        <w:rPr>
          <w:rFonts w:ascii="Arial" w:eastAsia="Times New Roman" w:hAnsi="Arial" w:cs="Arial"/>
          <w:color w:val="212121"/>
          <w:sz w:val="24"/>
          <w:szCs w:val="24"/>
          <w:lang w:eastAsia="it-IT"/>
        </w:rPr>
        <w:t xml:space="preserve"> and </w:t>
      </w:r>
      <w:proofErr w:type="spellStart"/>
      <w:r w:rsidRPr="00BE23CE">
        <w:rPr>
          <w:rFonts w:ascii="Arial" w:eastAsia="Times New Roman" w:hAnsi="Arial" w:cs="Arial"/>
          <w:color w:val="212121"/>
          <w:sz w:val="24"/>
          <w:szCs w:val="24"/>
          <w:lang w:eastAsia="it-IT"/>
        </w:rPr>
        <w:t>High-Complexity</w:t>
      </w:r>
      <w:proofErr w:type="spellEnd"/>
      <w:r w:rsidRPr="00BE23CE">
        <w:rPr>
          <w:rFonts w:ascii="Arial" w:eastAsia="Times New Roman" w:hAnsi="Arial" w:cs="Arial"/>
          <w:color w:val="212121"/>
          <w:sz w:val="24"/>
          <w:szCs w:val="24"/>
          <w:lang w:eastAsia="it-IT"/>
        </w:rPr>
        <w:t xml:space="preserve"> </w:t>
      </w:r>
      <w:proofErr w:type="spellStart"/>
      <w:r w:rsidRPr="00BE23CE">
        <w:rPr>
          <w:rFonts w:ascii="Arial" w:eastAsia="Times New Roman" w:hAnsi="Arial" w:cs="Arial"/>
          <w:color w:val="212121"/>
          <w:sz w:val="24"/>
          <w:szCs w:val="24"/>
          <w:lang w:eastAsia="it-IT"/>
        </w:rPr>
        <w:t>Diseases</w:t>
      </w:r>
      <w:proofErr w:type="spellEnd"/>
      <w:r w:rsidRPr="00BE23CE">
        <w:rPr>
          <w:rFonts w:ascii="Arial" w:eastAsia="Times New Roman" w:hAnsi="Arial" w:cs="Arial"/>
          <w:color w:val="212121"/>
          <w:sz w:val="24"/>
          <w:szCs w:val="24"/>
          <w:lang w:eastAsia="it-IT"/>
        </w:rPr>
        <w:t>, Fondazione IRCCS Policlinico San Matteo, 27100 Pavia, Italy.</w:t>
      </w:r>
    </w:p>
    <w:p w:rsidR="00BB133F" w:rsidRPr="00BE23CE" w:rsidRDefault="00BB133F" w:rsidP="00BB133F">
      <w:pPr>
        <w:shd w:val="clear" w:color="auto" w:fill="FFFFFF"/>
        <w:rPr>
          <w:rFonts w:ascii="Arial" w:hAnsi="Arial" w:cs="Arial"/>
          <w:color w:val="212121"/>
          <w:sz w:val="24"/>
          <w:szCs w:val="24"/>
          <w:shd w:val="clear" w:color="auto" w:fill="FFFFFF"/>
        </w:rPr>
      </w:pPr>
      <w:r w:rsidRPr="00BE23CE">
        <w:rPr>
          <w:rFonts w:ascii="Arial" w:eastAsia="Times New Roman" w:hAnsi="Arial" w:cs="Arial"/>
          <w:color w:val="212121"/>
          <w:sz w:val="24"/>
          <w:szCs w:val="24"/>
          <w:lang w:eastAsia="it-IT"/>
        </w:rPr>
        <w:t xml:space="preserve">3. </w:t>
      </w:r>
      <w:proofErr w:type="spellStart"/>
      <w:r w:rsidRPr="00BE23CE">
        <w:rPr>
          <w:rFonts w:ascii="Arial" w:hAnsi="Arial" w:cs="Arial"/>
          <w:color w:val="212121"/>
          <w:sz w:val="24"/>
          <w:szCs w:val="24"/>
          <w:shd w:val="clear" w:color="auto" w:fill="FFFFFF"/>
        </w:rPr>
        <w:t>Hematology</w:t>
      </w:r>
      <w:proofErr w:type="spellEnd"/>
      <w:r w:rsidRPr="00BE23CE">
        <w:rPr>
          <w:rFonts w:ascii="Arial" w:hAnsi="Arial" w:cs="Arial"/>
          <w:color w:val="212121"/>
          <w:sz w:val="24"/>
          <w:szCs w:val="24"/>
          <w:shd w:val="clear" w:color="auto" w:fill="FFFFFF"/>
        </w:rPr>
        <w:t xml:space="preserve"> </w:t>
      </w:r>
      <w:proofErr w:type="spellStart"/>
      <w:r w:rsidRPr="00BE23CE">
        <w:rPr>
          <w:rFonts w:ascii="Arial" w:hAnsi="Arial" w:cs="Arial"/>
          <w:color w:val="212121"/>
          <w:sz w:val="24"/>
          <w:szCs w:val="24"/>
          <w:shd w:val="clear" w:color="auto" w:fill="FFFFFF"/>
        </w:rPr>
        <w:t>Unit</w:t>
      </w:r>
      <w:proofErr w:type="spellEnd"/>
      <w:r w:rsidRPr="00BE23CE">
        <w:rPr>
          <w:rFonts w:ascii="Arial" w:hAnsi="Arial" w:cs="Arial"/>
          <w:color w:val="212121"/>
          <w:sz w:val="24"/>
          <w:szCs w:val="24"/>
          <w:shd w:val="clear" w:color="auto" w:fill="FFFFFF"/>
        </w:rPr>
        <w:t>, Ospedale Maggiore ASST, Crema, Italy.</w:t>
      </w:r>
    </w:p>
    <w:p w:rsidR="00BB133F" w:rsidRPr="00BE23CE" w:rsidRDefault="00BB133F" w:rsidP="00BB133F">
      <w:pPr>
        <w:shd w:val="clear" w:color="auto" w:fill="FFFFFF"/>
        <w:rPr>
          <w:rFonts w:ascii="Arial" w:hAnsi="Arial" w:cs="Arial"/>
          <w:color w:val="212121"/>
          <w:sz w:val="24"/>
          <w:szCs w:val="24"/>
          <w:shd w:val="clear" w:color="auto" w:fill="FFFFFF"/>
        </w:rPr>
      </w:pPr>
      <w:r w:rsidRPr="00BE23CE">
        <w:rPr>
          <w:rFonts w:ascii="Arial" w:hAnsi="Arial" w:cs="Arial"/>
          <w:color w:val="212121"/>
          <w:sz w:val="24"/>
          <w:szCs w:val="24"/>
          <w:shd w:val="clear" w:color="auto" w:fill="FFFFFF"/>
        </w:rPr>
        <w:t xml:space="preserve">4. </w:t>
      </w:r>
      <w:proofErr w:type="spellStart"/>
      <w:r w:rsidRPr="00BE23CE">
        <w:rPr>
          <w:rFonts w:ascii="Arial" w:hAnsi="Arial" w:cs="Arial"/>
          <w:color w:val="212121"/>
          <w:sz w:val="24"/>
          <w:szCs w:val="24"/>
          <w:shd w:val="clear" w:color="auto" w:fill="FFFFFF"/>
        </w:rPr>
        <w:t>Pathology</w:t>
      </w:r>
      <w:proofErr w:type="spellEnd"/>
      <w:r w:rsidRPr="00BE23CE">
        <w:rPr>
          <w:rFonts w:ascii="Arial" w:hAnsi="Arial" w:cs="Arial"/>
          <w:color w:val="212121"/>
          <w:sz w:val="24"/>
          <w:szCs w:val="24"/>
          <w:shd w:val="clear" w:color="auto" w:fill="FFFFFF"/>
        </w:rPr>
        <w:t xml:space="preserve"> </w:t>
      </w:r>
      <w:proofErr w:type="spellStart"/>
      <w:r w:rsidRPr="00BE23CE">
        <w:rPr>
          <w:rFonts w:ascii="Arial" w:hAnsi="Arial" w:cs="Arial"/>
          <w:color w:val="212121"/>
          <w:sz w:val="24"/>
          <w:szCs w:val="24"/>
          <w:shd w:val="clear" w:color="auto" w:fill="FFFFFF"/>
        </w:rPr>
        <w:t>Department</w:t>
      </w:r>
      <w:proofErr w:type="spellEnd"/>
      <w:r w:rsidRPr="00BE23CE">
        <w:rPr>
          <w:rFonts w:ascii="Arial" w:hAnsi="Arial" w:cs="Arial"/>
          <w:color w:val="212121"/>
          <w:sz w:val="24"/>
          <w:szCs w:val="24"/>
          <w:shd w:val="clear" w:color="auto" w:fill="FFFFFF"/>
        </w:rPr>
        <w:t xml:space="preserve">, Ospedale Maggiore </w:t>
      </w:r>
      <w:r w:rsidR="00510060" w:rsidRPr="00BE23CE">
        <w:rPr>
          <w:rFonts w:ascii="Arial" w:hAnsi="Arial" w:cs="Arial"/>
          <w:color w:val="212121"/>
          <w:sz w:val="24"/>
          <w:szCs w:val="24"/>
          <w:shd w:val="clear" w:color="auto" w:fill="FFFFFF"/>
        </w:rPr>
        <w:t>ASST</w:t>
      </w:r>
      <w:r w:rsidR="00510060">
        <w:rPr>
          <w:rFonts w:ascii="Arial" w:hAnsi="Arial" w:cs="Arial"/>
          <w:color w:val="212121"/>
          <w:sz w:val="24"/>
          <w:szCs w:val="24"/>
          <w:shd w:val="clear" w:color="auto" w:fill="FFFFFF"/>
        </w:rPr>
        <w:t xml:space="preserve">, </w:t>
      </w:r>
      <w:r w:rsidRPr="00BE23CE">
        <w:rPr>
          <w:rFonts w:ascii="Arial" w:hAnsi="Arial" w:cs="Arial"/>
          <w:color w:val="212121"/>
          <w:sz w:val="24"/>
          <w:szCs w:val="24"/>
          <w:shd w:val="clear" w:color="auto" w:fill="FFFFFF"/>
        </w:rPr>
        <w:t>Crema, Italy.</w:t>
      </w:r>
    </w:p>
    <w:p w:rsidR="00BB133F" w:rsidRPr="00BE23CE" w:rsidRDefault="00BB133F" w:rsidP="00BB133F">
      <w:pPr>
        <w:shd w:val="clear" w:color="auto" w:fill="FFFFFF"/>
        <w:rPr>
          <w:rFonts w:ascii="Arial" w:eastAsia="Times New Roman" w:hAnsi="Arial" w:cs="Arial"/>
          <w:color w:val="212121"/>
          <w:sz w:val="24"/>
          <w:szCs w:val="24"/>
          <w:lang w:eastAsia="it-IT"/>
        </w:rPr>
      </w:pPr>
      <w:r w:rsidRPr="00BE23CE">
        <w:rPr>
          <w:rFonts w:ascii="Arial" w:hAnsi="Arial" w:cs="Arial"/>
          <w:color w:val="212121"/>
          <w:sz w:val="24"/>
          <w:szCs w:val="24"/>
          <w:shd w:val="clear" w:color="auto" w:fill="FFFFFF"/>
        </w:rPr>
        <w:t>5. FROM, Fondazione per la Ricerca Ospedale di Bergamo ETS, Bergamo, Italy.</w:t>
      </w:r>
    </w:p>
    <w:p w:rsidR="00BB133F" w:rsidRPr="00BE23CE" w:rsidRDefault="00BB133F" w:rsidP="00BB133F">
      <w:pPr>
        <w:rPr>
          <w:rFonts w:ascii="Arial" w:hAnsi="Arial" w:cs="Arial"/>
          <w:sz w:val="24"/>
          <w:szCs w:val="24"/>
          <w:lang w:val="en-GB"/>
        </w:rPr>
      </w:pPr>
      <w:r w:rsidRPr="00BE23CE">
        <w:rPr>
          <w:rFonts w:ascii="Arial" w:hAnsi="Arial" w:cs="Arial"/>
          <w:sz w:val="24"/>
          <w:szCs w:val="24"/>
          <w:lang w:val="en-GB"/>
        </w:rPr>
        <w:t xml:space="preserve">6. </w:t>
      </w:r>
      <w:proofErr w:type="spellStart"/>
      <w:r w:rsidRPr="00BE23CE">
        <w:rPr>
          <w:rFonts w:ascii="Arial" w:hAnsi="Arial" w:cs="Arial"/>
          <w:color w:val="212121"/>
          <w:sz w:val="24"/>
          <w:szCs w:val="24"/>
          <w:shd w:val="clear" w:color="auto" w:fill="FFFFFF"/>
          <w:lang w:val="en-GB"/>
        </w:rPr>
        <w:t>Hematology</w:t>
      </w:r>
      <w:proofErr w:type="spellEnd"/>
      <w:r w:rsidRPr="00BE23CE">
        <w:rPr>
          <w:rFonts w:ascii="Arial" w:hAnsi="Arial" w:cs="Arial"/>
          <w:color w:val="212121"/>
          <w:sz w:val="24"/>
          <w:szCs w:val="24"/>
          <w:shd w:val="clear" w:color="auto" w:fill="FFFFFF"/>
          <w:lang w:val="en-GB"/>
        </w:rPr>
        <w:t xml:space="preserve">, </w:t>
      </w:r>
      <w:proofErr w:type="spellStart"/>
      <w:r w:rsidRPr="00BE23CE">
        <w:rPr>
          <w:rFonts w:ascii="Arial" w:hAnsi="Arial" w:cs="Arial"/>
          <w:color w:val="212121"/>
          <w:sz w:val="24"/>
          <w:szCs w:val="24"/>
          <w:shd w:val="clear" w:color="auto" w:fill="FFFFFF"/>
          <w:lang w:val="en-GB"/>
        </w:rPr>
        <w:t>S.Andrea</w:t>
      </w:r>
      <w:proofErr w:type="spellEnd"/>
      <w:r w:rsidRPr="00BE23CE">
        <w:rPr>
          <w:rFonts w:ascii="Arial" w:hAnsi="Arial" w:cs="Arial"/>
          <w:color w:val="212121"/>
          <w:sz w:val="24"/>
          <w:szCs w:val="24"/>
          <w:shd w:val="clear" w:color="auto" w:fill="FFFFFF"/>
          <w:lang w:val="en-GB"/>
        </w:rPr>
        <w:t xml:space="preserve"> Hospital, Rome, Italy</w:t>
      </w:r>
      <w:r w:rsidRPr="00BE23CE">
        <w:rPr>
          <w:rFonts w:ascii="Arial" w:hAnsi="Arial" w:cs="Arial"/>
          <w:sz w:val="24"/>
          <w:szCs w:val="24"/>
          <w:lang w:val="en-GB"/>
        </w:rPr>
        <w:t>.</w:t>
      </w:r>
    </w:p>
    <w:p w:rsidR="00BB133F" w:rsidRPr="00BE23CE" w:rsidRDefault="00BB133F" w:rsidP="00BB133F">
      <w:pPr>
        <w:shd w:val="clear" w:color="auto" w:fill="FFFFFF"/>
        <w:rPr>
          <w:rFonts w:ascii="Arial" w:eastAsia="Times New Roman" w:hAnsi="Arial" w:cs="Arial"/>
          <w:color w:val="212121"/>
          <w:sz w:val="24"/>
          <w:szCs w:val="24"/>
          <w:lang w:eastAsia="it-IT"/>
        </w:rPr>
      </w:pPr>
      <w:r w:rsidRPr="00BE23CE">
        <w:rPr>
          <w:rFonts w:ascii="Arial" w:eastAsia="Times New Roman" w:hAnsi="Arial" w:cs="Arial"/>
          <w:color w:val="212121"/>
          <w:sz w:val="24"/>
          <w:szCs w:val="24"/>
          <w:lang w:eastAsia="it-IT"/>
        </w:rPr>
        <w:t>7. Divisione di Ematologia, ASST Papa Giovanni XXIII, Bergamo, Italy.</w:t>
      </w:r>
    </w:p>
    <w:p w:rsidR="00BB133F" w:rsidRPr="00BE23CE" w:rsidRDefault="00BB133F" w:rsidP="00BB133F">
      <w:pPr>
        <w:shd w:val="clear" w:color="auto" w:fill="FFFFFF"/>
        <w:rPr>
          <w:rFonts w:ascii="Arial" w:eastAsia="Times New Roman" w:hAnsi="Arial" w:cs="Arial"/>
          <w:color w:val="212121"/>
          <w:sz w:val="24"/>
          <w:szCs w:val="24"/>
          <w:lang w:eastAsia="it-IT"/>
        </w:rPr>
      </w:pPr>
      <w:r w:rsidRPr="00BE23CE">
        <w:rPr>
          <w:rFonts w:ascii="Arial" w:eastAsia="Times New Roman" w:hAnsi="Arial" w:cs="Arial"/>
          <w:color w:val="5B616B"/>
          <w:sz w:val="24"/>
          <w:szCs w:val="24"/>
          <w:lang w:eastAsia="it-IT"/>
        </w:rPr>
        <w:t xml:space="preserve">8. </w:t>
      </w:r>
      <w:r w:rsidRPr="00BE23CE">
        <w:rPr>
          <w:rFonts w:ascii="Arial" w:eastAsia="Times New Roman" w:hAnsi="Arial" w:cs="Arial"/>
          <w:color w:val="212121"/>
          <w:sz w:val="24"/>
          <w:szCs w:val="24"/>
          <w:lang w:eastAsia="it-IT"/>
        </w:rPr>
        <w:t xml:space="preserve">Dipartimento di Oncologia </w:t>
      </w:r>
      <w:r>
        <w:rPr>
          <w:rFonts w:ascii="Arial" w:eastAsia="Times New Roman" w:hAnsi="Arial" w:cs="Arial"/>
          <w:color w:val="212121"/>
          <w:sz w:val="24"/>
          <w:szCs w:val="24"/>
          <w:lang w:eastAsia="it-IT"/>
        </w:rPr>
        <w:t>e</w:t>
      </w:r>
      <w:r w:rsidRPr="00BE23CE">
        <w:rPr>
          <w:rFonts w:ascii="Arial" w:eastAsia="Times New Roman" w:hAnsi="Arial" w:cs="Arial"/>
          <w:color w:val="212121"/>
          <w:sz w:val="24"/>
          <w:szCs w:val="24"/>
          <w:lang w:eastAsia="it-IT"/>
        </w:rPr>
        <w:t xml:space="preserve">d </w:t>
      </w:r>
      <w:proofErr w:type="spellStart"/>
      <w:r w:rsidRPr="00BE23CE">
        <w:rPr>
          <w:rFonts w:ascii="Arial" w:eastAsia="Times New Roman" w:hAnsi="Arial" w:cs="Arial"/>
          <w:color w:val="212121"/>
          <w:sz w:val="24"/>
          <w:szCs w:val="24"/>
          <w:lang w:eastAsia="it-IT"/>
        </w:rPr>
        <w:t>Emato-Oncologia</w:t>
      </w:r>
      <w:proofErr w:type="spellEnd"/>
      <w:r w:rsidRPr="00BE23CE">
        <w:rPr>
          <w:rFonts w:ascii="Arial" w:eastAsia="Times New Roman" w:hAnsi="Arial" w:cs="Arial"/>
          <w:color w:val="212121"/>
          <w:sz w:val="24"/>
          <w:szCs w:val="24"/>
          <w:lang w:eastAsia="it-IT"/>
        </w:rPr>
        <w:t>, Università Degli Studi di Milano, Milan, Italy.</w:t>
      </w:r>
    </w:p>
    <w:p w:rsidR="00BB133F" w:rsidRPr="00D22638" w:rsidRDefault="00BB133F" w:rsidP="00BB133F">
      <w:pPr>
        <w:shd w:val="clear" w:color="auto" w:fill="FFFFFF"/>
        <w:rPr>
          <w:rFonts w:ascii="Arial" w:eastAsia="Times New Roman" w:hAnsi="Arial" w:cs="Arial"/>
          <w:color w:val="212121"/>
          <w:sz w:val="24"/>
          <w:szCs w:val="24"/>
          <w:lang w:val="en-GB" w:eastAsia="it-IT"/>
        </w:rPr>
      </w:pPr>
      <w:r w:rsidRPr="00D22638">
        <w:rPr>
          <w:rFonts w:ascii="Arial" w:eastAsia="Times New Roman" w:hAnsi="Arial" w:cs="Arial"/>
          <w:color w:val="212121"/>
          <w:sz w:val="24"/>
          <w:szCs w:val="24"/>
          <w:lang w:val="en-GB" w:eastAsia="it-IT"/>
        </w:rPr>
        <w:t xml:space="preserve">9. </w:t>
      </w:r>
      <w:r w:rsidRPr="00D22638">
        <w:rPr>
          <w:rFonts w:ascii="Arial" w:hAnsi="Arial" w:cs="Arial"/>
          <w:color w:val="212121"/>
          <w:sz w:val="24"/>
          <w:szCs w:val="24"/>
          <w:shd w:val="clear" w:color="auto" w:fill="FFFFFF"/>
          <w:lang w:val="en-GB"/>
        </w:rPr>
        <w:t>Anatomic Pathology Unit, Papa Giovanni XXIII Hospital, Bergamo, Italy.</w:t>
      </w:r>
    </w:p>
    <w:p w:rsidR="00BB133F" w:rsidRPr="00EA62C2" w:rsidRDefault="00BB133F" w:rsidP="00BB133F">
      <w:pPr>
        <w:shd w:val="clear" w:color="auto" w:fill="FFFFFF"/>
        <w:rPr>
          <w:rFonts w:ascii="Arial" w:eastAsia="Times New Roman" w:hAnsi="Arial" w:cs="Arial"/>
          <w:color w:val="212121"/>
          <w:sz w:val="24"/>
          <w:szCs w:val="24"/>
          <w:lang w:val="en-GB" w:eastAsia="it-IT"/>
        </w:rPr>
      </w:pPr>
      <w:r w:rsidRPr="00BE23CE">
        <w:rPr>
          <w:rFonts w:ascii="Arial" w:eastAsia="Times New Roman" w:hAnsi="Arial" w:cs="Arial"/>
          <w:color w:val="212121"/>
          <w:sz w:val="24"/>
          <w:szCs w:val="24"/>
          <w:lang w:val="en-GB" w:eastAsia="it-IT"/>
        </w:rPr>
        <w:t xml:space="preserve">10. </w:t>
      </w:r>
      <w:r w:rsidRPr="00BE23CE">
        <w:rPr>
          <w:rFonts w:ascii="Arial" w:hAnsi="Arial" w:cs="Arial"/>
          <w:color w:val="212121"/>
          <w:sz w:val="24"/>
          <w:szCs w:val="24"/>
          <w:shd w:val="clear" w:color="auto" w:fill="FFFFFF"/>
          <w:lang w:val="en-GB"/>
        </w:rPr>
        <w:t xml:space="preserve">Section of </w:t>
      </w:r>
      <w:proofErr w:type="spellStart"/>
      <w:r w:rsidRPr="00BE23CE">
        <w:rPr>
          <w:rFonts w:ascii="Arial" w:hAnsi="Arial" w:cs="Arial"/>
          <w:color w:val="212121"/>
          <w:sz w:val="24"/>
          <w:szCs w:val="24"/>
          <w:shd w:val="clear" w:color="auto" w:fill="FFFFFF"/>
          <w:lang w:val="en-GB"/>
        </w:rPr>
        <w:t>Hematology</w:t>
      </w:r>
      <w:proofErr w:type="spellEnd"/>
      <w:r w:rsidRPr="00BE23CE">
        <w:rPr>
          <w:rFonts w:ascii="Arial" w:hAnsi="Arial" w:cs="Arial"/>
          <w:color w:val="212121"/>
          <w:sz w:val="24"/>
          <w:szCs w:val="24"/>
          <w:shd w:val="clear" w:color="auto" w:fill="FFFFFF"/>
          <w:lang w:val="en-GB"/>
        </w:rPr>
        <w:t xml:space="preserve">, Department of Radiological and </w:t>
      </w:r>
      <w:proofErr w:type="spellStart"/>
      <w:r w:rsidRPr="00BE23CE">
        <w:rPr>
          <w:rFonts w:ascii="Arial" w:hAnsi="Arial" w:cs="Arial"/>
          <w:color w:val="212121"/>
          <w:sz w:val="24"/>
          <w:szCs w:val="24"/>
          <w:shd w:val="clear" w:color="auto" w:fill="FFFFFF"/>
          <w:lang w:val="en-GB"/>
        </w:rPr>
        <w:t>Hematological</w:t>
      </w:r>
      <w:proofErr w:type="spellEnd"/>
      <w:r w:rsidRPr="00BE23CE">
        <w:rPr>
          <w:rFonts w:ascii="Arial" w:hAnsi="Arial" w:cs="Arial"/>
          <w:color w:val="212121"/>
          <w:sz w:val="24"/>
          <w:szCs w:val="24"/>
          <w:shd w:val="clear" w:color="auto" w:fill="FFFFFF"/>
          <w:lang w:val="en-GB"/>
        </w:rPr>
        <w:t xml:space="preserve"> Sciences, Catholic University, </w:t>
      </w:r>
      <w:r w:rsidRPr="00EA62C2">
        <w:rPr>
          <w:rFonts w:ascii="Arial" w:hAnsi="Arial" w:cs="Arial"/>
          <w:color w:val="212121"/>
          <w:sz w:val="24"/>
          <w:szCs w:val="24"/>
          <w:shd w:val="clear" w:color="auto" w:fill="FFFFFF"/>
          <w:lang w:val="en-GB"/>
        </w:rPr>
        <w:t>Rome, Italy.</w:t>
      </w:r>
    </w:p>
    <w:p w:rsidR="00BB133F" w:rsidRPr="00EA62C2" w:rsidRDefault="00BB133F" w:rsidP="00BB133F">
      <w:pPr>
        <w:shd w:val="clear" w:color="auto" w:fill="FFFFFF"/>
        <w:rPr>
          <w:rFonts w:ascii="Arial" w:hAnsi="Arial" w:cs="Arial"/>
          <w:color w:val="212121"/>
          <w:sz w:val="24"/>
          <w:szCs w:val="24"/>
          <w:shd w:val="clear" w:color="auto" w:fill="FFFFFF"/>
        </w:rPr>
      </w:pPr>
      <w:r w:rsidRPr="00EA62C2">
        <w:rPr>
          <w:rFonts w:ascii="Arial" w:eastAsia="Times New Roman" w:hAnsi="Arial" w:cs="Arial"/>
          <w:color w:val="212121"/>
          <w:sz w:val="24"/>
          <w:szCs w:val="24"/>
          <w:lang w:eastAsia="it-IT"/>
        </w:rPr>
        <w:t>11.</w:t>
      </w:r>
      <w:r w:rsidRPr="00EA62C2">
        <w:rPr>
          <w:rFonts w:ascii="Arial" w:hAnsi="Arial" w:cs="Arial"/>
          <w:color w:val="212121"/>
          <w:sz w:val="24"/>
          <w:szCs w:val="24"/>
          <w:shd w:val="clear" w:color="auto" w:fill="FFFFFF"/>
        </w:rPr>
        <w:t xml:space="preserve"> </w:t>
      </w:r>
      <w:proofErr w:type="spellStart"/>
      <w:r w:rsidRPr="00EA62C2">
        <w:rPr>
          <w:rFonts w:ascii="Arial" w:hAnsi="Arial" w:cs="Arial"/>
          <w:color w:val="212121"/>
          <w:sz w:val="24"/>
          <w:szCs w:val="24"/>
          <w:shd w:val="clear" w:color="auto" w:fill="FFFFFF"/>
        </w:rPr>
        <w:t>Division</w:t>
      </w:r>
      <w:proofErr w:type="spellEnd"/>
      <w:r w:rsidRPr="00EA62C2">
        <w:rPr>
          <w:rFonts w:ascii="Arial" w:hAnsi="Arial" w:cs="Arial"/>
          <w:color w:val="212121"/>
          <w:sz w:val="24"/>
          <w:szCs w:val="24"/>
          <w:shd w:val="clear" w:color="auto" w:fill="FFFFFF"/>
        </w:rPr>
        <w:t xml:space="preserve"> </w:t>
      </w:r>
      <w:proofErr w:type="spellStart"/>
      <w:r w:rsidRPr="00EA62C2">
        <w:rPr>
          <w:rFonts w:ascii="Arial" w:hAnsi="Arial" w:cs="Arial"/>
          <w:color w:val="212121"/>
          <w:sz w:val="24"/>
          <w:szCs w:val="24"/>
          <w:shd w:val="clear" w:color="auto" w:fill="FFFFFF"/>
        </w:rPr>
        <w:t>of</w:t>
      </w:r>
      <w:proofErr w:type="spellEnd"/>
      <w:r w:rsidRPr="00EA62C2">
        <w:rPr>
          <w:rFonts w:ascii="Arial" w:hAnsi="Arial" w:cs="Arial"/>
          <w:color w:val="212121"/>
          <w:sz w:val="24"/>
          <w:szCs w:val="24"/>
          <w:shd w:val="clear" w:color="auto" w:fill="FFFFFF"/>
        </w:rPr>
        <w:t xml:space="preserve"> </w:t>
      </w:r>
      <w:proofErr w:type="spellStart"/>
      <w:r>
        <w:rPr>
          <w:rFonts w:ascii="Arial" w:hAnsi="Arial" w:cs="Arial"/>
          <w:color w:val="212121"/>
          <w:sz w:val="24"/>
          <w:szCs w:val="24"/>
          <w:shd w:val="clear" w:color="auto" w:fill="FFFFFF"/>
        </w:rPr>
        <w:t>Molecular</w:t>
      </w:r>
      <w:proofErr w:type="spellEnd"/>
      <w:r>
        <w:rPr>
          <w:rFonts w:ascii="Arial" w:hAnsi="Arial" w:cs="Arial"/>
          <w:color w:val="212121"/>
          <w:sz w:val="24"/>
          <w:szCs w:val="24"/>
          <w:shd w:val="clear" w:color="auto" w:fill="FFFFFF"/>
        </w:rPr>
        <w:t xml:space="preserve"> </w:t>
      </w:r>
      <w:proofErr w:type="spellStart"/>
      <w:r w:rsidRPr="00EA62C2">
        <w:rPr>
          <w:rFonts w:ascii="Arial" w:hAnsi="Arial" w:cs="Arial"/>
          <w:color w:val="212121"/>
          <w:sz w:val="24"/>
          <w:szCs w:val="24"/>
          <w:shd w:val="clear" w:color="auto" w:fill="FFFFFF"/>
        </w:rPr>
        <w:t>Hematology</w:t>
      </w:r>
      <w:proofErr w:type="spellEnd"/>
      <w:r>
        <w:rPr>
          <w:rFonts w:ascii="Arial" w:hAnsi="Arial" w:cs="Arial"/>
          <w:color w:val="212121"/>
          <w:sz w:val="24"/>
          <w:szCs w:val="24"/>
          <w:shd w:val="clear" w:color="auto" w:fill="FFFFFF"/>
        </w:rPr>
        <w:t xml:space="preserve"> and </w:t>
      </w:r>
      <w:proofErr w:type="spellStart"/>
      <w:r>
        <w:rPr>
          <w:rFonts w:ascii="Arial" w:hAnsi="Arial" w:cs="Arial"/>
          <w:color w:val="212121"/>
          <w:sz w:val="24"/>
          <w:szCs w:val="24"/>
          <w:shd w:val="clear" w:color="auto" w:fill="FFFFFF"/>
        </w:rPr>
        <w:t>Precision</w:t>
      </w:r>
      <w:proofErr w:type="spellEnd"/>
      <w:r>
        <w:rPr>
          <w:rFonts w:ascii="Arial" w:hAnsi="Arial" w:cs="Arial"/>
          <w:color w:val="212121"/>
          <w:sz w:val="24"/>
          <w:szCs w:val="24"/>
          <w:shd w:val="clear" w:color="auto" w:fill="FFFFFF"/>
        </w:rPr>
        <w:t xml:space="preserve"> Medicine</w:t>
      </w:r>
      <w:r w:rsidRPr="00EA62C2">
        <w:rPr>
          <w:rFonts w:ascii="Arial" w:hAnsi="Arial" w:cs="Arial"/>
          <w:color w:val="212121"/>
          <w:sz w:val="24"/>
          <w:szCs w:val="24"/>
          <w:shd w:val="clear" w:color="auto" w:fill="FFFFFF"/>
        </w:rPr>
        <w:t xml:space="preserve">,  Fondazione Istituto di Ricovero e Cura a Carattere Scientifico Policlinico San Matteo and </w:t>
      </w:r>
      <w:proofErr w:type="spellStart"/>
      <w:r w:rsidRPr="00EA62C2">
        <w:rPr>
          <w:rFonts w:ascii="Arial" w:hAnsi="Arial" w:cs="Arial"/>
          <w:color w:val="212121"/>
          <w:sz w:val="24"/>
          <w:szCs w:val="24"/>
          <w:shd w:val="clear" w:color="auto" w:fill="FFFFFF"/>
        </w:rPr>
        <w:t>University</w:t>
      </w:r>
      <w:proofErr w:type="spellEnd"/>
      <w:r w:rsidRPr="00EA62C2">
        <w:rPr>
          <w:rFonts w:ascii="Arial" w:hAnsi="Arial" w:cs="Arial"/>
          <w:color w:val="212121"/>
          <w:sz w:val="24"/>
          <w:szCs w:val="24"/>
          <w:shd w:val="clear" w:color="auto" w:fill="FFFFFF"/>
        </w:rPr>
        <w:t xml:space="preserve"> </w:t>
      </w:r>
      <w:proofErr w:type="spellStart"/>
      <w:r w:rsidRPr="00EA62C2">
        <w:rPr>
          <w:rFonts w:ascii="Arial" w:hAnsi="Arial" w:cs="Arial"/>
          <w:color w:val="212121"/>
          <w:sz w:val="24"/>
          <w:szCs w:val="24"/>
          <w:shd w:val="clear" w:color="auto" w:fill="FFFFFF"/>
        </w:rPr>
        <w:t>of</w:t>
      </w:r>
      <w:proofErr w:type="spellEnd"/>
      <w:r w:rsidRPr="00EA62C2">
        <w:rPr>
          <w:rFonts w:ascii="Arial" w:hAnsi="Arial" w:cs="Arial"/>
          <w:color w:val="212121"/>
          <w:sz w:val="24"/>
          <w:szCs w:val="24"/>
          <w:shd w:val="clear" w:color="auto" w:fill="FFFFFF"/>
        </w:rPr>
        <w:t xml:space="preserve"> Pavia, Pavia, Italy.</w:t>
      </w:r>
    </w:p>
    <w:p w:rsidR="00BB133F" w:rsidRDefault="00BB133F" w:rsidP="00BB133F">
      <w:pPr>
        <w:shd w:val="clear" w:color="auto" w:fill="FFFFFF"/>
        <w:rPr>
          <w:rFonts w:ascii="Arial" w:hAnsi="Arial" w:cs="Arial"/>
          <w:color w:val="212121"/>
          <w:sz w:val="24"/>
          <w:szCs w:val="24"/>
          <w:shd w:val="clear" w:color="auto" w:fill="FFFFFF"/>
          <w:lang w:val="en-GB"/>
        </w:rPr>
      </w:pPr>
      <w:r w:rsidRPr="00EA62C2">
        <w:rPr>
          <w:rFonts w:ascii="Arial" w:hAnsi="Arial" w:cs="Arial"/>
          <w:color w:val="212121"/>
          <w:sz w:val="24"/>
          <w:szCs w:val="24"/>
          <w:shd w:val="clear" w:color="auto" w:fill="FFFFFF"/>
          <w:lang w:val="en-GB"/>
        </w:rPr>
        <w:t>12. Centre for Haematology</w:t>
      </w:r>
      <w:r w:rsidRPr="00BE23CE">
        <w:rPr>
          <w:rFonts w:ascii="Arial" w:hAnsi="Arial" w:cs="Arial"/>
          <w:color w:val="212121"/>
          <w:sz w:val="24"/>
          <w:szCs w:val="24"/>
          <w:shd w:val="clear" w:color="auto" w:fill="FFFFFF"/>
          <w:lang w:val="en-GB"/>
        </w:rPr>
        <w:t>, Department of Immunology and Inflammation, Imperial College of Science, Technology and Medicine, London, UK.</w:t>
      </w:r>
    </w:p>
    <w:p w:rsidR="00BB133F" w:rsidRDefault="00BB133F" w:rsidP="00BB133F">
      <w:pPr>
        <w:rPr>
          <w:rFonts w:ascii="Arial" w:hAnsi="Arial" w:cs="Arial"/>
          <w:color w:val="212121"/>
          <w:sz w:val="24"/>
          <w:szCs w:val="24"/>
          <w:shd w:val="clear" w:color="auto" w:fill="FFFFFF"/>
          <w:lang w:val="en-GB"/>
        </w:rPr>
      </w:pPr>
      <w:r>
        <w:rPr>
          <w:rFonts w:ascii="Arial" w:hAnsi="Arial" w:cs="Arial"/>
          <w:color w:val="212121"/>
          <w:sz w:val="24"/>
          <w:szCs w:val="24"/>
          <w:shd w:val="clear" w:color="auto" w:fill="FFFFFF"/>
          <w:lang w:val="en-GB"/>
        </w:rPr>
        <w:br w:type="page"/>
      </w:r>
    </w:p>
    <w:p w:rsidR="00510060" w:rsidRDefault="00510060" w:rsidP="00BB133F">
      <w:pPr>
        <w:rPr>
          <w:rFonts w:ascii="Arial" w:hAnsi="Arial" w:cs="Arial"/>
          <w:b/>
          <w:bCs/>
          <w:sz w:val="24"/>
          <w:szCs w:val="24"/>
          <w:lang w:val="en-GB"/>
        </w:rPr>
      </w:pPr>
      <w:r>
        <w:rPr>
          <w:rFonts w:ascii="Arial" w:hAnsi="Arial" w:cs="Arial"/>
          <w:b/>
          <w:bCs/>
          <w:sz w:val="24"/>
          <w:szCs w:val="24"/>
          <w:lang w:val="en-GB"/>
        </w:rPr>
        <w:lastRenderedPageBreak/>
        <w:t>Index:</w:t>
      </w:r>
    </w:p>
    <w:p w:rsidR="00510060" w:rsidRDefault="00510060" w:rsidP="00BB133F">
      <w:pPr>
        <w:rPr>
          <w:rFonts w:ascii="Arial" w:hAnsi="Arial" w:cs="Arial"/>
          <w:bCs/>
          <w:sz w:val="24"/>
          <w:szCs w:val="24"/>
          <w:lang w:val="en-GB"/>
        </w:rPr>
      </w:pPr>
      <w:r w:rsidRPr="00510060">
        <w:rPr>
          <w:rFonts w:ascii="Arial" w:hAnsi="Arial" w:cs="Arial"/>
          <w:bCs/>
          <w:sz w:val="24"/>
          <w:szCs w:val="24"/>
          <w:lang w:val="en-GB"/>
        </w:rPr>
        <w:t xml:space="preserve">Supplemental </w:t>
      </w:r>
      <w:r>
        <w:rPr>
          <w:rFonts w:ascii="Arial" w:hAnsi="Arial" w:cs="Arial"/>
          <w:bCs/>
          <w:sz w:val="24"/>
          <w:szCs w:val="24"/>
          <w:lang w:val="en-GB"/>
        </w:rPr>
        <w:t>M</w:t>
      </w:r>
      <w:r w:rsidRPr="00510060">
        <w:rPr>
          <w:rFonts w:ascii="Arial" w:hAnsi="Arial" w:cs="Arial"/>
          <w:bCs/>
          <w:sz w:val="24"/>
          <w:szCs w:val="24"/>
          <w:lang w:val="en-GB"/>
        </w:rPr>
        <w:t xml:space="preserve">ethods </w:t>
      </w:r>
      <w:r w:rsidRPr="00510060">
        <w:rPr>
          <w:rFonts w:ascii="Arial" w:hAnsi="Arial" w:cs="Arial"/>
          <w:bCs/>
          <w:sz w:val="24"/>
          <w:szCs w:val="24"/>
          <w:lang w:val="en-GB"/>
        </w:rPr>
        <w:tab/>
      </w:r>
      <w:r w:rsidRPr="00510060">
        <w:rPr>
          <w:rFonts w:ascii="Arial" w:hAnsi="Arial" w:cs="Arial"/>
          <w:bCs/>
          <w:sz w:val="24"/>
          <w:szCs w:val="24"/>
          <w:lang w:val="en-GB"/>
        </w:rPr>
        <w:tab/>
      </w:r>
      <w:r w:rsidRPr="00510060">
        <w:rPr>
          <w:rFonts w:ascii="Arial" w:hAnsi="Arial" w:cs="Arial"/>
          <w:bCs/>
          <w:sz w:val="24"/>
          <w:szCs w:val="24"/>
          <w:lang w:val="en-GB"/>
        </w:rPr>
        <w:tab/>
      </w:r>
      <w:r w:rsidRPr="00510060">
        <w:rPr>
          <w:rFonts w:ascii="Arial" w:hAnsi="Arial" w:cs="Arial"/>
          <w:bCs/>
          <w:sz w:val="24"/>
          <w:szCs w:val="24"/>
          <w:lang w:val="en-GB"/>
        </w:rPr>
        <w:tab/>
      </w:r>
      <w:r w:rsidRPr="00510060">
        <w:rPr>
          <w:rFonts w:ascii="Arial" w:hAnsi="Arial" w:cs="Arial"/>
          <w:bCs/>
          <w:sz w:val="24"/>
          <w:szCs w:val="24"/>
          <w:lang w:val="en-GB"/>
        </w:rPr>
        <w:tab/>
        <w:t>page 3</w:t>
      </w:r>
    </w:p>
    <w:p w:rsidR="00510060" w:rsidRDefault="00510060" w:rsidP="00BB133F">
      <w:pPr>
        <w:rPr>
          <w:rFonts w:ascii="Arial" w:hAnsi="Arial" w:cs="Arial"/>
          <w:bCs/>
          <w:sz w:val="24"/>
          <w:szCs w:val="24"/>
          <w:lang w:val="en-GB"/>
        </w:rPr>
      </w:pPr>
      <w:r>
        <w:rPr>
          <w:rFonts w:ascii="Arial" w:hAnsi="Arial" w:cs="Arial"/>
          <w:bCs/>
          <w:sz w:val="24"/>
          <w:szCs w:val="24"/>
          <w:lang w:val="en-GB"/>
        </w:rPr>
        <w:t>Supplemental Table 1</w:t>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page 5</w:t>
      </w:r>
    </w:p>
    <w:p w:rsidR="00510060" w:rsidRDefault="00510060" w:rsidP="00BB133F">
      <w:pPr>
        <w:rPr>
          <w:rFonts w:ascii="Arial" w:hAnsi="Arial" w:cs="Arial"/>
          <w:bCs/>
          <w:sz w:val="24"/>
          <w:szCs w:val="24"/>
          <w:lang w:val="en-GB"/>
        </w:rPr>
      </w:pPr>
      <w:r>
        <w:rPr>
          <w:rFonts w:ascii="Arial" w:hAnsi="Arial" w:cs="Arial"/>
          <w:bCs/>
          <w:sz w:val="24"/>
          <w:szCs w:val="24"/>
          <w:lang w:val="en-GB"/>
        </w:rPr>
        <w:t>Supplemental Table 2</w:t>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page 8</w:t>
      </w:r>
    </w:p>
    <w:p w:rsidR="00510060" w:rsidRDefault="00510060" w:rsidP="00BB133F">
      <w:pPr>
        <w:rPr>
          <w:rFonts w:ascii="Arial" w:hAnsi="Arial" w:cs="Arial"/>
          <w:bCs/>
          <w:sz w:val="24"/>
          <w:szCs w:val="24"/>
          <w:lang w:val="en-GB"/>
        </w:rPr>
      </w:pPr>
      <w:r>
        <w:rPr>
          <w:rFonts w:ascii="Arial" w:hAnsi="Arial" w:cs="Arial"/>
          <w:bCs/>
          <w:sz w:val="24"/>
          <w:szCs w:val="24"/>
          <w:lang w:val="en-GB"/>
        </w:rPr>
        <w:t>Supplemental Table 3</w:t>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page 9</w:t>
      </w:r>
    </w:p>
    <w:p w:rsidR="00510060" w:rsidRPr="00510060" w:rsidRDefault="00510060" w:rsidP="00BB133F">
      <w:pPr>
        <w:rPr>
          <w:rFonts w:ascii="Arial" w:hAnsi="Arial" w:cs="Arial"/>
          <w:bCs/>
          <w:sz w:val="24"/>
          <w:szCs w:val="24"/>
          <w:lang w:val="en-GB"/>
        </w:rPr>
      </w:pPr>
      <w:r>
        <w:rPr>
          <w:rFonts w:ascii="Arial" w:hAnsi="Arial" w:cs="Arial"/>
          <w:bCs/>
          <w:sz w:val="24"/>
          <w:szCs w:val="24"/>
          <w:lang w:val="en-GB"/>
        </w:rPr>
        <w:t>Supplemental Table 4</w:t>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r>
      <w:r>
        <w:rPr>
          <w:rFonts w:ascii="Arial" w:hAnsi="Arial" w:cs="Arial"/>
          <w:bCs/>
          <w:sz w:val="24"/>
          <w:szCs w:val="24"/>
          <w:lang w:val="en-GB"/>
        </w:rPr>
        <w:tab/>
        <w:t>page 10</w:t>
      </w:r>
    </w:p>
    <w:p w:rsidR="00510060" w:rsidRDefault="00510060">
      <w:pPr>
        <w:rPr>
          <w:rFonts w:ascii="Arial" w:hAnsi="Arial" w:cs="Arial"/>
          <w:b/>
          <w:bCs/>
          <w:sz w:val="24"/>
          <w:szCs w:val="24"/>
          <w:lang w:val="en-GB"/>
        </w:rPr>
      </w:pPr>
      <w:r>
        <w:rPr>
          <w:rFonts w:ascii="Arial" w:hAnsi="Arial" w:cs="Arial"/>
          <w:b/>
          <w:bCs/>
          <w:sz w:val="24"/>
          <w:szCs w:val="24"/>
          <w:lang w:val="en-GB"/>
        </w:rPr>
        <w:br w:type="page"/>
      </w:r>
    </w:p>
    <w:p w:rsidR="00BB133F" w:rsidRPr="003A11C5" w:rsidRDefault="00BB133F" w:rsidP="00BB133F">
      <w:pPr>
        <w:rPr>
          <w:rFonts w:ascii="Arial" w:hAnsi="Arial" w:cs="Arial"/>
          <w:b/>
          <w:bCs/>
          <w:sz w:val="24"/>
          <w:szCs w:val="24"/>
          <w:lang w:val="en-GB"/>
        </w:rPr>
      </w:pPr>
      <w:r w:rsidRPr="003A11C5">
        <w:rPr>
          <w:rFonts w:ascii="Arial" w:hAnsi="Arial" w:cs="Arial"/>
          <w:b/>
          <w:bCs/>
          <w:sz w:val="24"/>
          <w:szCs w:val="24"/>
          <w:lang w:val="en-GB"/>
        </w:rPr>
        <w:lastRenderedPageBreak/>
        <w:t>Supplemental Methods</w:t>
      </w:r>
    </w:p>
    <w:p w:rsidR="00BB133F" w:rsidRPr="003A11C5" w:rsidRDefault="00BB133F" w:rsidP="00BB133F">
      <w:pPr>
        <w:rPr>
          <w:rFonts w:ascii="Arial" w:hAnsi="Arial" w:cs="Arial"/>
          <w:b/>
          <w:bCs/>
          <w:sz w:val="24"/>
          <w:szCs w:val="24"/>
          <w:lang w:val="en-GB"/>
        </w:rPr>
      </w:pPr>
    </w:p>
    <w:p w:rsidR="00BB133F" w:rsidRPr="00510060" w:rsidRDefault="00BB133F" w:rsidP="00BB133F">
      <w:pPr>
        <w:rPr>
          <w:rFonts w:ascii="Arial" w:hAnsi="Arial" w:cs="Arial"/>
          <w:bCs/>
          <w:i/>
          <w:sz w:val="24"/>
          <w:szCs w:val="24"/>
          <w:lang w:val="en-GB"/>
        </w:rPr>
      </w:pPr>
      <w:r w:rsidRPr="00510060">
        <w:rPr>
          <w:rFonts w:ascii="Arial" w:hAnsi="Arial" w:cs="Arial"/>
          <w:bCs/>
          <w:i/>
          <w:sz w:val="24"/>
          <w:szCs w:val="24"/>
          <w:lang w:val="en-GB"/>
        </w:rPr>
        <w:t>Genomic profiling</w:t>
      </w:r>
    </w:p>
    <w:p w:rsidR="00BB133F" w:rsidRPr="003A11C5" w:rsidRDefault="00BB133F" w:rsidP="00BB133F">
      <w:pPr>
        <w:rPr>
          <w:rFonts w:ascii="Arial" w:hAnsi="Arial" w:cs="Arial"/>
          <w:sz w:val="24"/>
          <w:szCs w:val="24"/>
          <w:lang w:val="en-GB"/>
        </w:rPr>
      </w:pPr>
      <w:r w:rsidRPr="003A11C5">
        <w:rPr>
          <w:rFonts w:ascii="Arial" w:hAnsi="Arial" w:cs="Arial"/>
          <w:sz w:val="24"/>
          <w:szCs w:val="24"/>
          <w:lang w:val="en-GB"/>
        </w:rPr>
        <w:t xml:space="preserve">Screening for myeloid cancer associated mutations was performed using </w:t>
      </w:r>
      <w:proofErr w:type="spellStart"/>
      <w:r w:rsidRPr="003A11C5">
        <w:rPr>
          <w:rFonts w:ascii="Arial" w:hAnsi="Arial" w:cs="Arial"/>
          <w:sz w:val="24"/>
          <w:szCs w:val="24"/>
          <w:lang w:val="en-GB"/>
        </w:rPr>
        <w:t>oncoReveal</w:t>
      </w:r>
      <w:proofErr w:type="spellEnd"/>
      <w:r w:rsidRPr="003A11C5">
        <w:rPr>
          <w:rFonts w:ascii="Arial" w:hAnsi="Arial" w:cs="Arial"/>
          <w:sz w:val="24"/>
          <w:szCs w:val="24"/>
          <w:lang w:val="en-GB"/>
        </w:rPr>
        <w:t xml:space="preserve"> Myeloid Panel (Pillar Biosciences, MA, USA) an </w:t>
      </w:r>
      <w:proofErr w:type="spellStart"/>
      <w:r w:rsidRPr="003A11C5">
        <w:rPr>
          <w:rFonts w:ascii="Arial" w:hAnsi="Arial" w:cs="Arial"/>
          <w:sz w:val="24"/>
          <w:szCs w:val="24"/>
          <w:lang w:val="en-GB"/>
        </w:rPr>
        <w:t>amplicon</w:t>
      </w:r>
      <w:proofErr w:type="spellEnd"/>
      <w:r w:rsidRPr="003A11C5">
        <w:rPr>
          <w:rFonts w:ascii="Arial" w:hAnsi="Arial" w:cs="Arial"/>
          <w:sz w:val="24"/>
          <w:szCs w:val="24"/>
          <w:lang w:val="en-GB"/>
        </w:rPr>
        <w:t xml:space="preserve">-based library preparation chemistry that interrogates genes recurrently mutated in myeloid </w:t>
      </w:r>
      <w:proofErr w:type="spellStart"/>
      <w:r w:rsidRPr="003A11C5">
        <w:rPr>
          <w:rFonts w:ascii="Arial" w:hAnsi="Arial" w:cs="Arial"/>
          <w:sz w:val="24"/>
          <w:szCs w:val="24"/>
          <w:lang w:val="en-GB"/>
        </w:rPr>
        <w:t>neoplasms</w:t>
      </w:r>
      <w:proofErr w:type="spellEnd"/>
      <w:r w:rsidRPr="003A11C5">
        <w:rPr>
          <w:rFonts w:ascii="Arial" w:hAnsi="Arial" w:cs="Arial"/>
          <w:sz w:val="24"/>
          <w:szCs w:val="24"/>
          <w:lang w:val="en-GB"/>
        </w:rPr>
        <w:t>. We focused on a core panel of 45 genes (ANKRD26 (</w:t>
      </w:r>
      <w:proofErr w:type="spellStart"/>
      <w:r w:rsidRPr="003A11C5">
        <w:rPr>
          <w:rFonts w:ascii="Arial" w:hAnsi="Arial" w:cs="Arial"/>
          <w:sz w:val="24"/>
          <w:szCs w:val="24"/>
          <w:lang w:val="en-GB"/>
        </w:rPr>
        <w:t>exon</w:t>
      </w:r>
      <w:proofErr w:type="spellEnd"/>
      <w:r w:rsidRPr="003A11C5">
        <w:rPr>
          <w:rFonts w:ascii="Arial" w:hAnsi="Arial" w:cs="Arial"/>
          <w:sz w:val="24"/>
          <w:szCs w:val="24"/>
          <w:lang w:val="en-GB"/>
        </w:rPr>
        <w:t xml:space="preserve"> 1), ASXL1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12-13), BCOR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2-15), BCORL1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1-12), CALR (</w:t>
      </w:r>
      <w:proofErr w:type="spellStart"/>
      <w:r w:rsidRPr="003A11C5">
        <w:rPr>
          <w:rFonts w:ascii="Arial" w:hAnsi="Arial" w:cs="Arial"/>
          <w:sz w:val="24"/>
          <w:szCs w:val="24"/>
          <w:lang w:val="en-GB"/>
        </w:rPr>
        <w:t>chr</w:t>
      </w:r>
      <w:proofErr w:type="spellEnd"/>
      <w:r w:rsidRPr="003A11C5">
        <w:rPr>
          <w:rFonts w:ascii="Arial" w:hAnsi="Arial" w:cs="Arial"/>
          <w:sz w:val="24"/>
          <w:szCs w:val="24"/>
          <w:lang w:val="en-GB"/>
        </w:rPr>
        <w:t xml:space="preserve"> 19: g.13054521-13054710), CBL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1-3, 5, 8-10, 12-13, 16), CEBPA (</w:t>
      </w:r>
      <w:proofErr w:type="spellStart"/>
      <w:r w:rsidRPr="003A11C5">
        <w:rPr>
          <w:rFonts w:ascii="Arial" w:hAnsi="Arial" w:cs="Arial"/>
          <w:sz w:val="24"/>
          <w:szCs w:val="24"/>
          <w:lang w:val="en-GB"/>
        </w:rPr>
        <w:t>exon</w:t>
      </w:r>
      <w:proofErr w:type="spellEnd"/>
      <w:r w:rsidRPr="003A11C5">
        <w:rPr>
          <w:rFonts w:ascii="Arial" w:hAnsi="Arial" w:cs="Arial"/>
          <w:sz w:val="24"/>
          <w:szCs w:val="24"/>
          <w:lang w:val="en-GB"/>
        </w:rPr>
        <w:t xml:space="preserve"> 1), CSF3R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14-16), CUX1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1-5, 9-10, 12, 17, 20-21, 24), DDX41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 3, 5-6, 8, 10-11, 14-15), DNMT3A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1-23), ETNK1 (</w:t>
      </w:r>
      <w:proofErr w:type="spellStart"/>
      <w:r w:rsidRPr="003A11C5">
        <w:rPr>
          <w:rFonts w:ascii="Arial" w:hAnsi="Arial" w:cs="Arial"/>
          <w:sz w:val="24"/>
          <w:szCs w:val="24"/>
          <w:lang w:val="en-GB"/>
        </w:rPr>
        <w:t>exon</w:t>
      </w:r>
      <w:proofErr w:type="spellEnd"/>
      <w:r w:rsidRPr="003A11C5">
        <w:rPr>
          <w:rFonts w:ascii="Arial" w:hAnsi="Arial" w:cs="Arial"/>
          <w:sz w:val="24"/>
          <w:szCs w:val="24"/>
          <w:lang w:val="en-GB"/>
        </w:rPr>
        <w:t xml:space="preserve"> 3), ETV6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1-8), EZH2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2-20), FLT3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14, 20), GATA2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3-7), GNAS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8-9), HRAS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2-3), IDH1 (</w:t>
      </w:r>
      <w:proofErr w:type="spellStart"/>
      <w:r w:rsidRPr="003A11C5">
        <w:rPr>
          <w:rFonts w:ascii="Arial" w:hAnsi="Arial" w:cs="Arial"/>
          <w:sz w:val="24"/>
          <w:szCs w:val="24"/>
          <w:lang w:val="en-GB"/>
        </w:rPr>
        <w:t>exon</w:t>
      </w:r>
      <w:proofErr w:type="spellEnd"/>
      <w:r w:rsidRPr="003A11C5">
        <w:rPr>
          <w:rFonts w:ascii="Arial" w:hAnsi="Arial" w:cs="Arial"/>
          <w:sz w:val="24"/>
          <w:szCs w:val="24"/>
          <w:lang w:val="en-GB"/>
        </w:rPr>
        <w:t xml:space="preserve"> 4), IDH2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4, 6), JAK2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12-15), KIT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 8-11, 13-15, 17-18), KMT2A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1-11, 27, 31, 35), KRAS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2-4), MPL (</w:t>
      </w:r>
      <w:proofErr w:type="spellStart"/>
      <w:r w:rsidRPr="003A11C5">
        <w:rPr>
          <w:rFonts w:ascii="Arial" w:hAnsi="Arial" w:cs="Arial"/>
          <w:sz w:val="24"/>
          <w:szCs w:val="24"/>
          <w:lang w:val="en-GB"/>
        </w:rPr>
        <w:t>exon</w:t>
      </w:r>
      <w:proofErr w:type="spellEnd"/>
      <w:r w:rsidRPr="003A11C5">
        <w:rPr>
          <w:rFonts w:ascii="Arial" w:hAnsi="Arial" w:cs="Arial"/>
          <w:sz w:val="24"/>
          <w:szCs w:val="24"/>
          <w:lang w:val="en-GB"/>
        </w:rPr>
        <w:t xml:space="preserve"> 10), NF1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1-4, 6, 12, 30, 37-39, 41, 45, 49, 52, 58), NPM1 (</w:t>
      </w:r>
      <w:proofErr w:type="spellStart"/>
      <w:r w:rsidRPr="003A11C5">
        <w:rPr>
          <w:rFonts w:ascii="Arial" w:hAnsi="Arial" w:cs="Arial"/>
          <w:sz w:val="24"/>
          <w:szCs w:val="24"/>
          <w:lang w:val="en-GB"/>
        </w:rPr>
        <w:t>exon</w:t>
      </w:r>
      <w:proofErr w:type="spellEnd"/>
      <w:r w:rsidRPr="003A11C5">
        <w:rPr>
          <w:rFonts w:ascii="Arial" w:hAnsi="Arial" w:cs="Arial"/>
          <w:sz w:val="24"/>
          <w:szCs w:val="24"/>
          <w:lang w:val="en-GB"/>
        </w:rPr>
        <w:t xml:space="preserve"> 11), NRAS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2-4), PDGFRA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12, 14-15, 18), PHF6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2-10), PIGA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2-6), PPM1D (</w:t>
      </w:r>
      <w:proofErr w:type="spellStart"/>
      <w:r w:rsidRPr="003A11C5">
        <w:rPr>
          <w:rFonts w:ascii="Arial" w:hAnsi="Arial" w:cs="Arial"/>
          <w:sz w:val="24"/>
          <w:szCs w:val="24"/>
          <w:lang w:val="en-GB"/>
        </w:rPr>
        <w:t>exon</w:t>
      </w:r>
      <w:proofErr w:type="spellEnd"/>
      <w:r w:rsidRPr="003A11C5">
        <w:rPr>
          <w:rFonts w:ascii="Arial" w:hAnsi="Arial" w:cs="Arial"/>
          <w:sz w:val="24"/>
          <w:szCs w:val="24"/>
          <w:lang w:val="en-GB"/>
        </w:rPr>
        <w:t xml:space="preserve"> 6), PTEN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5, 7), PTPN11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3, 13), RAD21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2-14), RUNX1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2-9), SETBP1 (</w:t>
      </w:r>
      <w:proofErr w:type="spellStart"/>
      <w:r w:rsidRPr="003A11C5">
        <w:rPr>
          <w:rFonts w:ascii="Arial" w:hAnsi="Arial" w:cs="Arial"/>
          <w:sz w:val="24"/>
          <w:szCs w:val="24"/>
          <w:lang w:val="en-GB"/>
        </w:rPr>
        <w:t>exon</w:t>
      </w:r>
      <w:proofErr w:type="spellEnd"/>
      <w:r w:rsidRPr="003A11C5">
        <w:rPr>
          <w:rFonts w:ascii="Arial" w:hAnsi="Arial" w:cs="Arial"/>
          <w:sz w:val="24"/>
          <w:szCs w:val="24"/>
          <w:lang w:val="en-GB"/>
        </w:rPr>
        <w:t xml:space="preserve"> 4), SF3B1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13-16), SRSF2 (</w:t>
      </w:r>
      <w:proofErr w:type="spellStart"/>
      <w:r w:rsidRPr="003A11C5">
        <w:rPr>
          <w:rFonts w:ascii="Arial" w:hAnsi="Arial" w:cs="Arial"/>
          <w:sz w:val="24"/>
          <w:szCs w:val="24"/>
          <w:lang w:val="en-GB"/>
        </w:rPr>
        <w:t>exon</w:t>
      </w:r>
      <w:proofErr w:type="spellEnd"/>
      <w:r w:rsidRPr="003A11C5">
        <w:rPr>
          <w:rFonts w:ascii="Arial" w:hAnsi="Arial" w:cs="Arial"/>
          <w:sz w:val="24"/>
          <w:szCs w:val="24"/>
          <w:lang w:val="en-GB"/>
        </w:rPr>
        <w:t xml:space="preserve"> 1), STAG2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3-35), TET2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3-11), TP53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2-11), U2AF1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1-3, 5-6, 8), WT1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1-10), ZRSR2 (</w:t>
      </w:r>
      <w:proofErr w:type="spellStart"/>
      <w:r w:rsidRPr="003A11C5">
        <w:rPr>
          <w:rFonts w:ascii="Arial" w:hAnsi="Arial" w:cs="Arial"/>
          <w:sz w:val="24"/>
          <w:szCs w:val="24"/>
          <w:lang w:val="en-GB"/>
        </w:rPr>
        <w:t>exons</w:t>
      </w:r>
      <w:proofErr w:type="spellEnd"/>
      <w:r w:rsidRPr="003A11C5">
        <w:rPr>
          <w:rFonts w:ascii="Arial" w:hAnsi="Arial" w:cs="Arial"/>
          <w:sz w:val="24"/>
          <w:szCs w:val="24"/>
          <w:lang w:val="en-GB"/>
        </w:rPr>
        <w:t xml:space="preserve"> 1-11)). Briefly, pairs of DNA </w:t>
      </w:r>
      <w:proofErr w:type="spellStart"/>
      <w:r w:rsidRPr="003A11C5">
        <w:rPr>
          <w:rFonts w:ascii="Arial" w:hAnsi="Arial" w:cs="Arial"/>
          <w:sz w:val="24"/>
          <w:szCs w:val="24"/>
          <w:lang w:val="en-GB"/>
        </w:rPr>
        <w:t>oligos</w:t>
      </w:r>
      <w:proofErr w:type="spellEnd"/>
      <w:r w:rsidRPr="003A11C5">
        <w:rPr>
          <w:rFonts w:ascii="Arial" w:hAnsi="Arial" w:cs="Arial"/>
          <w:sz w:val="24"/>
          <w:szCs w:val="24"/>
          <w:lang w:val="en-GB"/>
        </w:rPr>
        <w:t xml:space="preserve"> targeting each region of interest were used in the first round of gene-specific PCR and the products subsequently purified via size selection. After purification, a second round of PCR adds index adaptors and P5 &amp; P7 sequences to each library for sample tracking and sequencing. The resulting libraries were further purified and 2x250bp paired-end sequenced on an </w:t>
      </w:r>
      <w:proofErr w:type="spellStart"/>
      <w:r w:rsidRPr="003A11C5">
        <w:rPr>
          <w:rFonts w:ascii="Arial" w:hAnsi="Arial" w:cs="Arial"/>
          <w:sz w:val="24"/>
          <w:szCs w:val="24"/>
          <w:lang w:val="en-GB"/>
        </w:rPr>
        <w:t>Illumina</w:t>
      </w:r>
      <w:proofErr w:type="spellEnd"/>
      <w:r w:rsidRPr="003A11C5">
        <w:rPr>
          <w:rFonts w:ascii="Arial" w:hAnsi="Arial" w:cs="Arial"/>
          <w:sz w:val="24"/>
          <w:szCs w:val="24"/>
          <w:lang w:val="en-GB"/>
        </w:rPr>
        <w:t xml:space="preserve"> </w:t>
      </w:r>
      <w:proofErr w:type="spellStart"/>
      <w:r w:rsidRPr="003A11C5">
        <w:rPr>
          <w:rFonts w:ascii="Arial" w:hAnsi="Arial" w:cs="Arial"/>
          <w:sz w:val="24"/>
          <w:szCs w:val="24"/>
          <w:lang w:val="en-GB"/>
        </w:rPr>
        <w:t>MiSeq</w:t>
      </w:r>
      <w:proofErr w:type="spellEnd"/>
      <w:r w:rsidRPr="003A11C5">
        <w:rPr>
          <w:rFonts w:ascii="Arial" w:hAnsi="Arial" w:cs="Arial"/>
          <w:sz w:val="24"/>
          <w:szCs w:val="24"/>
          <w:lang w:val="en-GB"/>
        </w:rPr>
        <w:t>-system platform.</w:t>
      </w:r>
    </w:p>
    <w:p w:rsidR="00BB133F" w:rsidRPr="003A11C5" w:rsidRDefault="00BB133F" w:rsidP="00BB133F">
      <w:pPr>
        <w:rPr>
          <w:rFonts w:ascii="Arial" w:hAnsi="Arial" w:cs="Arial"/>
          <w:sz w:val="24"/>
          <w:szCs w:val="24"/>
          <w:lang w:val="en-GB"/>
        </w:rPr>
      </w:pPr>
    </w:p>
    <w:p w:rsidR="00BB133F" w:rsidRPr="00510060" w:rsidRDefault="00BB133F" w:rsidP="00BB133F">
      <w:pPr>
        <w:rPr>
          <w:rFonts w:ascii="Arial" w:hAnsi="Arial" w:cs="Arial"/>
          <w:bCs/>
          <w:i/>
          <w:sz w:val="24"/>
          <w:szCs w:val="24"/>
          <w:lang w:val="en-GB"/>
        </w:rPr>
      </w:pPr>
      <w:r w:rsidRPr="00510060">
        <w:rPr>
          <w:rFonts w:ascii="Arial" w:hAnsi="Arial" w:cs="Arial"/>
          <w:bCs/>
          <w:i/>
          <w:sz w:val="24"/>
          <w:szCs w:val="24"/>
          <w:lang w:val="en-GB"/>
        </w:rPr>
        <w:t>NGS Data Analysis</w:t>
      </w:r>
    </w:p>
    <w:p w:rsidR="00BB133F" w:rsidRPr="003A11C5" w:rsidRDefault="00BB133F" w:rsidP="00BB133F">
      <w:pPr>
        <w:rPr>
          <w:rFonts w:ascii="Arial" w:hAnsi="Arial" w:cs="Arial"/>
          <w:sz w:val="24"/>
          <w:szCs w:val="24"/>
          <w:lang w:val="en-GB"/>
        </w:rPr>
      </w:pPr>
      <w:r w:rsidRPr="003A11C5">
        <w:rPr>
          <w:rFonts w:ascii="Arial" w:hAnsi="Arial" w:cs="Arial"/>
          <w:sz w:val="24"/>
          <w:szCs w:val="24"/>
          <w:lang w:val="en-GB"/>
        </w:rPr>
        <w:t>The analysis of NGS data performed all the typical steps of secondary analysis from reads mapping and refinement [1, 2] to the identification of single nucleotide variants (SNVs) and insertions/deletions (</w:t>
      </w:r>
      <w:proofErr w:type="spellStart"/>
      <w:r w:rsidRPr="003A11C5">
        <w:rPr>
          <w:rFonts w:ascii="Arial" w:hAnsi="Arial" w:cs="Arial"/>
          <w:sz w:val="24"/>
          <w:szCs w:val="24"/>
          <w:lang w:val="en-GB"/>
        </w:rPr>
        <w:t>Indels</w:t>
      </w:r>
      <w:proofErr w:type="spellEnd"/>
      <w:r w:rsidRPr="003A11C5">
        <w:rPr>
          <w:rFonts w:ascii="Arial" w:hAnsi="Arial" w:cs="Arial"/>
          <w:sz w:val="24"/>
          <w:szCs w:val="24"/>
          <w:lang w:val="en-GB"/>
        </w:rPr>
        <w:t xml:space="preserve">). The variant calling step integrated four variant calling algorithms [3, 4, 5, 6] since such approach allows identifying variants with higher sensitivity and accuracy than using any single algorithm [7, 8]. Detected variants were annotated with information about their effects on the structure or function of proteins, their frequency in populations (e.g. </w:t>
      </w:r>
      <w:proofErr w:type="spellStart"/>
      <w:r w:rsidRPr="003A11C5">
        <w:rPr>
          <w:rFonts w:ascii="Arial" w:hAnsi="Arial" w:cs="Arial"/>
          <w:sz w:val="24"/>
          <w:szCs w:val="24"/>
          <w:lang w:val="en-GB"/>
        </w:rPr>
        <w:t>dbSNP</w:t>
      </w:r>
      <w:proofErr w:type="spellEnd"/>
      <w:r w:rsidRPr="003A11C5">
        <w:rPr>
          <w:rFonts w:ascii="Arial" w:hAnsi="Arial" w:cs="Arial"/>
          <w:sz w:val="24"/>
          <w:szCs w:val="24"/>
          <w:lang w:val="en-GB"/>
        </w:rPr>
        <w:t xml:space="preserve">, ESP6500, </w:t>
      </w:r>
      <w:proofErr w:type="spellStart"/>
      <w:r w:rsidRPr="003A11C5">
        <w:rPr>
          <w:rFonts w:ascii="Arial" w:hAnsi="Arial" w:cs="Arial"/>
          <w:sz w:val="24"/>
          <w:szCs w:val="24"/>
          <w:lang w:val="en-GB"/>
        </w:rPr>
        <w:t>ExAC</w:t>
      </w:r>
      <w:proofErr w:type="spellEnd"/>
      <w:r w:rsidRPr="003A11C5">
        <w:rPr>
          <w:rFonts w:ascii="Arial" w:hAnsi="Arial" w:cs="Arial"/>
          <w:sz w:val="24"/>
          <w:szCs w:val="24"/>
          <w:lang w:val="en-GB"/>
        </w:rPr>
        <w:t xml:space="preserve">, </w:t>
      </w:r>
      <w:proofErr w:type="spellStart"/>
      <w:r w:rsidRPr="003A11C5">
        <w:rPr>
          <w:rFonts w:ascii="Arial" w:hAnsi="Arial" w:cs="Arial"/>
          <w:sz w:val="24"/>
          <w:szCs w:val="24"/>
          <w:lang w:val="en-GB"/>
        </w:rPr>
        <w:t>gnomAD</w:t>
      </w:r>
      <w:proofErr w:type="spellEnd"/>
      <w:r w:rsidRPr="003A11C5">
        <w:rPr>
          <w:rFonts w:ascii="Arial" w:hAnsi="Arial" w:cs="Arial"/>
          <w:sz w:val="24"/>
          <w:szCs w:val="24"/>
          <w:lang w:val="en-GB"/>
        </w:rPr>
        <w:t xml:space="preserve">) or their presence in cancer databases (e.g. COSMIC, </w:t>
      </w:r>
      <w:proofErr w:type="spellStart"/>
      <w:r w:rsidRPr="003A11C5">
        <w:rPr>
          <w:rFonts w:ascii="Arial" w:hAnsi="Arial" w:cs="Arial"/>
          <w:sz w:val="24"/>
          <w:szCs w:val="24"/>
          <w:lang w:val="en-GB"/>
        </w:rPr>
        <w:t>cBioPortal</w:t>
      </w:r>
      <w:proofErr w:type="spellEnd"/>
      <w:r w:rsidRPr="003A11C5">
        <w:rPr>
          <w:rFonts w:ascii="Arial" w:hAnsi="Arial" w:cs="Arial"/>
          <w:sz w:val="24"/>
          <w:szCs w:val="24"/>
          <w:lang w:val="en-GB"/>
        </w:rPr>
        <w:t xml:space="preserve"> for Cancer Genomics, </w:t>
      </w:r>
      <w:proofErr w:type="spellStart"/>
      <w:r w:rsidRPr="003A11C5">
        <w:rPr>
          <w:rFonts w:ascii="Arial" w:hAnsi="Arial" w:cs="Arial"/>
          <w:sz w:val="24"/>
          <w:szCs w:val="24"/>
          <w:lang w:val="en-GB"/>
        </w:rPr>
        <w:t>ClinVar</w:t>
      </w:r>
      <w:proofErr w:type="spellEnd"/>
      <w:r w:rsidRPr="003A11C5">
        <w:rPr>
          <w:rFonts w:ascii="Arial" w:hAnsi="Arial" w:cs="Arial"/>
          <w:sz w:val="24"/>
          <w:szCs w:val="24"/>
          <w:lang w:val="en-GB"/>
        </w:rPr>
        <w:t xml:space="preserve">). Synonymous </w:t>
      </w:r>
      <w:r w:rsidRPr="003A11C5">
        <w:rPr>
          <w:rFonts w:ascii="Arial" w:hAnsi="Arial" w:cs="Arial"/>
          <w:sz w:val="24"/>
          <w:szCs w:val="24"/>
          <w:lang w:val="en-GB"/>
        </w:rPr>
        <w:lastRenderedPageBreak/>
        <w:t xml:space="preserve">variants, variants located outside protein coding regions and variants with VAF &lt;2% were filtered. The remaining variants, were tagged using different criteria based on information retrieved from literature, sequence conservation and in </w:t>
      </w:r>
      <w:proofErr w:type="spellStart"/>
      <w:r w:rsidRPr="003A11C5">
        <w:rPr>
          <w:rFonts w:ascii="Arial" w:hAnsi="Arial" w:cs="Arial"/>
          <w:sz w:val="24"/>
          <w:szCs w:val="24"/>
          <w:lang w:val="en-GB"/>
        </w:rPr>
        <w:t>silico</w:t>
      </w:r>
      <w:proofErr w:type="spellEnd"/>
      <w:r w:rsidRPr="003A11C5">
        <w:rPr>
          <w:rFonts w:ascii="Arial" w:hAnsi="Arial" w:cs="Arial"/>
          <w:sz w:val="24"/>
          <w:szCs w:val="24"/>
          <w:lang w:val="en-GB"/>
        </w:rPr>
        <w:t xml:space="preserve"> prediction effect. </w:t>
      </w:r>
      <w:bookmarkStart w:id="0" w:name="_Hlk196725394"/>
      <w:r w:rsidRPr="003A11C5">
        <w:rPr>
          <w:rFonts w:ascii="Arial" w:hAnsi="Arial" w:cs="Arial"/>
          <w:sz w:val="24"/>
          <w:szCs w:val="24"/>
          <w:lang w:val="en-GB"/>
        </w:rPr>
        <w:t xml:space="preserve">Classification of </w:t>
      </w:r>
      <w:proofErr w:type="spellStart"/>
      <w:r w:rsidRPr="003A11C5">
        <w:rPr>
          <w:rFonts w:ascii="Arial" w:hAnsi="Arial" w:cs="Arial"/>
          <w:sz w:val="24"/>
          <w:szCs w:val="24"/>
          <w:lang w:val="en-GB"/>
        </w:rPr>
        <w:t>germline</w:t>
      </w:r>
      <w:proofErr w:type="spellEnd"/>
      <w:r w:rsidRPr="003A11C5">
        <w:rPr>
          <w:rFonts w:ascii="Arial" w:hAnsi="Arial" w:cs="Arial"/>
          <w:sz w:val="24"/>
          <w:szCs w:val="24"/>
          <w:lang w:val="en-GB"/>
        </w:rPr>
        <w:t xml:space="preserve"> variants was performed using Franklin (</w:t>
      </w:r>
      <w:hyperlink r:id="rId6" w:history="1">
        <w:r w:rsidRPr="003A11C5">
          <w:rPr>
            <w:rStyle w:val="Collegamentoipertestuale"/>
            <w:rFonts w:ascii="Arial" w:hAnsi="Arial" w:cs="Arial"/>
            <w:color w:val="auto"/>
            <w:sz w:val="24"/>
            <w:szCs w:val="24"/>
            <w:lang w:val="en-GB"/>
          </w:rPr>
          <w:t>https://franklin.genoox.com</w:t>
        </w:r>
      </w:hyperlink>
      <w:r w:rsidRPr="003A11C5">
        <w:rPr>
          <w:rFonts w:ascii="Arial" w:hAnsi="Arial" w:cs="Arial"/>
          <w:sz w:val="24"/>
          <w:szCs w:val="24"/>
          <w:lang w:val="en-GB"/>
        </w:rPr>
        <w:t xml:space="preserve">) a </w:t>
      </w:r>
      <w:proofErr w:type="spellStart"/>
      <w:r w:rsidRPr="003A11C5">
        <w:rPr>
          <w:rFonts w:ascii="Arial" w:hAnsi="Arial" w:cs="Arial"/>
          <w:sz w:val="24"/>
          <w:szCs w:val="24"/>
          <w:lang w:val="en-GB"/>
        </w:rPr>
        <w:t>curation</w:t>
      </w:r>
      <w:proofErr w:type="spellEnd"/>
      <w:r w:rsidRPr="003A11C5">
        <w:rPr>
          <w:rFonts w:ascii="Arial" w:hAnsi="Arial" w:cs="Arial"/>
          <w:sz w:val="24"/>
          <w:szCs w:val="24"/>
          <w:lang w:val="en-GB"/>
        </w:rPr>
        <w:t xml:space="preserve"> tools based on the American College of Medical Genetics (ACMG) guidelines.</w:t>
      </w:r>
    </w:p>
    <w:bookmarkEnd w:id="0"/>
    <w:p w:rsidR="00BB133F" w:rsidRPr="003A11C5" w:rsidRDefault="00BB133F" w:rsidP="00BB133F">
      <w:pPr>
        <w:rPr>
          <w:rFonts w:ascii="Arial" w:hAnsi="Arial" w:cs="Arial"/>
          <w:sz w:val="24"/>
          <w:szCs w:val="24"/>
          <w:lang w:val="en-GB"/>
        </w:rPr>
      </w:pPr>
    </w:p>
    <w:p w:rsidR="00BB133F" w:rsidRPr="00510060" w:rsidRDefault="00BB133F" w:rsidP="00BB133F">
      <w:pPr>
        <w:rPr>
          <w:rFonts w:ascii="Arial" w:hAnsi="Arial" w:cs="Arial"/>
          <w:bCs/>
          <w:i/>
          <w:sz w:val="24"/>
          <w:szCs w:val="24"/>
          <w:lang w:val="en-GB"/>
        </w:rPr>
      </w:pPr>
      <w:r w:rsidRPr="00510060">
        <w:rPr>
          <w:rFonts w:ascii="Arial" w:hAnsi="Arial" w:cs="Arial"/>
          <w:bCs/>
          <w:i/>
          <w:sz w:val="24"/>
          <w:szCs w:val="24"/>
          <w:lang w:val="en-GB"/>
        </w:rPr>
        <w:t>References</w:t>
      </w:r>
    </w:p>
    <w:p w:rsidR="00BB133F" w:rsidRPr="003A11C5" w:rsidRDefault="00BB133F" w:rsidP="00BB133F">
      <w:pPr>
        <w:rPr>
          <w:rFonts w:ascii="Arial" w:hAnsi="Arial" w:cs="Arial"/>
          <w:sz w:val="24"/>
          <w:szCs w:val="24"/>
          <w:lang w:val="en-GB"/>
        </w:rPr>
      </w:pPr>
      <w:r w:rsidRPr="003A11C5">
        <w:rPr>
          <w:rFonts w:ascii="Arial" w:hAnsi="Arial" w:cs="Arial"/>
          <w:b/>
          <w:bCs/>
          <w:sz w:val="24"/>
          <w:szCs w:val="24"/>
          <w:lang w:val="en-GB"/>
        </w:rPr>
        <w:t>[1]</w:t>
      </w:r>
      <w:r w:rsidRPr="003A11C5">
        <w:rPr>
          <w:rFonts w:ascii="Arial" w:hAnsi="Arial" w:cs="Arial"/>
          <w:sz w:val="24"/>
          <w:szCs w:val="24"/>
          <w:lang w:val="en-GB"/>
        </w:rPr>
        <w:t xml:space="preserve"> Li, H., &amp; Durbin, R. (2009). Fast and accurate short read alignment with Burrows–Wheeler transform. bioinformatics, 25(14), 1754-1760.</w:t>
      </w:r>
    </w:p>
    <w:p w:rsidR="00BB133F" w:rsidRPr="003A11C5" w:rsidRDefault="00BB133F" w:rsidP="00BB133F">
      <w:pPr>
        <w:rPr>
          <w:rFonts w:ascii="Arial" w:hAnsi="Arial" w:cs="Arial"/>
          <w:sz w:val="24"/>
          <w:szCs w:val="24"/>
          <w:lang w:val="en-GB"/>
        </w:rPr>
      </w:pPr>
      <w:r w:rsidRPr="003A11C5">
        <w:rPr>
          <w:rFonts w:ascii="Arial" w:hAnsi="Arial" w:cs="Arial"/>
          <w:b/>
          <w:bCs/>
          <w:sz w:val="24"/>
          <w:szCs w:val="24"/>
          <w:lang w:val="en-GB"/>
        </w:rPr>
        <w:t>[2]</w:t>
      </w:r>
      <w:r w:rsidRPr="003A11C5">
        <w:rPr>
          <w:rFonts w:ascii="Arial" w:hAnsi="Arial" w:cs="Arial"/>
          <w:sz w:val="24"/>
          <w:szCs w:val="24"/>
          <w:lang w:val="en-GB"/>
        </w:rPr>
        <w:t xml:space="preserve"> McKenna, A., Hanna, M., Banks, E., </w:t>
      </w:r>
      <w:proofErr w:type="spellStart"/>
      <w:r w:rsidRPr="003A11C5">
        <w:rPr>
          <w:rFonts w:ascii="Arial" w:hAnsi="Arial" w:cs="Arial"/>
          <w:sz w:val="24"/>
          <w:szCs w:val="24"/>
          <w:lang w:val="en-GB"/>
        </w:rPr>
        <w:t>Sivachenko</w:t>
      </w:r>
      <w:proofErr w:type="spellEnd"/>
      <w:r w:rsidRPr="003A11C5">
        <w:rPr>
          <w:rFonts w:ascii="Arial" w:hAnsi="Arial" w:cs="Arial"/>
          <w:sz w:val="24"/>
          <w:szCs w:val="24"/>
          <w:lang w:val="en-GB"/>
        </w:rPr>
        <w:t xml:space="preserve">, A., </w:t>
      </w:r>
      <w:proofErr w:type="spellStart"/>
      <w:r w:rsidRPr="003A11C5">
        <w:rPr>
          <w:rFonts w:ascii="Arial" w:hAnsi="Arial" w:cs="Arial"/>
          <w:sz w:val="24"/>
          <w:szCs w:val="24"/>
          <w:lang w:val="en-GB"/>
        </w:rPr>
        <w:t>Cibulskis</w:t>
      </w:r>
      <w:proofErr w:type="spellEnd"/>
      <w:r w:rsidRPr="003A11C5">
        <w:rPr>
          <w:rFonts w:ascii="Arial" w:hAnsi="Arial" w:cs="Arial"/>
          <w:sz w:val="24"/>
          <w:szCs w:val="24"/>
          <w:lang w:val="en-GB"/>
        </w:rPr>
        <w:t xml:space="preserve">, K., </w:t>
      </w:r>
      <w:proofErr w:type="spellStart"/>
      <w:r w:rsidRPr="003A11C5">
        <w:rPr>
          <w:rFonts w:ascii="Arial" w:hAnsi="Arial" w:cs="Arial"/>
          <w:sz w:val="24"/>
          <w:szCs w:val="24"/>
          <w:lang w:val="en-GB"/>
        </w:rPr>
        <w:t>Kernytsky</w:t>
      </w:r>
      <w:proofErr w:type="spellEnd"/>
      <w:r w:rsidRPr="003A11C5">
        <w:rPr>
          <w:rFonts w:ascii="Arial" w:hAnsi="Arial" w:cs="Arial"/>
          <w:sz w:val="24"/>
          <w:szCs w:val="24"/>
          <w:lang w:val="en-GB"/>
        </w:rPr>
        <w:t xml:space="preserve">, A., ... &amp; </w:t>
      </w:r>
      <w:proofErr w:type="spellStart"/>
      <w:r w:rsidRPr="003A11C5">
        <w:rPr>
          <w:rFonts w:ascii="Arial" w:hAnsi="Arial" w:cs="Arial"/>
          <w:sz w:val="24"/>
          <w:szCs w:val="24"/>
          <w:lang w:val="en-GB"/>
        </w:rPr>
        <w:t>DePristo</w:t>
      </w:r>
      <w:proofErr w:type="spellEnd"/>
      <w:r w:rsidRPr="003A11C5">
        <w:rPr>
          <w:rFonts w:ascii="Arial" w:hAnsi="Arial" w:cs="Arial"/>
          <w:sz w:val="24"/>
          <w:szCs w:val="24"/>
          <w:lang w:val="en-GB"/>
        </w:rPr>
        <w:t xml:space="preserve">, M. A. (2010). The Genome Analysis Toolkit: a </w:t>
      </w:r>
      <w:proofErr w:type="spellStart"/>
      <w:r w:rsidRPr="003A11C5">
        <w:rPr>
          <w:rFonts w:ascii="Arial" w:hAnsi="Arial" w:cs="Arial"/>
          <w:sz w:val="24"/>
          <w:szCs w:val="24"/>
          <w:lang w:val="en-GB"/>
        </w:rPr>
        <w:t>MapReduce</w:t>
      </w:r>
      <w:proofErr w:type="spellEnd"/>
      <w:r w:rsidRPr="003A11C5">
        <w:rPr>
          <w:rFonts w:ascii="Arial" w:hAnsi="Arial" w:cs="Arial"/>
          <w:sz w:val="24"/>
          <w:szCs w:val="24"/>
          <w:lang w:val="en-GB"/>
        </w:rPr>
        <w:t xml:space="preserve"> framework for analyzing next-generation DNA sequencing data. Genome research, 20(9), 1297-1303.</w:t>
      </w:r>
    </w:p>
    <w:p w:rsidR="00BB133F" w:rsidRPr="003A11C5" w:rsidRDefault="00BB133F" w:rsidP="00BB133F">
      <w:pPr>
        <w:rPr>
          <w:rFonts w:ascii="Arial" w:hAnsi="Arial" w:cs="Arial"/>
          <w:sz w:val="24"/>
          <w:szCs w:val="24"/>
          <w:lang w:val="en-GB"/>
        </w:rPr>
      </w:pPr>
      <w:r w:rsidRPr="003A11C5">
        <w:rPr>
          <w:rFonts w:ascii="Arial" w:hAnsi="Arial" w:cs="Arial"/>
          <w:b/>
          <w:bCs/>
          <w:sz w:val="24"/>
          <w:szCs w:val="24"/>
          <w:lang w:val="fr-FR"/>
        </w:rPr>
        <w:t>[3]</w:t>
      </w:r>
      <w:r w:rsidRPr="003A11C5">
        <w:rPr>
          <w:rFonts w:ascii="Arial" w:hAnsi="Arial" w:cs="Arial"/>
          <w:sz w:val="24"/>
          <w:szCs w:val="24"/>
          <w:lang w:val="fr-FR"/>
        </w:rPr>
        <w:t xml:space="preserve"> </w:t>
      </w:r>
      <w:proofErr w:type="spellStart"/>
      <w:r w:rsidRPr="003A11C5">
        <w:rPr>
          <w:rFonts w:ascii="Arial" w:hAnsi="Arial" w:cs="Arial"/>
          <w:sz w:val="24"/>
          <w:szCs w:val="24"/>
          <w:lang w:val="fr-FR"/>
        </w:rPr>
        <w:t>Cibulskis</w:t>
      </w:r>
      <w:proofErr w:type="spellEnd"/>
      <w:r w:rsidRPr="003A11C5">
        <w:rPr>
          <w:rFonts w:ascii="Arial" w:hAnsi="Arial" w:cs="Arial"/>
          <w:sz w:val="24"/>
          <w:szCs w:val="24"/>
          <w:lang w:val="fr-FR"/>
        </w:rPr>
        <w:t xml:space="preserve">, K., Lawrence, M. S., Carter, S. L., </w:t>
      </w:r>
      <w:proofErr w:type="spellStart"/>
      <w:r w:rsidRPr="003A11C5">
        <w:rPr>
          <w:rFonts w:ascii="Arial" w:hAnsi="Arial" w:cs="Arial"/>
          <w:sz w:val="24"/>
          <w:szCs w:val="24"/>
          <w:lang w:val="fr-FR"/>
        </w:rPr>
        <w:t>Sivachenko</w:t>
      </w:r>
      <w:proofErr w:type="spellEnd"/>
      <w:r w:rsidRPr="003A11C5">
        <w:rPr>
          <w:rFonts w:ascii="Arial" w:hAnsi="Arial" w:cs="Arial"/>
          <w:sz w:val="24"/>
          <w:szCs w:val="24"/>
          <w:lang w:val="fr-FR"/>
        </w:rPr>
        <w:t xml:space="preserve">, A., Jaffe, D., </w:t>
      </w:r>
      <w:proofErr w:type="spellStart"/>
      <w:r w:rsidRPr="003A11C5">
        <w:rPr>
          <w:rFonts w:ascii="Arial" w:hAnsi="Arial" w:cs="Arial"/>
          <w:sz w:val="24"/>
          <w:szCs w:val="24"/>
          <w:lang w:val="fr-FR"/>
        </w:rPr>
        <w:t>Sougnez</w:t>
      </w:r>
      <w:proofErr w:type="spellEnd"/>
      <w:r w:rsidRPr="003A11C5">
        <w:rPr>
          <w:rFonts w:ascii="Arial" w:hAnsi="Arial" w:cs="Arial"/>
          <w:sz w:val="24"/>
          <w:szCs w:val="24"/>
          <w:lang w:val="fr-FR"/>
        </w:rPr>
        <w:t xml:space="preserve">, C., ... </w:t>
      </w:r>
      <w:r w:rsidRPr="003A11C5">
        <w:rPr>
          <w:rFonts w:ascii="Arial" w:hAnsi="Arial" w:cs="Arial"/>
          <w:sz w:val="24"/>
          <w:szCs w:val="24"/>
          <w:lang w:val="en-GB"/>
        </w:rPr>
        <w:t>&amp; Getz, G. (2013). Sensitive detection of somatic point mutations in impure and heterogeneous cancer samples. Nature biotechnology, 31(3), 213.</w:t>
      </w:r>
    </w:p>
    <w:p w:rsidR="00BB133F" w:rsidRPr="003A11C5" w:rsidRDefault="00BB133F" w:rsidP="00BB133F">
      <w:pPr>
        <w:rPr>
          <w:rFonts w:ascii="Arial" w:hAnsi="Arial" w:cs="Arial"/>
          <w:sz w:val="24"/>
          <w:szCs w:val="24"/>
          <w:lang w:val="en-GB"/>
        </w:rPr>
      </w:pPr>
      <w:r w:rsidRPr="003A11C5">
        <w:rPr>
          <w:rFonts w:ascii="Arial" w:hAnsi="Arial" w:cs="Arial"/>
          <w:b/>
          <w:bCs/>
          <w:sz w:val="24"/>
          <w:szCs w:val="24"/>
          <w:lang w:val="en-GB"/>
        </w:rPr>
        <w:t>[4]</w:t>
      </w:r>
      <w:r w:rsidRPr="003A11C5">
        <w:rPr>
          <w:rFonts w:ascii="Arial" w:hAnsi="Arial" w:cs="Arial"/>
          <w:sz w:val="24"/>
          <w:szCs w:val="24"/>
          <w:lang w:val="en-GB"/>
        </w:rPr>
        <w:t xml:space="preserve"> </w:t>
      </w:r>
      <w:proofErr w:type="spellStart"/>
      <w:r w:rsidRPr="003A11C5">
        <w:rPr>
          <w:rFonts w:ascii="Arial" w:hAnsi="Arial" w:cs="Arial"/>
          <w:sz w:val="24"/>
          <w:szCs w:val="24"/>
          <w:lang w:val="en-GB"/>
        </w:rPr>
        <w:t>Koboldt</w:t>
      </w:r>
      <w:proofErr w:type="spellEnd"/>
      <w:r w:rsidRPr="003A11C5">
        <w:rPr>
          <w:rFonts w:ascii="Arial" w:hAnsi="Arial" w:cs="Arial"/>
          <w:sz w:val="24"/>
          <w:szCs w:val="24"/>
          <w:lang w:val="en-GB"/>
        </w:rPr>
        <w:t xml:space="preserve">, D. C., Zhang, Q., Larson, D. E., </w:t>
      </w:r>
      <w:proofErr w:type="spellStart"/>
      <w:r w:rsidRPr="003A11C5">
        <w:rPr>
          <w:rFonts w:ascii="Arial" w:hAnsi="Arial" w:cs="Arial"/>
          <w:sz w:val="24"/>
          <w:szCs w:val="24"/>
          <w:lang w:val="en-GB"/>
        </w:rPr>
        <w:t>Shen</w:t>
      </w:r>
      <w:proofErr w:type="spellEnd"/>
      <w:r w:rsidRPr="003A11C5">
        <w:rPr>
          <w:rFonts w:ascii="Arial" w:hAnsi="Arial" w:cs="Arial"/>
          <w:sz w:val="24"/>
          <w:szCs w:val="24"/>
          <w:lang w:val="en-GB"/>
        </w:rPr>
        <w:t xml:space="preserve">, D., </w:t>
      </w:r>
      <w:proofErr w:type="spellStart"/>
      <w:r w:rsidRPr="003A11C5">
        <w:rPr>
          <w:rFonts w:ascii="Arial" w:hAnsi="Arial" w:cs="Arial"/>
          <w:sz w:val="24"/>
          <w:szCs w:val="24"/>
          <w:lang w:val="en-GB"/>
        </w:rPr>
        <w:t>McLellan</w:t>
      </w:r>
      <w:proofErr w:type="spellEnd"/>
      <w:r w:rsidRPr="003A11C5">
        <w:rPr>
          <w:rFonts w:ascii="Arial" w:hAnsi="Arial" w:cs="Arial"/>
          <w:sz w:val="24"/>
          <w:szCs w:val="24"/>
          <w:lang w:val="en-GB"/>
        </w:rPr>
        <w:t xml:space="preserve">, M. D., Lin, L., ... &amp; Wilson, R. K. (2012). </w:t>
      </w:r>
      <w:proofErr w:type="spellStart"/>
      <w:r w:rsidRPr="003A11C5">
        <w:rPr>
          <w:rFonts w:ascii="Arial" w:hAnsi="Arial" w:cs="Arial"/>
          <w:sz w:val="24"/>
          <w:szCs w:val="24"/>
          <w:lang w:val="en-GB"/>
        </w:rPr>
        <w:t>VarScan</w:t>
      </w:r>
      <w:proofErr w:type="spellEnd"/>
      <w:r w:rsidRPr="003A11C5">
        <w:rPr>
          <w:rFonts w:ascii="Arial" w:hAnsi="Arial" w:cs="Arial"/>
          <w:sz w:val="24"/>
          <w:szCs w:val="24"/>
          <w:lang w:val="en-GB"/>
        </w:rPr>
        <w:t xml:space="preserve"> 2: somatic mutation and copy number alteration discovery in cancer by </w:t>
      </w:r>
      <w:proofErr w:type="spellStart"/>
      <w:r w:rsidRPr="003A11C5">
        <w:rPr>
          <w:rFonts w:ascii="Arial" w:hAnsi="Arial" w:cs="Arial"/>
          <w:sz w:val="24"/>
          <w:szCs w:val="24"/>
          <w:lang w:val="en-GB"/>
        </w:rPr>
        <w:t>exome</w:t>
      </w:r>
      <w:proofErr w:type="spellEnd"/>
      <w:r w:rsidRPr="003A11C5">
        <w:rPr>
          <w:rFonts w:ascii="Arial" w:hAnsi="Arial" w:cs="Arial"/>
          <w:sz w:val="24"/>
          <w:szCs w:val="24"/>
          <w:lang w:val="en-GB"/>
        </w:rPr>
        <w:t xml:space="preserve"> sequencing. Genome research, 22(3), 568-576.</w:t>
      </w:r>
    </w:p>
    <w:p w:rsidR="00BB133F" w:rsidRPr="003A11C5" w:rsidRDefault="00BB133F" w:rsidP="00BB133F">
      <w:pPr>
        <w:rPr>
          <w:rFonts w:ascii="Arial" w:hAnsi="Arial" w:cs="Arial"/>
          <w:sz w:val="24"/>
          <w:szCs w:val="24"/>
          <w:lang w:val="en-GB"/>
        </w:rPr>
      </w:pPr>
      <w:r w:rsidRPr="003A11C5">
        <w:rPr>
          <w:rFonts w:ascii="Arial" w:hAnsi="Arial" w:cs="Arial"/>
          <w:b/>
          <w:bCs/>
          <w:sz w:val="24"/>
          <w:szCs w:val="24"/>
          <w:lang w:val="en-GB"/>
        </w:rPr>
        <w:t>[5]</w:t>
      </w:r>
      <w:r w:rsidRPr="003A11C5">
        <w:rPr>
          <w:rFonts w:ascii="Arial" w:hAnsi="Arial" w:cs="Arial"/>
          <w:sz w:val="24"/>
          <w:szCs w:val="24"/>
          <w:lang w:val="en-GB"/>
        </w:rPr>
        <w:t xml:space="preserve"> Lai, Z., </w:t>
      </w:r>
      <w:proofErr w:type="spellStart"/>
      <w:r w:rsidRPr="003A11C5">
        <w:rPr>
          <w:rFonts w:ascii="Arial" w:hAnsi="Arial" w:cs="Arial"/>
          <w:sz w:val="24"/>
          <w:szCs w:val="24"/>
          <w:lang w:val="en-GB"/>
        </w:rPr>
        <w:t>Markovets</w:t>
      </w:r>
      <w:proofErr w:type="spellEnd"/>
      <w:r w:rsidRPr="003A11C5">
        <w:rPr>
          <w:rFonts w:ascii="Arial" w:hAnsi="Arial" w:cs="Arial"/>
          <w:sz w:val="24"/>
          <w:szCs w:val="24"/>
          <w:lang w:val="en-GB"/>
        </w:rPr>
        <w:t xml:space="preserve">, A., </w:t>
      </w:r>
      <w:proofErr w:type="spellStart"/>
      <w:r w:rsidRPr="003A11C5">
        <w:rPr>
          <w:rFonts w:ascii="Arial" w:hAnsi="Arial" w:cs="Arial"/>
          <w:sz w:val="24"/>
          <w:szCs w:val="24"/>
          <w:lang w:val="en-GB"/>
        </w:rPr>
        <w:t>Ahdesmaki</w:t>
      </w:r>
      <w:proofErr w:type="spellEnd"/>
      <w:r w:rsidRPr="003A11C5">
        <w:rPr>
          <w:rFonts w:ascii="Arial" w:hAnsi="Arial" w:cs="Arial"/>
          <w:sz w:val="24"/>
          <w:szCs w:val="24"/>
          <w:lang w:val="en-GB"/>
        </w:rPr>
        <w:t xml:space="preserve">, M., Chapman, B., Hofmann, O., McEwen, R., ... &amp; Dry, J. R. (2016). </w:t>
      </w:r>
      <w:proofErr w:type="spellStart"/>
      <w:r w:rsidRPr="003A11C5">
        <w:rPr>
          <w:rFonts w:ascii="Arial" w:hAnsi="Arial" w:cs="Arial"/>
          <w:sz w:val="24"/>
          <w:szCs w:val="24"/>
          <w:lang w:val="en-GB"/>
        </w:rPr>
        <w:t>VarDict</w:t>
      </w:r>
      <w:proofErr w:type="spellEnd"/>
      <w:r w:rsidRPr="003A11C5">
        <w:rPr>
          <w:rFonts w:ascii="Arial" w:hAnsi="Arial" w:cs="Arial"/>
          <w:sz w:val="24"/>
          <w:szCs w:val="24"/>
          <w:lang w:val="en-GB"/>
        </w:rPr>
        <w:t>: a novel and versatile variant caller for next-generation sequencing in cancer research. Nucleic acids research, 44(11), e108-e108.</w:t>
      </w:r>
    </w:p>
    <w:p w:rsidR="00BB133F" w:rsidRPr="003A11C5" w:rsidRDefault="00BB133F" w:rsidP="00BB133F">
      <w:pPr>
        <w:rPr>
          <w:rFonts w:ascii="Arial" w:hAnsi="Arial" w:cs="Arial"/>
          <w:sz w:val="24"/>
          <w:szCs w:val="24"/>
          <w:lang w:val="en-GB"/>
        </w:rPr>
      </w:pPr>
      <w:r w:rsidRPr="003A11C5">
        <w:rPr>
          <w:rFonts w:ascii="Arial" w:hAnsi="Arial" w:cs="Arial"/>
          <w:b/>
          <w:bCs/>
          <w:sz w:val="24"/>
          <w:szCs w:val="24"/>
          <w:lang w:val="en-GB"/>
        </w:rPr>
        <w:t>[6]</w:t>
      </w:r>
      <w:r w:rsidRPr="003A11C5">
        <w:rPr>
          <w:rFonts w:ascii="Arial" w:hAnsi="Arial" w:cs="Arial"/>
          <w:sz w:val="24"/>
          <w:szCs w:val="24"/>
          <w:lang w:val="en-GB"/>
        </w:rPr>
        <w:t xml:space="preserve"> Fang, H., Bergmann, E. A., </w:t>
      </w:r>
      <w:proofErr w:type="spellStart"/>
      <w:r w:rsidRPr="003A11C5">
        <w:rPr>
          <w:rFonts w:ascii="Arial" w:hAnsi="Arial" w:cs="Arial"/>
          <w:sz w:val="24"/>
          <w:szCs w:val="24"/>
          <w:lang w:val="en-GB"/>
        </w:rPr>
        <w:t>Arora</w:t>
      </w:r>
      <w:proofErr w:type="spellEnd"/>
      <w:r w:rsidRPr="003A11C5">
        <w:rPr>
          <w:rFonts w:ascii="Arial" w:hAnsi="Arial" w:cs="Arial"/>
          <w:sz w:val="24"/>
          <w:szCs w:val="24"/>
          <w:lang w:val="en-GB"/>
        </w:rPr>
        <w:t xml:space="preserve">, K., </w:t>
      </w:r>
      <w:proofErr w:type="spellStart"/>
      <w:r w:rsidRPr="003A11C5">
        <w:rPr>
          <w:rFonts w:ascii="Arial" w:hAnsi="Arial" w:cs="Arial"/>
          <w:sz w:val="24"/>
          <w:szCs w:val="24"/>
          <w:lang w:val="en-GB"/>
        </w:rPr>
        <w:t>Vacic</w:t>
      </w:r>
      <w:proofErr w:type="spellEnd"/>
      <w:r w:rsidRPr="003A11C5">
        <w:rPr>
          <w:rFonts w:ascii="Arial" w:hAnsi="Arial" w:cs="Arial"/>
          <w:sz w:val="24"/>
          <w:szCs w:val="24"/>
          <w:lang w:val="en-GB"/>
        </w:rPr>
        <w:t xml:space="preserve">, V., </w:t>
      </w:r>
      <w:proofErr w:type="spellStart"/>
      <w:r w:rsidRPr="003A11C5">
        <w:rPr>
          <w:rFonts w:ascii="Arial" w:hAnsi="Arial" w:cs="Arial"/>
          <w:sz w:val="24"/>
          <w:szCs w:val="24"/>
          <w:lang w:val="en-GB"/>
        </w:rPr>
        <w:t>Zody</w:t>
      </w:r>
      <w:proofErr w:type="spellEnd"/>
      <w:r w:rsidRPr="003A11C5">
        <w:rPr>
          <w:rFonts w:ascii="Arial" w:hAnsi="Arial" w:cs="Arial"/>
          <w:sz w:val="24"/>
          <w:szCs w:val="24"/>
          <w:lang w:val="en-GB"/>
        </w:rPr>
        <w:t xml:space="preserve">, M. C., </w:t>
      </w:r>
      <w:proofErr w:type="spellStart"/>
      <w:r w:rsidRPr="003A11C5">
        <w:rPr>
          <w:rFonts w:ascii="Arial" w:hAnsi="Arial" w:cs="Arial"/>
          <w:sz w:val="24"/>
          <w:szCs w:val="24"/>
          <w:lang w:val="en-GB"/>
        </w:rPr>
        <w:t>Iossifov</w:t>
      </w:r>
      <w:proofErr w:type="spellEnd"/>
      <w:r w:rsidRPr="003A11C5">
        <w:rPr>
          <w:rFonts w:ascii="Arial" w:hAnsi="Arial" w:cs="Arial"/>
          <w:sz w:val="24"/>
          <w:szCs w:val="24"/>
          <w:lang w:val="en-GB"/>
        </w:rPr>
        <w:t xml:space="preserve">, I., ... &amp; </w:t>
      </w:r>
      <w:proofErr w:type="spellStart"/>
      <w:r w:rsidRPr="003A11C5">
        <w:rPr>
          <w:rFonts w:ascii="Arial" w:hAnsi="Arial" w:cs="Arial"/>
          <w:sz w:val="24"/>
          <w:szCs w:val="24"/>
          <w:lang w:val="en-GB"/>
        </w:rPr>
        <w:t>Ronemus</w:t>
      </w:r>
      <w:proofErr w:type="spellEnd"/>
      <w:r w:rsidRPr="003A11C5">
        <w:rPr>
          <w:rFonts w:ascii="Arial" w:hAnsi="Arial" w:cs="Arial"/>
          <w:sz w:val="24"/>
          <w:szCs w:val="24"/>
          <w:lang w:val="en-GB"/>
        </w:rPr>
        <w:t xml:space="preserve">, M. (2016). </w:t>
      </w:r>
      <w:proofErr w:type="spellStart"/>
      <w:r w:rsidRPr="003A11C5">
        <w:rPr>
          <w:rFonts w:ascii="Arial" w:hAnsi="Arial" w:cs="Arial"/>
          <w:sz w:val="24"/>
          <w:szCs w:val="24"/>
          <w:lang w:val="en-GB"/>
        </w:rPr>
        <w:t>Indel</w:t>
      </w:r>
      <w:proofErr w:type="spellEnd"/>
      <w:r w:rsidRPr="003A11C5">
        <w:rPr>
          <w:rFonts w:ascii="Arial" w:hAnsi="Arial" w:cs="Arial"/>
          <w:sz w:val="24"/>
          <w:szCs w:val="24"/>
          <w:lang w:val="en-GB"/>
        </w:rPr>
        <w:t xml:space="preserve"> variant analysis of short-read sequencing data with Scalpel. Nature protocols, 11(12), 2529.</w:t>
      </w:r>
    </w:p>
    <w:p w:rsidR="00BB133F" w:rsidRPr="003A11C5" w:rsidRDefault="00BB133F" w:rsidP="00BB133F">
      <w:pPr>
        <w:rPr>
          <w:rFonts w:ascii="Arial" w:hAnsi="Arial" w:cs="Arial"/>
          <w:sz w:val="24"/>
          <w:szCs w:val="24"/>
          <w:lang w:val="en-GB"/>
        </w:rPr>
      </w:pPr>
      <w:r w:rsidRPr="003A11C5">
        <w:rPr>
          <w:rFonts w:ascii="Arial" w:hAnsi="Arial" w:cs="Arial"/>
          <w:b/>
          <w:bCs/>
          <w:sz w:val="24"/>
          <w:szCs w:val="24"/>
          <w:lang w:val="en-GB"/>
        </w:rPr>
        <w:t>[7]</w:t>
      </w:r>
      <w:r w:rsidRPr="003A11C5">
        <w:rPr>
          <w:rFonts w:ascii="Arial" w:hAnsi="Arial" w:cs="Arial"/>
          <w:sz w:val="24"/>
          <w:szCs w:val="24"/>
          <w:lang w:val="en-GB"/>
        </w:rPr>
        <w:t xml:space="preserve"> Rashid, M., Robles-Espinoza, C. D., Rust, A. G., &amp; Adams, D. J. (2013). Cake: a bioinformatics pipeline for the integrated analysis of somatic variants in cancer genomes. Bioinformatics, 29(17), 2208-2210. </w:t>
      </w:r>
    </w:p>
    <w:p w:rsidR="00BB133F" w:rsidRPr="003A11C5" w:rsidRDefault="00BB133F" w:rsidP="00BB133F">
      <w:pPr>
        <w:rPr>
          <w:rFonts w:ascii="Arial" w:hAnsi="Arial" w:cs="Arial"/>
          <w:sz w:val="24"/>
          <w:szCs w:val="24"/>
          <w:lang w:val="en-GB"/>
        </w:rPr>
      </w:pPr>
      <w:r w:rsidRPr="003A11C5">
        <w:rPr>
          <w:rFonts w:ascii="Arial" w:hAnsi="Arial" w:cs="Arial"/>
          <w:b/>
          <w:bCs/>
          <w:sz w:val="24"/>
          <w:szCs w:val="24"/>
          <w:lang w:val="en-GB"/>
        </w:rPr>
        <w:t>[8]</w:t>
      </w:r>
      <w:r w:rsidRPr="003A11C5">
        <w:rPr>
          <w:rFonts w:ascii="Arial" w:hAnsi="Arial" w:cs="Arial"/>
          <w:sz w:val="24"/>
          <w:szCs w:val="24"/>
          <w:lang w:val="en-GB"/>
        </w:rPr>
        <w:t xml:space="preserve"> </w:t>
      </w:r>
      <w:r w:rsidRPr="003A11C5">
        <w:rPr>
          <w:rFonts w:ascii="Arial" w:hAnsi="Arial" w:cs="Arial"/>
          <w:sz w:val="24"/>
          <w:szCs w:val="24"/>
          <w:shd w:val="clear" w:color="auto" w:fill="FFFFFF"/>
          <w:lang w:val="en-GB"/>
        </w:rPr>
        <w:t xml:space="preserve">Wang, M., </w:t>
      </w:r>
      <w:proofErr w:type="spellStart"/>
      <w:r w:rsidRPr="003A11C5">
        <w:rPr>
          <w:rFonts w:ascii="Arial" w:hAnsi="Arial" w:cs="Arial"/>
          <w:sz w:val="24"/>
          <w:szCs w:val="24"/>
          <w:shd w:val="clear" w:color="auto" w:fill="FFFFFF"/>
          <w:lang w:val="en-GB"/>
        </w:rPr>
        <w:t>Luo</w:t>
      </w:r>
      <w:proofErr w:type="spellEnd"/>
      <w:r w:rsidRPr="003A11C5">
        <w:rPr>
          <w:rFonts w:ascii="Arial" w:hAnsi="Arial" w:cs="Arial"/>
          <w:sz w:val="24"/>
          <w:szCs w:val="24"/>
          <w:shd w:val="clear" w:color="auto" w:fill="FFFFFF"/>
          <w:lang w:val="en-GB"/>
        </w:rPr>
        <w:t xml:space="preserve">, W., Jones, K., </w:t>
      </w:r>
      <w:proofErr w:type="spellStart"/>
      <w:r w:rsidRPr="003A11C5">
        <w:rPr>
          <w:rFonts w:ascii="Arial" w:hAnsi="Arial" w:cs="Arial"/>
          <w:sz w:val="24"/>
          <w:szCs w:val="24"/>
          <w:shd w:val="clear" w:color="auto" w:fill="FFFFFF"/>
          <w:lang w:val="en-GB"/>
        </w:rPr>
        <w:t>Bian</w:t>
      </w:r>
      <w:proofErr w:type="spellEnd"/>
      <w:r w:rsidRPr="003A11C5">
        <w:rPr>
          <w:rFonts w:ascii="Arial" w:hAnsi="Arial" w:cs="Arial"/>
          <w:sz w:val="24"/>
          <w:szCs w:val="24"/>
          <w:shd w:val="clear" w:color="auto" w:fill="FFFFFF"/>
          <w:lang w:val="en-GB"/>
        </w:rPr>
        <w:t xml:space="preserve">, X., Williams, R., </w:t>
      </w:r>
      <w:proofErr w:type="spellStart"/>
      <w:r w:rsidRPr="003A11C5">
        <w:rPr>
          <w:rFonts w:ascii="Arial" w:hAnsi="Arial" w:cs="Arial"/>
          <w:sz w:val="24"/>
          <w:szCs w:val="24"/>
          <w:shd w:val="clear" w:color="auto" w:fill="FFFFFF"/>
          <w:lang w:val="en-GB"/>
        </w:rPr>
        <w:t>Higson</w:t>
      </w:r>
      <w:proofErr w:type="spellEnd"/>
      <w:r w:rsidRPr="003A11C5">
        <w:rPr>
          <w:rFonts w:ascii="Arial" w:hAnsi="Arial" w:cs="Arial"/>
          <w:sz w:val="24"/>
          <w:szCs w:val="24"/>
          <w:shd w:val="clear" w:color="auto" w:fill="FFFFFF"/>
          <w:lang w:val="en-GB"/>
        </w:rPr>
        <w:t xml:space="preserve">, H., Wu, D., Hicks, B., Yeager, M. and Zhu, B., 2020. </w:t>
      </w:r>
      <w:proofErr w:type="spellStart"/>
      <w:r w:rsidRPr="003A11C5">
        <w:rPr>
          <w:rFonts w:ascii="Arial" w:hAnsi="Arial" w:cs="Arial"/>
          <w:sz w:val="24"/>
          <w:szCs w:val="24"/>
          <w:shd w:val="clear" w:color="auto" w:fill="FFFFFF"/>
          <w:lang w:val="en-GB"/>
        </w:rPr>
        <w:t>SomaticCombiner</w:t>
      </w:r>
      <w:proofErr w:type="spellEnd"/>
      <w:r w:rsidRPr="003A11C5">
        <w:rPr>
          <w:rFonts w:ascii="Arial" w:hAnsi="Arial" w:cs="Arial"/>
          <w:sz w:val="24"/>
          <w:szCs w:val="24"/>
          <w:shd w:val="clear" w:color="auto" w:fill="FFFFFF"/>
          <w:lang w:val="en-GB"/>
        </w:rPr>
        <w:t>: improving the performance of somatic variant calling based on evaluation tests and a consensus approach. </w:t>
      </w:r>
      <w:r w:rsidRPr="003A11C5">
        <w:rPr>
          <w:rFonts w:ascii="Arial" w:hAnsi="Arial" w:cs="Arial"/>
          <w:i/>
          <w:iCs/>
          <w:sz w:val="24"/>
          <w:szCs w:val="24"/>
          <w:shd w:val="clear" w:color="auto" w:fill="FFFFFF"/>
          <w:lang w:val="en-GB"/>
        </w:rPr>
        <w:t>Scientific reports</w:t>
      </w:r>
      <w:r w:rsidRPr="003A11C5">
        <w:rPr>
          <w:rFonts w:ascii="Arial" w:hAnsi="Arial" w:cs="Arial"/>
          <w:sz w:val="24"/>
          <w:szCs w:val="24"/>
          <w:shd w:val="clear" w:color="auto" w:fill="FFFFFF"/>
          <w:lang w:val="en-GB"/>
        </w:rPr>
        <w:t>, </w:t>
      </w:r>
      <w:r w:rsidRPr="003A11C5">
        <w:rPr>
          <w:rFonts w:ascii="Arial" w:hAnsi="Arial" w:cs="Arial"/>
          <w:i/>
          <w:iCs/>
          <w:sz w:val="24"/>
          <w:szCs w:val="24"/>
          <w:shd w:val="clear" w:color="auto" w:fill="FFFFFF"/>
          <w:lang w:val="en-GB"/>
        </w:rPr>
        <w:t>10</w:t>
      </w:r>
      <w:r w:rsidRPr="003A11C5">
        <w:rPr>
          <w:rFonts w:ascii="Arial" w:hAnsi="Arial" w:cs="Arial"/>
          <w:sz w:val="24"/>
          <w:szCs w:val="24"/>
          <w:shd w:val="clear" w:color="auto" w:fill="FFFFFF"/>
          <w:lang w:val="en-GB"/>
        </w:rPr>
        <w:t>(1), pp.1-16.</w:t>
      </w:r>
    </w:p>
    <w:p w:rsidR="00BB133F" w:rsidRDefault="00BB133F" w:rsidP="00BB133F">
      <w:pPr>
        <w:shd w:val="clear" w:color="auto" w:fill="FFFFFF"/>
        <w:rPr>
          <w:rFonts w:ascii="Arial" w:hAnsi="Arial" w:cs="Arial"/>
          <w:color w:val="212121"/>
          <w:sz w:val="24"/>
          <w:szCs w:val="24"/>
          <w:shd w:val="clear" w:color="auto" w:fill="FFFFFF"/>
          <w:lang w:val="en-GB"/>
        </w:rPr>
      </w:pPr>
    </w:p>
    <w:p w:rsidR="00BB133F" w:rsidRPr="00BE23CE" w:rsidRDefault="00BB133F" w:rsidP="00BB133F">
      <w:pPr>
        <w:autoSpaceDE w:val="0"/>
        <w:autoSpaceDN w:val="0"/>
        <w:adjustRightInd w:val="0"/>
        <w:rPr>
          <w:rFonts w:ascii="Arial" w:eastAsia="Calibri" w:hAnsi="Arial" w:cs="Arial"/>
          <w:sz w:val="24"/>
          <w:szCs w:val="24"/>
          <w:lang w:val="en-GB"/>
        </w:rPr>
        <w:sectPr w:rsidR="00BB133F" w:rsidRPr="00BE23CE" w:rsidSect="00D2009D">
          <w:headerReference w:type="default" r:id="rId7"/>
          <w:pgSz w:w="11906" w:h="16838"/>
          <w:pgMar w:top="1134" w:right="1134" w:bottom="1417" w:left="1134" w:header="708" w:footer="708" w:gutter="0"/>
          <w:cols w:space="708"/>
          <w:docGrid w:linePitch="360"/>
        </w:sectPr>
      </w:pPr>
      <w:r w:rsidRPr="00BE23CE">
        <w:rPr>
          <w:rFonts w:ascii="Arial" w:eastAsia="Calibri" w:hAnsi="Arial" w:cs="Arial"/>
          <w:sz w:val="24"/>
          <w:szCs w:val="24"/>
          <w:lang w:val="en-GB"/>
        </w:rPr>
        <w:t>.</w:t>
      </w:r>
    </w:p>
    <w:p w:rsidR="00BB133F" w:rsidRDefault="00BB133F" w:rsidP="00BB133F">
      <w:pPr>
        <w:pStyle w:val="p"/>
        <w:shd w:val="clear" w:color="auto" w:fill="FFFFFF"/>
        <w:spacing w:before="0" w:beforeAutospacing="0" w:after="0" w:afterAutospacing="0" w:line="360" w:lineRule="auto"/>
        <w:rPr>
          <w:rFonts w:ascii="Arial" w:hAnsi="Arial" w:cs="Arial"/>
          <w:color w:val="212121"/>
          <w:shd w:val="clear" w:color="auto" w:fill="FFFFFF"/>
          <w:lang w:val="en-GB"/>
        </w:rPr>
      </w:pPr>
      <w:r w:rsidRPr="00BE23CE">
        <w:rPr>
          <w:rFonts w:ascii="Arial" w:hAnsi="Arial" w:cs="Arial"/>
          <w:b/>
          <w:color w:val="212121"/>
          <w:shd w:val="clear" w:color="auto" w:fill="FFFFFF"/>
          <w:lang w:val="en-GB"/>
        </w:rPr>
        <w:lastRenderedPageBreak/>
        <w:t>Supplement</w:t>
      </w:r>
      <w:r w:rsidR="00510060">
        <w:rPr>
          <w:rFonts w:ascii="Arial" w:hAnsi="Arial" w:cs="Arial"/>
          <w:b/>
          <w:color w:val="212121"/>
          <w:shd w:val="clear" w:color="auto" w:fill="FFFFFF"/>
          <w:lang w:val="en-GB"/>
        </w:rPr>
        <w:t>al</w:t>
      </w:r>
      <w:r w:rsidRPr="00BE23CE">
        <w:rPr>
          <w:rFonts w:ascii="Arial" w:hAnsi="Arial" w:cs="Arial"/>
          <w:b/>
          <w:color w:val="212121"/>
          <w:shd w:val="clear" w:color="auto" w:fill="FFFFFF"/>
          <w:lang w:val="en-GB"/>
        </w:rPr>
        <w:t xml:space="preserve"> Table 1.</w:t>
      </w:r>
      <w:r w:rsidRPr="00BE23CE">
        <w:rPr>
          <w:rFonts w:ascii="Arial" w:hAnsi="Arial" w:cs="Arial"/>
          <w:color w:val="212121"/>
          <w:shd w:val="clear" w:color="auto" w:fill="FFFFFF"/>
          <w:lang w:val="en-GB"/>
        </w:rPr>
        <w:t xml:space="preserve"> </w:t>
      </w:r>
      <w:r>
        <w:rPr>
          <w:rFonts w:ascii="Arial" w:hAnsi="Arial" w:cs="Arial"/>
          <w:color w:val="212121"/>
          <w:shd w:val="clear" w:color="auto" w:fill="FFFFFF"/>
          <w:lang w:val="en-GB"/>
        </w:rPr>
        <w:t xml:space="preserve">  Circumstance of </w:t>
      </w:r>
      <w:r w:rsidRPr="00BE23CE">
        <w:rPr>
          <w:rFonts w:ascii="Arial" w:hAnsi="Arial" w:cs="Arial"/>
          <w:color w:val="212121"/>
          <w:shd w:val="clear" w:color="auto" w:fill="FFFFFF"/>
          <w:lang w:val="en-GB"/>
        </w:rPr>
        <w:t>CMD-NBV</w:t>
      </w:r>
      <w:r>
        <w:rPr>
          <w:rFonts w:ascii="Arial" w:hAnsi="Arial" w:cs="Arial"/>
          <w:color w:val="212121"/>
          <w:shd w:val="clear" w:color="auto" w:fill="FFFFFF"/>
          <w:lang w:val="en-GB"/>
        </w:rPr>
        <w:t xml:space="preserve"> diagnosis.</w:t>
      </w:r>
    </w:p>
    <w:p w:rsidR="00BB133F" w:rsidRPr="00BE23CE" w:rsidRDefault="00BB133F" w:rsidP="00BB133F">
      <w:pPr>
        <w:pStyle w:val="p"/>
        <w:shd w:val="clear" w:color="auto" w:fill="FFFFFF"/>
        <w:spacing w:before="0" w:beforeAutospacing="0" w:after="0" w:afterAutospacing="0" w:line="360" w:lineRule="auto"/>
        <w:rPr>
          <w:rFonts w:ascii="Arial" w:hAnsi="Arial" w:cs="Arial"/>
          <w:color w:val="212121"/>
          <w:shd w:val="clear" w:color="auto" w:fill="FFFFFF"/>
          <w:lang w:val="en-GB"/>
        </w:rPr>
      </w:pPr>
    </w:p>
    <w:tbl>
      <w:tblPr>
        <w:tblStyle w:val="Grigliatabella"/>
        <w:tblW w:w="12157" w:type="dxa"/>
        <w:tblLayout w:type="fixed"/>
        <w:tblLook w:val="04A0"/>
      </w:tblPr>
      <w:tblGrid>
        <w:gridCol w:w="1101"/>
        <w:gridCol w:w="1167"/>
        <w:gridCol w:w="4786"/>
        <w:gridCol w:w="5103"/>
      </w:tblGrid>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b/>
                <w:lang w:val="en-GB"/>
              </w:rPr>
            </w:pPr>
          </w:p>
        </w:tc>
        <w:tc>
          <w:tcPr>
            <w:tcW w:w="1167" w:type="dxa"/>
          </w:tcPr>
          <w:p w:rsidR="00BB133F" w:rsidRPr="002C34C3" w:rsidRDefault="00BB133F" w:rsidP="00EE23DC">
            <w:pPr>
              <w:pStyle w:val="NormaleWeb"/>
              <w:spacing w:before="0" w:beforeAutospacing="0" w:after="0" w:afterAutospacing="0" w:line="360" w:lineRule="auto"/>
              <w:jc w:val="center"/>
              <w:rPr>
                <w:rFonts w:ascii="Arial" w:hAnsi="Arial" w:cs="Arial"/>
                <w:b/>
                <w:lang w:val="en-GB"/>
              </w:rPr>
            </w:pP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b/>
              </w:rPr>
            </w:pPr>
            <w:proofErr w:type="spellStart"/>
            <w:r>
              <w:rPr>
                <w:rFonts w:ascii="Arial" w:hAnsi="Arial" w:cs="Arial"/>
                <w:b/>
              </w:rPr>
              <w:t>P</w:t>
            </w:r>
            <w:r w:rsidRPr="00BE23CE">
              <w:rPr>
                <w:rFonts w:ascii="Arial" w:hAnsi="Arial" w:cs="Arial"/>
                <w:b/>
              </w:rPr>
              <w:t>recipitating</w:t>
            </w:r>
            <w:proofErr w:type="spellEnd"/>
            <w:r w:rsidRPr="00BE23CE">
              <w:rPr>
                <w:rFonts w:ascii="Arial" w:hAnsi="Arial" w:cs="Arial"/>
                <w:b/>
              </w:rPr>
              <w:t xml:space="preserve"> </w:t>
            </w:r>
            <w:proofErr w:type="spellStart"/>
            <w:r w:rsidRPr="00BE23CE">
              <w:rPr>
                <w:rFonts w:ascii="Arial" w:hAnsi="Arial" w:cs="Arial"/>
                <w:b/>
              </w:rPr>
              <w:t>event</w:t>
            </w:r>
            <w:proofErr w:type="spellEnd"/>
          </w:p>
        </w:tc>
        <w:tc>
          <w:tcPr>
            <w:tcW w:w="5103" w:type="dxa"/>
          </w:tcPr>
          <w:p w:rsidR="00BB133F" w:rsidRPr="00BE23CE" w:rsidRDefault="00BB133F" w:rsidP="00EE23DC">
            <w:pPr>
              <w:pStyle w:val="NormaleWeb"/>
              <w:spacing w:before="0" w:beforeAutospacing="0" w:after="0" w:afterAutospacing="0" w:line="360" w:lineRule="auto"/>
              <w:jc w:val="center"/>
              <w:rPr>
                <w:rFonts w:ascii="Arial" w:hAnsi="Arial" w:cs="Arial"/>
                <w:b/>
                <w:lang w:val="en-GB"/>
              </w:rPr>
            </w:pPr>
            <w:r>
              <w:rPr>
                <w:rFonts w:ascii="Arial" w:hAnsi="Arial" w:cs="Arial"/>
                <w:b/>
                <w:lang w:val="en-GB"/>
              </w:rPr>
              <w:t>D</w:t>
            </w:r>
            <w:r w:rsidRPr="00BE23CE">
              <w:rPr>
                <w:rFonts w:ascii="Arial" w:hAnsi="Arial" w:cs="Arial"/>
                <w:b/>
                <w:lang w:val="en-GB"/>
              </w:rPr>
              <w:t>iagnostic strategy</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UPN1</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M/25</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 xml:space="preserve">Idiopathic mesenteric, portal, </w:t>
            </w:r>
            <w:proofErr w:type="spellStart"/>
            <w:r w:rsidRPr="00BE23CE">
              <w:rPr>
                <w:rFonts w:ascii="Arial" w:hAnsi="Arial" w:cs="Arial"/>
                <w:lang w:val="en-GB"/>
              </w:rPr>
              <w:t>sple</w:t>
            </w:r>
            <w:r>
              <w:rPr>
                <w:rFonts w:ascii="Arial" w:hAnsi="Arial" w:cs="Arial"/>
                <w:lang w:val="en-GB"/>
              </w:rPr>
              <w:t>nic</w:t>
            </w:r>
            <w:proofErr w:type="spellEnd"/>
            <w:r>
              <w:rPr>
                <w:rFonts w:ascii="Arial" w:hAnsi="Arial" w:cs="Arial"/>
                <w:lang w:val="en-GB"/>
              </w:rPr>
              <w:t xml:space="preserve"> </w:t>
            </w:r>
            <w:r w:rsidRPr="00BE23CE">
              <w:rPr>
                <w:rFonts w:ascii="Arial" w:hAnsi="Arial" w:cs="Arial"/>
                <w:lang w:val="en-GB"/>
              </w:rPr>
              <w:t>vein thrombosis</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M/52</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P</w:t>
            </w:r>
            <w:r w:rsidRPr="00BE23CE">
              <w:rPr>
                <w:rFonts w:ascii="Arial" w:hAnsi="Arial" w:cs="Arial"/>
                <w:lang w:val="en-GB"/>
              </w:rPr>
              <w:t xml:space="preserve">ortal </w:t>
            </w:r>
            <w:proofErr w:type="spellStart"/>
            <w:r w:rsidRPr="00BE23CE">
              <w:rPr>
                <w:rFonts w:ascii="Arial" w:hAnsi="Arial" w:cs="Arial"/>
                <w:lang w:val="en-GB"/>
              </w:rPr>
              <w:t>cavernoma</w:t>
            </w:r>
            <w:proofErr w:type="spellEnd"/>
            <w:r w:rsidRPr="00BE23CE">
              <w:rPr>
                <w:rFonts w:ascii="Arial" w:hAnsi="Arial" w:cs="Arial"/>
                <w:lang w:val="en-GB"/>
              </w:rPr>
              <w:t xml:space="preserve">, oesophageal </w:t>
            </w:r>
            <w:proofErr w:type="spellStart"/>
            <w:r w:rsidRPr="00BE23CE">
              <w:rPr>
                <w:rFonts w:ascii="Arial" w:hAnsi="Arial" w:cs="Arial"/>
                <w:lang w:val="en-GB"/>
              </w:rPr>
              <w:t>varice</w:t>
            </w:r>
            <w:r>
              <w:rPr>
                <w:rFonts w:ascii="Arial" w:hAnsi="Arial" w:cs="Arial"/>
                <w:lang w:val="en-GB"/>
              </w:rPr>
              <w:t>s</w:t>
            </w:r>
            <w:proofErr w:type="spellEnd"/>
            <w:r>
              <w:rPr>
                <w:rFonts w:ascii="Arial" w:hAnsi="Arial" w:cs="Arial"/>
                <w:lang w:val="en-GB"/>
              </w:rPr>
              <w:t xml:space="preserve">, </w:t>
            </w:r>
            <w:proofErr w:type="spellStart"/>
            <w:r>
              <w:rPr>
                <w:rFonts w:ascii="Arial" w:hAnsi="Arial" w:cs="Arial"/>
                <w:lang w:val="en-GB"/>
              </w:rPr>
              <w:t>s</w:t>
            </w:r>
            <w:r w:rsidRPr="00BE23CE">
              <w:rPr>
                <w:rFonts w:ascii="Arial" w:hAnsi="Arial" w:cs="Arial"/>
                <w:lang w:val="en-GB"/>
              </w:rPr>
              <w:t>plenomegaly</w:t>
            </w:r>
            <w:proofErr w:type="spellEnd"/>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UPN3</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F/49</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 xml:space="preserve">Unexplained </w:t>
            </w:r>
            <w:proofErr w:type="spellStart"/>
            <w:r w:rsidRPr="00BE23CE">
              <w:rPr>
                <w:rFonts w:ascii="Arial" w:hAnsi="Arial" w:cs="Arial"/>
                <w:lang w:val="en-GB"/>
              </w:rPr>
              <w:t>popliteal</w:t>
            </w:r>
            <w:proofErr w:type="spellEnd"/>
            <w:r w:rsidRPr="00BE23CE">
              <w:rPr>
                <w:rFonts w:ascii="Arial" w:hAnsi="Arial" w:cs="Arial"/>
                <w:lang w:val="en-GB"/>
              </w:rPr>
              <w:t xml:space="preserve"> arterial thrombosis</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UPN4</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M/57</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 xml:space="preserve">Idiopathic </w:t>
            </w:r>
            <w:proofErr w:type="spellStart"/>
            <w:r w:rsidRPr="00BE23CE">
              <w:rPr>
                <w:rFonts w:ascii="Arial" w:hAnsi="Arial" w:cs="Arial"/>
                <w:lang w:val="en-GB"/>
              </w:rPr>
              <w:t>sagittal</w:t>
            </w:r>
            <w:proofErr w:type="spellEnd"/>
            <w:r w:rsidRPr="00BE23CE">
              <w:rPr>
                <w:rFonts w:ascii="Arial" w:hAnsi="Arial" w:cs="Arial"/>
                <w:lang w:val="en-GB"/>
              </w:rPr>
              <w:t xml:space="preserve"> cerebral sinus venous thrombosis</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UPN5</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F/44</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Recurrent idiopathic mesenteric and portal vein thrombos</w:t>
            </w:r>
            <w:r>
              <w:rPr>
                <w:rFonts w:ascii="Arial" w:hAnsi="Arial" w:cs="Arial"/>
                <w:lang w:val="en-GB"/>
              </w:rPr>
              <w:t>e</w:t>
            </w:r>
            <w:r w:rsidRPr="00BE23CE">
              <w:rPr>
                <w:rFonts w:ascii="Arial" w:hAnsi="Arial" w:cs="Arial"/>
                <w:lang w:val="en-GB"/>
              </w:rPr>
              <w:t>s</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UPN6</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M/23</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proofErr w:type="spellStart"/>
            <w:r>
              <w:rPr>
                <w:rFonts w:ascii="Arial" w:hAnsi="Arial" w:cs="Arial"/>
                <w:lang w:val="en-GB"/>
              </w:rPr>
              <w:t>He</w:t>
            </w:r>
            <w:r w:rsidRPr="00BE23CE">
              <w:rPr>
                <w:rFonts w:ascii="Arial" w:hAnsi="Arial" w:cs="Arial"/>
                <w:lang w:val="en-GB"/>
              </w:rPr>
              <w:t>moglobin</w:t>
            </w:r>
            <w:proofErr w:type="spellEnd"/>
            <w:r w:rsidRPr="00BE23CE">
              <w:rPr>
                <w:rFonts w:ascii="Arial" w:hAnsi="Arial" w:cs="Arial"/>
                <w:lang w:val="en-GB"/>
              </w:rPr>
              <w:t xml:space="preserve"> = 1</w:t>
            </w:r>
            <w:r>
              <w:rPr>
                <w:rFonts w:ascii="Arial" w:hAnsi="Arial" w:cs="Arial"/>
                <w:lang w:val="en-GB"/>
              </w:rPr>
              <w:t>6</w:t>
            </w:r>
            <w:r w:rsidRPr="00BE23CE">
              <w:rPr>
                <w:rFonts w:ascii="Arial" w:hAnsi="Arial" w:cs="Arial"/>
                <w:lang w:val="en-GB"/>
              </w:rPr>
              <w:t xml:space="preserve"> g/</w:t>
            </w:r>
            <w:proofErr w:type="spellStart"/>
            <w:r w:rsidRPr="00BE23CE">
              <w:rPr>
                <w:rFonts w:ascii="Arial" w:hAnsi="Arial" w:cs="Arial"/>
                <w:lang w:val="en-GB"/>
              </w:rPr>
              <w:t>dL</w:t>
            </w:r>
            <w:proofErr w:type="spellEnd"/>
            <w:r>
              <w:rPr>
                <w:rFonts w:ascii="Arial" w:hAnsi="Arial" w:cs="Arial"/>
                <w:lang w:val="en-GB"/>
              </w:rPr>
              <w:t xml:space="preserve">, </w:t>
            </w:r>
            <w:r w:rsidRPr="00BE23CE">
              <w:rPr>
                <w:rFonts w:ascii="Arial" w:hAnsi="Arial" w:cs="Arial"/>
                <w:lang w:val="en-GB"/>
              </w:rPr>
              <w:t xml:space="preserve">familial </w:t>
            </w:r>
            <w:proofErr w:type="spellStart"/>
            <w:r w:rsidRPr="00BE23CE">
              <w:rPr>
                <w:rFonts w:ascii="Arial" w:hAnsi="Arial" w:cs="Arial"/>
                <w:lang w:val="en-GB"/>
              </w:rPr>
              <w:t>sclerosing</w:t>
            </w:r>
            <w:proofErr w:type="spellEnd"/>
            <w:r w:rsidRPr="00BE23CE">
              <w:rPr>
                <w:rFonts w:ascii="Arial" w:hAnsi="Arial" w:cs="Arial"/>
                <w:lang w:val="en-GB"/>
              </w:rPr>
              <w:t xml:space="preserve"> </w:t>
            </w:r>
            <w:proofErr w:type="spellStart"/>
            <w:r w:rsidRPr="00BE23CE">
              <w:rPr>
                <w:rFonts w:ascii="Arial" w:hAnsi="Arial" w:cs="Arial"/>
                <w:lang w:val="en-GB"/>
              </w:rPr>
              <w:t>cholangitis</w:t>
            </w:r>
            <w:proofErr w:type="spellEnd"/>
          </w:p>
        </w:tc>
        <w:tc>
          <w:tcPr>
            <w:tcW w:w="5103"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 xml:space="preserve">Evaluate </w:t>
            </w:r>
            <w:proofErr w:type="spellStart"/>
            <w:r>
              <w:rPr>
                <w:rFonts w:ascii="Arial" w:hAnsi="Arial" w:cs="Arial"/>
                <w:lang w:val="en-GB"/>
              </w:rPr>
              <w:t>polycythemia</w:t>
            </w:r>
            <w:proofErr w:type="spellEnd"/>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UPN7</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M/49</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Idiopathic portal and spleen vein thrombos</w:t>
            </w:r>
            <w:r>
              <w:rPr>
                <w:rFonts w:ascii="Arial" w:hAnsi="Arial" w:cs="Arial"/>
                <w:lang w:val="en-GB"/>
              </w:rPr>
              <w:t>e</w:t>
            </w:r>
            <w:r w:rsidRPr="00BE23CE">
              <w:rPr>
                <w:rFonts w:ascii="Arial" w:hAnsi="Arial" w:cs="Arial"/>
                <w:lang w:val="en-GB"/>
              </w:rPr>
              <w:t>s</w:t>
            </w:r>
          </w:p>
          <w:p w:rsidR="00BB133F" w:rsidRPr="00BE23CE" w:rsidRDefault="00BB133F" w:rsidP="00EE23DC">
            <w:pPr>
              <w:pStyle w:val="NormaleWeb"/>
              <w:spacing w:before="0" w:beforeAutospacing="0" w:after="0" w:afterAutospacing="0" w:line="360" w:lineRule="auto"/>
              <w:jc w:val="center"/>
              <w:rPr>
                <w:rFonts w:ascii="Arial" w:hAnsi="Arial" w:cs="Arial"/>
                <w:lang w:val="en-GB"/>
              </w:rPr>
            </w:pP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UPN8</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M/49</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proofErr w:type="spellStart"/>
            <w:r>
              <w:rPr>
                <w:rFonts w:ascii="Arial" w:hAnsi="Arial" w:cs="Arial"/>
                <w:lang w:val="en-GB"/>
              </w:rPr>
              <w:t>P</w:t>
            </w:r>
            <w:r w:rsidRPr="00BE23CE">
              <w:rPr>
                <w:rFonts w:ascii="Arial" w:hAnsi="Arial" w:cs="Arial"/>
                <w:lang w:val="en-GB"/>
              </w:rPr>
              <w:t>opliteal</w:t>
            </w:r>
            <w:proofErr w:type="spellEnd"/>
            <w:r w:rsidRPr="00BE23CE">
              <w:rPr>
                <w:rFonts w:ascii="Arial" w:hAnsi="Arial" w:cs="Arial"/>
                <w:lang w:val="en-GB"/>
              </w:rPr>
              <w:t xml:space="preserve"> arterial portal vein thrombos</w:t>
            </w:r>
            <w:r>
              <w:rPr>
                <w:rFonts w:ascii="Arial" w:hAnsi="Arial" w:cs="Arial"/>
                <w:lang w:val="en-GB"/>
              </w:rPr>
              <w:t>e</w:t>
            </w:r>
            <w:r w:rsidRPr="00BE23CE">
              <w:rPr>
                <w:rFonts w:ascii="Arial" w:hAnsi="Arial" w:cs="Arial"/>
                <w:lang w:val="en-GB"/>
              </w:rPr>
              <w:t>s</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UPN9</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F/38</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rPr>
            </w:pPr>
            <w:proofErr w:type="spellStart"/>
            <w:r w:rsidRPr="00BE23CE">
              <w:rPr>
                <w:rFonts w:ascii="Arial" w:hAnsi="Arial" w:cs="Arial"/>
              </w:rPr>
              <w:t>Idiopathic</w:t>
            </w:r>
            <w:proofErr w:type="spellEnd"/>
            <w:r w:rsidRPr="00BE23CE">
              <w:rPr>
                <w:rFonts w:ascii="Arial" w:hAnsi="Arial" w:cs="Arial"/>
              </w:rPr>
              <w:t xml:space="preserve"> </w:t>
            </w:r>
            <w:proofErr w:type="spellStart"/>
            <w:r w:rsidRPr="00BE23CE">
              <w:rPr>
                <w:rFonts w:ascii="Arial" w:hAnsi="Arial" w:cs="Arial"/>
              </w:rPr>
              <w:t>portal</w:t>
            </w:r>
            <w:proofErr w:type="spellEnd"/>
            <w:r w:rsidRPr="00BE23CE">
              <w:rPr>
                <w:rFonts w:ascii="Arial" w:hAnsi="Arial" w:cs="Arial"/>
              </w:rPr>
              <w:t xml:space="preserve"> </w:t>
            </w:r>
            <w:proofErr w:type="spellStart"/>
            <w:r w:rsidRPr="00BE23CE">
              <w:rPr>
                <w:rFonts w:ascii="Arial" w:hAnsi="Arial" w:cs="Arial"/>
              </w:rPr>
              <w:t>vein</w:t>
            </w:r>
            <w:proofErr w:type="spellEnd"/>
            <w:r w:rsidRPr="00BE23CE">
              <w:rPr>
                <w:rFonts w:ascii="Arial" w:hAnsi="Arial" w:cs="Arial"/>
              </w:rPr>
              <w:t xml:space="preserve"> </w:t>
            </w:r>
            <w:proofErr w:type="spellStart"/>
            <w:r w:rsidRPr="00BE23CE">
              <w:rPr>
                <w:rFonts w:ascii="Arial" w:hAnsi="Arial" w:cs="Arial"/>
              </w:rPr>
              <w:t>thrombosis</w:t>
            </w:r>
            <w:proofErr w:type="spellEnd"/>
          </w:p>
          <w:p w:rsidR="00BB133F" w:rsidRPr="00BE23CE" w:rsidRDefault="00BB133F" w:rsidP="00EE23DC">
            <w:pPr>
              <w:pStyle w:val="NormaleWeb"/>
              <w:spacing w:before="0" w:beforeAutospacing="0" w:after="0" w:afterAutospacing="0" w:line="360" w:lineRule="auto"/>
              <w:jc w:val="center"/>
              <w:rPr>
                <w:rFonts w:ascii="Arial" w:hAnsi="Arial" w:cs="Arial"/>
              </w:rPr>
            </w:pP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UPN10</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M/44</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Vertebral bone alteration</w:t>
            </w:r>
          </w:p>
        </w:tc>
        <w:tc>
          <w:tcPr>
            <w:tcW w:w="5103"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S</w:t>
            </w:r>
            <w:r>
              <w:rPr>
                <w:rFonts w:ascii="Arial" w:hAnsi="Arial" w:cs="Arial"/>
                <w:lang w:val="en-GB"/>
              </w:rPr>
              <w:t>creen 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UPN11</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F/42</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P</w:t>
            </w:r>
            <w:r w:rsidRPr="00BE23CE">
              <w:rPr>
                <w:rFonts w:ascii="Arial" w:hAnsi="Arial" w:cs="Arial"/>
                <w:lang w:val="en-GB"/>
              </w:rPr>
              <w:t xml:space="preserve">ortal </w:t>
            </w:r>
            <w:proofErr w:type="spellStart"/>
            <w:r w:rsidRPr="00BE23CE">
              <w:rPr>
                <w:rFonts w:ascii="Arial" w:hAnsi="Arial" w:cs="Arial"/>
                <w:lang w:val="en-GB"/>
              </w:rPr>
              <w:t>cavernoma</w:t>
            </w:r>
            <w:proofErr w:type="spellEnd"/>
            <w:r>
              <w:rPr>
                <w:rFonts w:ascii="Arial" w:hAnsi="Arial" w:cs="Arial"/>
                <w:lang w:val="en-GB"/>
              </w:rPr>
              <w:t xml:space="preserve">, </w:t>
            </w:r>
            <w:proofErr w:type="spellStart"/>
            <w:r>
              <w:rPr>
                <w:rFonts w:ascii="Arial" w:hAnsi="Arial" w:cs="Arial"/>
                <w:lang w:val="en-GB"/>
              </w:rPr>
              <w:t>s</w:t>
            </w:r>
            <w:r w:rsidRPr="00BE23CE">
              <w:rPr>
                <w:rFonts w:ascii="Arial" w:hAnsi="Arial" w:cs="Arial"/>
                <w:lang w:val="en-GB"/>
              </w:rPr>
              <w:t>plenomegaly</w:t>
            </w:r>
            <w:proofErr w:type="spellEnd"/>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lastRenderedPageBreak/>
              <w:t>UPN12</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F/32</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Portal vein thrombosis</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UPN13</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M/52</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proofErr w:type="spellStart"/>
            <w:r>
              <w:rPr>
                <w:rFonts w:ascii="Arial" w:hAnsi="Arial" w:cs="Arial"/>
                <w:lang w:val="en-GB"/>
              </w:rPr>
              <w:t>S</w:t>
            </w:r>
            <w:r w:rsidRPr="00BE23CE">
              <w:rPr>
                <w:rFonts w:ascii="Arial" w:hAnsi="Arial" w:cs="Arial"/>
                <w:lang w:val="en-GB"/>
              </w:rPr>
              <w:t>plenomegaly</w:t>
            </w:r>
            <w:proofErr w:type="spellEnd"/>
          </w:p>
        </w:tc>
        <w:tc>
          <w:tcPr>
            <w:tcW w:w="5103"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 xml:space="preserve">Evaluate </w:t>
            </w:r>
            <w:proofErr w:type="spellStart"/>
            <w:r w:rsidRPr="00BE23CE">
              <w:rPr>
                <w:rFonts w:ascii="Arial" w:hAnsi="Arial" w:cs="Arial"/>
                <w:lang w:val="en-GB"/>
              </w:rPr>
              <w:t>splenomegaly</w:t>
            </w:r>
            <w:proofErr w:type="spellEnd"/>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UPN14</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F/46</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P</w:t>
            </w:r>
            <w:r w:rsidRPr="00BE23CE">
              <w:rPr>
                <w:rFonts w:ascii="Arial" w:hAnsi="Arial" w:cs="Arial"/>
                <w:lang w:val="en-GB"/>
              </w:rPr>
              <w:t xml:space="preserve">ortal </w:t>
            </w:r>
            <w:proofErr w:type="spellStart"/>
            <w:r w:rsidRPr="00BE23CE">
              <w:rPr>
                <w:rFonts w:ascii="Arial" w:hAnsi="Arial" w:cs="Arial"/>
                <w:lang w:val="en-GB"/>
              </w:rPr>
              <w:t>cavernoma</w:t>
            </w:r>
            <w:proofErr w:type="spellEnd"/>
            <w:r>
              <w:rPr>
                <w:rFonts w:ascii="Arial" w:hAnsi="Arial" w:cs="Arial"/>
                <w:lang w:val="en-GB"/>
              </w:rPr>
              <w:t xml:space="preserve">, </w:t>
            </w:r>
            <w:proofErr w:type="spellStart"/>
            <w:r w:rsidRPr="00BE23CE">
              <w:rPr>
                <w:rFonts w:ascii="Arial" w:hAnsi="Arial" w:cs="Arial"/>
                <w:lang w:val="en-GB"/>
              </w:rPr>
              <w:t>splenomegaly</w:t>
            </w:r>
            <w:proofErr w:type="spellEnd"/>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UPN15</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M/49</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R</w:t>
            </w:r>
            <w:r w:rsidRPr="00BE23CE">
              <w:rPr>
                <w:rFonts w:ascii="Arial" w:hAnsi="Arial" w:cs="Arial"/>
                <w:lang w:val="en-GB"/>
              </w:rPr>
              <w:t>enal vein thrombosis</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Screen</w:t>
            </w:r>
            <w:r>
              <w:rPr>
                <w:rFonts w:ascii="Arial" w:hAnsi="Arial" w:cs="Arial"/>
                <w:sz w:val="24"/>
                <w:szCs w:val="24"/>
                <w:lang w:val="en-GB"/>
              </w:rPr>
              <w:t xml:space="preserve"> 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UPN16</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F/37</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Platelet</w:t>
            </w:r>
            <w:r>
              <w:rPr>
                <w:rFonts w:ascii="Arial" w:hAnsi="Arial" w:cs="Arial"/>
                <w:lang w:val="en-GB"/>
              </w:rPr>
              <w:t xml:space="preserve">s = </w:t>
            </w:r>
            <w:r w:rsidRPr="00BE23CE">
              <w:rPr>
                <w:rFonts w:ascii="Arial" w:hAnsi="Arial" w:cs="Arial"/>
                <w:lang w:val="en-GB"/>
              </w:rPr>
              <w:t>343 x10</w:t>
            </w:r>
            <w:r>
              <w:rPr>
                <w:rFonts w:ascii="Arial" w:hAnsi="Arial" w:cs="Arial"/>
                <w:lang w:val="en-GB"/>
              </w:rPr>
              <w:t>E+9</w:t>
            </w:r>
            <w:r w:rsidRPr="00BE23CE">
              <w:rPr>
                <w:rFonts w:ascii="Arial" w:hAnsi="Arial" w:cs="Arial"/>
                <w:lang w:val="en-GB"/>
              </w:rPr>
              <w:t>/L</w:t>
            </w:r>
          </w:p>
        </w:tc>
        <w:tc>
          <w:tcPr>
            <w:tcW w:w="5103"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 xml:space="preserve">Evaluate </w:t>
            </w:r>
            <w:proofErr w:type="spellStart"/>
            <w:r w:rsidRPr="00BE23CE">
              <w:rPr>
                <w:rFonts w:ascii="Arial" w:hAnsi="Arial" w:cs="Arial"/>
                <w:lang w:val="en-GB"/>
              </w:rPr>
              <w:t>thrombocytosis</w:t>
            </w:r>
            <w:proofErr w:type="spellEnd"/>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UPN17</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M/71</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proofErr w:type="spellStart"/>
            <w:r>
              <w:rPr>
                <w:rFonts w:ascii="Arial" w:hAnsi="Arial" w:cs="Arial"/>
                <w:lang w:val="en-GB"/>
              </w:rPr>
              <w:t>S</w:t>
            </w:r>
            <w:r w:rsidRPr="00BE23CE">
              <w:rPr>
                <w:rFonts w:ascii="Arial" w:hAnsi="Arial" w:cs="Arial"/>
                <w:lang w:val="en-GB"/>
              </w:rPr>
              <w:t>plenomegaly</w:t>
            </w:r>
            <w:proofErr w:type="spellEnd"/>
          </w:p>
        </w:tc>
        <w:tc>
          <w:tcPr>
            <w:tcW w:w="5103"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 xml:space="preserve">Evaluate </w:t>
            </w:r>
            <w:proofErr w:type="spellStart"/>
            <w:r w:rsidRPr="00BE23CE">
              <w:rPr>
                <w:rFonts w:ascii="Arial" w:hAnsi="Arial" w:cs="Arial"/>
                <w:lang w:val="en-GB"/>
              </w:rPr>
              <w:t>splenomegaly</w:t>
            </w:r>
            <w:proofErr w:type="spellEnd"/>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UPN18</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F/46</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Portal</w:t>
            </w:r>
            <w:r>
              <w:rPr>
                <w:rFonts w:ascii="Arial" w:hAnsi="Arial" w:cs="Arial"/>
                <w:lang w:val="en-GB"/>
              </w:rPr>
              <w:t>, me</w:t>
            </w:r>
            <w:r w:rsidRPr="00BE23CE">
              <w:rPr>
                <w:rFonts w:ascii="Arial" w:hAnsi="Arial" w:cs="Arial"/>
                <w:lang w:val="en-GB"/>
              </w:rPr>
              <w:t>senteric vein thrombos</w:t>
            </w:r>
            <w:r>
              <w:rPr>
                <w:rFonts w:ascii="Arial" w:hAnsi="Arial" w:cs="Arial"/>
                <w:lang w:val="en-GB"/>
              </w:rPr>
              <w:t>e</w:t>
            </w:r>
            <w:r w:rsidRPr="00BE23CE">
              <w:rPr>
                <w:rFonts w:ascii="Arial" w:hAnsi="Arial" w:cs="Arial"/>
                <w:lang w:val="en-GB"/>
              </w:rPr>
              <w:t>s</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UPN19</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F/54</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P</w:t>
            </w:r>
            <w:r w:rsidRPr="00BE23CE">
              <w:rPr>
                <w:rFonts w:ascii="Arial" w:hAnsi="Arial" w:cs="Arial"/>
                <w:lang w:val="en-GB"/>
              </w:rPr>
              <w:t>ortal vein thrombosis</w:t>
            </w:r>
            <w:r>
              <w:rPr>
                <w:rFonts w:ascii="Arial" w:hAnsi="Arial" w:cs="Arial"/>
                <w:lang w:val="en-GB"/>
              </w:rPr>
              <w:t xml:space="preserve">, </w:t>
            </w:r>
            <w:r w:rsidRPr="00BE23CE">
              <w:rPr>
                <w:rFonts w:ascii="Arial" w:hAnsi="Arial" w:cs="Arial"/>
                <w:lang w:val="en-GB"/>
              </w:rPr>
              <w:t>Budd-</w:t>
            </w:r>
            <w:proofErr w:type="spellStart"/>
            <w:r w:rsidRPr="00BE23CE">
              <w:rPr>
                <w:rFonts w:ascii="Arial" w:hAnsi="Arial" w:cs="Arial"/>
                <w:lang w:val="en-GB"/>
              </w:rPr>
              <w:t>Chiari</w:t>
            </w:r>
            <w:proofErr w:type="spellEnd"/>
            <w:r w:rsidRPr="00BE23CE">
              <w:rPr>
                <w:rFonts w:ascii="Arial" w:hAnsi="Arial" w:cs="Arial"/>
                <w:lang w:val="en-GB"/>
              </w:rPr>
              <w:t xml:space="preserve"> syndrome</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UPN20</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M/29</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P</w:t>
            </w:r>
            <w:r w:rsidRPr="00BE23CE">
              <w:rPr>
                <w:rFonts w:ascii="Arial" w:hAnsi="Arial" w:cs="Arial"/>
                <w:lang w:val="en-GB"/>
              </w:rPr>
              <w:t>latelet</w:t>
            </w:r>
            <w:r>
              <w:rPr>
                <w:rFonts w:ascii="Arial" w:hAnsi="Arial" w:cs="Arial"/>
                <w:lang w:val="en-GB"/>
              </w:rPr>
              <w:t xml:space="preserve">s = </w:t>
            </w:r>
            <w:r w:rsidRPr="00BE23CE">
              <w:rPr>
                <w:rFonts w:ascii="Arial" w:hAnsi="Arial" w:cs="Arial"/>
                <w:lang w:val="en-GB"/>
              </w:rPr>
              <w:t>343 x</w:t>
            </w:r>
            <w:r>
              <w:rPr>
                <w:rFonts w:ascii="Arial" w:hAnsi="Arial" w:cs="Arial"/>
                <w:lang w:val="en-GB"/>
              </w:rPr>
              <w:t xml:space="preserve"> </w:t>
            </w:r>
            <w:r w:rsidRPr="00BE23CE">
              <w:rPr>
                <w:rFonts w:ascii="Arial" w:hAnsi="Arial" w:cs="Arial"/>
                <w:lang w:val="en-GB"/>
              </w:rPr>
              <w:t>10</w:t>
            </w:r>
            <w:r>
              <w:rPr>
                <w:rFonts w:ascii="Arial" w:hAnsi="Arial" w:cs="Arial"/>
                <w:lang w:val="en-GB"/>
              </w:rPr>
              <w:t>E+9</w:t>
            </w:r>
            <w:r w:rsidRPr="00BE23CE">
              <w:rPr>
                <w:rFonts w:ascii="Arial" w:hAnsi="Arial" w:cs="Arial"/>
                <w:lang w:val="en-GB"/>
              </w:rPr>
              <w:t>/L</w:t>
            </w:r>
          </w:p>
        </w:tc>
        <w:tc>
          <w:tcPr>
            <w:tcW w:w="5103"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 xml:space="preserve">Evaluate </w:t>
            </w:r>
            <w:proofErr w:type="spellStart"/>
            <w:r w:rsidRPr="00BE23CE">
              <w:rPr>
                <w:rFonts w:ascii="Arial" w:hAnsi="Arial" w:cs="Arial"/>
                <w:lang w:val="en-GB"/>
              </w:rPr>
              <w:t>thrombocytosis</w:t>
            </w:r>
            <w:proofErr w:type="spellEnd"/>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UPN21</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M/52</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rPr>
            </w:pPr>
            <w:proofErr w:type="spellStart"/>
            <w:r w:rsidRPr="00BE23CE">
              <w:rPr>
                <w:rFonts w:ascii="Arial" w:hAnsi="Arial" w:cs="Arial"/>
              </w:rPr>
              <w:t>Idiopathic</w:t>
            </w:r>
            <w:proofErr w:type="spellEnd"/>
            <w:r w:rsidRPr="00BE23CE">
              <w:rPr>
                <w:rFonts w:ascii="Arial" w:hAnsi="Arial" w:cs="Arial"/>
              </w:rPr>
              <w:t xml:space="preserve"> </w:t>
            </w:r>
            <w:proofErr w:type="spellStart"/>
            <w:r w:rsidRPr="00BE23CE">
              <w:rPr>
                <w:rFonts w:ascii="Arial" w:hAnsi="Arial" w:cs="Arial"/>
              </w:rPr>
              <w:t>mesenteric</w:t>
            </w:r>
            <w:proofErr w:type="spellEnd"/>
            <w:r w:rsidRPr="00BE23CE">
              <w:rPr>
                <w:rFonts w:ascii="Arial" w:hAnsi="Arial" w:cs="Arial"/>
              </w:rPr>
              <w:t xml:space="preserve"> </w:t>
            </w:r>
            <w:proofErr w:type="spellStart"/>
            <w:r w:rsidRPr="00BE23CE">
              <w:rPr>
                <w:rFonts w:ascii="Arial" w:hAnsi="Arial" w:cs="Arial"/>
              </w:rPr>
              <w:t>vein</w:t>
            </w:r>
            <w:proofErr w:type="spellEnd"/>
            <w:r w:rsidRPr="00BE23CE">
              <w:rPr>
                <w:rFonts w:ascii="Arial" w:hAnsi="Arial" w:cs="Arial"/>
              </w:rPr>
              <w:t xml:space="preserve"> </w:t>
            </w:r>
            <w:proofErr w:type="spellStart"/>
            <w:r w:rsidRPr="00BE23CE">
              <w:rPr>
                <w:rFonts w:ascii="Arial" w:hAnsi="Arial" w:cs="Arial"/>
              </w:rPr>
              <w:t>thrombosis</w:t>
            </w:r>
            <w:proofErr w:type="spellEnd"/>
          </w:p>
          <w:p w:rsidR="00BB133F" w:rsidRPr="00BE23CE" w:rsidRDefault="00BB133F" w:rsidP="00EE23DC">
            <w:pPr>
              <w:pStyle w:val="NormaleWeb"/>
              <w:spacing w:before="0" w:beforeAutospacing="0" w:after="0" w:afterAutospacing="0" w:line="360" w:lineRule="auto"/>
              <w:jc w:val="center"/>
              <w:rPr>
                <w:rFonts w:ascii="Arial" w:hAnsi="Arial" w:cs="Arial"/>
              </w:rPr>
            </w:pP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UPN22</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F/53</w:t>
            </w:r>
          </w:p>
        </w:tc>
        <w:tc>
          <w:tcPr>
            <w:tcW w:w="4786" w:type="dxa"/>
          </w:tcPr>
          <w:p w:rsidR="00BB133F" w:rsidRPr="002C34C3" w:rsidRDefault="00BB133F" w:rsidP="00EE23DC">
            <w:pPr>
              <w:pStyle w:val="NormaleWeb"/>
              <w:spacing w:before="0" w:beforeAutospacing="0" w:after="0" w:afterAutospacing="0" w:line="360" w:lineRule="auto"/>
              <w:jc w:val="center"/>
              <w:rPr>
                <w:rFonts w:ascii="Arial" w:hAnsi="Arial" w:cs="Arial"/>
              </w:rPr>
            </w:pPr>
            <w:proofErr w:type="spellStart"/>
            <w:r w:rsidRPr="002C34C3">
              <w:rPr>
                <w:rFonts w:ascii="Arial" w:hAnsi="Arial" w:cs="Arial"/>
              </w:rPr>
              <w:t>Eosinophilia</w:t>
            </w:r>
            <w:proofErr w:type="spellEnd"/>
            <w:r w:rsidRPr="002C34C3">
              <w:rPr>
                <w:rFonts w:ascii="Arial" w:hAnsi="Arial" w:cs="Arial"/>
              </w:rPr>
              <w:t>, WBC = 10 x E+9/L)</w:t>
            </w:r>
          </w:p>
        </w:tc>
        <w:tc>
          <w:tcPr>
            <w:tcW w:w="5103"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 xml:space="preserve">Evaluate </w:t>
            </w:r>
            <w:proofErr w:type="spellStart"/>
            <w:r>
              <w:rPr>
                <w:rFonts w:ascii="Arial" w:hAnsi="Arial" w:cs="Arial"/>
                <w:lang w:val="en-GB"/>
              </w:rPr>
              <w:t>eosinophilia</w:t>
            </w:r>
            <w:proofErr w:type="spellEnd"/>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UPN23</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F/70</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proofErr w:type="spellStart"/>
            <w:r w:rsidRPr="00BE23CE">
              <w:rPr>
                <w:rFonts w:ascii="Arial" w:hAnsi="Arial" w:cs="Arial"/>
                <w:lang w:val="en-GB"/>
              </w:rPr>
              <w:t>Hematocrit</w:t>
            </w:r>
            <w:proofErr w:type="spellEnd"/>
            <w:r w:rsidRPr="00BE23CE">
              <w:rPr>
                <w:rFonts w:ascii="Arial" w:hAnsi="Arial" w:cs="Arial"/>
                <w:lang w:val="en-GB"/>
              </w:rPr>
              <w:t xml:space="preserve"> = 47,6%</w:t>
            </w:r>
          </w:p>
        </w:tc>
        <w:tc>
          <w:tcPr>
            <w:tcW w:w="5103"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 xml:space="preserve">Evaluate </w:t>
            </w:r>
            <w:proofErr w:type="spellStart"/>
            <w:r>
              <w:rPr>
                <w:rFonts w:ascii="Arial" w:hAnsi="Arial" w:cs="Arial"/>
                <w:lang w:val="en-GB"/>
              </w:rPr>
              <w:t>polycythaemia</w:t>
            </w:r>
            <w:proofErr w:type="spellEnd"/>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UPN24</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F/43</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Idiopathic spleen vein thrombosis</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UPN25</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M/20</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Idiopathic portal vein thrombosis</w:t>
            </w:r>
            <w:r>
              <w:rPr>
                <w:rFonts w:ascii="Arial" w:hAnsi="Arial" w:cs="Arial"/>
                <w:lang w:val="en-GB"/>
              </w:rPr>
              <w:t>, B</w:t>
            </w:r>
            <w:r w:rsidRPr="00BE23CE">
              <w:rPr>
                <w:rFonts w:ascii="Arial" w:hAnsi="Arial" w:cs="Arial"/>
                <w:lang w:val="en-GB"/>
              </w:rPr>
              <w:t>udd-</w:t>
            </w:r>
            <w:proofErr w:type="spellStart"/>
            <w:r w:rsidRPr="00BE23CE">
              <w:rPr>
                <w:rFonts w:ascii="Arial" w:hAnsi="Arial" w:cs="Arial"/>
                <w:lang w:val="en-GB"/>
              </w:rPr>
              <w:t>Chiari</w:t>
            </w:r>
            <w:proofErr w:type="spellEnd"/>
            <w:r w:rsidRPr="00BE23CE">
              <w:rPr>
                <w:rFonts w:ascii="Arial" w:hAnsi="Arial" w:cs="Arial"/>
                <w:lang w:val="en-GB"/>
              </w:rPr>
              <w:t xml:space="preserve"> syndrome</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UPN26</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M/49</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P</w:t>
            </w:r>
            <w:r w:rsidRPr="00BE23CE">
              <w:rPr>
                <w:rFonts w:ascii="Arial" w:hAnsi="Arial" w:cs="Arial"/>
                <w:lang w:val="en-GB"/>
              </w:rPr>
              <w:t xml:space="preserve">ortal </w:t>
            </w:r>
            <w:proofErr w:type="spellStart"/>
            <w:r w:rsidRPr="00BE23CE">
              <w:rPr>
                <w:rFonts w:ascii="Arial" w:hAnsi="Arial" w:cs="Arial"/>
                <w:lang w:val="en-GB"/>
              </w:rPr>
              <w:t>cavernoma</w:t>
            </w:r>
            <w:proofErr w:type="spellEnd"/>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color w:val="202124"/>
                <w:sz w:val="24"/>
                <w:szCs w:val="24"/>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p w:rsidR="00BB133F" w:rsidRPr="00BE23CE" w:rsidRDefault="00BB133F" w:rsidP="00EE23DC">
            <w:pPr>
              <w:pStyle w:val="NormaleWeb"/>
              <w:spacing w:before="0" w:beforeAutospacing="0" w:after="0" w:afterAutospacing="0" w:line="360" w:lineRule="auto"/>
              <w:jc w:val="center"/>
              <w:rPr>
                <w:rFonts w:ascii="Arial" w:hAnsi="Arial" w:cs="Arial"/>
                <w:lang w:val="en-GB"/>
              </w:rPr>
            </w:pP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UPN27</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F/70</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P</w:t>
            </w:r>
            <w:r w:rsidRPr="00BE23CE">
              <w:rPr>
                <w:rFonts w:ascii="Arial" w:hAnsi="Arial" w:cs="Arial"/>
                <w:lang w:val="en-GB"/>
              </w:rPr>
              <w:t>ulmonary post-embolic hypertension</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UPN28</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M/39</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sidRPr="00BE23CE">
              <w:rPr>
                <w:rFonts w:ascii="Arial" w:hAnsi="Arial" w:cs="Arial"/>
                <w:lang w:val="en-GB"/>
              </w:rPr>
              <w:t>Portal vein thrombosis</w:t>
            </w:r>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t>UPN29</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F/55a</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r>
              <w:rPr>
                <w:rFonts w:ascii="Arial" w:hAnsi="Arial" w:cs="Arial"/>
                <w:lang w:val="en-GB"/>
              </w:rPr>
              <w:t>P</w:t>
            </w:r>
            <w:r w:rsidRPr="00BE23CE">
              <w:rPr>
                <w:rFonts w:ascii="Arial" w:hAnsi="Arial" w:cs="Arial"/>
                <w:lang w:val="en-GB"/>
              </w:rPr>
              <w:t xml:space="preserve">ortal </w:t>
            </w:r>
            <w:proofErr w:type="spellStart"/>
            <w:r w:rsidRPr="00BE23CE">
              <w:rPr>
                <w:rFonts w:ascii="Arial" w:hAnsi="Arial" w:cs="Arial"/>
                <w:lang w:val="en-GB"/>
              </w:rPr>
              <w:t>cavernoma</w:t>
            </w:r>
            <w:proofErr w:type="spellEnd"/>
          </w:p>
        </w:tc>
        <w:tc>
          <w:tcPr>
            <w:tcW w:w="5103" w:type="dxa"/>
          </w:tcPr>
          <w:p w:rsidR="00BB133F" w:rsidRPr="00BE23CE" w:rsidRDefault="00BB133F" w:rsidP="00EE23DC">
            <w:pPr>
              <w:pStyle w:val="PreformattatoHTML"/>
              <w:shd w:val="clear" w:color="auto" w:fill="F8F9FA"/>
              <w:spacing w:line="360" w:lineRule="auto"/>
              <w:jc w:val="center"/>
              <w:rPr>
                <w:rFonts w:ascii="Arial" w:hAnsi="Arial" w:cs="Arial"/>
                <w:lang w:val="en-GB"/>
              </w:rPr>
            </w:pPr>
            <w:r w:rsidRPr="00BE23CE">
              <w:rPr>
                <w:rFonts w:ascii="Arial" w:hAnsi="Arial" w:cs="Arial"/>
                <w:sz w:val="24"/>
                <w:szCs w:val="24"/>
                <w:lang w:val="en-GB"/>
              </w:rPr>
              <w:t xml:space="preserve">Screen </w:t>
            </w:r>
            <w:r>
              <w:rPr>
                <w:rFonts w:ascii="Arial" w:hAnsi="Arial" w:cs="Arial"/>
                <w:sz w:val="24"/>
                <w:szCs w:val="24"/>
                <w:lang w:val="en-GB"/>
              </w:rPr>
              <w:t>for MPN</w:t>
            </w:r>
          </w:p>
        </w:tc>
      </w:tr>
      <w:tr w:rsidR="00BB133F" w:rsidRPr="00684608" w:rsidTr="00EE23DC">
        <w:tc>
          <w:tcPr>
            <w:tcW w:w="1101"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Pr>
                <w:rFonts w:ascii="Arial" w:hAnsi="Arial" w:cs="Arial"/>
              </w:rPr>
              <w:lastRenderedPageBreak/>
              <w:t>UPN30</w:t>
            </w:r>
          </w:p>
        </w:tc>
        <w:tc>
          <w:tcPr>
            <w:tcW w:w="1167" w:type="dxa"/>
          </w:tcPr>
          <w:p w:rsidR="00BB133F" w:rsidRPr="00BE23CE" w:rsidRDefault="00BB133F" w:rsidP="00EE23DC">
            <w:pPr>
              <w:pStyle w:val="NormaleWeb"/>
              <w:spacing w:before="0" w:beforeAutospacing="0" w:after="0" w:afterAutospacing="0" w:line="360" w:lineRule="auto"/>
              <w:jc w:val="center"/>
              <w:rPr>
                <w:rFonts w:ascii="Arial" w:hAnsi="Arial" w:cs="Arial"/>
              </w:rPr>
            </w:pPr>
            <w:r w:rsidRPr="00BE23CE">
              <w:rPr>
                <w:rFonts w:ascii="Arial" w:hAnsi="Arial" w:cs="Arial"/>
              </w:rPr>
              <w:t>M/75</w:t>
            </w:r>
          </w:p>
        </w:tc>
        <w:tc>
          <w:tcPr>
            <w:tcW w:w="4786" w:type="dxa"/>
          </w:tcPr>
          <w:p w:rsidR="00BB133F" w:rsidRPr="00BE23CE" w:rsidRDefault="00BB133F" w:rsidP="00EE23DC">
            <w:pPr>
              <w:pStyle w:val="NormaleWeb"/>
              <w:spacing w:before="0" w:beforeAutospacing="0" w:after="0" w:afterAutospacing="0" w:line="360" w:lineRule="auto"/>
              <w:jc w:val="center"/>
              <w:rPr>
                <w:rFonts w:ascii="Arial" w:hAnsi="Arial" w:cs="Arial"/>
                <w:lang w:val="en-GB"/>
              </w:rPr>
            </w:pPr>
            <w:proofErr w:type="spellStart"/>
            <w:r>
              <w:rPr>
                <w:rFonts w:ascii="Arial" w:hAnsi="Arial" w:cs="Arial"/>
                <w:lang w:val="en-GB"/>
              </w:rPr>
              <w:t>S</w:t>
            </w:r>
            <w:r w:rsidRPr="00BE23CE">
              <w:rPr>
                <w:rFonts w:ascii="Arial" w:hAnsi="Arial" w:cs="Arial"/>
                <w:lang w:val="en-GB"/>
              </w:rPr>
              <w:t>plenomegaly</w:t>
            </w:r>
            <w:proofErr w:type="spellEnd"/>
          </w:p>
        </w:tc>
        <w:tc>
          <w:tcPr>
            <w:tcW w:w="5103" w:type="dxa"/>
          </w:tcPr>
          <w:p w:rsidR="00BB133F" w:rsidRPr="00BE23CE" w:rsidRDefault="00BB133F" w:rsidP="00EE23DC">
            <w:pPr>
              <w:jc w:val="center"/>
              <w:rPr>
                <w:rFonts w:ascii="Arial" w:hAnsi="Arial" w:cs="Arial"/>
                <w:sz w:val="24"/>
                <w:szCs w:val="24"/>
                <w:lang w:val="en-GB" w:eastAsia="it-IT"/>
              </w:rPr>
            </w:pPr>
            <w:r>
              <w:rPr>
                <w:rFonts w:ascii="Arial" w:hAnsi="Arial" w:cs="Arial"/>
                <w:sz w:val="24"/>
                <w:szCs w:val="24"/>
                <w:lang w:val="en-GB" w:eastAsia="it-IT"/>
              </w:rPr>
              <w:t xml:space="preserve">Evaluate </w:t>
            </w:r>
            <w:proofErr w:type="spellStart"/>
            <w:r w:rsidRPr="00BE23CE">
              <w:rPr>
                <w:rFonts w:ascii="Arial" w:hAnsi="Arial" w:cs="Arial"/>
                <w:sz w:val="24"/>
                <w:szCs w:val="24"/>
                <w:lang w:val="en-GB" w:eastAsia="it-IT"/>
              </w:rPr>
              <w:t>splenomegaly</w:t>
            </w:r>
            <w:proofErr w:type="spellEnd"/>
          </w:p>
        </w:tc>
      </w:tr>
    </w:tbl>
    <w:p w:rsidR="00BB133F" w:rsidRDefault="00BB133F" w:rsidP="00BB133F"/>
    <w:p w:rsidR="00510060" w:rsidRDefault="00510060" w:rsidP="00BB133F">
      <w:pPr>
        <w:rPr>
          <w:rFonts w:ascii="Arial" w:hAnsi="Arial" w:cs="Arial"/>
          <w:b/>
          <w:lang w:val="en-GB"/>
        </w:rPr>
        <w:sectPr w:rsidR="00510060" w:rsidSect="003F5CE4">
          <w:headerReference w:type="default" r:id="rId8"/>
          <w:pgSz w:w="16838" w:h="11906" w:orient="landscape"/>
          <w:pgMar w:top="1134" w:right="1417" w:bottom="1134" w:left="1134" w:header="708" w:footer="708" w:gutter="0"/>
          <w:cols w:space="708"/>
          <w:docGrid w:linePitch="360"/>
        </w:sectPr>
      </w:pPr>
    </w:p>
    <w:p w:rsidR="00BB133F" w:rsidRPr="0000495D" w:rsidRDefault="00BB133F" w:rsidP="00BB133F">
      <w:pPr>
        <w:autoSpaceDE w:val="0"/>
        <w:autoSpaceDN w:val="0"/>
        <w:adjustRightInd w:val="0"/>
        <w:rPr>
          <w:rFonts w:ascii="Arial" w:hAnsi="Arial" w:cs="Arial"/>
          <w:sz w:val="24"/>
          <w:szCs w:val="24"/>
          <w:lang w:val="en-GB"/>
        </w:rPr>
      </w:pPr>
      <w:r w:rsidRPr="0000495D">
        <w:rPr>
          <w:rFonts w:ascii="Arial" w:hAnsi="Arial" w:cs="Arial"/>
          <w:b/>
          <w:sz w:val="24"/>
          <w:szCs w:val="24"/>
          <w:lang w:val="en-GB"/>
        </w:rPr>
        <w:lastRenderedPageBreak/>
        <w:t>Supplement</w:t>
      </w:r>
      <w:r w:rsidR="00510060">
        <w:rPr>
          <w:rFonts w:ascii="Arial" w:hAnsi="Arial" w:cs="Arial"/>
          <w:b/>
          <w:sz w:val="24"/>
          <w:szCs w:val="24"/>
          <w:lang w:val="en-GB"/>
        </w:rPr>
        <w:t>al</w:t>
      </w:r>
      <w:r w:rsidRPr="0000495D">
        <w:rPr>
          <w:rFonts w:ascii="Arial" w:hAnsi="Arial" w:cs="Arial"/>
          <w:b/>
          <w:sz w:val="24"/>
          <w:szCs w:val="24"/>
          <w:lang w:val="en-GB"/>
        </w:rPr>
        <w:t xml:space="preserve"> Table 2.</w:t>
      </w:r>
      <w:r w:rsidRPr="0000495D">
        <w:rPr>
          <w:rFonts w:ascii="Arial" w:hAnsi="Arial" w:cs="Arial"/>
          <w:sz w:val="24"/>
          <w:szCs w:val="24"/>
          <w:lang w:val="en-GB"/>
        </w:rPr>
        <w:t xml:space="preserve"> </w:t>
      </w:r>
      <w:r w:rsidRPr="0000495D">
        <w:rPr>
          <w:rFonts w:ascii="Arial" w:eastAsia="Calibri" w:hAnsi="Arial" w:cs="Arial"/>
          <w:sz w:val="24"/>
          <w:szCs w:val="24"/>
          <w:lang w:val="en-GB"/>
        </w:rPr>
        <w:t>European Health Interview Survey (EHIS)-</w:t>
      </w:r>
      <w:r w:rsidRPr="0000495D">
        <w:rPr>
          <w:rFonts w:ascii="Arial" w:hAnsi="Arial" w:cs="Arial"/>
          <w:sz w:val="24"/>
          <w:szCs w:val="24"/>
          <w:lang w:val="en-GB"/>
        </w:rPr>
        <w:t xml:space="preserve">defined co-morbidities present in CMD-NBV subjects at the first referral at our </w:t>
      </w:r>
      <w:proofErr w:type="spellStart"/>
      <w:r w:rsidRPr="0000495D">
        <w:rPr>
          <w:rFonts w:ascii="Arial" w:hAnsi="Arial" w:cs="Arial"/>
          <w:sz w:val="24"/>
          <w:szCs w:val="24"/>
          <w:lang w:val="en-GB"/>
        </w:rPr>
        <w:t>Center</w:t>
      </w:r>
      <w:proofErr w:type="spellEnd"/>
    </w:p>
    <w:p w:rsidR="00BB133F" w:rsidRPr="00BE23CE" w:rsidRDefault="00BB133F" w:rsidP="00BB133F">
      <w:pPr>
        <w:pStyle w:val="p"/>
        <w:shd w:val="clear" w:color="auto" w:fill="FFFFFF"/>
        <w:spacing w:before="0" w:beforeAutospacing="0" w:after="0" w:afterAutospacing="0" w:line="360" w:lineRule="auto"/>
        <w:rPr>
          <w:rFonts w:ascii="Arial" w:hAnsi="Arial" w:cs="Arial"/>
          <w:lang w:val="en-GB"/>
        </w:rPr>
      </w:pPr>
    </w:p>
    <w:tbl>
      <w:tblPr>
        <w:tblStyle w:val="Grigliatabella"/>
        <w:tblW w:w="0" w:type="auto"/>
        <w:tblLook w:val="04A0"/>
      </w:tblPr>
      <w:tblGrid>
        <w:gridCol w:w="5211"/>
        <w:gridCol w:w="4111"/>
      </w:tblGrid>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b/>
                <w:lang w:val="en-GB"/>
              </w:rPr>
            </w:pPr>
            <w:r w:rsidRPr="00BE23CE">
              <w:rPr>
                <w:rFonts w:ascii="Arial" w:hAnsi="Arial" w:cs="Arial"/>
                <w:b/>
                <w:lang w:val="en-GB"/>
              </w:rPr>
              <w:t>Co</w:t>
            </w:r>
            <w:r>
              <w:rPr>
                <w:rFonts w:ascii="Arial" w:hAnsi="Arial" w:cs="Arial"/>
                <w:b/>
                <w:lang w:val="en-GB"/>
              </w:rPr>
              <w:t>-</w:t>
            </w:r>
            <w:r w:rsidRPr="00BE23CE">
              <w:rPr>
                <w:rFonts w:ascii="Arial" w:hAnsi="Arial" w:cs="Arial"/>
                <w:b/>
                <w:lang w:val="en-GB"/>
              </w:rPr>
              <w:t xml:space="preserve">morbidity present </w:t>
            </w:r>
          </w:p>
        </w:tc>
        <w:tc>
          <w:tcPr>
            <w:tcW w:w="4111" w:type="dxa"/>
          </w:tcPr>
          <w:p w:rsidR="00BB133F" w:rsidRPr="00BE23CE" w:rsidRDefault="00BB133F" w:rsidP="00EE23DC">
            <w:pPr>
              <w:pStyle w:val="p"/>
              <w:spacing w:before="0" w:beforeAutospacing="0" w:after="0" w:afterAutospacing="0" w:line="360" w:lineRule="auto"/>
              <w:rPr>
                <w:rFonts w:ascii="Arial" w:hAnsi="Arial" w:cs="Arial"/>
                <w:b/>
                <w:lang w:val="en-GB"/>
              </w:rPr>
            </w:pPr>
            <w:r w:rsidRPr="00BE23CE">
              <w:rPr>
                <w:rFonts w:ascii="Arial" w:hAnsi="Arial" w:cs="Arial"/>
                <w:b/>
                <w:lang w:val="en-GB"/>
              </w:rPr>
              <w:t>Subjects number (%)</w:t>
            </w:r>
          </w:p>
          <w:p w:rsidR="00BB133F" w:rsidRPr="00BE23CE" w:rsidRDefault="00BB133F" w:rsidP="00EE23DC">
            <w:pPr>
              <w:pStyle w:val="p"/>
              <w:spacing w:before="0" w:beforeAutospacing="0" w:after="0" w:afterAutospacing="0" w:line="360" w:lineRule="auto"/>
              <w:rPr>
                <w:rFonts w:ascii="Arial" w:hAnsi="Arial" w:cs="Arial"/>
                <w:b/>
                <w:lang w:val="en-GB"/>
              </w:rPr>
            </w:pPr>
            <w:r w:rsidRPr="00BE23CE">
              <w:rPr>
                <w:rFonts w:ascii="Arial" w:hAnsi="Arial" w:cs="Arial"/>
                <w:b/>
                <w:lang w:val="en-GB"/>
              </w:rPr>
              <w:t>Total =30</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Asthma (allergic asthma included)</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0</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 xml:space="preserve"> Chronic </w:t>
            </w:r>
            <w:proofErr w:type="spellStart"/>
            <w:r w:rsidRPr="00BE23CE">
              <w:rPr>
                <w:rFonts w:ascii="Arial" w:hAnsi="Arial" w:cs="Arial"/>
                <w:lang w:val="en-GB"/>
              </w:rPr>
              <w:t>bromchitis</w:t>
            </w:r>
            <w:proofErr w:type="spellEnd"/>
            <w:r w:rsidRPr="00BE23CE">
              <w:rPr>
                <w:rFonts w:ascii="Arial" w:hAnsi="Arial" w:cs="Arial"/>
                <w:lang w:val="en-GB"/>
              </w:rPr>
              <w:t>, chronic obstructive pulmonary disease, emphysema</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1 (3)</w:t>
            </w:r>
          </w:p>
          <w:p w:rsidR="00BB133F" w:rsidRPr="00BE23CE" w:rsidRDefault="00BB133F" w:rsidP="00EE23DC">
            <w:pPr>
              <w:pStyle w:val="p"/>
              <w:spacing w:before="0" w:beforeAutospacing="0" w:after="0" w:afterAutospacing="0" w:line="360" w:lineRule="auto"/>
              <w:rPr>
                <w:rFonts w:ascii="Arial" w:hAnsi="Arial" w:cs="Arial"/>
                <w:lang w:val="en-GB"/>
              </w:rPr>
            </w:pP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 xml:space="preserve"> Myocardial infarction (heart attack) or chronic consequences of myocardial infarction</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2 (7)</w:t>
            </w:r>
          </w:p>
          <w:p w:rsidR="00BB133F" w:rsidRPr="00BE23CE" w:rsidRDefault="00BB133F" w:rsidP="00EE23DC">
            <w:pPr>
              <w:pStyle w:val="p"/>
              <w:spacing w:before="0" w:beforeAutospacing="0" w:after="0" w:afterAutospacing="0" w:line="360" w:lineRule="auto"/>
              <w:rPr>
                <w:rFonts w:ascii="Arial" w:hAnsi="Arial" w:cs="Arial"/>
                <w:lang w:val="en-GB"/>
              </w:rPr>
            </w:pP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Coronary heart disease or angina pectoris</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 xml:space="preserve">2 (7) </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High blood pressure (hypertension)</w:t>
            </w:r>
          </w:p>
        </w:tc>
        <w:tc>
          <w:tcPr>
            <w:tcW w:w="4111" w:type="dxa"/>
          </w:tcPr>
          <w:p w:rsidR="00BB133F" w:rsidRPr="00BE23CE" w:rsidRDefault="00BB133F" w:rsidP="00EE23DC">
            <w:pPr>
              <w:pStyle w:val="p"/>
              <w:spacing w:before="0" w:beforeAutospacing="0" w:after="0" w:afterAutospacing="0" w:line="360" w:lineRule="auto"/>
              <w:rPr>
                <w:rFonts w:ascii="Arial" w:hAnsi="Arial" w:cs="Arial"/>
              </w:rPr>
            </w:pPr>
            <w:r w:rsidRPr="00BE23CE">
              <w:rPr>
                <w:rFonts w:ascii="Arial" w:hAnsi="Arial" w:cs="Arial"/>
              </w:rPr>
              <w:t>10 (33)</w:t>
            </w:r>
          </w:p>
          <w:p w:rsidR="00BB133F" w:rsidRPr="00BE23CE" w:rsidRDefault="00BB133F" w:rsidP="00EE23DC">
            <w:pPr>
              <w:pStyle w:val="p"/>
              <w:spacing w:before="0" w:beforeAutospacing="0" w:after="0" w:afterAutospacing="0" w:line="360" w:lineRule="auto"/>
              <w:rPr>
                <w:rFonts w:ascii="Arial" w:hAnsi="Arial" w:cs="Arial"/>
              </w:rPr>
            </w:pP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 xml:space="preserve"> Stroke (cerebral haemorrhage, cerebral thrombosis) or chronic consequences of stroke</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3 (10)</w:t>
            </w:r>
          </w:p>
          <w:p w:rsidR="00BB133F" w:rsidRPr="00BE23CE" w:rsidRDefault="00BB133F" w:rsidP="00EE23DC">
            <w:pPr>
              <w:pStyle w:val="p"/>
              <w:spacing w:before="0" w:beforeAutospacing="0" w:after="0" w:afterAutospacing="0" w:line="360" w:lineRule="auto"/>
              <w:rPr>
                <w:rFonts w:ascii="Arial" w:hAnsi="Arial" w:cs="Arial"/>
                <w:lang w:val="en-GB"/>
              </w:rPr>
            </w:pP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proofErr w:type="spellStart"/>
            <w:r w:rsidRPr="00BE23CE">
              <w:rPr>
                <w:rFonts w:ascii="Arial" w:hAnsi="Arial" w:cs="Arial"/>
                <w:lang w:val="en-GB"/>
              </w:rPr>
              <w:t>Arthrosis</w:t>
            </w:r>
            <w:proofErr w:type="spellEnd"/>
            <w:r w:rsidRPr="00BE23CE">
              <w:rPr>
                <w:rFonts w:ascii="Arial" w:hAnsi="Arial" w:cs="Arial"/>
                <w:lang w:val="en-GB"/>
              </w:rPr>
              <w:t xml:space="preserve"> (arthritis excluded)</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0</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Low back disorder or other chronic back defect</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0</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Neck disorder or other chronic neck defect</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0</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 xml:space="preserve"> Diabetes</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1 (3)</w:t>
            </w:r>
          </w:p>
          <w:p w:rsidR="00BB133F" w:rsidRPr="00BE23CE" w:rsidRDefault="00BB133F" w:rsidP="00EE23DC">
            <w:pPr>
              <w:pStyle w:val="p"/>
              <w:spacing w:before="0" w:beforeAutospacing="0" w:after="0" w:afterAutospacing="0" w:line="360" w:lineRule="auto"/>
              <w:rPr>
                <w:rFonts w:ascii="Arial" w:hAnsi="Arial" w:cs="Arial"/>
                <w:lang w:val="en-GB"/>
              </w:rPr>
            </w:pP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Allergy, such as rhinitis, hay fever, eye inflammation, dermatitis, food allergy or other allergy (allergic asthma excluded)</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 xml:space="preserve">1 (3) </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Cirrhosis of the liver</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0</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Urinary incontinence, problems in controlling the bladder</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0</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Kidney problems</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 xml:space="preserve">1 (3) </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Depression</w:t>
            </w:r>
          </w:p>
        </w:tc>
        <w:tc>
          <w:tcPr>
            <w:tcW w:w="41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 xml:space="preserve">1 (3) </w:t>
            </w:r>
          </w:p>
        </w:tc>
      </w:tr>
    </w:tbl>
    <w:p w:rsidR="00BB133F" w:rsidRDefault="00BB133F" w:rsidP="00BB133F">
      <w:pPr>
        <w:pStyle w:val="p"/>
        <w:shd w:val="clear" w:color="auto" w:fill="FFFFFF"/>
        <w:spacing w:before="0" w:beforeAutospacing="0" w:after="0" w:afterAutospacing="0" w:line="360" w:lineRule="auto"/>
        <w:rPr>
          <w:rFonts w:ascii="Arial" w:hAnsi="Arial" w:cs="Arial"/>
          <w:lang w:val="en-GB"/>
        </w:rPr>
      </w:pPr>
    </w:p>
    <w:p w:rsidR="00BB133F" w:rsidRPr="00BE23CE" w:rsidRDefault="00BB133F" w:rsidP="00BB133F">
      <w:pPr>
        <w:autoSpaceDE w:val="0"/>
        <w:autoSpaceDN w:val="0"/>
        <w:adjustRightInd w:val="0"/>
        <w:rPr>
          <w:rFonts w:ascii="Arial" w:eastAsia="Calibri" w:hAnsi="Arial" w:cs="Arial"/>
          <w:sz w:val="24"/>
          <w:szCs w:val="24"/>
          <w:lang w:val="en-GB"/>
        </w:rPr>
        <w:sectPr w:rsidR="00BB133F" w:rsidRPr="00BE23CE" w:rsidSect="00510060">
          <w:pgSz w:w="11906" w:h="16838"/>
          <w:pgMar w:top="1134" w:right="1134" w:bottom="1417" w:left="1134" w:header="708" w:footer="708" w:gutter="0"/>
          <w:cols w:space="708"/>
          <w:docGrid w:linePitch="360"/>
        </w:sectPr>
      </w:pPr>
      <w:r w:rsidRPr="00A31E5C">
        <w:rPr>
          <w:rFonts w:ascii="Arial" w:eastAsia="Calibri" w:hAnsi="Arial" w:cs="Arial"/>
          <w:sz w:val="24"/>
          <w:szCs w:val="24"/>
          <w:lang w:val="en-GB"/>
        </w:rPr>
        <w:t>Note:</w:t>
      </w:r>
      <w:r>
        <w:rPr>
          <w:rFonts w:ascii="Arial" w:eastAsia="Calibri" w:hAnsi="Arial" w:cs="Arial"/>
          <w:b/>
          <w:sz w:val="24"/>
          <w:szCs w:val="24"/>
          <w:lang w:val="en-GB"/>
        </w:rPr>
        <w:t xml:space="preserve"> </w:t>
      </w:r>
      <w:r w:rsidRPr="00BE23CE">
        <w:rPr>
          <w:rFonts w:ascii="Arial" w:eastAsia="Calibri" w:hAnsi="Arial" w:cs="Arial"/>
          <w:sz w:val="24"/>
          <w:szCs w:val="24"/>
          <w:lang w:val="en-GB"/>
        </w:rPr>
        <w:t xml:space="preserve">The 15 illnesses diagnosed before or in conjunction with CMD-NBV included hypertension, coronary heart disease and angina pectoris, myocardial infarction, stroke, diabetes, asthma, chronic bronchitis, chronic obstructive pulmonary disease and emphysema, urinary incontinence, kidney problems, spinal and back pain, neck spine pain, allergies, cirrhosis of the liver, </w:t>
      </w:r>
      <w:proofErr w:type="spellStart"/>
      <w:r w:rsidRPr="00BE23CE">
        <w:rPr>
          <w:rFonts w:ascii="Arial" w:eastAsia="Calibri" w:hAnsi="Arial" w:cs="Arial"/>
          <w:sz w:val="24"/>
          <w:szCs w:val="24"/>
          <w:lang w:val="en-GB"/>
        </w:rPr>
        <w:t>arthrosis</w:t>
      </w:r>
      <w:proofErr w:type="spellEnd"/>
      <w:r w:rsidRPr="00BE23CE">
        <w:rPr>
          <w:rFonts w:ascii="Arial" w:eastAsia="Calibri" w:hAnsi="Arial" w:cs="Arial"/>
          <w:sz w:val="24"/>
          <w:szCs w:val="24"/>
          <w:lang w:val="en-GB"/>
        </w:rPr>
        <w:t>.</w:t>
      </w:r>
    </w:p>
    <w:p w:rsidR="00BB133F" w:rsidRPr="00BE23CE" w:rsidRDefault="00BB133F" w:rsidP="00BB133F">
      <w:pPr>
        <w:pStyle w:val="p"/>
        <w:shd w:val="clear" w:color="auto" w:fill="FFFFFF"/>
        <w:spacing w:before="0" w:beforeAutospacing="0" w:after="0" w:afterAutospacing="0" w:line="360" w:lineRule="auto"/>
        <w:rPr>
          <w:rFonts w:ascii="Arial" w:hAnsi="Arial" w:cs="Arial"/>
          <w:lang w:val="en-GB"/>
        </w:rPr>
      </w:pPr>
      <w:r w:rsidRPr="00BE23CE">
        <w:rPr>
          <w:rFonts w:ascii="Arial" w:hAnsi="Arial" w:cs="Arial"/>
          <w:b/>
          <w:lang w:val="en-GB"/>
        </w:rPr>
        <w:lastRenderedPageBreak/>
        <w:t>Supplement</w:t>
      </w:r>
      <w:r w:rsidR="00510060">
        <w:rPr>
          <w:rFonts w:ascii="Arial" w:hAnsi="Arial" w:cs="Arial"/>
          <w:b/>
          <w:lang w:val="en-GB"/>
        </w:rPr>
        <w:t>al</w:t>
      </w:r>
      <w:r w:rsidRPr="00BE23CE">
        <w:rPr>
          <w:rFonts w:ascii="Arial" w:hAnsi="Arial" w:cs="Arial"/>
          <w:b/>
          <w:lang w:val="en-GB"/>
        </w:rPr>
        <w:t xml:space="preserve"> Table 3</w:t>
      </w:r>
      <w:r w:rsidRPr="00BE23CE">
        <w:rPr>
          <w:rFonts w:ascii="Arial" w:hAnsi="Arial" w:cs="Arial"/>
          <w:lang w:val="en-GB"/>
        </w:rPr>
        <w:t xml:space="preserve">. </w:t>
      </w:r>
      <w:proofErr w:type="spellStart"/>
      <w:r w:rsidRPr="00BE23CE">
        <w:rPr>
          <w:rFonts w:ascii="Arial" w:hAnsi="Arial" w:cs="Arial"/>
          <w:lang w:val="en-GB"/>
        </w:rPr>
        <w:t>Horvat</w:t>
      </w:r>
      <w:proofErr w:type="spellEnd"/>
      <w:r w:rsidRPr="00BE23CE">
        <w:rPr>
          <w:rFonts w:ascii="Arial" w:hAnsi="Arial" w:cs="Arial"/>
          <w:lang w:val="en-GB"/>
        </w:rPr>
        <w:t xml:space="preserve"> defined </w:t>
      </w:r>
      <w:proofErr w:type="spellStart"/>
      <w:r w:rsidRPr="00BE23CE">
        <w:rPr>
          <w:rFonts w:ascii="Arial" w:hAnsi="Arial" w:cs="Arial"/>
          <w:lang w:val="en-GB"/>
        </w:rPr>
        <w:t>comorbidities</w:t>
      </w:r>
      <w:proofErr w:type="spellEnd"/>
      <w:r w:rsidRPr="00BE23CE">
        <w:rPr>
          <w:rFonts w:ascii="Arial" w:hAnsi="Arial" w:cs="Arial"/>
          <w:lang w:val="en-GB"/>
        </w:rPr>
        <w:t xml:space="preserve"> present in subjects with CMD-NBV. Data obtained at the first referral at our </w:t>
      </w:r>
      <w:proofErr w:type="spellStart"/>
      <w:r w:rsidRPr="00BE23CE">
        <w:rPr>
          <w:rFonts w:ascii="Arial" w:hAnsi="Arial" w:cs="Arial"/>
          <w:lang w:val="en-GB"/>
        </w:rPr>
        <w:t>Center</w:t>
      </w:r>
      <w:proofErr w:type="spellEnd"/>
    </w:p>
    <w:p w:rsidR="00BB133F" w:rsidRPr="00BE23CE" w:rsidRDefault="00BB133F" w:rsidP="00BB133F">
      <w:pPr>
        <w:pStyle w:val="p"/>
        <w:shd w:val="clear" w:color="auto" w:fill="FFFFFF"/>
        <w:spacing w:before="0" w:beforeAutospacing="0" w:after="0" w:afterAutospacing="0" w:line="360" w:lineRule="auto"/>
        <w:rPr>
          <w:rFonts w:ascii="Arial" w:hAnsi="Arial" w:cs="Arial"/>
          <w:lang w:val="en-GB"/>
        </w:rPr>
      </w:pPr>
    </w:p>
    <w:tbl>
      <w:tblPr>
        <w:tblStyle w:val="Grigliatabella"/>
        <w:tblW w:w="0" w:type="auto"/>
        <w:tblLook w:val="04A0"/>
      </w:tblPr>
      <w:tblGrid>
        <w:gridCol w:w="5211"/>
        <w:gridCol w:w="3119"/>
      </w:tblGrid>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p>
        </w:tc>
        <w:tc>
          <w:tcPr>
            <w:tcW w:w="3119" w:type="dxa"/>
          </w:tcPr>
          <w:p w:rsidR="00BB133F" w:rsidRPr="00BE23CE" w:rsidRDefault="00BB133F" w:rsidP="00EE23DC">
            <w:pPr>
              <w:pStyle w:val="p"/>
              <w:spacing w:before="0" w:beforeAutospacing="0" w:after="0" w:afterAutospacing="0" w:line="360" w:lineRule="auto"/>
              <w:rPr>
                <w:rFonts w:ascii="Arial" w:hAnsi="Arial" w:cs="Arial"/>
                <w:b/>
                <w:lang w:val="en-GB"/>
              </w:rPr>
            </w:pPr>
            <w:r w:rsidRPr="00BE23CE">
              <w:rPr>
                <w:rFonts w:ascii="Arial" w:hAnsi="Arial" w:cs="Arial"/>
                <w:b/>
                <w:lang w:val="en-GB"/>
              </w:rPr>
              <w:t>Subjects number (%)</w:t>
            </w:r>
          </w:p>
          <w:p w:rsidR="00BB133F" w:rsidRPr="00BE23CE" w:rsidRDefault="00BB133F" w:rsidP="00EE23DC">
            <w:pPr>
              <w:pStyle w:val="p"/>
              <w:spacing w:before="0" w:beforeAutospacing="0" w:after="0" w:afterAutospacing="0" w:line="360" w:lineRule="auto"/>
              <w:rPr>
                <w:rFonts w:ascii="Arial" w:hAnsi="Arial" w:cs="Arial"/>
                <w:b/>
                <w:lang w:val="en-GB"/>
              </w:rPr>
            </w:pPr>
            <w:r w:rsidRPr="00BE23CE">
              <w:rPr>
                <w:rFonts w:ascii="Arial" w:hAnsi="Arial" w:cs="Arial"/>
                <w:b/>
                <w:lang w:val="en-GB"/>
              </w:rPr>
              <w:t>Total=30</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Cardiovascular/metabolic</w:t>
            </w:r>
          </w:p>
        </w:tc>
        <w:tc>
          <w:tcPr>
            <w:tcW w:w="3119"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12 (40)</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Autoimmune</w:t>
            </w:r>
          </w:p>
        </w:tc>
        <w:tc>
          <w:tcPr>
            <w:tcW w:w="3119"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10 (33)</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Inflammatory</w:t>
            </w:r>
          </w:p>
        </w:tc>
        <w:tc>
          <w:tcPr>
            <w:tcW w:w="3119"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0</w:t>
            </w:r>
          </w:p>
        </w:tc>
      </w:tr>
      <w:tr w:rsidR="00BB133F" w:rsidRPr="00BE23CE" w:rsidTr="00EE23DC">
        <w:tc>
          <w:tcPr>
            <w:tcW w:w="5211"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Malignancy</w:t>
            </w:r>
          </w:p>
        </w:tc>
        <w:tc>
          <w:tcPr>
            <w:tcW w:w="3119" w:type="dxa"/>
          </w:tcPr>
          <w:p w:rsidR="00BB133F" w:rsidRPr="00BE23CE" w:rsidRDefault="00BB133F" w:rsidP="00EE23DC">
            <w:pPr>
              <w:pStyle w:val="p"/>
              <w:spacing w:before="0" w:beforeAutospacing="0" w:after="0" w:afterAutospacing="0" w:line="360" w:lineRule="auto"/>
              <w:rPr>
                <w:rFonts w:ascii="Arial" w:hAnsi="Arial" w:cs="Arial"/>
                <w:lang w:val="en-GB"/>
              </w:rPr>
            </w:pPr>
            <w:r w:rsidRPr="00BE23CE">
              <w:rPr>
                <w:rFonts w:ascii="Arial" w:hAnsi="Arial" w:cs="Arial"/>
                <w:lang w:val="en-GB"/>
              </w:rPr>
              <w:t>4 (13)</w:t>
            </w:r>
          </w:p>
        </w:tc>
      </w:tr>
    </w:tbl>
    <w:p w:rsidR="00510060" w:rsidRDefault="00510060" w:rsidP="00BB133F">
      <w:pPr>
        <w:pStyle w:val="p"/>
        <w:shd w:val="clear" w:color="auto" w:fill="FFFFFF"/>
        <w:spacing w:before="0" w:beforeAutospacing="0" w:after="0" w:afterAutospacing="0" w:line="360" w:lineRule="auto"/>
        <w:rPr>
          <w:rFonts w:ascii="Arial" w:hAnsi="Arial" w:cs="Arial"/>
          <w:lang w:val="en-GB"/>
        </w:rPr>
        <w:sectPr w:rsidR="00510060" w:rsidSect="00ED5BD1">
          <w:pgSz w:w="11906" w:h="16838"/>
          <w:pgMar w:top="1134" w:right="1134" w:bottom="1417" w:left="1134" w:header="708" w:footer="708" w:gutter="0"/>
          <w:cols w:space="708"/>
          <w:docGrid w:linePitch="360"/>
        </w:sectPr>
      </w:pPr>
    </w:p>
    <w:p w:rsidR="00BB133F" w:rsidRPr="00BE23CE" w:rsidRDefault="00BB133F" w:rsidP="00BB133F">
      <w:pPr>
        <w:pStyle w:val="NormaleWeb"/>
        <w:spacing w:before="0" w:beforeAutospacing="0" w:after="0" w:afterAutospacing="0" w:line="360" w:lineRule="auto"/>
        <w:rPr>
          <w:rFonts w:ascii="Arial" w:hAnsi="Arial" w:cs="Arial"/>
          <w:color w:val="333333"/>
          <w:lang w:val="en-GB"/>
        </w:rPr>
      </w:pPr>
      <w:r>
        <w:rPr>
          <w:rFonts w:ascii="Arial" w:hAnsi="Arial" w:cs="Arial"/>
          <w:b/>
          <w:color w:val="333333"/>
          <w:lang w:val="en-GB"/>
        </w:rPr>
        <w:lastRenderedPageBreak/>
        <w:t xml:space="preserve">Supplemental </w:t>
      </w:r>
      <w:r w:rsidR="00510060">
        <w:rPr>
          <w:rFonts w:ascii="Arial" w:hAnsi="Arial" w:cs="Arial"/>
          <w:b/>
          <w:color w:val="333333"/>
          <w:lang w:val="en-GB"/>
        </w:rPr>
        <w:t>T</w:t>
      </w:r>
      <w:r>
        <w:rPr>
          <w:rFonts w:ascii="Arial" w:hAnsi="Arial" w:cs="Arial"/>
          <w:b/>
          <w:color w:val="333333"/>
          <w:lang w:val="en-GB"/>
        </w:rPr>
        <w:t>able 4</w:t>
      </w:r>
      <w:r w:rsidRPr="00BE23CE">
        <w:rPr>
          <w:rFonts w:ascii="Arial" w:hAnsi="Arial" w:cs="Arial"/>
          <w:b/>
          <w:color w:val="333333"/>
          <w:lang w:val="en-GB"/>
        </w:rPr>
        <w:t>.</w:t>
      </w:r>
      <w:r w:rsidRPr="00BE23CE">
        <w:rPr>
          <w:rFonts w:ascii="Arial" w:hAnsi="Arial" w:cs="Arial"/>
          <w:color w:val="333333"/>
          <w:lang w:val="en-GB"/>
        </w:rPr>
        <w:t xml:space="preserve"> Putative </w:t>
      </w:r>
      <w:proofErr w:type="spellStart"/>
      <w:r w:rsidRPr="00BE23CE">
        <w:rPr>
          <w:rFonts w:ascii="Arial" w:hAnsi="Arial" w:cs="Arial"/>
          <w:color w:val="333333"/>
          <w:lang w:val="en-GB"/>
        </w:rPr>
        <w:t>germline</w:t>
      </w:r>
      <w:proofErr w:type="spellEnd"/>
      <w:r w:rsidRPr="00BE23CE">
        <w:rPr>
          <w:rFonts w:ascii="Arial" w:hAnsi="Arial" w:cs="Arial"/>
          <w:color w:val="333333"/>
          <w:lang w:val="en-GB"/>
        </w:rPr>
        <w:t xml:space="preserve"> variations in subjects with CMD-NBV</w:t>
      </w:r>
    </w:p>
    <w:tbl>
      <w:tblPr>
        <w:tblW w:w="14555" w:type="dxa"/>
        <w:tblBorders>
          <w:top w:val="single" w:sz="6" w:space="0" w:color="000000"/>
          <w:bottom w:val="single" w:sz="6" w:space="0" w:color="000000"/>
        </w:tblBorders>
        <w:tblLayout w:type="fixed"/>
        <w:tblCellMar>
          <w:top w:w="15" w:type="dxa"/>
          <w:left w:w="15" w:type="dxa"/>
          <w:bottom w:w="15" w:type="dxa"/>
          <w:right w:w="15" w:type="dxa"/>
        </w:tblCellMar>
        <w:tblLook w:val="04A0"/>
      </w:tblPr>
      <w:tblGrid>
        <w:gridCol w:w="947"/>
        <w:gridCol w:w="1134"/>
        <w:gridCol w:w="1417"/>
        <w:gridCol w:w="1560"/>
        <w:gridCol w:w="1701"/>
        <w:gridCol w:w="1559"/>
        <w:gridCol w:w="709"/>
        <w:gridCol w:w="1275"/>
        <w:gridCol w:w="2127"/>
        <w:gridCol w:w="2126"/>
      </w:tblGrid>
      <w:tr w:rsidR="00BB133F" w:rsidRPr="008767DC" w:rsidTr="00EE23DC">
        <w:trPr>
          <w:trHeight w:val="553"/>
          <w:tblHeader/>
        </w:trPr>
        <w:tc>
          <w:tcPr>
            <w:tcW w:w="947" w:type="dxa"/>
            <w:tcBorders>
              <w:top w:val="single" w:sz="6" w:space="0" w:color="auto"/>
              <w:left w:val="nil"/>
              <w:bottom w:val="single" w:sz="6" w:space="0" w:color="auto"/>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b/>
                <w:bCs/>
                <w:sz w:val="20"/>
                <w:szCs w:val="20"/>
              </w:rPr>
            </w:pPr>
            <w:proofErr w:type="spellStart"/>
            <w:r w:rsidRPr="008767DC">
              <w:rPr>
                <w:rFonts w:ascii="Arial" w:hAnsi="Arial" w:cs="Arial"/>
                <w:b/>
                <w:bCs/>
                <w:sz w:val="20"/>
                <w:szCs w:val="20"/>
              </w:rPr>
              <w:t>Patient</w:t>
            </w:r>
            <w:proofErr w:type="spellEnd"/>
            <w:r w:rsidRPr="008767DC">
              <w:rPr>
                <w:rFonts w:ascii="Arial" w:hAnsi="Arial" w:cs="Arial"/>
                <w:b/>
                <w:bCs/>
                <w:sz w:val="20"/>
                <w:szCs w:val="20"/>
              </w:rPr>
              <w:t xml:space="preserve"> ID</w:t>
            </w:r>
          </w:p>
        </w:tc>
        <w:tc>
          <w:tcPr>
            <w:tcW w:w="1134" w:type="dxa"/>
            <w:tcBorders>
              <w:top w:val="single" w:sz="6" w:space="0" w:color="auto"/>
              <w:left w:val="nil"/>
              <w:bottom w:val="single" w:sz="6" w:space="0" w:color="auto"/>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b/>
                <w:bCs/>
                <w:sz w:val="20"/>
                <w:szCs w:val="20"/>
              </w:rPr>
            </w:pPr>
            <w:r w:rsidRPr="008767DC">
              <w:rPr>
                <w:rFonts w:ascii="Arial" w:hAnsi="Arial" w:cs="Arial"/>
                <w:b/>
                <w:bCs/>
                <w:sz w:val="20"/>
                <w:szCs w:val="20"/>
              </w:rPr>
              <w:t>Gene</w:t>
            </w:r>
          </w:p>
        </w:tc>
        <w:tc>
          <w:tcPr>
            <w:tcW w:w="1417" w:type="dxa"/>
            <w:tcBorders>
              <w:top w:val="single" w:sz="6" w:space="0" w:color="auto"/>
              <w:left w:val="nil"/>
              <w:bottom w:val="single" w:sz="6" w:space="0" w:color="auto"/>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b/>
                <w:bCs/>
                <w:sz w:val="20"/>
                <w:szCs w:val="20"/>
              </w:rPr>
            </w:pPr>
            <w:r w:rsidRPr="008767DC">
              <w:rPr>
                <w:rFonts w:ascii="Arial" w:hAnsi="Arial" w:cs="Arial"/>
                <w:b/>
                <w:bCs/>
                <w:sz w:val="20"/>
                <w:szCs w:val="20"/>
              </w:rPr>
              <w:t xml:space="preserve">Nucleotide </w:t>
            </w:r>
            <w:proofErr w:type="spellStart"/>
            <w:r w:rsidRPr="008767DC">
              <w:rPr>
                <w:rFonts w:ascii="Arial" w:hAnsi="Arial" w:cs="Arial"/>
                <w:b/>
                <w:bCs/>
                <w:sz w:val="20"/>
                <w:szCs w:val="20"/>
              </w:rPr>
              <w:t>change</w:t>
            </w:r>
            <w:proofErr w:type="spellEnd"/>
          </w:p>
        </w:tc>
        <w:tc>
          <w:tcPr>
            <w:tcW w:w="1560" w:type="dxa"/>
            <w:tcBorders>
              <w:top w:val="single" w:sz="6" w:space="0" w:color="auto"/>
              <w:left w:val="nil"/>
              <w:bottom w:val="single" w:sz="6" w:space="0" w:color="auto"/>
              <w:right w:val="nil"/>
            </w:tcBorders>
            <w:vAlign w:val="center"/>
          </w:tcPr>
          <w:p w:rsidR="00BB133F" w:rsidRPr="008767DC" w:rsidRDefault="00BB133F" w:rsidP="00EE23DC">
            <w:pPr>
              <w:jc w:val="center"/>
              <w:rPr>
                <w:rFonts w:ascii="Arial" w:hAnsi="Arial" w:cs="Arial"/>
                <w:b/>
                <w:bCs/>
                <w:sz w:val="20"/>
                <w:szCs w:val="20"/>
              </w:rPr>
            </w:pPr>
            <w:proofErr w:type="spellStart"/>
            <w:r w:rsidRPr="008767DC">
              <w:rPr>
                <w:rFonts w:ascii="Arial" w:hAnsi="Arial" w:cs="Arial"/>
                <w:b/>
                <w:bCs/>
                <w:sz w:val="20"/>
                <w:szCs w:val="20"/>
              </w:rPr>
              <w:t>Aminoacid</w:t>
            </w:r>
            <w:proofErr w:type="spellEnd"/>
            <w:r w:rsidRPr="008767DC">
              <w:rPr>
                <w:rFonts w:ascii="Arial" w:hAnsi="Arial" w:cs="Arial"/>
                <w:b/>
                <w:bCs/>
                <w:sz w:val="20"/>
                <w:szCs w:val="20"/>
              </w:rPr>
              <w:t xml:space="preserve"> </w:t>
            </w:r>
            <w:proofErr w:type="spellStart"/>
            <w:r w:rsidRPr="008767DC">
              <w:rPr>
                <w:rFonts w:ascii="Arial" w:hAnsi="Arial" w:cs="Arial"/>
                <w:b/>
                <w:bCs/>
                <w:sz w:val="20"/>
                <w:szCs w:val="20"/>
              </w:rPr>
              <w:t>change</w:t>
            </w:r>
            <w:proofErr w:type="spellEnd"/>
          </w:p>
        </w:tc>
        <w:tc>
          <w:tcPr>
            <w:tcW w:w="1701" w:type="dxa"/>
            <w:tcBorders>
              <w:top w:val="single" w:sz="6" w:space="0" w:color="auto"/>
              <w:left w:val="nil"/>
              <w:bottom w:val="single" w:sz="6" w:space="0" w:color="auto"/>
              <w:right w:val="nil"/>
            </w:tcBorders>
            <w:vAlign w:val="center"/>
          </w:tcPr>
          <w:p w:rsidR="00BB133F" w:rsidRPr="008767DC" w:rsidRDefault="00BB133F" w:rsidP="00EE23DC">
            <w:pPr>
              <w:jc w:val="center"/>
              <w:rPr>
                <w:rFonts w:ascii="Arial" w:hAnsi="Arial" w:cs="Arial"/>
                <w:b/>
                <w:bCs/>
                <w:sz w:val="20"/>
                <w:szCs w:val="20"/>
              </w:rPr>
            </w:pPr>
            <w:proofErr w:type="spellStart"/>
            <w:r>
              <w:rPr>
                <w:rFonts w:ascii="Arial" w:hAnsi="Arial" w:cs="Arial"/>
                <w:b/>
                <w:bCs/>
                <w:sz w:val="20"/>
                <w:szCs w:val="20"/>
              </w:rPr>
              <w:t>Transcript</w:t>
            </w:r>
            <w:proofErr w:type="spellEnd"/>
            <w:r>
              <w:rPr>
                <w:rFonts w:ascii="Arial" w:hAnsi="Arial" w:cs="Arial"/>
                <w:b/>
                <w:bCs/>
                <w:sz w:val="20"/>
                <w:szCs w:val="20"/>
              </w:rPr>
              <w:t xml:space="preserve"> ID</w:t>
            </w:r>
          </w:p>
        </w:tc>
        <w:tc>
          <w:tcPr>
            <w:tcW w:w="1559" w:type="dxa"/>
            <w:tcBorders>
              <w:top w:val="single" w:sz="6" w:space="0" w:color="auto"/>
              <w:left w:val="nil"/>
              <w:bottom w:val="single" w:sz="6" w:space="0" w:color="auto"/>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b/>
                <w:bCs/>
                <w:sz w:val="20"/>
                <w:szCs w:val="20"/>
              </w:rPr>
            </w:pPr>
            <w:proofErr w:type="spellStart"/>
            <w:r w:rsidRPr="008767DC">
              <w:rPr>
                <w:rFonts w:ascii="Arial" w:hAnsi="Arial" w:cs="Arial"/>
                <w:b/>
                <w:bCs/>
                <w:sz w:val="20"/>
                <w:szCs w:val="20"/>
              </w:rPr>
              <w:t>Consequence</w:t>
            </w:r>
            <w:proofErr w:type="spellEnd"/>
          </w:p>
        </w:tc>
        <w:tc>
          <w:tcPr>
            <w:tcW w:w="709" w:type="dxa"/>
            <w:tcBorders>
              <w:top w:val="single" w:sz="6" w:space="0" w:color="auto"/>
              <w:left w:val="nil"/>
              <w:bottom w:val="single" w:sz="6" w:space="0" w:color="auto"/>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b/>
                <w:bCs/>
                <w:sz w:val="20"/>
                <w:szCs w:val="20"/>
              </w:rPr>
            </w:pPr>
            <w:r w:rsidRPr="008767DC">
              <w:rPr>
                <w:rFonts w:ascii="Arial" w:hAnsi="Arial" w:cs="Arial"/>
                <w:b/>
                <w:bCs/>
                <w:sz w:val="20"/>
                <w:szCs w:val="20"/>
              </w:rPr>
              <w:t>VAF (%)</w:t>
            </w:r>
          </w:p>
        </w:tc>
        <w:tc>
          <w:tcPr>
            <w:tcW w:w="1275" w:type="dxa"/>
            <w:tcBorders>
              <w:top w:val="single" w:sz="6" w:space="0" w:color="auto"/>
              <w:left w:val="nil"/>
              <w:bottom w:val="single" w:sz="6" w:space="0" w:color="auto"/>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b/>
                <w:bCs/>
                <w:sz w:val="20"/>
                <w:szCs w:val="20"/>
              </w:rPr>
            </w:pPr>
            <w:proofErr w:type="spellStart"/>
            <w:r w:rsidRPr="008767DC">
              <w:rPr>
                <w:rFonts w:ascii="Arial" w:hAnsi="Arial" w:cs="Arial"/>
                <w:b/>
                <w:bCs/>
                <w:sz w:val="20"/>
                <w:szCs w:val="20"/>
              </w:rPr>
              <w:t>ExAC</w:t>
            </w:r>
            <w:proofErr w:type="spellEnd"/>
            <w:r w:rsidRPr="008767DC">
              <w:rPr>
                <w:rFonts w:ascii="Arial" w:hAnsi="Arial" w:cs="Arial"/>
                <w:b/>
                <w:bCs/>
                <w:sz w:val="20"/>
                <w:szCs w:val="20"/>
              </w:rPr>
              <w:t xml:space="preserve"> </w:t>
            </w:r>
            <w:proofErr w:type="spellStart"/>
            <w:r w:rsidRPr="008767DC">
              <w:rPr>
                <w:rFonts w:ascii="Arial" w:hAnsi="Arial" w:cs="Arial"/>
                <w:b/>
                <w:bCs/>
                <w:sz w:val="20"/>
                <w:szCs w:val="20"/>
              </w:rPr>
              <w:t>Frequency</w:t>
            </w:r>
            <w:proofErr w:type="spellEnd"/>
          </w:p>
        </w:tc>
        <w:tc>
          <w:tcPr>
            <w:tcW w:w="2127" w:type="dxa"/>
            <w:tcBorders>
              <w:top w:val="single" w:sz="6" w:space="0" w:color="auto"/>
              <w:left w:val="nil"/>
              <w:bottom w:val="single" w:sz="6" w:space="0" w:color="auto"/>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b/>
                <w:bCs/>
                <w:sz w:val="20"/>
                <w:szCs w:val="20"/>
              </w:rPr>
            </w:pPr>
            <w:proofErr w:type="spellStart"/>
            <w:r w:rsidRPr="008767DC">
              <w:rPr>
                <w:rFonts w:ascii="Arial" w:hAnsi="Arial" w:cs="Arial"/>
                <w:b/>
                <w:bCs/>
                <w:sz w:val="20"/>
                <w:szCs w:val="20"/>
              </w:rPr>
              <w:t>ClinVar</w:t>
            </w:r>
            <w:proofErr w:type="spellEnd"/>
            <w:r w:rsidRPr="008767DC">
              <w:rPr>
                <w:rFonts w:ascii="Arial" w:hAnsi="Arial" w:cs="Arial"/>
                <w:b/>
                <w:bCs/>
                <w:sz w:val="20"/>
                <w:szCs w:val="20"/>
              </w:rPr>
              <w:t xml:space="preserve"> Status</w:t>
            </w:r>
          </w:p>
        </w:tc>
        <w:tc>
          <w:tcPr>
            <w:tcW w:w="2126" w:type="dxa"/>
            <w:tcBorders>
              <w:top w:val="single" w:sz="6" w:space="0" w:color="auto"/>
              <w:left w:val="nil"/>
              <w:bottom w:val="single" w:sz="6" w:space="0" w:color="auto"/>
              <w:right w:val="nil"/>
            </w:tcBorders>
            <w:vAlign w:val="center"/>
          </w:tcPr>
          <w:p w:rsidR="00BB133F" w:rsidRPr="008767DC" w:rsidRDefault="00BB133F" w:rsidP="00EE23DC">
            <w:pPr>
              <w:jc w:val="center"/>
              <w:rPr>
                <w:rFonts w:ascii="Arial" w:hAnsi="Arial" w:cs="Arial"/>
                <w:b/>
                <w:bCs/>
                <w:sz w:val="20"/>
                <w:szCs w:val="20"/>
              </w:rPr>
            </w:pPr>
            <w:r>
              <w:rPr>
                <w:rFonts w:ascii="Arial" w:hAnsi="Arial" w:cs="Arial"/>
                <w:b/>
                <w:bCs/>
                <w:sz w:val="20"/>
                <w:szCs w:val="20"/>
              </w:rPr>
              <w:t>Franklin Status</w:t>
            </w:r>
          </w:p>
        </w:tc>
      </w:tr>
      <w:tr w:rsidR="00BB133F" w:rsidRPr="008767DC" w:rsidTr="00EE23DC">
        <w:trPr>
          <w:trHeight w:val="553"/>
        </w:trPr>
        <w:tc>
          <w:tcPr>
            <w:tcW w:w="94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UPN4</w:t>
            </w:r>
          </w:p>
        </w:tc>
        <w:tc>
          <w:tcPr>
            <w:tcW w:w="1134"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i/>
                <w:sz w:val="20"/>
                <w:szCs w:val="20"/>
              </w:rPr>
            </w:pPr>
            <w:r w:rsidRPr="008767DC">
              <w:rPr>
                <w:rFonts w:ascii="Arial" w:hAnsi="Arial" w:cs="Arial"/>
                <w:i/>
                <w:sz w:val="20"/>
                <w:szCs w:val="20"/>
              </w:rPr>
              <w:t>ASXL1</w:t>
            </w:r>
          </w:p>
        </w:tc>
        <w:tc>
          <w:tcPr>
            <w:tcW w:w="141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lang w:val="en-GB"/>
              </w:rPr>
            </w:pPr>
            <w:r w:rsidRPr="008767DC">
              <w:rPr>
                <w:rFonts w:ascii="Arial" w:hAnsi="Arial" w:cs="Arial"/>
                <w:sz w:val="20"/>
                <w:szCs w:val="20"/>
                <w:lang w:val="en-GB"/>
              </w:rPr>
              <w:t>c.3306G&gt;T</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p.Glu1102Asp</w:t>
            </w:r>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NM_015338</w:t>
            </w:r>
          </w:p>
        </w:tc>
        <w:tc>
          <w:tcPr>
            <w:tcW w:w="155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missense</w:t>
            </w:r>
            <w:proofErr w:type="spellEnd"/>
          </w:p>
        </w:tc>
        <w:tc>
          <w:tcPr>
            <w:tcW w:w="70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52</w:t>
            </w:r>
          </w:p>
        </w:tc>
        <w:tc>
          <w:tcPr>
            <w:tcW w:w="1275"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0.01</w:t>
            </w:r>
          </w:p>
        </w:tc>
        <w:tc>
          <w:tcPr>
            <w:tcW w:w="212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benign</w:t>
            </w:r>
            <w:proofErr w:type="spellEnd"/>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polymorphism</w:t>
            </w:r>
            <w:proofErr w:type="spellEnd"/>
          </w:p>
        </w:tc>
      </w:tr>
      <w:tr w:rsidR="00BB133F" w:rsidRPr="008767DC" w:rsidTr="00EE23DC">
        <w:trPr>
          <w:trHeight w:val="553"/>
        </w:trPr>
        <w:tc>
          <w:tcPr>
            <w:tcW w:w="94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UPN5</w:t>
            </w:r>
          </w:p>
        </w:tc>
        <w:tc>
          <w:tcPr>
            <w:tcW w:w="1134"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i/>
                <w:sz w:val="20"/>
                <w:szCs w:val="20"/>
              </w:rPr>
            </w:pPr>
            <w:r w:rsidRPr="008767DC">
              <w:rPr>
                <w:rFonts w:ascii="Arial" w:hAnsi="Arial" w:cs="Arial"/>
                <w:i/>
                <w:sz w:val="20"/>
                <w:szCs w:val="20"/>
              </w:rPr>
              <w:t>DNMT3A</w:t>
            </w:r>
          </w:p>
        </w:tc>
        <w:tc>
          <w:tcPr>
            <w:tcW w:w="141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lang w:val="en-GB"/>
              </w:rPr>
            </w:pPr>
            <w:r w:rsidRPr="008767DC">
              <w:rPr>
                <w:rFonts w:ascii="Arial" w:hAnsi="Arial" w:cs="Arial"/>
                <w:sz w:val="20"/>
                <w:szCs w:val="20"/>
                <w:lang w:val="en-GB"/>
              </w:rPr>
              <w:t>c.1502A&gt;G</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p.Asn501Serqì</w:t>
            </w:r>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NM_022552</w:t>
            </w:r>
          </w:p>
        </w:tc>
        <w:tc>
          <w:tcPr>
            <w:tcW w:w="155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missense</w:t>
            </w:r>
            <w:proofErr w:type="spellEnd"/>
          </w:p>
        </w:tc>
        <w:tc>
          <w:tcPr>
            <w:tcW w:w="70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42</w:t>
            </w:r>
          </w:p>
        </w:tc>
        <w:tc>
          <w:tcPr>
            <w:tcW w:w="1275"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0.0003</w:t>
            </w:r>
          </w:p>
        </w:tc>
        <w:tc>
          <w:tcPr>
            <w:tcW w:w="212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likely</w:t>
            </w:r>
            <w:proofErr w:type="spellEnd"/>
            <w:r w:rsidRPr="008767DC">
              <w:rPr>
                <w:rFonts w:ascii="Arial" w:hAnsi="Arial" w:cs="Arial"/>
                <w:sz w:val="20"/>
                <w:szCs w:val="20"/>
              </w:rPr>
              <w:t xml:space="preserve"> </w:t>
            </w:r>
            <w:proofErr w:type="spellStart"/>
            <w:r w:rsidRPr="008767DC">
              <w:rPr>
                <w:rFonts w:ascii="Arial" w:hAnsi="Arial" w:cs="Arial"/>
                <w:sz w:val="20"/>
                <w:szCs w:val="20"/>
              </w:rPr>
              <w:t>benign</w:t>
            </w:r>
            <w:proofErr w:type="spellEnd"/>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likely</w:t>
            </w:r>
            <w:proofErr w:type="spellEnd"/>
            <w:r>
              <w:rPr>
                <w:rFonts w:ascii="Arial" w:hAnsi="Arial" w:cs="Arial"/>
                <w:sz w:val="20"/>
                <w:szCs w:val="20"/>
              </w:rPr>
              <w:t xml:space="preserve"> </w:t>
            </w:r>
            <w:proofErr w:type="spellStart"/>
            <w:r>
              <w:rPr>
                <w:rFonts w:ascii="Arial" w:hAnsi="Arial" w:cs="Arial"/>
                <w:sz w:val="20"/>
                <w:szCs w:val="20"/>
              </w:rPr>
              <w:t>benign</w:t>
            </w:r>
            <w:proofErr w:type="spellEnd"/>
          </w:p>
        </w:tc>
      </w:tr>
      <w:tr w:rsidR="00BB133F" w:rsidRPr="008767DC" w:rsidTr="00EE23DC">
        <w:trPr>
          <w:trHeight w:val="277"/>
        </w:trPr>
        <w:tc>
          <w:tcPr>
            <w:tcW w:w="94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UPN8</w:t>
            </w:r>
          </w:p>
        </w:tc>
        <w:tc>
          <w:tcPr>
            <w:tcW w:w="1134"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Style w:val="Enfasicorsivo"/>
                <w:rFonts w:ascii="Arial" w:hAnsi="Arial" w:cs="Arial"/>
                <w:sz w:val="20"/>
                <w:szCs w:val="20"/>
              </w:rPr>
              <w:t>RUNX1</w:t>
            </w:r>
          </w:p>
        </w:tc>
        <w:tc>
          <w:tcPr>
            <w:tcW w:w="141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c.167C&gt;T</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p.Leu56Ser</w:t>
            </w:r>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color w:val="212121"/>
                <w:sz w:val="20"/>
                <w:szCs w:val="20"/>
                <w:shd w:val="clear" w:color="auto" w:fill="FFFFFF"/>
              </w:rPr>
              <w:t>NM_001754.5</w:t>
            </w:r>
          </w:p>
        </w:tc>
        <w:tc>
          <w:tcPr>
            <w:tcW w:w="1559"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missense</w:t>
            </w:r>
            <w:proofErr w:type="spellEnd"/>
            <w:r w:rsidRPr="008767DC">
              <w:rPr>
                <w:rFonts w:ascii="Arial" w:hAnsi="Arial" w:cs="Arial"/>
                <w:sz w:val="20"/>
                <w:szCs w:val="20"/>
              </w:rPr>
              <w:t xml:space="preserve"> </w:t>
            </w:r>
          </w:p>
        </w:tc>
        <w:tc>
          <w:tcPr>
            <w:tcW w:w="709"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51</w:t>
            </w:r>
          </w:p>
        </w:tc>
        <w:tc>
          <w:tcPr>
            <w:tcW w:w="1275"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0.01629</w:t>
            </w:r>
          </w:p>
        </w:tc>
        <w:tc>
          <w:tcPr>
            <w:tcW w:w="212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benign</w:t>
            </w:r>
            <w:proofErr w:type="spellEnd"/>
            <w:r w:rsidRPr="008767DC">
              <w:rPr>
                <w:rFonts w:ascii="Arial" w:hAnsi="Arial" w:cs="Arial"/>
                <w:sz w:val="20"/>
                <w:szCs w:val="20"/>
              </w:rPr>
              <w:t xml:space="preserve"> </w:t>
            </w:r>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benign</w:t>
            </w:r>
            <w:proofErr w:type="spellEnd"/>
          </w:p>
        </w:tc>
      </w:tr>
      <w:tr w:rsidR="00BB133F" w:rsidRPr="008767DC" w:rsidTr="00EE23DC">
        <w:trPr>
          <w:trHeight w:val="540"/>
        </w:trPr>
        <w:tc>
          <w:tcPr>
            <w:tcW w:w="94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UPN10</w:t>
            </w:r>
          </w:p>
        </w:tc>
        <w:tc>
          <w:tcPr>
            <w:tcW w:w="1134"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CUX1</w:t>
            </w:r>
          </w:p>
        </w:tc>
        <w:tc>
          <w:tcPr>
            <w:tcW w:w="141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c.2371G&gt;A</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p.Ala791Thr</w:t>
            </w:r>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N</w:t>
            </w:r>
            <w:r>
              <w:rPr>
                <w:rFonts w:ascii="Arial" w:hAnsi="Arial" w:cs="Arial"/>
                <w:sz w:val="20"/>
                <w:szCs w:val="20"/>
              </w:rPr>
              <w:t>M_181552</w:t>
            </w:r>
            <w:r w:rsidRPr="008767DC">
              <w:rPr>
                <w:rFonts w:ascii="Arial" w:hAnsi="Arial" w:cs="Arial"/>
                <w:sz w:val="20"/>
                <w:szCs w:val="20"/>
              </w:rPr>
              <w:t>R</w:t>
            </w:r>
          </w:p>
        </w:tc>
        <w:tc>
          <w:tcPr>
            <w:tcW w:w="1559"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missense</w:t>
            </w:r>
            <w:proofErr w:type="spellEnd"/>
          </w:p>
        </w:tc>
        <w:tc>
          <w:tcPr>
            <w:tcW w:w="709"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47</w:t>
            </w:r>
          </w:p>
        </w:tc>
        <w:tc>
          <w:tcPr>
            <w:tcW w:w="1275"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Pr>
                <w:rFonts w:ascii="Arial" w:hAnsi="Arial" w:cs="Arial"/>
                <w:sz w:val="20"/>
                <w:szCs w:val="20"/>
              </w:rPr>
              <w:t>0.000017</w:t>
            </w:r>
          </w:p>
        </w:tc>
        <w:tc>
          <w:tcPr>
            <w:tcW w:w="212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Pr>
                <w:rFonts w:ascii="Arial" w:hAnsi="Arial" w:cs="Arial"/>
                <w:sz w:val="20"/>
                <w:szCs w:val="20"/>
              </w:rPr>
              <w:t>NR</w:t>
            </w:r>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uncertain</w:t>
            </w:r>
            <w:proofErr w:type="spellEnd"/>
            <w:r>
              <w:rPr>
                <w:rFonts w:ascii="Arial" w:hAnsi="Arial" w:cs="Arial"/>
                <w:sz w:val="20"/>
                <w:szCs w:val="20"/>
              </w:rPr>
              <w:t xml:space="preserve"> </w:t>
            </w:r>
            <w:proofErr w:type="spellStart"/>
            <w:r>
              <w:rPr>
                <w:rFonts w:ascii="Arial" w:hAnsi="Arial" w:cs="Arial"/>
                <w:sz w:val="20"/>
                <w:szCs w:val="20"/>
              </w:rPr>
              <w:t>signficance</w:t>
            </w:r>
            <w:proofErr w:type="spellEnd"/>
          </w:p>
        </w:tc>
      </w:tr>
      <w:tr w:rsidR="00BB133F" w:rsidRPr="008767DC" w:rsidTr="00EE23DC">
        <w:trPr>
          <w:trHeight w:val="553"/>
        </w:trPr>
        <w:tc>
          <w:tcPr>
            <w:tcW w:w="94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UPN10</w:t>
            </w:r>
          </w:p>
        </w:tc>
        <w:tc>
          <w:tcPr>
            <w:tcW w:w="1134"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Style w:val="Enfasicorsivo"/>
                <w:rFonts w:ascii="Arial" w:hAnsi="Arial" w:cs="Arial"/>
                <w:sz w:val="20"/>
                <w:szCs w:val="20"/>
              </w:rPr>
              <w:t>ABL1</w:t>
            </w:r>
          </w:p>
        </w:tc>
        <w:tc>
          <w:tcPr>
            <w:tcW w:w="141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c.589G&gt;A</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p.Glu197Lys</w:t>
            </w:r>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color w:val="212121"/>
                <w:sz w:val="20"/>
                <w:szCs w:val="20"/>
                <w:shd w:val="clear" w:color="auto" w:fill="FFFFFF"/>
              </w:rPr>
              <w:t>NM_005157.6</w:t>
            </w:r>
          </w:p>
        </w:tc>
        <w:tc>
          <w:tcPr>
            <w:tcW w:w="1559"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missense</w:t>
            </w:r>
            <w:proofErr w:type="spellEnd"/>
          </w:p>
        </w:tc>
        <w:tc>
          <w:tcPr>
            <w:tcW w:w="709"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54</w:t>
            </w:r>
          </w:p>
        </w:tc>
        <w:tc>
          <w:tcPr>
            <w:tcW w:w="1275"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0.00027</w:t>
            </w:r>
          </w:p>
        </w:tc>
        <w:tc>
          <w:tcPr>
            <w:tcW w:w="212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uncertain</w:t>
            </w:r>
            <w:proofErr w:type="spellEnd"/>
            <w:r w:rsidRPr="008767DC">
              <w:rPr>
                <w:rFonts w:ascii="Arial" w:hAnsi="Arial" w:cs="Arial"/>
                <w:sz w:val="20"/>
                <w:szCs w:val="20"/>
              </w:rPr>
              <w:t xml:space="preserve"> </w:t>
            </w:r>
            <w:r>
              <w:rPr>
                <w:rFonts w:ascii="Arial" w:hAnsi="Arial" w:cs="Arial"/>
                <w:sz w:val="20"/>
                <w:szCs w:val="20"/>
              </w:rPr>
              <w:t>significante/</w:t>
            </w:r>
            <w:proofErr w:type="spellStart"/>
            <w:r>
              <w:rPr>
                <w:rFonts w:ascii="Arial" w:hAnsi="Arial" w:cs="Arial"/>
                <w:sz w:val="20"/>
                <w:szCs w:val="20"/>
              </w:rPr>
              <w:t>benign</w:t>
            </w:r>
            <w:proofErr w:type="spellEnd"/>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uncertain</w:t>
            </w:r>
            <w:proofErr w:type="spellEnd"/>
            <w:r>
              <w:rPr>
                <w:rFonts w:ascii="Arial" w:hAnsi="Arial" w:cs="Arial"/>
                <w:sz w:val="20"/>
                <w:szCs w:val="20"/>
              </w:rPr>
              <w:t xml:space="preserve"> </w:t>
            </w:r>
            <w:proofErr w:type="spellStart"/>
            <w:r>
              <w:rPr>
                <w:rFonts w:ascii="Arial" w:hAnsi="Arial" w:cs="Arial"/>
                <w:sz w:val="20"/>
                <w:szCs w:val="20"/>
              </w:rPr>
              <w:t>signficance</w:t>
            </w:r>
            <w:proofErr w:type="spellEnd"/>
          </w:p>
        </w:tc>
      </w:tr>
      <w:tr w:rsidR="00BB133F" w:rsidRPr="008767DC" w:rsidTr="00EE23DC">
        <w:trPr>
          <w:trHeight w:val="553"/>
        </w:trPr>
        <w:tc>
          <w:tcPr>
            <w:tcW w:w="94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UPN12</w:t>
            </w:r>
          </w:p>
        </w:tc>
        <w:tc>
          <w:tcPr>
            <w:tcW w:w="1134"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i/>
                <w:sz w:val="20"/>
                <w:szCs w:val="20"/>
              </w:rPr>
            </w:pPr>
            <w:r w:rsidRPr="008767DC">
              <w:rPr>
                <w:rFonts w:ascii="Arial" w:hAnsi="Arial" w:cs="Arial"/>
                <w:i/>
                <w:sz w:val="20"/>
                <w:szCs w:val="20"/>
              </w:rPr>
              <w:t>CSF3R</w:t>
            </w:r>
          </w:p>
        </w:tc>
        <w:tc>
          <w:tcPr>
            <w:tcW w:w="141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lang w:val="en-GB"/>
              </w:rPr>
            </w:pPr>
            <w:r w:rsidRPr="008767DC">
              <w:rPr>
                <w:rFonts w:ascii="Arial" w:hAnsi="Arial" w:cs="Arial"/>
                <w:sz w:val="20"/>
                <w:szCs w:val="20"/>
                <w:lang w:val="en-GB"/>
              </w:rPr>
              <w:t>c.2422G&gt;A</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sz w:val="20"/>
                <w:szCs w:val="20"/>
                <w:lang w:val="en-GB"/>
              </w:rPr>
            </w:pPr>
            <w:r w:rsidRPr="008767DC">
              <w:rPr>
                <w:rFonts w:ascii="Arial" w:hAnsi="Arial" w:cs="Arial"/>
                <w:color w:val="212121"/>
                <w:sz w:val="20"/>
                <w:szCs w:val="20"/>
                <w:shd w:val="clear" w:color="auto" w:fill="FFFFFF"/>
              </w:rPr>
              <w:t>p.Glu808Lys</w:t>
            </w:r>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color w:val="212121"/>
                <w:sz w:val="20"/>
                <w:szCs w:val="20"/>
                <w:shd w:val="clear" w:color="auto" w:fill="FFFFFF"/>
              </w:rPr>
              <w:t>NM_000760.4</w:t>
            </w:r>
          </w:p>
        </w:tc>
        <w:tc>
          <w:tcPr>
            <w:tcW w:w="1559"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missense</w:t>
            </w:r>
            <w:proofErr w:type="spellEnd"/>
          </w:p>
        </w:tc>
        <w:tc>
          <w:tcPr>
            <w:tcW w:w="709"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sz w:val="20"/>
                <w:szCs w:val="20"/>
              </w:rPr>
              <w:t>50</w:t>
            </w:r>
          </w:p>
        </w:tc>
        <w:tc>
          <w:tcPr>
            <w:tcW w:w="1275"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r w:rsidRPr="008767DC">
              <w:rPr>
                <w:rFonts w:ascii="Arial" w:hAnsi="Arial" w:cs="Arial"/>
                <w:color w:val="212121"/>
                <w:sz w:val="20"/>
                <w:szCs w:val="20"/>
                <w:shd w:val="clear" w:color="auto" w:fill="FFFFFF"/>
              </w:rPr>
              <w:t>0.00622</w:t>
            </w:r>
          </w:p>
        </w:tc>
        <w:tc>
          <w:tcPr>
            <w:tcW w:w="2127" w:type="dxa"/>
            <w:tcBorders>
              <w:top w:val="nil"/>
              <w:left w:val="nil"/>
              <w:bottom w:val="nil"/>
              <w:right w:val="nil"/>
            </w:tcBorders>
            <w:tcMar>
              <w:top w:w="48" w:type="dxa"/>
              <w:left w:w="96" w:type="dxa"/>
              <w:bottom w:w="48" w:type="dxa"/>
              <w:right w:w="96" w:type="dxa"/>
            </w:tcMar>
            <w:vAlign w:val="center"/>
            <w:hideMark/>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benign</w:t>
            </w:r>
            <w:proofErr w:type="spellEnd"/>
            <w:r w:rsidRPr="008767DC">
              <w:rPr>
                <w:rFonts w:ascii="Arial" w:hAnsi="Arial" w:cs="Arial"/>
                <w:sz w:val="20"/>
                <w:szCs w:val="20"/>
              </w:rPr>
              <w:t>/</w:t>
            </w:r>
            <w:proofErr w:type="spellStart"/>
            <w:r w:rsidRPr="008767DC">
              <w:rPr>
                <w:rFonts w:ascii="Arial" w:hAnsi="Arial" w:cs="Arial"/>
                <w:sz w:val="20"/>
                <w:szCs w:val="20"/>
              </w:rPr>
              <w:t>likely</w:t>
            </w:r>
            <w:proofErr w:type="spellEnd"/>
            <w:r w:rsidRPr="008767DC">
              <w:rPr>
                <w:rFonts w:ascii="Arial" w:hAnsi="Arial" w:cs="Arial"/>
                <w:sz w:val="20"/>
                <w:szCs w:val="20"/>
              </w:rPr>
              <w:t xml:space="preserve"> </w:t>
            </w:r>
            <w:proofErr w:type="spellStart"/>
            <w:r w:rsidRPr="008767DC">
              <w:rPr>
                <w:rFonts w:ascii="Arial" w:hAnsi="Arial" w:cs="Arial"/>
                <w:sz w:val="20"/>
                <w:szCs w:val="20"/>
              </w:rPr>
              <w:t>benign</w:t>
            </w:r>
            <w:proofErr w:type="spellEnd"/>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benign</w:t>
            </w:r>
            <w:proofErr w:type="spellEnd"/>
          </w:p>
        </w:tc>
      </w:tr>
      <w:tr w:rsidR="00BB133F" w:rsidRPr="008767DC" w:rsidTr="00EE23DC">
        <w:trPr>
          <w:trHeight w:val="277"/>
        </w:trPr>
        <w:tc>
          <w:tcPr>
            <w:tcW w:w="94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UPN18</w:t>
            </w:r>
          </w:p>
        </w:tc>
        <w:tc>
          <w:tcPr>
            <w:tcW w:w="1134"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Style w:val="Enfasicorsivo"/>
                <w:rFonts w:ascii="Arial" w:hAnsi="Arial" w:cs="Arial"/>
                <w:sz w:val="20"/>
                <w:szCs w:val="20"/>
              </w:rPr>
            </w:pPr>
            <w:r w:rsidRPr="008767DC">
              <w:rPr>
                <w:rStyle w:val="Enfasicorsivo"/>
                <w:rFonts w:ascii="Arial" w:hAnsi="Arial" w:cs="Arial"/>
                <w:sz w:val="20"/>
                <w:szCs w:val="20"/>
              </w:rPr>
              <w:t>NF1</w:t>
            </w:r>
          </w:p>
        </w:tc>
        <w:tc>
          <w:tcPr>
            <w:tcW w:w="141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c.-22G&gt;C</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Null</w:t>
            </w:r>
            <w:proofErr w:type="spellEnd"/>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NM_001042492</w:t>
            </w:r>
          </w:p>
        </w:tc>
        <w:tc>
          <w:tcPr>
            <w:tcW w:w="155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 xml:space="preserve">5’UTR </w:t>
            </w:r>
            <w:proofErr w:type="spellStart"/>
            <w:r w:rsidRPr="008767DC">
              <w:rPr>
                <w:rFonts w:ascii="Arial" w:hAnsi="Arial" w:cs="Arial"/>
                <w:sz w:val="20"/>
                <w:szCs w:val="20"/>
              </w:rPr>
              <w:t>variant</w:t>
            </w:r>
            <w:proofErr w:type="spellEnd"/>
          </w:p>
        </w:tc>
        <w:tc>
          <w:tcPr>
            <w:tcW w:w="70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35</w:t>
            </w:r>
          </w:p>
        </w:tc>
        <w:tc>
          <w:tcPr>
            <w:tcW w:w="1275"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0.00358</w:t>
            </w:r>
          </w:p>
        </w:tc>
        <w:tc>
          <w:tcPr>
            <w:tcW w:w="212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benign</w:t>
            </w:r>
            <w:proofErr w:type="spellEnd"/>
            <w:r>
              <w:rPr>
                <w:rFonts w:ascii="Arial" w:hAnsi="Arial" w:cs="Arial"/>
                <w:sz w:val="20"/>
                <w:szCs w:val="20"/>
              </w:rPr>
              <w:t>/</w:t>
            </w:r>
            <w:proofErr w:type="spellStart"/>
            <w:r>
              <w:rPr>
                <w:rFonts w:ascii="Arial" w:hAnsi="Arial" w:cs="Arial"/>
                <w:sz w:val="20"/>
                <w:szCs w:val="20"/>
              </w:rPr>
              <w:t>likely</w:t>
            </w:r>
            <w:proofErr w:type="spellEnd"/>
            <w:r>
              <w:rPr>
                <w:rFonts w:ascii="Arial" w:hAnsi="Arial" w:cs="Arial"/>
                <w:sz w:val="20"/>
                <w:szCs w:val="20"/>
              </w:rPr>
              <w:t xml:space="preserve"> </w:t>
            </w:r>
            <w:proofErr w:type="spellStart"/>
            <w:r>
              <w:rPr>
                <w:rFonts w:ascii="Arial" w:hAnsi="Arial" w:cs="Arial"/>
                <w:sz w:val="20"/>
                <w:szCs w:val="20"/>
              </w:rPr>
              <w:t>benign</w:t>
            </w:r>
            <w:proofErr w:type="spellEnd"/>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benign</w:t>
            </w:r>
            <w:proofErr w:type="spellEnd"/>
          </w:p>
        </w:tc>
      </w:tr>
      <w:tr w:rsidR="00BB133F" w:rsidRPr="008767DC" w:rsidTr="00EE23DC">
        <w:trPr>
          <w:trHeight w:val="483"/>
        </w:trPr>
        <w:tc>
          <w:tcPr>
            <w:tcW w:w="94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UPN20</w:t>
            </w:r>
          </w:p>
        </w:tc>
        <w:tc>
          <w:tcPr>
            <w:tcW w:w="1134"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Style w:val="Enfasicorsivo"/>
                <w:rFonts w:ascii="Arial" w:hAnsi="Arial" w:cs="Arial"/>
                <w:sz w:val="20"/>
                <w:szCs w:val="20"/>
              </w:rPr>
            </w:pPr>
            <w:r w:rsidRPr="008767DC">
              <w:rPr>
                <w:rStyle w:val="Enfasicorsivo"/>
                <w:rFonts w:ascii="Arial" w:hAnsi="Arial" w:cs="Arial"/>
                <w:sz w:val="20"/>
                <w:szCs w:val="20"/>
              </w:rPr>
              <w:t>ASXL1</w:t>
            </w:r>
          </w:p>
        </w:tc>
        <w:tc>
          <w:tcPr>
            <w:tcW w:w="141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c</w:t>
            </w:r>
            <w:r>
              <w:rPr>
                <w:rFonts w:ascii="Arial" w:hAnsi="Arial" w:cs="Arial"/>
                <w:sz w:val="20"/>
                <w:szCs w:val="20"/>
              </w:rPr>
              <w:t>.</w:t>
            </w:r>
            <w:r w:rsidRPr="008767DC">
              <w:rPr>
                <w:rFonts w:ascii="Arial" w:hAnsi="Arial" w:cs="Arial"/>
                <w:sz w:val="20"/>
                <w:szCs w:val="20"/>
              </w:rPr>
              <w:t>*87</w:t>
            </w:r>
            <w:r>
              <w:rPr>
                <w:rFonts w:ascii="Arial" w:hAnsi="Arial" w:cs="Arial"/>
                <w:sz w:val="20"/>
                <w:szCs w:val="20"/>
              </w:rPr>
              <w:t>A</w:t>
            </w:r>
            <w:r w:rsidRPr="008767DC">
              <w:rPr>
                <w:rFonts w:ascii="Arial" w:hAnsi="Arial" w:cs="Arial"/>
                <w:sz w:val="20"/>
                <w:szCs w:val="20"/>
              </w:rPr>
              <w:t>&gt;G</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Null</w:t>
            </w:r>
            <w:proofErr w:type="spellEnd"/>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NM_015338</w:t>
            </w:r>
          </w:p>
        </w:tc>
        <w:tc>
          <w:tcPr>
            <w:tcW w:w="155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 xml:space="preserve">3’UTR </w:t>
            </w:r>
            <w:proofErr w:type="spellStart"/>
            <w:r w:rsidRPr="008767DC">
              <w:rPr>
                <w:rFonts w:ascii="Arial" w:hAnsi="Arial" w:cs="Arial"/>
                <w:sz w:val="20"/>
                <w:szCs w:val="20"/>
              </w:rPr>
              <w:t>variant</w:t>
            </w:r>
            <w:proofErr w:type="spellEnd"/>
          </w:p>
        </w:tc>
        <w:tc>
          <w:tcPr>
            <w:tcW w:w="70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49</w:t>
            </w:r>
          </w:p>
        </w:tc>
        <w:tc>
          <w:tcPr>
            <w:tcW w:w="1275"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Pr>
                <w:rFonts w:ascii="Arial" w:hAnsi="Arial" w:cs="Arial"/>
                <w:sz w:val="20"/>
                <w:szCs w:val="20"/>
              </w:rPr>
              <w:t>NR</w:t>
            </w:r>
          </w:p>
        </w:tc>
        <w:tc>
          <w:tcPr>
            <w:tcW w:w="212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Pr>
                <w:rFonts w:ascii="Arial" w:hAnsi="Arial" w:cs="Arial"/>
                <w:sz w:val="20"/>
                <w:szCs w:val="20"/>
              </w:rPr>
              <w:t>NR</w:t>
            </w:r>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benign</w:t>
            </w:r>
            <w:proofErr w:type="spellEnd"/>
          </w:p>
        </w:tc>
      </w:tr>
      <w:tr w:rsidR="00BB133F" w:rsidRPr="008767DC" w:rsidTr="00EE23DC">
        <w:trPr>
          <w:trHeight w:val="277"/>
        </w:trPr>
        <w:tc>
          <w:tcPr>
            <w:tcW w:w="94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UPN25</w:t>
            </w:r>
          </w:p>
        </w:tc>
        <w:tc>
          <w:tcPr>
            <w:tcW w:w="1134"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Style w:val="Enfasicorsivo"/>
                <w:rFonts w:ascii="Arial" w:hAnsi="Arial" w:cs="Arial"/>
                <w:sz w:val="20"/>
                <w:szCs w:val="20"/>
              </w:rPr>
            </w:pPr>
            <w:r w:rsidRPr="008767DC">
              <w:rPr>
                <w:rStyle w:val="Enfasicorsivo"/>
                <w:rFonts w:ascii="Arial" w:hAnsi="Arial" w:cs="Arial"/>
                <w:sz w:val="20"/>
                <w:szCs w:val="20"/>
              </w:rPr>
              <w:t>TET2</w:t>
            </w:r>
          </w:p>
        </w:tc>
        <w:tc>
          <w:tcPr>
            <w:tcW w:w="141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c.1018A&gt;G</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p.Ile340Val</w:t>
            </w:r>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color w:val="212121"/>
                <w:sz w:val="20"/>
                <w:szCs w:val="20"/>
                <w:shd w:val="clear" w:color="auto" w:fill="FFFFFF"/>
              </w:rPr>
            </w:pPr>
            <w:r>
              <w:rPr>
                <w:rFonts w:ascii="Arial" w:hAnsi="Arial" w:cs="Arial"/>
                <w:color w:val="212121"/>
                <w:sz w:val="20"/>
                <w:szCs w:val="20"/>
                <w:shd w:val="clear" w:color="auto" w:fill="FFFFFF"/>
              </w:rPr>
              <w:t>NM_0011127208</w:t>
            </w:r>
          </w:p>
        </w:tc>
        <w:tc>
          <w:tcPr>
            <w:tcW w:w="155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missense</w:t>
            </w:r>
            <w:proofErr w:type="spellEnd"/>
          </w:p>
        </w:tc>
        <w:tc>
          <w:tcPr>
            <w:tcW w:w="70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51</w:t>
            </w:r>
          </w:p>
        </w:tc>
        <w:tc>
          <w:tcPr>
            <w:tcW w:w="1275"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Pr>
                <w:rFonts w:ascii="Arial" w:hAnsi="Arial" w:cs="Arial"/>
                <w:sz w:val="20"/>
                <w:szCs w:val="20"/>
              </w:rPr>
              <w:t>0.000025</w:t>
            </w:r>
          </w:p>
        </w:tc>
        <w:tc>
          <w:tcPr>
            <w:tcW w:w="212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Pr>
                <w:rFonts w:ascii="Arial" w:hAnsi="Arial" w:cs="Arial"/>
                <w:sz w:val="20"/>
                <w:szCs w:val="20"/>
              </w:rPr>
              <w:t>NR</w:t>
            </w:r>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likely</w:t>
            </w:r>
            <w:proofErr w:type="spellEnd"/>
            <w:r>
              <w:rPr>
                <w:rFonts w:ascii="Arial" w:hAnsi="Arial" w:cs="Arial"/>
                <w:sz w:val="20"/>
                <w:szCs w:val="20"/>
              </w:rPr>
              <w:t xml:space="preserve"> </w:t>
            </w:r>
            <w:proofErr w:type="spellStart"/>
            <w:r>
              <w:rPr>
                <w:rFonts w:ascii="Arial" w:hAnsi="Arial" w:cs="Arial"/>
                <w:sz w:val="20"/>
                <w:szCs w:val="20"/>
              </w:rPr>
              <w:t>benign</w:t>
            </w:r>
            <w:proofErr w:type="spellEnd"/>
          </w:p>
        </w:tc>
      </w:tr>
      <w:tr w:rsidR="00BB133F" w:rsidRPr="008767DC" w:rsidTr="00EE23DC">
        <w:trPr>
          <w:trHeight w:val="277"/>
        </w:trPr>
        <w:tc>
          <w:tcPr>
            <w:tcW w:w="94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UPN27</w:t>
            </w:r>
          </w:p>
        </w:tc>
        <w:tc>
          <w:tcPr>
            <w:tcW w:w="1134"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Style w:val="Enfasicorsivo"/>
                <w:rFonts w:ascii="Arial" w:hAnsi="Arial" w:cs="Arial"/>
                <w:sz w:val="20"/>
                <w:szCs w:val="20"/>
              </w:rPr>
            </w:pPr>
            <w:r w:rsidRPr="008767DC">
              <w:rPr>
                <w:rStyle w:val="Enfasicorsivo"/>
                <w:rFonts w:ascii="Arial" w:hAnsi="Arial" w:cs="Arial"/>
                <w:sz w:val="20"/>
                <w:szCs w:val="20"/>
              </w:rPr>
              <w:t>NF1</w:t>
            </w:r>
          </w:p>
        </w:tc>
        <w:tc>
          <w:tcPr>
            <w:tcW w:w="141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c.6790A&gt;T</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p.Ile2264Leu</w:t>
            </w:r>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NM_001042492</w:t>
            </w:r>
          </w:p>
        </w:tc>
        <w:tc>
          <w:tcPr>
            <w:tcW w:w="155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missense</w:t>
            </w:r>
            <w:proofErr w:type="spellEnd"/>
            <w:r w:rsidRPr="008767DC">
              <w:rPr>
                <w:rFonts w:ascii="Arial" w:hAnsi="Arial" w:cs="Arial"/>
                <w:sz w:val="20"/>
                <w:szCs w:val="20"/>
              </w:rPr>
              <w:t xml:space="preserve"> </w:t>
            </w:r>
          </w:p>
        </w:tc>
        <w:tc>
          <w:tcPr>
            <w:tcW w:w="70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50.6</w:t>
            </w:r>
          </w:p>
        </w:tc>
        <w:tc>
          <w:tcPr>
            <w:tcW w:w="1275"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Pr>
                <w:rFonts w:ascii="Arial" w:hAnsi="Arial" w:cs="Arial"/>
                <w:sz w:val="20"/>
                <w:szCs w:val="20"/>
              </w:rPr>
              <w:t>0.000025</w:t>
            </w:r>
          </w:p>
        </w:tc>
        <w:tc>
          <w:tcPr>
            <w:tcW w:w="212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u</w:t>
            </w:r>
            <w:r w:rsidRPr="008767DC">
              <w:rPr>
                <w:rFonts w:ascii="Arial" w:hAnsi="Arial" w:cs="Arial"/>
                <w:sz w:val="20"/>
                <w:szCs w:val="20"/>
              </w:rPr>
              <w:t>ncertain</w:t>
            </w:r>
            <w:proofErr w:type="spellEnd"/>
            <w:r w:rsidRPr="008767DC">
              <w:rPr>
                <w:rFonts w:ascii="Arial" w:hAnsi="Arial" w:cs="Arial"/>
                <w:sz w:val="20"/>
                <w:szCs w:val="20"/>
              </w:rPr>
              <w:t xml:space="preserve"> </w:t>
            </w:r>
            <w:r>
              <w:rPr>
                <w:rFonts w:ascii="Arial" w:hAnsi="Arial" w:cs="Arial"/>
                <w:sz w:val="20"/>
                <w:szCs w:val="20"/>
              </w:rPr>
              <w:t>significante/</w:t>
            </w:r>
            <w:proofErr w:type="spellStart"/>
            <w:r>
              <w:rPr>
                <w:rFonts w:ascii="Arial" w:hAnsi="Arial" w:cs="Arial"/>
                <w:sz w:val="20"/>
                <w:szCs w:val="20"/>
              </w:rPr>
              <w:t>likely</w:t>
            </w:r>
            <w:proofErr w:type="spellEnd"/>
            <w:r>
              <w:rPr>
                <w:rFonts w:ascii="Arial" w:hAnsi="Arial" w:cs="Arial"/>
                <w:sz w:val="20"/>
                <w:szCs w:val="20"/>
              </w:rPr>
              <w:t xml:space="preserve"> </w:t>
            </w:r>
            <w:proofErr w:type="spellStart"/>
            <w:r>
              <w:rPr>
                <w:rFonts w:ascii="Arial" w:hAnsi="Arial" w:cs="Arial"/>
                <w:sz w:val="20"/>
                <w:szCs w:val="20"/>
              </w:rPr>
              <w:t>benign</w:t>
            </w:r>
            <w:proofErr w:type="spellEnd"/>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rPr>
            </w:pPr>
            <w:proofErr w:type="spellStart"/>
            <w:r>
              <w:rPr>
                <w:rFonts w:ascii="Arial" w:hAnsi="Arial" w:cs="Arial"/>
                <w:sz w:val="20"/>
                <w:szCs w:val="20"/>
              </w:rPr>
              <w:t>likely</w:t>
            </w:r>
            <w:proofErr w:type="spellEnd"/>
            <w:r>
              <w:rPr>
                <w:rFonts w:ascii="Arial" w:hAnsi="Arial" w:cs="Arial"/>
                <w:sz w:val="20"/>
                <w:szCs w:val="20"/>
              </w:rPr>
              <w:t xml:space="preserve"> </w:t>
            </w:r>
            <w:proofErr w:type="spellStart"/>
            <w:r>
              <w:rPr>
                <w:rFonts w:ascii="Arial" w:hAnsi="Arial" w:cs="Arial"/>
                <w:sz w:val="20"/>
                <w:szCs w:val="20"/>
              </w:rPr>
              <w:t>benign</w:t>
            </w:r>
            <w:proofErr w:type="spellEnd"/>
          </w:p>
        </w:tc>
      </w:tr>
      <w:tr w:rsidR="00BB133F" w:rsidRPr="008767DC" w:rsidTr="00EE23DC">
        <w:trPr>
          <w:trHeight w:val="277"/>
        </w:trPr>
        <w:tc>
          <w:tcPr>
            <w:tcW w:w="94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UPN28</w:t>
            </w:r>
          </w:p>
        </w:tc>
        <w:tc>
          <w:tcPr>
            <w:tcW w:w="1134"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Style w:val="Enfasicorsivo"/>
                <w:rFonts w:ascii="Arial" w:hAnsi="Arial" w:cs="Arial"/>
                <w:sz w:val="20"/>
                <w:szCs w:val="20"/>
              </w:rPr>
            </w:pPr>
            <w:r w:rsidRPr="008767DC">
              <w:rPr>
                <w:rStyle w:val="Enfasicorsivo"/>
                <w:rFonts w:ascii="Arial" w:hAnsi="Arial" w:cs="Arial"/>
                <w:sz w:val="20"/>
                <w:szCs w:val="20"/>
              </w:rPr>
              <w:t>TET2</w:t>
            </w:r>
          </w:p>
        </w:tc>
        <w:tc>
          <w:tcPr>
            <w:tcW w:w="141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c.521C&gt;A</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p.Pro174His</w:t>
            </w:r>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NM_001127208</w:t>
            </w:r>
          </w:p>
        </w:tc>
        <w:tc>
          <w:tcPr>
            <w:tcW w:w="155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missense</w:t>
            </w:r>
            <w:proofErr w:type="spellEnd"/>
          </w:p>
        </w:tc>
        <w:tc>
          <w:tcPr>
            <w:tcW w:w="70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44.6</w:t>
            </w:r>
          </w:p>
        </w:tc>
        <w:tc>
          <w:tcPr>
            <w:tcW w:w="1275"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0.001</w:t>
            </w:r>
            <w:r>
              <w:rPr>
                <w:rFonts w:ascii="Arial" w:hAnsi="Arial" w:cs="Arial"/>
                <w:sz w:val="20"/>
                <w:szCs w:val="20"/>
              </w:rPr>
              <w:t>9</w:t>
            </w:r>
          </w:p>
        </w:tc>
        <w:tc>
          <w:tcPr>
            <w:tcW w:w="212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lang w:val="en-GB"/>
              </w:rPr>
            </w:pPr>
            <w:r>
              <w:rPr>
                <w:rFonts w:ascii="Arial" w:hAnsi="Arial" w:cs="Arial"/>
                <w:sz w:val="20"/>
                <w:szCs w:val="20"/>
                <w:lang w:val="en-GB"/>
              </w:rPr>
              <w:t>uncertain significance/likely benign</w:t>
            </w:r>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lang w:val="en-GB"/>
              </w:rPr>
            </w:pPr>
            <w:r>
              <w:rPr>
                <w:rFonts w:ascii="Arial" w:hAnsi="Arial" w:cs="Arial"/>
                <w:sz w:val="20"/>
                <w:szCs w:val="20"/>
                <w:lang w:val="en-GB"/>
              </w:rPr>
              <w:t>likely benign</w:t>
            </w:r>
          </w:p>
        </w:tc>
      </w:tr>
      <w:tr w:rsidR="00BB133F" w:rsidRPr="008767DC" w:rsidTr="00EE23DC">
        <w:trPr>
          <w:trHeight w:val="277"/>
        </w:trPr>
        <w:tc>
          <w:tcPr>
            <w:tcW w:w="94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UPN29</w:t>
            </w:r>
          </w:p>
        </w:tc>
        <w:tc>
          <w:tcPr>
            <w:tcW w:w="1134"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Style w:val="Enfasicorsivo"/>
                <w:rFonts w:ascii="Arial" w:hAnsi="Arial" w:cs="Arial"/>
                <w:sz w:val="20"/>
                <w:szCs w:val="20"/>
              </w:rPr>
            </w:pPr>
            <w:r w:rsidRPr="008767DC">
              <w:rPr>
                <w:rStyle w:val="Enfasicorsivo"/>
                <w:rFonts w:ascii="Arial" w:hAnsi="Arial" w:cs="Arial"/>
                <w:sz w:val="20"/>
                <w:szCs w:val="20"/>
              </w:rPr>
              <w:t>KIT</w:t>
            </w:r>
          </w:p>
        </w:tc>
        <w:tc>
          <w:tcPr>
            <w:tcW w:w="141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Style w:val="Enfasicorsivo"/>
                <w:rFonts w:ascii="Arial" w:hAnsi="Arial" w:cs="Arial"/>
                <w:sz w:val="20"/>
                <w:szCs w:val="20"/>
              </w:rPr>
              <w:t>c.101C&gt;T</w:t>
            </w:r>
          </w:p>
        </w:tc>
        <w:tc>
          <w:tcPr>
            <w:tcW w:w="1560" w:type="dxa"/>
            <w:tcBorders>
              <w:top w:val="nil"/>
              <w:left w:val="nil"/>
              <w:bottom w:val="nil"/>
              <w:right w:val="nil"/>
            </w:tcBorders>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p.Pro34Leu</w:t>
            </w:r>
          </w:p>
        </w:tc>
        <w:tc>
          <w:tcPr>
            <w:tcW w:w="1701" w:type="dxa"/>
            <w:tcBorders>
              <w:top w:val="nil"/>
              <w:left w:val="nil"/>
              <w:bottom w:val="nil"/>
              <w:right w:val="nil"/>
            </w:tcBorders>
            <w:vAlign w:val="center"/>
          </w:tcPr>
          <w:p w:rsidR="00BB133F" w:rsidRPr="008767DC" w:rsidRDefault="00BB133F" w:rsidP="00EE23DC">
            <w:pPr>
              <w:jc w:val="center"/>
              <w:rPr>
                <w:rFonts w:ascii="Arial" w:hAnsi="Arial" w:cs="Arial"/>
                <w:color w:val="212121"/>
                <w:sz w:val="20"/>
                <w:szCs w:val="20"/>
                <w:shd w:val="clear" w:color="auto" w:fill="FFFFFF"/>
              </w:rPr>
            </w:pPr>
            <w:r w:rsidRPr="008767DC">
              <w:rPr>
                <w:rFonts w:ascii="Arial" w:hAnsi="Arial" w:cs="Arial"/>
                <w:color w:val="212121"/>
                <w:sz w:val="20"/>
                <w:szCs w:val="20"/>
                <w:shd w:val="clear" w:color="auto" w:fill="FFFFFF"/>
              </w:rPr>
              <w:t>NM_000222</w:t>
            </w:r>
          </w:p>
        </w:tc>
        <w:tc>
          <w:tcPr>
            <w:tcW w:w="155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proofErr w:type="spellStart"/>
            <w:r w:rsidRPr="008767DC">
              <w:rPr>
                <w:rFonts w:ascii="Arial" w:hAnsi="Arial" w:cs="Arial"/>
                <w:sz w:val="20"/>
                <w:szCs w:val="20"/>
              </w:rPr>
              <w:t>missense</w:t>
            </w:r>
            <w:proofErr w:type="spellEnd"/>
          </w:p>
        </w:tc>
        <w:tc>
          <w:tcPr>
            <w:tcW w:w="709"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52</w:t>
            </w:r>
          </w:p>
        </w:tc>
        <w:tc>
          <w:tcPr>
            <w:tcW w:w="1275"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rPr>
            </w:pPr>
            <w:r w:rsidRPr="008767DC">
              <w:rPr>
                <w:rFonts w:ascii="Arial" w:hAnsi="Arial" w:cs="Arial"/>
                <w:sz w:val="20"/>
                <w:szCs w:val="20"/>
              </w:rPr>
              <w:t>0.00006</w:t>
            </w:r>
          </w:p>
        </w:tc>
        <w:tc>
          <w:tcPr>
            <w:tcW w:w="2127" w:type="dxa"/>
            <w:tcBorders>
              <w:top w:val="nil"/>
              <w:left w:val="nil"/>
              <w:bottom w:val="nil"/>
              <w:right w:val="nil"/>
            </w:tcBorders>
            <w:tcMar>
              <w:top w:w="48" w:type="dxa"/>
              <w:left w:w="96" w:type="dxa"/>
              <w:bottom w:w="48" w:type="dxa"/>
              <w:right w:w="96" w:type="dxa"/>
            </w:tcMar>
            <w:vAlign w:val="center"/>
          </w:tcPr>
          <w:p w:rsidR="00BB133F" w:rsidRPr="008767DC" w:rsidRDefault="00BB133F" w:rsidP="00EE23DC">
            <w:pPr>
              <w:jc w:val="center"/>
              <w:rPr>
                <w:rFonts w:ascii="Arial" w:hAnsi="Arial" w:cs="Arial"/>
                <w:sz w:val="20"/>
                <w:szCs w:val="20"/>
                <w:lang w:val="en-GB"/>
              </w:rPr>
            </w:pPr>
            <w:r>
              <w:rPr>
                <w:rFonts w:ascii="Arial" w:hAnsi="Arial" w:cs="Arial"/>
                <w:sz w:val="20"/>
                <w:szCs w:val="20"/>
                <w:lang w:val="en-GB"/>
              </w:rPr>
              <w:t xml:space="preserve">uncertain </w:t>
            </w:r>
            <w:r>
              <w:rPr>
                <w:rFonts w:ascii="Arial" w:hAnsi="Arial" w:cs="Arial"/>
                <w:sz w:val="20"/>
                <w:szCs w:val="20"/>
                <w:lang w:val="en-GB"/>
              </w:rPr>
              <w:lastRenderedPageBreak/>
              <w:t>significance/likely benign</w:t>
            </w:r>
          </w:p>
        </w:tc>
        <w:tc>
          <w:tcPr>
            <w:tcW w:w="2126" w:type="dxa"/>
            <w:tcBorders>
              <w:top w:val="nil"/>
              <w:left w:val="nil"/>
              <w:bottom w:val="nil"/>
              <w:right w:val="nil"/>
            </w:tcBorders>
          </w:tcPr>
          <w:p w:rsidR="00BB133F" w:rsidRPr="008767DC" w:rsidRDefault="00BB133F" w:rsidP="00EE23DC">
            <w:pPr>
              <w:jc w:val="center"/>
              <w:rPr>
                <w:rFonts w:ascii="Arial" w:hAnsi="Arial" w:cs="Arial"/>
                <w:sz w:val="20"/>
                <w:szCs w:val="20"/>
                <w:lang w:val="en-GB"/>
              </w:rPr>
            </w:pPr>
            <w:r>
              <w:rPr>
                <w:rFonts w:ascii="Arial" w:hAnsi="Arial" w:cs="Arial"/>
                <w:sz w:val="20"/>
                <w:szCs w:val="20"/>
                <w:lang w:val="en-GB"/>
              </w:rPr>
              <w:lastRenderedPageBreak/>
              <w:t>uncertain significance</w:t>
            </w:r>
          </w:p>
        </w:tc>
      </w:tr>
    </w:tbl>
    <w:p w:rsidR="00BB133F" w:rsidRPr="00BE23CE" w:rsidRDefault="00BB133F" w:rsidP="00BB133F">
      <w:pPr>
        <w:pStyle w:val="p"/>
        <w:shd w:val="clear" w:color="auto" w:fill="FFFFFF"/>
        <w:spacing w:before="0" w:beforeAutospacing="0" w:after="0" w:afterAutospacing="0" w:line="360" w:lineRule="auto"/>
        <w:rPr>
          <w:rFonts w:ascii="Arial" w:hAnsi="Arial" w:cs="Arial"/>
          <w:lang w:val="en-GB"/>
        </w:rPr>
      </w:pPr>
    </w:p>
    <w:p w:rsidR="000A425A" w:rsidRPr="00BB133F" w:rsidRDefault="00BB133F" w:rsidP="00BB133F">
      <w:pPr>
        <w:rPr>
          <w:lang w:val="en-GB"/>
        </w:rPr>
      </w:pPr>
      <w:r w:rsidRPr="00BE23CE">
        <w:rPr>
          <w:rFonts w:ascii="Arial" w:hAnsi="Arial" w:cs="Arial"/>
          <w:lang w:val="en-GB"/>
        </w:rPr>
        <w:t>Abbreviations: VAF, variant allele frequency; NR, not reported; E</w:t>
      </w:r>
    </w:p>
    <w:sectPr w:rsidR="000A425A" w:rsidRPr="00BB133F" w:rsidSect="00510060">
      <w:pgSz w:w="16838" w:h="11906" w:orient="landscape"/>
      <w:pgMar w:top="1134"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70D" w:rsidRDefault="0066570D" w:rsidP="00510060">
      <w:pPr>
        <w:spacing w:line="240" w:lineRule="auto"/>
      </w:pPr>
      <w:r>
        <w:separator/>
      </w:r>
    </w:p>
  </w:endnote>
  <w:endnote w:type="continuationSeparator" w:id="0">
    <w:p w:rsidR="0066570D" w:rsidRDefault="0066570D" w:rsidP="005100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70D" w:rsidRDefault="0066570D" w:rsidP="00510060">
      <w:pPr>
        <w:spacing w:line="240" w:lineRule="auto"/>
      </w:pPr>
      <w:r>
        <w:separator/>
      </w:r>
    </w:p>
  </w:footnote>
  <w:footnote w:type="continuationSeparator" w:id="0">
    <w:p w:rsidR="0066570D" w:rsidRDefault="0066570D" w:rsidP="0051006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475236"/>
      <w:docPartObj>
        <w:docPartGallery w:val="Page Numbers (Top of Page)"/>
        <w:docPartUnique/>
      </w:docPartObj>
    </w:sdtPr>
    <w:sdtContent>
      <w:p w:rsidR="00510060" w:rsidRDefault="00510060">
        <w:pPr>
          <w:pStyle w:val="Intestazione"/>
          <w:jc w:val="right"/>
        </w:pPr>
        <w:fldSimple w:instr=" PAGE   \* MERGEFORMAT ">
          <w:r>
            <w:rPr>
              <w:noProof/>
            </w:rPr>
            <w:t>2</w:t>
          </w:r>
        </w:fldSimple>
      </w:p>
    </w:sdtContent>
  </w:sdt>
  <w:p w:rsidR="00510060" w:rsidRDefault="0051006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350032"/>
      <w:docPartObj>
        <w:docPartGallery w:val="Page Numbers (Top of Page)"/>
        <w:docPartUnique/>
      </w:docPartObj>
    </w:sdtPr>
    <w:sdtEndPr/>
    <w:sdtContent>
      <w:p w:rsidR="00905199" w:rsidRDefault="0066570D">
        <w:pPr>
          <w:pStyle w:val="Intestazione"/>
          <w:jc w:val="right"/>
        </w:pPr>
        <w:r>
          <w:fldChar w:fldCharType="begin"/>
        </w:r>
        <w:r>
          <w:instrText xml:space="preserve"> PAGE   \* MERGEFORMAT </w:instrText>
        </w:r>
        <w:r>
          <w:fldChar w:fldCharType="separate"/>
        </w:r>
        <w:r w:rsidR="00510060">
          <w:rPr>
            <w:noProof/>
          </w:rPr>
          <w:t>5</w:t>
        </w:r>
        <w:r>
          <w:fldChar w:fldCharType="end"/>
        </w:r>
      </w:p>
    </w:sdtContent>
  </w:sdt>
  <w:p w:rsidR="00905199" w:rsidRDefault="0066570D">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BB133F"/>
    <w:rsid w:val="000A425A"/>
    <w:rsid w:val="001B5E18"/>
    <w:rsid w:val="002215B9"/>
    <w:rsid w:val="00510060"/>
    <w:rsid w:val="0066570D"/>
    <w:rsid w:val="00B42312"/>
    <w:rsid w:val="00BB133F"/>
    <w:rsid w:val="00BE2C42"/>
    <w:rsid w:val="00FE63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133F"/>
  </w:style>
  <w:style w:type="paragraph" w:styleId="Titolo1">
    <w:name w:val="heading 1"/>
    <w:basedOn w:val="Normale"/>
    <w:next w:val="Normale"/>
    <w:link w:val="Titolo1Carattere"/>
    <w:uiPriority w:val="9"/>
    <w:qFormat/>
    <w:rsid w:val="002215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215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2215B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15B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215B9"/>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2215B9"/>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2215B9"/>
    <w:rPr>
      <w:b/>
      <w:bCs/>
    </w:rPr>
  </w:style>
  <w:style w:type="character" w:styleId="Enfasicorsivo">
    <w:name w:val="Emphasis"/>
    <w:basedOn w:val="Carpredefinitoparagrafo"/>
    <w:uiPriority w:val="20"/>
    <w:qFormat/>
    <w:rsid w:val="002215B9"/>
    <w:rPr>
      <w:i/>
      <w:iCs/>
    </w:rPr>
  </w:style>
  <w:style w:type="paragraph" w:styleId="Nessunaspaziatura">
    <w:name w:val="No Spacing"/>
    <w:uiPriority w:val="1"/>
    <w:qFormat/>
    <w:rsid w:val="002215B9"/>
    <w:pPr>
      <w:spacing w:line="240" w:lineRule="auto"/>
    </w:pPr>
  </w:style>
  <w:style w:type="paragraph" w:styleId="Paragrafoelenco">
    <w:name w:val="List Paragraph"/>
    <w:basedOn w:val="Normale"/>
    <w:uiPriority w:val="34"/>
    <w:qFormat/>
    <w:rsid w:val="002215B9"/>
    <w:pPr>
      <w:ind w:left="720"/>
      <w:contextualSpacing/>
    </w:pPr>
  </w:style>
  <w:style w:type="character" w:styleId="Collegamentoipertestuale">
    <w:name w:val="Hyperlink"/>
    <w:basedOn w:val="Carpredefinitoparagrafo"/>
    <w:uiPriority w:val="99"/>
    <w:unhideWhenUsed/>
    <w:rsid w:val="00BB133F"/>
    <w:rPr>
      <w:color w:val="0000FF"/>
      <w:u w:val="single"/>
    </w:rPr>
  </w:style>
  <w:style w:type="paragraph" w:styleId="Intestazione">
    <w:name w:val="header"/>
    <w:basedOn w:val="Normale"/>
    <w:link w:val="IntestazioneCarattere"/>
    <w:uiPriority w:val="99"/>
    <w:unhideWhenUsed/>
    <w:rsid w:val="00BB133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B133F"/>
  </w:style>
  <w:style w:type="paragraph" w:styleId="NormaleWeb">
    <w:name w:val="Normal (Web)"/>
    <w:basedOn w:val="Normale"/>
    <w:link w:val="NormaleWebCarattere"/>
    <w:uiPriority w:val="99"/>
    <w:unhideWhenUsed/>
    <w:rsid w:val="00BB133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BB1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BB133F"/>
    <w:rPr>
      <w:rFonts w:ascii="Courier New" w:eastAsia="Times New Roman" w:hAnsi="Courier New" w:cs="Courier New"/>
      <w:sz w:val="20"/>
      <w:szCs w:val="20"/>
      <w:lang w:eastAsia="it-IT"/>
    </w:rPr>
  </w:style>
  <w:style w:type="paragraph" w:customStyle="1" w:styleId="p">
    <w:name w:val="p"/>
    <w:basedOn w:val="Normale"/>
    <w:rsid w:val="00BB13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eWebCarattere">
    <w:name w:val="Normale (Web) Carattere"/>
    <w:basedOn w:val="Carpredefinitoparagrafo"/>
    <w:link w:val="NormaleWeb"/>
    <w:uiPriority w:val="99"/>
    <w:locked/>
    <w:rsid w:val="00BB133F"/>
    <w:rPr>
      <w:rFonts w:ascii="Times New Roman" w:eastAsia="Times New Roman" w:hAnsi="Times New Roman" w:cs="Times New Roman"/>
      <w:sz w:val="24"/>
      <w:szCs w:val="24"/>
      <w:lang w:eastAsia="it-IT"/>
    </w:rPr>
  </w:style>
  <w:style w:type="table" w:styleId="Grigliatabella">
    <w:name w:val="Table Grid"/>
    <w:basedOn w:val="Tabellanormale"/>
    <w:uiPriority w:val="59"/>
    <w:rsid w:val="00BB133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semiHidden/>
    <w:unhideWhenUsed/>
    <w:rsid w:val="0051006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5100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anklin.genoox.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2025-05-08T13:46:00Z</dcterms:created>
  <dcterms:modified xsi:type="dcterms:W3CDTF">2025-05-08T13:58:00Z</dcterms:modified>
</cp:coreProperties>
</file>