
<file path=[Content_Types].xml><?xml version="1.0" encoding="utf-8"?>
<Types xmlns="http://schemas.openxmlformats.org/package/2006/content-types">
  <Default Extension="bin" ContentType="application/vnd.openxmlformats-officedocument.oleObject"/>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683EC8">
      <w:pPr>
        <w:spacing w:line="480" w:lineRule="auto"/>
        <w:ind w:left="850" w:leftChars="354"/>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Supplementary Materials</w:t>
      </w:r>
    </w:p>
    <w:p w14:paraId="7599BB67">
      <w:pPr>
        <w:spacing w:line="480" w:lineRule="auto"/>
        <w:jc w:val="both"/>
        <w:rPr>
          <w:rFonts w:ascii="Times New Roman" w:hAnsi="Times New Roman" w:cs="Times New Roman"/>
          <w:color w:val="000000" w:themeColor="text1"/>
          <w:shd w:val="clear" w:color="auto" w:fill="343541"/>
          <w14:textFill>
            <w14:solidFill>
              <w14:schemeClr w14:val="tx1"/>
            </w14:solidFill>
          </w14:textFill>
        </w:rPr>
      </w:pPr>
      <w:bookmarkStart w:id="0" w:name="OLE_LINK21"/>
      <w:r>
        <w:rPr>
          <w:rFonts w:ascii="Times New Roman" w:hAnsi="Times New Roman" w:cs="Times New Roman"/>
          <w:b/>
          <w:bCs/>
          <w:color w:val="000000" w:themeColor="text1"/>
          <w:lang w:bidi="ar"/>
          <w14:textFill>
            <w14:solidFill>
              <w14:schemeClr w14:val="tx1"/>
            </w14:solidFill>
          </w14:textFill>
        </w:rPr>
        <w:t xml:space="preserve">Title: </w:t>
      </w:r>
      <w:bookmarkEnd w:id="0"/>
      <w:r>
        <w:rPr>
          <w:rFonts w:ascii="Times New Roman" w:hAnsi="Times New Roman" w:cs="Times New Roman"/>
          <w:b/>
          <w:bCs/>
          <w:color w:val="000000" w:themeColor="text1"/>
          <w14:textFill>
            <w14:solidFill>
              <w14:schemeClr w14:val="tx1"/>
            </w14:solidFill>
          </w14:textFill>
        </w:rPr>
        <w:t>Exploring Deep Learning and Hybrid Approaches in Molecular Subgrouping and Prognostic Related Genetic Signatures of Medulloblastoma</w:t>
      </w:r>
    </w:p>
    <w:p w14:paraId="089B7BC5">
      <w:pPr>
        <w:spacing w:line="480" w:lineRule="auto"/>
        <w:jc w:val="both"/>
        <w:rPr>
          <w:rFonts w:ascii="Times New Roman" w:hAnsi="Times New Roman" w:cs="Times New Roman"/>
          <w:b/>
          <w:bCs/>
          <w:i/>
          <w:iCs/>
          <w:color w:val="000000" w:themeColor="text1"/>
          <w14:textFill>
            <w14:solidFill>
              <w14:schemeClr w14:val="tx1"/>
            </w14:solidFill>
          </w14:textFill>
        </w:rPr>
      </w:pPr>
      <w:bookmarkStart w:id="11" w:name="_GoBack"/>
      <w:bookmarkEnd w:id="11"/>
    </w:p>
    <w:p w14:paraId="4FE7F202">
      <w:pPr>
        <w:spacing w:line="480" w:lineRule="auto"/>
        <w:jc w:val="both"/>
        <w:rPr>
          <w:rFonts w:ascii="Times New Roman" w:hAnsi="Times New Roman" w:cs="Times New Roman"/>
          <w:color w:val="000000" w:themeColor="text1"/>
          <w:lang w:bidi="ar"/>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Supplementary Method 1.</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lang w:bidi="ar"/>
          <w14:textFill>
            <w14:solidFill>
              <w14:schemeClr w14:val="tx1"/>
            </w14:solidFill>
          </w14:textFill>
        </w:rPr>
        <w:t>Dataset source, patient count, and allocation method.</w:t>
      </w:r>
    </w:p>
    <w:p w14:paraId="103C0E79">
      <w:pPr>
        <w:spacing w:line="480" w:lineRule="auto"/>
        <w:jc w:val="both"/>
        <w:rPr>
          <w:rFonts w:ascii="Times New Roman" w:hAnsi="Times New Roman" w:cs="Times New Roman"/>
          <w:color w:val="000000" w:themeColor="text1"/>
          <w:lang w:bidi="ar"/>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 xml:space="preserve">Supplementary Method 2. </w:t>
      </w:r>
      <w:r>
        <w:rPr>
          <w:rFonts w:ascii="Times New Roman" w:hAnsi="Times New Roman" w:cs="Times New Roman"/>
          <w:color w:val="000000" w:themeColor="text1"/>
          <w:lang w:bidi="ar"/>
          <w14:textFill>
            <w14:solidFill>
              <w14:schemeClr w14:val="tx1"/>
            </w14:solidFill>
          </w14:textFill>
        </w:rPr>
        <w:t>MRI parameters and contrast agent use.</w:t>
      </w:r>
    </w:p>
    <w:p w14:paraId="6B03DFF7">
      <w:pPr>
        <w:pStyle w:val="12"/>
        <w:spacing w:line="480" w:lineRule="auto"/>
        <w:jc w:val="both"/>
        <w:rPr>
          <w:rFonts w:ascii="Times New Roman" w:hAnsi="Times New Roman"/>
          <w:color w:val="000000" w:themeColor="text1"/>
          <w:lang w:bidi="ar"/>
          <w14:textFill>
            <w14:solidFill>
              <w14:schemeClr w14:val="tx1"/>
            </w14:solidFill>
          </w14:textFill>
        </w:rPr>
      </w:pPr>
      <w:r>
        <w:rPr>
          <w:rFonts w:ascii="Times New Roman" w:hAnsi="Times New Roman"/>
          <w:b/>
          <w:bCs/>
          <w:i/>
          <w:iCs/>
          <w:color w:val="000000" w:themeColor="text1"/>
          <w14:textFill>
            <w14:solidFill>
              <w14:schemeClr w14:val="tx1"/>
            </w14:solidFill>
          </w14:textFill>
        </w:rPr>
        <w:t>Supplementary Method 3.</w:t>
      </w:r>
      <w:r>
        <w:rPr>
          <w:rFonts w:ascii="Times New Roman" w:hAnsi="Times New Roman"/>
          <w:color w:val="000000" w:themeColor="text1"/>
          <w14:textFill>
            <w14:solidFill>
              <w14:schemeClr w14:val="tx1"/>
            </w14:solidFill>
          </w14:textFill>
        </w:rPr>
        <w:t xml:space="preserve"> The details of the enhancement grading.</w:t>
      </w:r>
    </w:p>
    <w:p w14:paraId="0EB406C9">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Supplementary Method 4.</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lang w:bidi="ar"/>
          <w14:textFill>
            <w14:solidFill>
              <w14:schemeClr w14:val="tx1"/>
            </w14:solidFill>
          </w14:textFill>
        </w:rPr>
        <w:t>Comprehensive molecular analysis of methylation patterns and genetic alterations in medulloblastoma.</w:t>
      </w:r>
    </w:p>
    <w:p w14:paraId="45137D9E">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Supplementary Method 5.</w:t>
      </w:r>
      <w:r>
        <w:rPr>
          <w:rFonts w:ascii="Times New Roman" w:hAnsi="Times New Roman" w:cs="Times New Roman"/>
          <w:i/>
          <w:iCs/>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The comprehensive quality control protocol of utilization of MRI equipment from various manufacturers.</w:t>
      </w:r>
    </w:p>
    <w:p w14:paraId="17C6DFC2">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 xml:space="preserve">Supplementary Method 6. </w:t>
      </w:r>
      <w:r>
        <w:rPr>
          <w:rFonts w:ascii="Times New Roman" w:hAnsi="Times New Roman" w:cs="Times New Roman"/>
          <w:color w:val="000000" w:themeColor="text1"/>
          <w14:textFill>
            <w14:solidFill>
              <w14:schemeClr w14:val="tx1"/>
            </w14:solidFill>
          </w14:textFill>
        </w:rPr>
        <w:t>Segmentation Model-Unet Network.</w:t>
      </w:r>
    </w:p>
    <w:p w14:paraId="4382C249">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 xml:space="preserve">Supplementary Method 7. </w:t>
      </w:r>
      <w:r>
        <w:rPr>
          <w:rFonts w:ascii="Times New Roman" w:hAnsi="Times New Roman" w:cs="Times New Roman"/>
          <w:color w:val="000000" w:themeColor="text1"/>
          <w14:textFill>
            <w14:solidFill>
              <w14:schemeClr w14:val="tx1"/>
            </w14:solidFill>
          </w14:textFill>
        </w:rPr>
        <w:t>Classification Model-ResNet 50.</w:t>
      </w:r>
    </w:p>
    <w:p w14:paraId="0A6435D3">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Supplementary</w:t>
      </w:r>
      <w:r>
        <w:rPr>
          <w:rFonts w:ascii="Times New Roman" w:hAnsi="Times New Roman" w:eastAsia="PingFang SC" w:cs="Times New Roman"/>
          <w:b/>
          <w:bCs/>
          <w:i/>
          <w:iCs/>
          <w:color w:val="000000" w:themeColor="text1"/>
          <w14:textFill>
            <w14:solidFill>
              <w14:schemeClr w14:val="tx1"/>
            </w14:solidFill>
          </w14:textFill>
        </w:rPr>
        <w:t xml:space="preserve"> </w:t>
      </w:r>
      <w:r>
        <w:rPr>
          <w:rFonts w:ascii="Times New Roman" w:hAnsi="Times New Roman" w:cs="Times New Roman"/>
          <w:b/>
          <w:i/>
          <w:iCs/>
          <w:color w:val="000000" w:themeColor="text1"/>
          <w14:textFill>
            <w14:solidFill>
              <w14:schemeClr w14:val="tx1"/>
            </w14:solidFill>
          </w14:textFill>
        </w:rPr>
        <w:t>Method 8.</w:t>
      </w:r>
      <w:r>
        <w:rPr>
          <w:rFonts w:ascii="Times New Roman" w:hAnsi="Times New Roman" w:cs="Times New Roman"/>
          <w:bCs/>
          <w:color w:val="000000" w:themeColor="text1"/>
          <w14:textFill>
            <w14:solidFill>
              <w14:schemeClr w14:val="tx1"/>
            </w14:solidFill>
          </w14:textFill>
        </w:rPr>
        <w:t xml:space="preserve"> Additional d</w:t>
      </w:r>
      <w:r>
        <w:rPr>
          <w:rFonts w:ascii="Times New Roman" w:hAnsi="Times New Roman" w:eastAsia="Times New Roman" w:cs="Times New Roman"/>
          <w:bCs/>
          <w:color w:val="000000" w:themeColor="text1"/>
          <w:lang w:bidi="ar"/>
          <w14:textFill>
            <w14:solidFill>
              <w14:schemeClr w14:val="tx1"/>
            </w14:solidFill>
          </w14:textFill>
        </w:rPr>
        <w:t>etails of statistical analysis.</w:t>
      </w:r>
    </w:p>
    <w:p w14:paraId="4171A82F">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 xml:space="preserve">Supplementary Table 1. </w:t>
      </w:r>
      <w:r>
        <w:rPr>
          <w:rFonts w:ascii="Times New Roman" w:hAnsi="Times New Roman" w:cs="Times New Roman"/>
          <w:color w:val="000000" w:themeColor="text1"/>
          <w14:textFill>
            <w14:solidFill>
              <w14:schemeClr w14:val="tx1"/>
            </w14:solidFill>
          </w14:textFill>
        </w:rPr>
        <w:t>Comparison between different deep learning algorithms in the validation dataset.</w:t>
      </w:r>
    </w:p>
    <w:p w14:paraId="404DE652">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Supplementary Table 2.</w:t>
      </w:r>
      <w:r>
        <w:rPr>
          <w:rFonts w:ascii="Times New Roman" w:hAnsi="Times New Roman" w:cs="Times New Roman"/>
          <w:color w:val="000000" w:themeColor="text1"/>
          <w14:textFill>
            <w14:solidFill>
              <w14:schemeClr w14:val="tx1"/>
            </w14:solidFill>
          </w14:textFill>
        </w:rPr>
        <w:t xml:space="preserve"> Results of logistic regression and hybrid model in the independent external test dataset.</w:t>
      </w:r>
    </w:p>
    <w:p w14:paraId="0789AA10">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i/>
          <w:iCs/>
          <w:color w:val="000000" w:themeColor="text1"/>
          <w:lang w:bidi="ar"/>
          <w14:textFill>
            <w14:solidFill>
              <w14:schemeClr w14:val="tx1"/>
            </w14:solidFill>
          </w14:textFill>
        </w:rPr>
        <w:t xml:space="preserve">Supplementary Table 3. </w:t>
      </w:r>
      <w:r>
        <w:rPr>
          <w:rFonts w:ascii="Times New Roman" w:hAnsi="Times New Roman" w:cs="Times New Roman"/>
          <w:color w:val="000000" w:themeColor="text1"/>
          <w14:textFill>
            <w14:solidFill>
              <w14:schemeClr w14:val="tx1"/>
            </w14:solidFill>
          </w14:textFill>
        </w:rPr>
        <w:t>The performance of MB-CNN in juvenile group and adult group in subgroup analyses on independent test dataset.</w:t>
      </w:r>
    </w:p>
    <w:p w14:paraId="474DEC39">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Supplementary Figure 1.</w:t>
      </w:r>
      <w:r>
        <w:rPr>
          <w:rFonts w:ascii="Times New Roman" w:hAnsi="Times New Roman" w:cs="Times New Roman"/>
          <w:i/>
          <w:iCs/>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The proportion of manufactures in different datasets.</w:t>
      </w:r>
    </w:p>
    <w:p w14:paraId="136C1A54">
      <w:pPr>
        <w:spacing w:line="480" w:lineRule="auto"/>
        <w:jc w:val="both"/>
        <w:rPr>
          <w:rFonts w:ascii="Times New Roman" w:hAnsi="Times New Roman" w:cs="Times New Roman"/>
          <w:b/>
          <w:bCs/>
          <w:i/>
          <w:iCs/>
          <w:color w:val="000000" w:themeColor="text1"/>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 xml:space="preserve">Supplementary Figure 2. </w:t>
      </w:r>
      <w:r>
        <w:rPr>
          <w:rFonts w:ascii="Times New Roman" w:hAnsi="Times New Roman" w:cs="Times New Roman"/>
          <w:color w:val="000000" w:themeColor="text1"/>
          <w14:textFill>
            <w14:solidFill>
              <w14:schemeClr w14:val="tx1"/>
            </w14:solidFill>
          </w14:textFill>
        </w:rPr>
        <w:t>The area under ROC curve, accuracy, sensitivity and specificity of different algorithms.</w:t>
      </w:r>
    </w:p>
    <w:p w14:paraId="353AD744">
      <w:pPr>
        <w:spacing w:line="480" w:lineRule="auto"/>
        <w:jc w:val="both"/>
        <w:rPr>
          <w:rFonts w:ascii="Times New Roman" w:hAnsi="Times New Roman" w:cs="Times New Roman"/>
          <w:b/>
          <w:bCs/>
          <w:i/>
          <w:iCs/>
          <w:color w:val="000000" w:themeColor="text1"/>
          <w14:textFill>
            <w14:solidFill>
              <w14:schemeClr w14:val="tx1"/>
            </w14:solidFill>
          </w14:textFill>
        </w:rPr>
      </w:pPr>
    </w:p>
    <w:p w14:paraId="2D6121DF">
      <w:pPr>
        <w:spacing w:line="480" w:lineRule="auto"/>
        <w:jc w:val="both"/>
        <w:rPr>
          <w:rFonts w:ascii="Times New Roman" w:hAnsi="Times New Roman" w:cs="Times New Roman"/>
          <w:b/>
          <w:bCs/>
          <w:i/>
          <w:iCs/>
          <w:color w:val="000000" w:themeColor="text1"/>
          <w14:textFill>
            <w14:solidFill>
              <w14:schemeClr w14:val="tx1"/>
            </w14:solidFill>
          </w14:textFill>
        </w:rPr>
        <w:sectPr>
          <w:pgSz w:w="11906" w:h="16838"/>
          <w:pgMar w:top="1440" w:right="1800" w:bottom="1440" w:left="1920" w:header="851" w:footer="992" w:gutter="0"/>
          <w:cols w:space="425" w:num="1"/>
          <w:docGrid w:type="lines" w:linePitch="312" w:charSpace="0"/>
        </w:sectPr>
      </w:pPr>
    </w:p>
    <w:p w14:paraId="025D3D82">
      <w:pPr>
        <w:spacing w:line="480" w:lineRule="auto"/>
        <w:jc w:val="both"/>
        <w:rPr>
          <w:rFonts w:ascii="Times New Roman" w:hAnsi="Times New Roman" w:cs="Times New Roman"/>
          <w:color w:val="000000" w:themeColor="text1"/>
          <w:lang w:bidi="ar"/>
          <w14:textFill>
            <w14:solidFill>
              <w14:schemeClr w14:val="tx1"/>
            </w14:solidFill>
          </w14:textFill>
        </w:rPr>
      </w:pPr>
      <w:bookmarkStart w:id="1" w:name="OLE_LINK20"/>
      <w:r>
        <w:rPr>
          <w:rFonts w:ascii="Times New Roman" w:hAnsi="Times New Roman" w:cs="Times New Roman"/>
          <w:b/>
          <w:bCs/>
          <w:i/>
          <w:iCs/>
          <w:color w:val="000000" w:themeColor="text1"/>
          <w14:textFill>
            <w14:solidFill>
              <w14:schemeClr w14:val="tx1"/>
            </w14:solidFill>
          </w14:textFill>
        </w:rPr>
        <w:t>Supplementary Method 1.</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lang w:bidi="ar"/>
          <w14:textFill>
            <w14:solidFill>
              <w14:schemeClr w14:val="tx1"/>
            </w14:solidFill>
          </w14:textFill>
        </w:rPr>
        <w:t>Dataset source, patient count, and allocation method.</w:t>
      </w:r>
    </w:p>
    <w:p w14:paraId="4E0D615E">
      <w:pPr>
        <w:spacing w:line="480" w:lineRule="auto"/>
        <w:jc w:val="both"/>
        <w:rPr>
          <w:rFonts w:ascii="Times New Roman" w:hAnsi="Times New Roman" w:eastAsia="等线"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The development dataset comprised 325 patients who were treated at Beijing Tiantan Hospital of the Capital Medical University from January 01, 2015, to June 30, 2023, and they were randomly divided into training and validation datasets according to the ratio of 8:2 (244:81). The independent external test dataset comprised 124 patients who were treated at Beijing Shijitan Hospital, Capital Medical University from January 2018, to June 30, 2023.</w:t>
      </w:r>
    </w:p>
    <w:p w14:paraId="725D3561">
      <w:pPr>
        <w:spacing w:line="480" w:lineRule="auto"/>
        <w:jc w:val="both"/>
        <w:rPr>
          <w:rFonts w:ascii="Times New Roman" w:hAnsi="Times New Roman" w:cs="Times New Roman"/>
          <w:b/>
          <w:bCs/>
          <w:i/>
          <w:iCs/>
          <w:color w:val="000000" w:themeColor="text1"/>
          <w14:textFill>
            <w14:solidFill>
              <w14:schemeClr w14:val="tx1"/>
            </w14:solidFill>
          </w14:textFill>
        </w:rPr>
      </w:pPr>
    </w:p>
    <w:p w14:paraId="7CD5C019">
      <w:pPr>
        <w:spacing w:line="480" w:lineRule="auto"/>
        <w:jc w:val="both"/>
        <w:rPr>
          <w:rFonts w:ascii="Times New Roman" w:hAnsi="Times New Roman" w:cs="Times New Roman"/>
          <w:color w:val="000000" w:themeColor="text1"/>
          <w:lang w:bidi="ar"/>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 xml:space="preserve">Supplementary Method 2. </w:t>
      </w:r>
      <w:r>
        <w:rPr>
          <w:rFonts w:ascii="Times New Roman" w:hAnsi="Times New Roman" w:cs="Times New Roman"/>
          <w:color w:val="000000" w:themeColor="text1"/>
          <w:lang w:bidi="ar"/>
          <w14:textFill>
            <w14:solidFill>
              <w14:schemeClr w14:val="tx1"/>
            </w14:solidFill>
          </w14:textFill>
        </w:rPr>
        <w:t>MRI parameters and contrast agent use.</w:t>
      </w:r>
    </w:p>
    <w:p w14:paraId="2F3774A5">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The T2W MR images parameters were as follows: repetition time / echo time = 3047-6711 / 84-119 ms; flip angle = 90</w:t>
      </w:r>
      <w:r>
        <w:rPr>
          <w:rFonts w:ascii="Times New Roman" w:hAnsi="Times New Roman" w:eastAsia="微软雅黑" w:cs="Times New Roman"/>
          <w:color w:val="000000" w:themeColor="text1"/>
          <w:shd w:val="clear" w:color="auto" w:fill="FFFFFF"/>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-160</w:t>
      </w:r>
      <w:r>
        <w:rPr>
          <w:rFonts w:ascii="Times New Roman" w:hAnsi="Times New Roman" w:eastAsia="微软雅黑" w:cs="Times New Roman"/>
          <w:color w:val="000000" w:themeColor="text1"/>
          <w:shd w:val="clear" w:color="auto" w:fill="FFFFFF"/>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 slice thickness = 3-6 mm; and matrix size = 256-328 × 512-512. T1W MR images comprised either three dimensional isovolumetric or two-dimensional spin-echo imaging, with repetition time / echo time = 17-30 / 4.3-4.6 ms; flip angle = 12</w:t>
      </w:r>
      <w:r>
        <w:rPr>
          <w:rFonts w:ascii="Times New Roman" w:hAnsi="Times New Roman" w:eastAsia="微软雅黑" w:cs="Times New Roman"/>
          <w:color w:val="000000" w:themeColor="text1"/>
          <w:shd w:val="clear" w:color="auto" w:fill="FFFFFF"/>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-15</w:t>
      </w:r>
      <w:r>
        <w:rPr>
          <w:rFonts w:ascii="Times New Roman" w:hAnsi="Times New Roman" w:eastAsia="微软雅黑" w:cs="Times New Roman"/>
          <w:color w:val="000000" w:themeColor="text1"/>
          <w:shd w:val="clear" w:color="auto" w:fill="FFFFFF"/>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 slice thickness = 0.8-5 mm; and matrix size = 240-256 × 384-512. For T1W imaging, contrast agents (gadolinium-based, CE-T1W), are used to increase the contrast between normal and pathological tissues by altering the relaxation times of tissues where they accumulate.</w:t>
      </w:r>
    </w:p>
    <w:p w14:paraId="7D82B7A1">
      <w:pPr>
        <w:spacing w:line="480" w:lineRule="auto"/>
        <w:jc w:val="both"/>
        <w:rPr>
          <w:rFonts w:ascii="Times New Roman" w:hAnsi="Times New Roman" w:cs="Times New Roman"/>
          <w:b/>
          <w:bCs/>
          <w:i/>
          <w:iCs/>
          <w:color w:val="000000" w:themeColor="text1"/>
          <w14:textFill>
            <w14:solidFill>
              <w14:schemeClr w14:val="tx1"/>
            </w14:solidFill>
          </w14:textFill>
        </w:rPr>
      </w:pPr>
    </w:p>
    <w:p w14:paraId="1ACB8597">
      <w:pPr>
        <w:pStyle w:val="12"/>
        <w:spacing w:line="480" w:lineRule="auto"/>
        <w:jc w:val="both"/>
        <w:rPr>
          <w:rFonts w:ascii="Times New Roman" w:hAnsi="Times New Roman"/>
          <w:color w:val="000000" w:themeColor="text1"/>
          <w14:textFill>
            <w14:solidFill>
              <w14:schemeClr w14:val="tx1"/>
            </w14:solidFill>
          </w14:textFill>
        </w:rPr>
      </w:pPr>
      <w:r>
        <w:rPr>
          <w:rFonts w:ascii="Times New Roman" w:hAnsi="Times New Roman"/>
          <w:b/>
          <w:bCs/>
          <w:i/>
          <w:iCs/>
          <w:color w:val="000000" w:themeColor="text1"/>
          <w14:textFill>
            <w14:solidFill>
              <w14:schemeClr w14:val="tx1"/>
            </w14:solidFill>
          </w14:textFill>
        </w:rPr>
        <w:t>Supplementary Method 3.</w:t>
      </w:r>
      <w:r>
        <w:rPr>
          <w:rFonts w:ascii="Times New Roman" w:hAnsi="Times New Roman"/>
          <w:color w:val="000000" w:themeColor="text1"/>
          <w14:textFill>
            <w14:solidFill>
              <w14:schemeClr w14:val="tx1"/>
            </w14:solidFill>
          </w14:textFill>
        </w:rPr>
        <w:t xml:space="preserve"> The details of the enhancement grading.</w:t>
      </w:r>
    </w:p>
    <w:p w14:paraId="3C8E721A">
      <w:pPr>
        <w:spacing w:line="480" w:lineRule="auto"/>
        <w:jc w:val="both"/>
        <w:rPr>
          <w:rFonts w:ascii="Times New Roman" w:hAnsi="Times New Roman" w:cs="Times New Roman"/>
          <w:b/>
          <w:bCs/>
          <w:i/>
          <w:iCs/>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Enhancements were classified as mild (slightly brighter than the surrounding tissue), moderate (showing a clearer contrast), or significant (where the lesion is distinctly pronounced). Additionally, they assessed for the presence of cerebellar origin, involvement of the brainstem, hemorrhage, cystic degeneration/necrosis, and signs of dissemination/metastasis.</w:t>
      </w:r>
    </w:p>
    <w:p w14:paraId="3FBC223E">
      <w:pPr>
        <w:spacing w:line="480" w:lineRule="auto"/>
        <w:jc w:val="both"/>
        <w:rPr>
          <w:rFonts w:ascii="Times New Roman" w:hAnsi="Times New Roman" w:cs="Times New Roman"/>
          <w:b/>
          <w:bCs/>
          <w:color w:val="000000" w:themeColor="text1"/>
          <w14:textFill>
            <w14:solidFill>
              <w14:schemeClr w14:val="tx1"/>
            </w14:solidFill>
          </w14:textFill>
        </w:rPr>
      </w:pPr>
    </w:p>
    <w:p w14:paraId="07A7FA79">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Supplementary Method 4.</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lang w:bidi="ar"/>
          <w14:textFill>
            <w14:solidFill>
              <w14:schemeClr w14:val="tx1"/>
            </w14:solidFill>
          </w14:textFill>
        </w:rPr>
        <w:t>Comprehensive molecular analysis of methylation patterns and genetic alterations in medulloblastoma.</w:t>
      </w:r>
    </w:p>
    <w:p w14:paraId="141F4D9D">
      <w:pPr>
        <w:numPr>
          <w:ilvl w:val="255"/>
          <w:numId w:val="0"/>
        </w:num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To ensure capturing the potential heterogeneity within a tumor and to provide more comprehensive information, we collect multiple samples from different parts of the tumor. By comparing tumor samples to normal cerebellar tissue, we first identified differentially methylated regions (DMRs) and selected genes at 75 percentiles in the absolute methylation difference for further analysis</w:t>
      </w:r>
      <w:r>
        <w:rPr>
          <w:rFonts w:ascii="Times New Roman" w:hAnsi="Times New Roman" w:cs="Times New Roman"/>
          <w:color w:val="000000" w:themeColor="text1"/>
          <w14:textFill>
            <w14:solidFill>
              <w14:schemeClr w14:val="tx1"/>
            </w14:solidFill>
          </w14:textFill>
        </w:rPr>
        <w:fldChar w:fldCharType="begin">
          <w:fldData xml:space="preserve">PEVuZE5vdGU+PENpdGU+PEF1dGhvcj5EYXZpZXM8L0F1dGhvcj48WWVhcj4yMDEyPC9ZZWFyPjxS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</w:fldData>
        </w:fldChar>
      </w:r>
      <w:r>
        <w:rPr>
          <w:rFonts w:ascii="Times New Roman" w:hAnsi="Times New Roman" w:cs="Times New Roman"/>
          <w:color w:val="000000" w:themeColor="text1"/>
          <w14:textFill>
            <w14:solidFill>
              <w14:schemeClr w14:val="tx1"/>
            </w14:solidFill>
          </w14:textFill>
        </w:rPr>
        <w:instrText xml:space="preserve"> ADDIN EN.CITE </w:instrText>
      </w:r>
      <w:r>
        <w:rPr>
          <w:rFonts w:ascii="Times New Roman" w:hAnsi="Times New Roman" w:cs="Times New Roman"/>
          <w:color w:val="000000" w:themeColor="text1"/>
          <w14:textFill>
            <w14:solidFill>
              <w14:schemeClr w14:val="tx1"/>
            </w14:solidFill>
          </w14:textFill>
        </w:rPr>
        <w:fldChar w:fldCharType="begin">
          <w:fldData xml:space="preserve">PEVuZE5vdGU+PENpdGU+PEF1dGhvcj5EYXZpZXM8L0F1dGhvcj48WWVhcj4yMDEyPC9ZZWFyPjxS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</w:fldData>
        </w:fldChar>
      </w:r>
      <w:r>
        <w:rPr>
          <w:rFonts w:ascii="Times New Roman" w:hAnsi="Times New Roman" w:cs="Times New Roman"/>
          <w:color w:val="000000" w:themeColor="text1"/>
          <w14:textFill>
            <w14:solidFill>
              <w14:schemeClr w14:val="tx1"/>
            </w14:solidFill>
          </w14:textFill>
        </w:rPr>
        <w:instrText xml:space="preserve"> ADDIN EN.CITE.DATA </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vertAlign w:val="superscript"/>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 Using Principal Component Analysis (PCA), we explored the methylation patterns of these DMRs by generating a random β-value dataset (i.e., matching DMR β-values randomly with samples) and comparing the PCA results of this random data with the actual data to determine the number of principal components. To further reduce dimensionality and effectively visualize these complex methylation data, t-Distributed Stochastic Neighbor Embedding (t-SNE) technique was applied with specific parameter settings such as theta=0 to emphasize local data structures, pca=F to skip the initial PCA step, max_iter=2500 for the maximum number of iterations, and perplexity=10 to balance between the global and local data structures. Additionally, WGS was utilized to comprehensively screen for all potential mutation sites within the TP53 gene</w:t>
      </w:r>
      <w:r>
        <w:rPr>
          <w:rFonts w:ascii="Times New Roman" w:hAnsi="Times New Roman" w:cs="Times New Roman"/>
          <w:color w:val="000000" w:themeColor="text1"/>
          <w14:textFill>
            <w14:solidFill>
              <w14:schemeClr w14:val="tx1"/>
            </w14:solidFill>
          </w14:textFill>
        </w:rPr>
        <w:fldChar w:fldCharType="begin">
          <w:fldData xml:space="preserve">PEVuZE5vdGU+PENpdGU+PEF1dGhvcj5aaHVrb3ZhPC9BdXRob3I+PFllYXI+MjAxMzwvWWVhcj48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</w:fldData>
        </w:fldChar>
      </w:r>
      <w:r>
        <w:rPr>
          <w:rFonts w:ascii="Times New Roman" w:hAnsi="Times New Roman" w:cs="Times New Roman"/>
          <w:color w:val="000000" w:themeColor="text1"/>
          <w14:textFill>
            <w14:solidFill>
              <w14:schemeClr w14:val="tx1"/>
            </w14:solidFill>
          </w14:textFill>
        </w:rPr>
        <w:instrText xml:space="preserve"> ADDIN EN.CITE </w:instrText>
      </w:r>
      <w:r>
        <w:rPr>
          <w:rFonts w:ascii="Times New Roman" w:hAnsi="Times New Roman" w:cs="Times New Roman"/>
          <w:color w:val="000000" w:themeColor="text1"/>
          <w14:textFill>
            <w14:solidFill>
              <w14:schemeClr w14:val="tx1"/>
            </w14:solidFill>
          </w14:textFill>
        </w:rPr>
        <w:fldChar w:fldCharType="begin">
          <w:fldData xml:space="preserve">PEVuZE5vdGU+PENpdGU+PEF1dGhvcj5aaHVrb3ZhPC9BdXRob3I+PFllYXI+MjAxMzwvWWVhcj48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</w:fldData>
        </w:fldChar>
      </w:r>
      <w:r>
        <w:rPr>
          <w:rFonts w:ascii="Times New Roman" w:hAnsi="Times New Roman" w:cs="Times New Roman"/>
          <w:color w:val="000000" w:themeColor="text1"/>
          <w14:textFill>
            <w14:solidFill>
              <w14:schemeClr w14:val="tx1"/>
            </w14:solidFill>
          </w14:textFill>
        </w:rPr>
        <w:instrText xml:space="preserve"> ADDIN EN.CITE.DATA </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vertAlign w:val="superscript"/>
          <w14:textFill>
            <w14:solidFill>
              <w14:schemeClr w14:val="tx1"/>
            </w14:solidFill>
          </w14:textFill>
        </w:rPr>
        <w:t>2,3</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 while CGH was employed to detect MYC gene amplification</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ADDIN EN.CITE &lt;EndNote&gt;&lt;Cite&gt;&lt;Author&gt;Kumar&lt;/Author&gt;&lt;Year&gt;2023&lt;/Year&gt;&lt;RecNum&gt;486&lt;/RecNum&gt;&lt;DisplayText&gt;&lt;style face="superscript"&gt;4&lt;/style&gt;&lt;/DisplayText&gt;&lt;record&gt;&lt;rec-number&gt;486&lt;/rec-number&gt;&lt;foreign-keys&gt;&lt;key app="EN" db-id="fzzdfxd9kt0dvhesway5sddw0d5e5x05r5pt" timestamp="1708655209"&gt;486&lt;/key&gt;&lt;/foreign-keys&gt;&lt;ref-type name="Journal Article"&gt;17&lt;/ref-type&gt;&lt;contributors&gt;&lt;authors&gt;&lt;author&gt;Kumar, D.&lt;/author&gt;&lt;author&gt;Jain, S.&lt;/author&gt;&lt;author&gt;Coulter, D. W.&lt;/author&gt;&lt;author&gt;Joshi, S. S.&lt;/author&gt;&lt;author&gt;Chaturvedi, N. K.&lt;/author&gt;&lt;/authors&gt;&lt;/contributors&gt;&lt;auth-address&gt;Department of Pediatrics, Division of Hematology and Oncology, University of Nebraska Medical Center, Omaha, NE 69198, USA.&amp;#xD;Child Health Research Institute, University of Nebraska Medical Center, Omaha, NE 69198, USA.&amp;#xD;Fred &amp;amp; Pamela Buffett Cancer Center, University of Nebraska Medical Center, Omaha, NE 69198, USA.&amp;#xD;Department of Genetics, Cell Biology and Anatomy, University of Nebraska Medical Center, Omaha, NE 69198, USA.&lt;/auth-address&gt;&lt;titles&gt;&lt;title&gt;PRMT5 as a Potential Therapeutic Target in MYC-Amplified Medulloblastoma&lt;/title&gt;&lt;secondary-title&gt;Cancers (Basel)&lt;/secondary-title&gt;&lt;/titles&gt;&lt;periodical&gt;&lt;full-title&gt;Cancers (Basel)&lt;/full-title&gt;&lt;/periodical&gt;&lt;volume&gt;15&lt;/volume&gt;&lt;number&gt;24&lt;/number&gt;&lt;edition&gt;2023/12/23&lt;/edition&gt;&lt;keywords&gt;&lt;keyword&gt;Myc&lt;/keyword&gt;&lt;keyword&gt;PRMT5 inhibitors&lt;/keyword&gt;&lt;keyword&gt;Sdma&lt;/keyword&gt;&lt;keyword&gt;brain cancer&lt;/keyword&gt;&lt;keyword&gt;medulloblastoma&lt;/keyword&gt;&lt;keyword&gt;appeared to influence the work reported in this article.&lt;/keyword&gt;&lt;/keywords&gt;&lt;dates&gt;&lt;year&gt;2023&lt;/year&gt;&lt;pub-dates&gt;&lt;date&gt;Dec 15&lt;/date&gt;&lt;/pub-dates&gt;&lt;/dates&gt;&lt;isbn&gt;2072-6694 (Print)&amp;#xD;2072-6694 (Electronic)&amp;#xD;2072-6694 (Linking)&lt;/isbn&gt;&lt;accession-num&gt;38136401&lt;/accession-num&gt;&lt;urls&gt;&lt;related-urls&gt;&lt;url&gt;https://www.ncbi.nlm.nih.gov/pubmed/38136401&lt;/url&gt;&lt;/related-urls&gt;&lt;/urls&gt;&lt;custom2&gt;PMC10741595&lt;/custom2&gt;&lt;electronic-resource-num&gt;10.3390/cancers15245855&lt;/electronic-resource-num&gt;&lt;/record&gt;&lt;/Cite&gt;&lt;/EndNote&gt;</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vertAlign w:val="superscript"/>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 xml:space="preserve"> and loss of chromosome 11</w:t>
      </w:r>
      <w:r>
        <w:rPr>
          <w:rFonts w:ascii="Times New Roman" w:hAnsi="Times New Roman" w:cs="Times New Roman"/>
          <w:color w:val="000000" w:themeColor="text1"/>
          <w14:textFill>
            <w14:solidFill>
              <w14:schemeClr w14:val="tx1"/>
            </w14:solidFill>
          </w14:textFill>
        </w:rPr>
        <w:fldChar w:fldCharType="begin">
          <w:fldData xml:space="preserve">PEVuZE5vdGU+PENpdGU+PEF1dGhvcj5SYW1hc3dhbXk8L0F1dGhvcj48WWVhcj4yMDE2PC9ZZWFy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</w:fldData>
        </w:fldChar>
      </w:r>
      <w:r>
        <w:rPr>
          <w:rFonts w:ascii="Times New Roman" w:hAnsi="Times New Roman" w:cs="Times New Roman"/>
          <w:color w:val="000000" w:themeColor="text1"/>
          <w14:textFill>
            <w14:solidFill>
              <w14:schemeClr w14:val="tx1"/>
            </w14:solidFill>
          </w14:textFill>
        </w:rPr>
        <w:instrText xml:space="preserve"> ADDIN EN.CITE </w:instrText>
      </w:r>
      <w:r>
        <w:rPr>
          <w:rFonts w:ascii="Times New Roman" w:hAnsi="Times New Roman" w:cs="Times New Roman"/>
          <w:color w:val="000000" w:themeColor="text1"/>
          <w14:textFill>
            <w14:solidFill>
              <w14:schemeClr w14:val="tx1"/>
            </w14:solidFill>
          </w14:textFill>
        </w:rPr>
        <w:fldChar w:fldCharType="begin">
          <w:fldData xml:space="preserve">PEVuZE5vdGU+PENpdGU+PEF1dGhvcj5SYW1hc3dhbXk8L0F1dGhvcj48WWVhcj4yMDE2PC9ZZWFy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</w:fldData>
        </w:fldChar>
      </w:r>
      <w:r>
        <w:rPr>
          <w:rFonts w:ascii="Times New Roman" w:hAnsi="Times New Roman" w:cs="Times New Roman"/>
          <w:color w:val="000000" w:themeColor="text1"/>
          <w14:textFill>
            <w14:solidFill>
              <w14:schemeClr w14:val="tx1"/>
            </w14:solidFill>
          </w14:textFill>
        </w:rPr>
        <w:instrText xml:space="preserve"> ADDIN EN.CITE.DATA </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vertAlign w:val="superscript"/>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 xml:space="preserve">. </w:t>
      </w:r>
    </w:p>
    <w:p w14:paraId="0FF13862">
      <w:pPr>
        <w:spacing w:line="480" w:lineRule="auto"/>
        <w:jc w:val="both"/>
        <w:rPr>
          <w:rFonts w:ascii="Times New Roman" w:hAnsi="Times New Roman" w:cs="Times New Roman"/>
          <w:color w:val="000000" w:themeColor="text1"/>
          <w14:textFill>
            <w14:solidFill>
              <w14:schemeClr w14:val="tx1"/>
            </w14:solidFill>
          </w14:textFill>
        </w:rPr>
      </w:pPr>
    </w:p>
    <w:p w14:paraId="340CD1DB">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In this study, we employed a comprehensive molecular analysis approach, specifically focusing on identifying differential methylation regions (DMRs) to accurately classify molecular subgroups of Medulloblastoma (MB). The criteria for selecting DMRs and determining the threshold for absolute methylation differences are crucial steps in this analysis, as they directly impact the accuracy and reliability of the molecular subgroup classification.</w:t>
      </w:r>
    </w:p>
    <w:p w14:paraId="6ADB989F">
      <w:pPr>
        <w:spacing w:line="480" w:lineRule="auto"/>
        <w:jc w:val="both"/>
        <w:rPr>
          <w:rFonts w:ascii="Times New Roman" w:hAnsi="Times New Roman" w:cs="Times New Roman"/>
          <w:color w:val="000000" w:themeColor="text1"/>
          <w14:textFill>
            <w14:solidFill>
              <w14:schemeClr w14:val="tx1"/>
            </w14:solidFill>
          </w14:textFill>
        </w:rPr>
      </w:pPr>
    </w:p>
    <w:p w14:paraId="057AF258">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Criteria for Selecting DMRs:</w:t>
      </w:r>
    </w:p>
    <w:p w14:paraId="58AFC0B5">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Statistical Significance: Initially, we used statistical tests (such as the t-test) to identify methylation sites that showed significant differences between different MB molecular subgroups. Only sites with P-values less than 0.05 (after correction for multiple testing) were considered, ensuring that the identified DMRs were statistically significant.</w:t>
      </w:r>
    </w:p>
    <w:p w14:paraId="6980B612">
      <w:pPr>
        <w:spacing w:line="480" w:lineRule="auto"/>
        <w:jc w:val="both"/>
        <w:rPr>
          <w:rFonts w:ascii="Times New Roman" w:hAnsi="Times New Roman" w:cs="Times New Roman"/>
          <w:color w:val="000000" w:themeColor="text1"/>
          <w14:textFill>
            <w14:solidFill>
              <w14:schemeClr w14:val="tx1"/>
            </w14:solidFill>
          </w14:textFill>
        </w:rPr>
      </w:pPr>
    </w:p>
    <w:p w14:paraId="09D5B3F9">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Magnitude of Methylation Difference: Beyond statistical significance, we also set a minimum methylation difference threshold (for example, an absolute methylation difference ≥25%) to select biologically meaningful DMRs. This threshold was determined based on prior literature and preliminary experimental data, aiming to balance the identification of a sufficient number of DMRs while maintaining the specificity of the analysis.</w:t>
      </w:r>
    </w:p>
    <w:p w14:paraId="66660C5B">
      <w:pPr>
        <w:spacing w:line="480" w:lineRule="auto"/>
        <w:jc w:val="both"/>
        <w:rPr>
          <w:rFonts w:ascii="Times New Roman" w:hAnsi="Times New Roman" w:cs="Times New Roman"/>
          <w:color w:val="000000" w:themeColor="text1"/>
          <w14:textFill>
            <w14:solidFill>
              <w14:schemeClr w14:val="tx1"/>
            </w14:solidFill>
          </w14:textFill>
        </w:rPr>
      </w:pPr>
    </w:p>
    <w:p w14:paraId="73F4E209">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Biological Function: Furthermore, we considered the biological function of the sites, prioritizing DMRs located in gene promoter regions or known to be associated with tumorigenesis and development. This helps ensure that the selected DMRs have potential biological relevance in the molecular mechanisms of MB.</w:t>
      </w:r>
    </w:p>
    <w:p w14:paraId="14907174">
      <w:pPr>
        <w:spacing w:line="480" w:lineRule="auto"/>
        <w:jc w:val="both"/>
        <w:rPr>
          <w:rFonts w:ascii="Times New Roman" w:hAnsi="Times New Roman" w:cs="Times New Roman"/>
          <w:color w:val="000000" w:themeColor="text1"/>
          <w14:textFill>
            <w14:solidFill>
              <w14:schemeClr w14:val="tx1"/>
            </w14:solidFill>
          </w14:textFill>
        </w:rPr>
      </w:pPr>
    </w:p>
    <w:p w14:paraId="045D1E20">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Determining the Threshold for Absolute Methylation Differences:</w:t>
      </w:r>
    </w:p>
    <w:p w14:paraId="035960D5">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The threshold for absolute methylation differences was set based on the extent of change in methylation status, aiming to distinguish clear differences between the molecular subgroups. In this study, an absolute methylation difference≥25% was used as the threshold for selecting DMRs. This threshold was determined based on several considerations:</w:t>
      </w:r>
    </w:p>
    <w:p w14:paraId="16E48F7E">
      <w:pPr>
        <w:spacing w:line="480" w:lineRule="auto"/>
        <w:jc w:val="both"/>
        <w:rPr>
          <w:rFonts w:ascii="Times New Roman" w:hAnsi="Times New Roman" w:cs="Times New Roman"/>
          <w:color w:val="000000" w:themeColor="text1"/>
          <w14:textFill>
            <w14:solidFill>
              <w14:schemeClr w14:val="tx1"/>
            </w14:solidFill>
          </w14:textFill>
        </w:rPr>
      </w:pPr>
    </w:p>
    <w:p w14:paraId="59618C85">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Balance between Sensitivity and Specificity: The threshold needs to be high enough to ensure good discrimination between different subgroups by the identified DMRs, while also considering that too high a threshold might miss biologically important DMRs with smaller changes in methylation.</w:t>
      </w:r>
    </w:p>
    <w:p w14:paraId="0E58A98E">
      <w:pPr>
        <w:spacing w:line="480" w:lineRule="auto"/>
        <w:jc w:val="both"/>
        <w:rPr>
          <w:rFonts w:ascii="Times New Roman" w:hAnsi="Times New Roman" w:cs="Times New Roman"/>
          <w:color w:val="000000" w:themeColor="text1"/>
          <w14:textFill>
            <w14:solidFill>
              <w14:schemeClr w14:val="tx1"/>
            </w14:solidFill>
          </w14:textFill>
        </w:rPr>
      </w:pPr>
    </w:p>
    <w:p w14:paraId="7A6D5AE3">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Data-Driven: By analyzing the methylation patterns in the training dataset, we evaluated the classification performance under different thresholds, ultimately choosing the threshold that maximized classification accuracy without significantly increasing the false-positive rate.</w:t>
      </w:r>
    </w:p>
    <w:p w14:paraId="5044C068">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w:t>
      </w:r>
    </w:p>
    <w:p w14:paraId="78963F0D">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Literature and Previous Studies: Referencing thresholds commonly used in previous studies and literature in related fields, adjusted for our data characteristics and research objectives.</w:t>
      </w:r>
    </w:p>
    <w:p w14:paraId="36FDDDCB">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w:t>
      </w:r>
    </w:p>
    <w:p w14:paraId="44328931">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Through these criteria and threshold settings, we were able to effectively identify key DMRs related to the classification of MB molecular subgroups from complex methylation data, providing an accurate biological basis for subsequent deep learning model development and validation. This process ensures the scientific rigor and reliability of the method while enhancing the interpretability and applicability of the research findings.</w:t>
      </w:r>
    </w:p>
    <w:p w14:paraId="61C5EB79">
      <w:pPr>
        <w:spacing w:line="480" w:lineRule="auto"/>
        <w:jc w:val="both"/>
        <w:rPr>
          <w:rFonts w:ascii="Times New Roman" w:hAnsi="Times New Roman" w:cs="Times New Roman"/>
          <w:color w:val="000000" w:themeColor="text1"/>
          <w14:textFill>
            <w14:solidFill>
              <w14:schemeClr w14:val="tx1"/>
            </w14:solidFill>
          </w14:textFill>
        </w:rPr>
      </w:pPr>
    </w:p>
    <w:p w14:paraId="00E77686">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Supplementary Method 5.</w:t>
      </w:r>
      <w:r>
        <w:rPr>
          <w:rFonts w:ascii="Times New Roman" w:hAnsi="Times New Roman" w:cs="Times New Roman"/>
          <w:i/>
          <w:iCs/>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The comprehensive quality control protocol of utilization of MRI equipment from various manufacturers.</w:t>
      </w:r>
    </w:p>
    <w:bookmarkEnd w:id="1"/>
    <w:p w14:paraId="4ABAA5EE">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Standardized Image Acquisition Protocol:</w:t>
      </w:r>
    </w:p>
    <w:p w14:paraId="757C7E97">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Despite utilizing diverse equipment, we strived for uniformity in scanning parameters across all devices as much as possible, including echo time, repetition time, and flip angle. For parameters that could not be standardized, similar protocols were considered, or adjustments were made to minimize discrepancies.</w:t>
      </w:r>
    </w:p>
    <w:p w14:paraId="44115812">
      <w:pPr>
        <w:spacing w:line="480" w:lineRule="auto"/>
        <w:jc w:val="both"/>
        <w:rPr>
          <w:rFonts w:ascii="Times New Roman" w:hAnsi="Times New Roman" w:cs="Times New Roman"/>
          <w:color w:val="000000" w:themeColor="text1"/>
          <w14:textFill>
            <w14:solidFill>
              <w14:schemeClr w14:val="tx1"/>
            </w14:solidFill>
          </w14:textFill>
        </w:rPr>
      </w:pPr>
    </w:p>
    <w:p w14:paraId="686C960F">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Image Preprocessing:</w:t>
      </w:r>
    </w:p>
    <w:p w14:paraId="28C5B064">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Gaussian smoothing and background removal refined image quality for more accurate model learning. Data augmentation, such as rotation, flipping, and scaling, along with specific techniques like brain extraction and image registration, improved the model's generalization to unseen data. Cropping and resizing adjustments were made to meet the model's input requirements, optimizing computational efficiency and consistency. Feature extraction, utilizing both traditional and automated DL methods, was tailored to the analysis objectives, ensuring high-quality data input. The application of advanced data augmentation tools, such as those provided by Albumentations (</w:t>
      </w:r>
      <w:r>
        <w:rPr>
          <w:rFonts w:ascii="Times New Roman" w:hAnsi="Times New Roman" w:cs="Times New Roman"/>
          <w:i/>
          <w:iCs/>
          <w:color w:val="000000" w:themeColor="text1"/>
          <w14:textFill>
            <w14:solidFill>
              <w14:schemeClr w14:val="tx1"/>
            </w14:solidFill>
          </w14:textFill>
        </w:rPr>
        <w:t>https://github.com/albumentations-team/albumentations</w:t>
      </w:r>
      <w:r>
        <w:rPr>
          <w:rFonts w:ascii="Times New Roman" w:hAnsi="Times New Roman" w:cs="Times New Roman"/>
          <w:color w:val="000000" w:themeColor="text1"/>
          <w14:textFill>
            <w14:solidFill>
              <w14:schemeClr w14:val="tx1"/>
            </w14:solidFill>
          </w14:textFill>
        </w:rPr>
        <w:t>), further exemplifies the commitment to enhancing data quality and model efficacy.</w:t>
      </w:r>
    </w:p>
    <w:p w14:paraId="430CB83B">
      <w:pPr>
        <w:spacing w:line="480" w:lineRule="auto"/>
        <w:jc w:val="both"/>
        <w:rPr>
          <w:rFonts w:ascii="Times New Roman" w:hAnsi="Times New Roman" w:cs="Times New Roman"/>
          <w:color w:val="000000" w:themeColor="text1"/>
          <w14:textFill>
            <w14:solidFill>
              <w14:schemeClr w14:val="tx1"/>
            </w14:solidFill>
          </w14:textFill>
        </w:rPr>
      </w:pPr>
    </w:p>
    <w:p w14:paraId="5A048959">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Intensity Normalization: All MR images underwent intensity normalization to ensure a similar intensity distribution across the dataset</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ADDIN EN.CITE &lt;EndNote&gt;&lt;Cite&gt;&lt;Author&gt;Lundervold&lt;/Author&gt;&lt;Year&gt;2019&lt;/Year&gt;&lt;RecNum&gt;461&lt;/RecNum&gt;&lt;DisplayText&gt;&lt;style face="superscript"&gt;6&lt;/style&gt;&lt;/DisplayText&gt;&lt;record&gt;&lt;rec-number&gt;461&lt;/rec-number&gt;&lt;foreign-keys&gt;&lt;key app="EN" db-id="fzzdfxd9kt0dvhesway5sddw0d5e5x05r5pt" timestamp="1706845709"&gt;461&lt;/key&gt;&lt;/foreign-keys&gt;&lt;ref-type name="Journal Article"&gt;17&lt;/ref-type&gt;&lt;contributors&gt;&lt;authors&gt;&lt;author&gt;Lundervold, A. S.&lt;/author&gt;&lt;author&gt;Lundervold, A.&lt;/author&gt;&lt;/authors&gt;&lt;/contributors&gt;&lt;auth-address&gt;Mohn Medical Imaging and Visualization Centre (MMIV), Haukeland University Hospital, Norway; Department of Computing, Mathematics and Physics, Western Norway University of Applied Sciences, Norway. Electronic address: allu@hvl.no.&amp;#xD;Mohn Medical Imaging and Visualization Centre (MMIV), Haukeland University Hospital, Norway; Neuroinformatics and Image Analysis Laboratory, Department of Biomedicine, University of Bergen, Norway; Department of Health and Functioning, Western Norway University of Applied Sciences, Norway. Electronic address: mfyal@uib.no.&lt;/auth-address&gt;&lt;titles&gt;&lt;title&gt;An overview of deep learning in medical imaging focusing on MRI&lt;/title&gt;&lt;secondary-title&gt;Z Med Phys&lt;/secondary-title&gt;&lt;/titles&gt;&lt;periodical&gt;&lt;full-title&gt;Z Med Phys&lt;/full-title&gt;&lt;/periodical&gt;&lt;pages&gt;102-127&lt;/pages&gt;&lt;volume&gt;29&lt;/volume&gt;&lt;number&gt;2&lt;/number&gt;&lt;edition&gt;2018/12/17&lt;/edition&gt;&lt;keywords&gt;&lt;keyword&gt;Animals&lt;/keyword&gt;&lt;keyword&gt;*Deep Learning&lt;/keyword&gt;&lt;keyword&gt;Humans&lt;/keyword&gt;&lt;keyword&gt;Image Processing, Computer-Assisted/*methods&lt;/keyword&gt;&lt;keyword&gt;*Magnetic Resonance Imaging&lt;/keyword&gt;&lt;keyword&gt;Deep learning&lt;/keyword&gt;&lt;keyword&gt;Mri&lt;/keyword&gt;&lt;keyword&gt;Machine learning&lt;/keyword&gt;&lt;keyword&gt;Medical imaging&lt;/keyword&gt;&lt;/keywords&gt;&lt;dates&gt;&lt;year&gt;2019&lt;/year&gt;&lt;pub-dates&gt;&lt;date&gt;May&lt;/date&gt;&lt;/pub-dates&gt;&lt;/dates&gt;&lt;isbn&gt;1876-4436 (Electronic)&amp;#xD;0939-3889 (Linking)&lt;/isbn&gt;&lt;accession-num&gt;30553609&lt;/accession-num&gt;&lt;urls&gt;&lt;related-urls&gt;&lt;url&gt;https://www.ncbi.nlm.nih.gov/pubmed/30553609&lt;/url&gt;&lt;/related-urls&gt;&lt;/urls&gt;&lt;electronic-resource-num&gt;10.1016/j.zemedi.2018.11.002&lt;/electronic-resource-num&gt;&lt;/record&gt;&lt;/Cite&gt;&lt;/EndNote&gt;</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vertAlign w:val="superscript"/>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p>
    <w:p w14:paraId="7B15F3F8">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Spatial Standardization: Techniques such as resampling to a common space or applying standard brain atlases were used for spatial normalization.</w:t>
      </w:r>
    </w:p>
    <w:p w14:paraId="143D6CBA">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Bias Field Correction: MR images were corrected for bias field or uneven brightness</w:t>
      </w:r>
      <w:r>
        <w:rPr>
          <w:rFonts w:ascii="Times New Roman" w:hAnsi="Times New Roman" w:cs="Times New Roman"/>
          <w:color w:val="000000" w:themeColor="text1"/>
          <w14:textFill>
            <w14:solidFill>
              <w14:schemeClr w14:val="tx1"/>
            </w14:solidFill>
          </w14:textFill>
        </w:rPr>
        <w:fldChar w:fldCharType="begin">
          <w:fldData xml:space="preserve">PEVuZE5vdGU+PENpdGU+PEF1dGhvcj5UaGFtbTwvQXV0aG9yPjxZZWFyPjIwMjM8L1llYXI+PFJl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</w:fldData>
        </w:fldChar>
      </w:r>
      <w:r>
        <w:rPr>
          <w:rFonts w:ascii="Times New Roman" w:hAnsi="Times New Roman" w:cs="Times New Roman"/>
          <w:color w:val="000000" w:themeColor="text1"/>
          <w14:textFill>
            <w14:solidFill>
              <w14:schemeClr w14:val="tx1"/>
            </w14:solidFill>
          </w14:textFill>
        </w:rPr>
        <w:instrText xml:space="preserve"> ADDIN EN.CITE </w:instrText>
      </w:r>
      <w:r>
        <w:rPr>
          <w:rFonts w:ascii="Times New Roman" w:hAnsi="Times New Roman" w:cs="Times New Roman"/>
          <w:color w:val="000000" w:themeColor="text1"/>
          <w14:textFill>
            <w14:solidFill>
              <w14:schemeClr w14:val="tx1"/>
            </w14:solidFill>
          </w14:textFill>
        </w:rPr>
        <w:fldChar w:fldCharType="begin">
          <w:fldData xml:space="preserve">PEVuZE5vdGU+PENpdGU+PEF1dGhvcj5UaGFtbTwvQXV0aG9yPjxZZWFyPjIwMjM8L1llYXI+PFJl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</w:fldData>
        </w:fldChar>
      </w:r>
      <w:r>
        <w:rPr>
          <w:rFonts w:ascii="Times New Roman" w:hAnsi="Times New Roman" w:cs="Times New Roman"/>
          <w:color w:val="000000" w:themeColor="text1"/>
          <w14:textFill>
            <w14:solidFill>
              <w14:schemeClr w14:val="tx1"/>
            </w14:solidFill>
          </w14:textFill>
        </w:rPr>
        <w:instrText xml:space="preserve"> ADDIN EN.CITE.DATA </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vertAlign w:val="superscript"/>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p>
    <w:p w14:paraId="1380EA53">
      <w:pPr>
        <w:spacing w:line="480" w:lineRule="auto"/>
        <w:jc w:val="both"/>
        <w:rPr>
          <w:rFonts w:ascii="Times New Roman" w:hAnsi="Times New Roman" w:cs="Times New Roman"/>
          <w:color w:val="000000" w:themeColor="text1"/>
          <w14:textFill>
            <w14:solidFill>
              <w14:schemeClr w14:val="tx1"/>
            </w14:solidFill>
          </w14:textFill>
        </w:rPr>
      </w:pPr>
    </w:p>
    <w:p w14:paraId="53AA21F5">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Data Augmentation:</w:t>
      </w:r>
    </w:p>
    <w:p w14:paraId="40E5897F">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Data augmentation techniques, such as rotation, scaling, flipping, or adding noise, were applied to better training the model to handle images from different devices</w:t>
      </w:r>
      <w:r>
        <w:rPr>
          <w:rFonts w:ascii="Times New Roman" w:hAnsi="Times New Roman" w:cs="Times New Roman"/>
          <w:color w:val="000000" w:themeColor="text1"/>
          <w14:textFill>
            <w14:solidFill>
              <w14:schemeClr w14:val="tx1"/>
            </w14:solidFill>
          </w14:textFill>
        </w:rPr>
        <w:fldChar w:fldCharType="begin">
          <w:fldData xml:space="preserve">PEVuZE5vdGU+PENpdGU+PEF1dGhvcj5IYW88L0F1dGhvcj48WWVhcj4yMDIxPC9ZZWFyPjxSZWNO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==
</w:fldData>
        </w:fldChar>
      </w:r>
      <w:r>
        <w:rPr>
          <w:rFonts w:ascii="Times New Roman" w:hAnsi="Times New Roman" w:cs="Times New Roman"/>
          <w:color w:val="000000" w:themeColor="text1"/>
          <w14:textFill>
            <w14:solidFill>
              <w14:schemeClr w14:val="tx1"/>
            </w14:solidFill>
          </w14:textFill>
        </w:rPr>
        <w:instrText xml:space="preserve"> ADDIN EN.CITE </w:instrText>
      </w:r>
      <w:r>
        <w:rPr>
          <w:rFonts w:ascii="Times New Roman" w:hAnsi="Times New Roman" w:cs="Times New Roman"/>
          <w:color w:val="000000" w:themeColor="text1"/>
          <w14:textFill>
            <w14:solidFill>
              <w14:schemeClr w14:val="tx1"/>
            </w14:solidFill>
          </w14:textFill>
        </w:rPr>
        <w:fldChar w:fldCharType="begin">
          <w:fldData xml:space="preserve">PEVuZE5vdGU+PENpdGU+PEF1dGhvcj5IYW88L0F1dGhvcj48WWVhcj4yMDIxPC9ZZWFyPjxSZWNO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==
</w:fldData>
        </w:fldChar>
      </w:r>
      <w:r>
        <w:rPr>
          <w:rFonts w:ascii="Times New Roman" w:hAnsi="Times New Roman" w:cs="Times New Roman"/>
          <w:color w:val="000000" w:themeColor="text1"/>
          <w14:textFill>
            <w14:solidFill>
              <w14:schemeClr w14:val="tx1"/>
            </w14:solidFill>
          </w14:textFill>
        </w:rPr>
        <w:instrText xml:space="preserve"> ADDIN EN.CITE.DATA </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vertAlign w:val="superscript"/>
          <w14:textFill>
            <w14:solidFill>
              <w14:schemeClr w14:val="tx1"/>
            </w14:solidFill>
          </w14:textFill>
        </w:rPr>
        <w:t>8</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p>
    <w:p w14:paraId="40D8B0A4">
      <w:pPr>
        <w:spacing w:line="480" w:lineRule="auto"/>
        <w:jc w:val="both"/>
        <w:rPr>
          <w:rFonts w:ascii="Times New Roman" w:hAnsi="Times New Roman" w:cs="Times New Roman"/>
          <w:color w:val="000000" w:themeColor="text1"/>
          <w14:textFill>
            <w14:solidFill>
              <w14:schemeClr w14:val="tx1"/>
            </w14:solidFill>
          </w14:textFill>
        </w:rPr>
      </w:pPr>
    </w:p>
    <w:p w14:paraId="53FD65CF">
      <w:pPr>
        <w:spacing w:line="480" w:lineRule="auto"/>
        <w:jc w:val="both"/>
        <w:rPr>
          <w:rFonts w:ascii="Times New Roman" w:hAnsi="Times New Roman" w:cs="Times New Roman"/>
          <w:b/>
          <w:bCs/>
          <w:color w:val="000000" w:themeColor="text1"/>
          <w14:textFill>
            <w14:solidFill>
              <w14:schemeClr w14:val="tx1"/>
            </w14:solidFill>
          </w14:textFill>
        </w:rPr>
      </w:pPr>
      <w:bookmarkStart w:id="2" w:name="OLE_LINK81"/>
      <w:r>
        <w:rPr>
          <w:rFonts w:ascii="Times New Roman" w:hAnsi="Times New Roman" w:cs="Times New Roman"/>
          <w:b/>
          <w:bCs/>
          <w:color w:val="000000" w:themeColor="text1"/>
          <w14:textFill>
            <w14:solidFill>
              <w14:schemeClr w14:val="tx1"/>
            </w14:solidFill>
          </w14:textFill>
        </w:rPr>
        <w:t>Cross-Device Validation</w:t>
      </w:r>
      <w:bookmarkEnd w:id="2"/>
      <w:r>
        <w:rPr>
          <w:rFonts w:ascii="Times New Roman" w:hAnsi="Times New Roman" w:cs="Times New Roman"/>
          <w:b/>
          <w:bCs/>
          <w:color w:val="000000" w:themeColor="text1"/>
          <w14:textFill>
            <w14:solidFill>
              <w14:schemeClr w14:val="tx1"/>
            </w14:solidFill>
          </w14:textFill>
        </w:rPr>
        <w:t>:</w:t>
      </w:r>
    </w:p>
    <w:p w14:paraId="3B37950F">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Cross-validation was performed using data from various MRI devices. For instance, data from one device was used for training and from another for testing.</w:t>
      </w:r>
    </w:p>
    <w:p w14:paraId="5E5E38A3">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Multicenter studies were conducted, including several centers using different MRI equipment</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ADDIN EN.CITE &lt;EndNote&gt;&lt;Cite&gt;&lt;Author&gt;Artan&lt;/Author&gt;&lt;Year&gt;2012&lt;/Year&gt;&lt;RecNum&gt;463&lt;/RecNum&gt;&lt;DisplayText&gt;&lt;style face="superscript"&gt;9&lt;/style&gt;&lt;/DisplayText&gt;&lt;record&gt;&lt;rec-number&gt;463&lt;/rec-number&gt;&lt;foreign-keys&gt;&lt;key app="EN" db-id="fzzdfxd9kt0dvhesway5sddw0d5e5x05r5pt" timestamp="1706845935"&gt;463&lt;/key&gt;&lt;/foreign-keys&gt;&lt;ref-type name="Journal Article"&gt;17&lt;/ref-type&gt;&lt;contributors&gt;&lt;authors&gt;&lt;author&gt;Artan, Y.&lt;/author&gt;&lt;author&gt;Oto, A.&lt;/author&gt;&lt;author&gt;Yetik, I. S.&lt;/author&gt;&lt;/authors&gt;&lt;/contributors&gt;&lt;auth-address&gt;Medical Imaging Research Center, Illinois Institute of Technology, Chicago, IL, USA.&lt;/auth-address&gt;&lt;titles&gt;&lt;title&gt;Cross-device automated prostate cancer localization with multiparametric MRI&lt;/title&gt;&lt;secondary-title&gt;Annu Int Conf IEEE Eng Med Biol Soc&lt;/secondary-title&gt;&lt;/titles&gt;&lt;periodical&gt;&lt;full-title&gt;Annu Int Conf IEEE Eng Med Biol Soc&lt;/full-title&gt;&lt;/periodical&gt;&lt;pages&gt;6247-50&lt;/pages&gt;&lt;volume&gt;2012&lt;/volume&gt;&lt;edition&gt;2013/02/01&lt;/edition&gt;&lt;keywords&gt;&lt;keyword&gt;*Automation&lt;/keyword&gt;&lt;keyword&gt;Biopsy&lt;/keyword&gt;&lt;keyword&gt;Discriminant Analysis&lt;/keyword&gt;&lt;keyword&gt;Humans&lt;/keyword&gt;&lt;keyword&gt;Magnetic Resonance Imaging/*methods&lt;/keyword&gt;&lt;keyword&gt;Male&lt;/keyword&gt;&lt;keyword&gt;Prostatic Neoplasms/*diagnosis&lt;/keyword&gt;&lt;/keywords&gt;&lt;dates&gt;&lt;year&gt;2012&lt;/year&gt;&lt;/dates&gt;&lt;isbn&gt;2694-0604 (Electronic)&amp;#xD;2375-7477 (Linking)&lt;/isbn&gt;&lt;accession-num&gt;23367357&lt;/accession-num&gt;&lt;urls&gt;&lt;related-urls&gt;&lt;url&gt;https://www.ncbi.nlm.nih.gov/pubmed/23367357&lt;/url&gt;&lt;/related-urls&gt;&lt;/urls&gt;&lt;electronic-resource-num&gt;10.1109/EMBC.2012.6347422&lt;/electronic-resource-num&gt;&lt;/record&gt;&lt;/Cite&gt;&lt;/EndNote&gt;</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vertAlign w:val="superscript"/>
          <w14:textFill>
            <w14:solidFill>
              <w14:schemeClr w14:val="tx1"/>
            </w14:solidFill>
          </w14:textFill>
        </w:rPr>
        <w:t>9</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w:t>
      </w:r>
    </w:p>
    <w:p w14:paraId="5FAFBD66">
      <w:pPr>
        <w:spacing w:line="480" w:lineRule="auto"/>
        <w:jc w:val="both"/>
        <w:rPr>
          <w:rFonts w:ascii="Times New Roman" w:hAnsi="Times New Roman" w:cs="Times New Roman"/>
          <w:color w:val="000000" w:themeColor="text1"/>
          <w14:textFill>
            <w14:solidFill>
              <w14:schemeClr w14:val="tx1"/>
            </w14:solidFill>
          </w14:textFill>
        </w:rPr>
      </w:pPr>
    </w:p>
    <w:p w14:paraId="7401D961">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Ensemble Learning Methods:</w:t>
      </w:r>
    </w:p>
    <w:p w14:paraId="05FD4A97">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Ensemble learning approaches were considered, combining predictions from multiple models corresponding to different devices to enhance overall performance and robustness.</w:t>
      </w:r>
    </w:p>
    <w:p w14:paraId="61232924">
      <w:pPr>
        <w:spacing w:line="480" w:lineRule="auto"/>
        <w:jc w:val="both"/>
        <w:rPr>
          <w:rFonts w:ascii="Times New Roman" w:hAnsi="Times New Roman" w:cs="Times New Roman"/>
          <w:b/>
          <w:bCs/>
          <w:i/>
          <w:iCs/>
          <w:color w:val="000000" w:themeColor="text1"/>
          <w14:textFill>
            <w14:solidFill>
              <w14:schemeClr w14:val="tx1"/>
            </w14:solidFill>
          </w14:textFill>
        </w:rPr>
      </w:pPr>
    </w:p>
    <w:p w14:paraId="1CEE4351">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Supplementary Method 6.</w:t>
      </w:r>
      <w:r>
        <w:rPr>
          <w:rFonts w:ascii="Times New Roman" w:hAnsi="Times New Roman" w:cs="Times New Roman"/>
          <w:i/>
          <w:iCs/>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Segmentation Model-Unet Network.</w:t>
      </w:r>
    </w:p>
    <w:p w14:paraId="7B9929DA">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Model Architecture</w:t>
      </w:r>
    </w:p>
    <w:p w14:paraId="3DE78F93">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The Unet model, a prominent architecture in medical image analysis, employs an Encoder-Decoder framework</w:t>
      </w:r>
      <w:r>
        <w:rPr>
          <w:rFonts w:ascii="Times New Roman" w:hAnsi="Times New Roman" w:cs="Times New Roman"/>
          <w:color w:val="000000" w:themeColor="text1"/>
          <w14:textFill>
            <w14:solidFill>
              <w14:schemeClr w14:val="tx1"/>
            </w14:solidFill>
          </w14:textFill>
        </w:rPr>
        <w:fldChar w:fldCharType="begin">
          <w:fldData xml:space="preserve">PEVuZE5vdGU+PENpdGU+PEF1dGhvcj5GYWxrPC9BdXRob3I+PFllYXI+MjAxOTwvWWVhcj48UmVj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==
</w:fldData>
        </w:fldChar>
      </w:r>
      <w:r>
        <w:rPr>
          <w:rFonts w:ascii="Times New Roman" w:hAnsi="Times New Roman" w:cs="Times New Roman"/>
          <w:color w:val="000000" w:themeColor="text1"/>
          <w14:textFill>
            <w14:solidFill>
              <w14:schemeClr w14:val="tx1"/>
            </w14:solidFill>
          </w14:textFill>
        </w:rPr>
        <w:instrText xml:space="preserve"> ADDIN EN.CITE </w:instrText>
      </w:r>
      <w:r>
        <w:rPr>
          <w:rFonts w:ascii="Times New Roman" w:hAnsi="Times New Roman" w:cs="Times New Roman"/>
          <w:color w:val="000000" w:themeColor="text1"/>
          <w14:textFill>
            <w14:solidFill>
              <w14:schemeClr w14:val="tx1"/>
            </w14:solidFill>
          </w14:textFill>
        </w:rPr>
        <w:fldChar w:fldCharType="begin">
          <w:fldData xml:space="preserve">PEVuZE5vdGU+PENpdGU+PEF1dGhvcj5GYWxrPC9BdXRob3I+PFllYXI+MjAxOTwvWWVhcj48UmVj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==
</w:fldData>
        </w:fldChar>
      </w:r>
      <w:r>
        <w:rPr>
          <w:rFonts w:ascii="Times New Roman" w:hAnsi="Times New Roman" w:cs="Times New Roman"/>
          <w:color w:val="000000" w:themeColor="text1"/>
          <w14:textFill>
            <w14:solidFill>
              <w14:schemeClr w14:val="tx1"/>
            </w14:solidFill>
          </w14:textFill>
        </w:rPr>
        <w:instrText xml:space="preserve"> ADDIN EN.CITE.DATA </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vertAlign w:val="superscript"/>
          <w14:textFill>
            <w14:solidFill>
              <w14:schemeClr w14:val="tx1"/>
            </w14:solidFill>
          </w14:textFill>
        </w:rPr>
        <w:t>10,11</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 This structure is critical for capturing intricate details in medical images, particularly in the context of brain tumor morphology. The Encoder stage involves consecutive convolutional and max pooling layers, enabling the extraction of high-dimensional features. The Decoder stage then reconstructs the segmentation map through up-convolutional layers, merging them with the corresponding encoder features.</w:t>
      </w:r>
    </w:p>
    <w:p w14:paraId="777BCC25">
      <w:pPr>
        <w:spacing w:line="480" w:lineRule="auto"/>
        <w:jc w:val="both"/>
        <w:rPr>
          <w:rFonts w:ascii="Times New Roman" w:hAnsi="Times New Roman" w:cs="Times New Roman"/>
          <w:color w:val="000000" w:themeColor="text1"/>
          <w14:textFill>
            <w14:solidFill>
              <w14:schemeClr w14:val="tx1"/>
            </w14:solidFill>
          </w14:textFill>
        </w:rPr>
      </w:pPr>
    </w:p>
    <w:p w14:paraId="6353AE29">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In this application, Unet segments the original MRI to delineate the precise shape and spatial location of brain tumors. This segmentation is crucial for accurate subsequent genetic subtyping.</w:t>
      </w:r>
    </w:p>
    <w:p w14:paraId="1C4D4B84">
      <w:pPr>
        <w:spacing w:line="480" w:lineRule="auto"/>
        <w:jc w:val="both"/>
        <w:rPr>
          <w:rFonts w:ascii="Times New Roman" w:hAnsi="Times New Roman" w:cs="Times New Roman"/>
          <w:b/>
          <w:bCs/>
          <w:color w:val="000000" w:themeColor="text1"/>
          <w14:textFill>
            <w14:solidFill>
              <w14:schemeClr w14:val="tx1"/>
            </w14:solidFill>
          </w14:textFill>
        </w:rPr>
      </w:pPr>
    </w:p>
    <w:p w14:paraId="5C56BAA7">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Segmentation Dataset</w:t>
      </w:r>
    </w:p>
    <w:p w14:paraId="06437F40">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Comprised of MRI scans from 325 patients, covering three specific sequences (T1W, contrast enhanced T1W, T2W) to optimize tumor feature extraction. The dataset split is 80% for training, 10% for validation, and 10% for testing.</w:t>
      </w:r>
    </w:p>
    <w:p w14:paraId="667560E9">
      <w:pPr>
        <w:spacing w:line="480" w:lineRule="auto"/>
        <w:jc w:val="both"/>
        <w:rPr>
          <w:rFonts w:ascii="Times New Roman" w:hAnsi="Times New Roman" w:cs="Times New Roman"/>
          <w:color w:val="000000" w:themeColor="text1"/>
          <w14:textFill>
            <w14:solidFill>
              <w14:schemeClr w14:val="tx1"/>
            </w14:solidFill>
          </w14:textFill>
        </w:rPr>
      </w:pPr>
    </w:p>
    <w:p w14:paraId="4013C05B">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Segmentation Training</w:t>
      </w:r>
    </w:p>
    <w:p w14:paraId="50C74A9C">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The Unet model is trained on the PyTorch platform for 100 epochs. The Adam optimizer is employed, along with a cosine decay schedule for the learning rate. The Dice Loss function is used as the loss metric, and the model's performance is periodically evaluated using the Dice Score on the validation set.</w:t>
      </w:r>
    </w:p>
    <w:p w14:paraId="08861D90">
      <w:pPr>
        <w:spacing w:line="480" w:lineRule="auto"/>
        <w:jc w:val="both"/>
        <w:rPr>
          <w:rFonts w:ascii="Times New Roman" w:hAnsi="Times New Roman" w:cs="Times New Roman"/>
          <w:color w:val="000000" w:themeColor="text1"/>
          <w14:textFill>
            <w14:solidFill>
              <w14:schemeClr w14:val="tx1"/>
            </w14:solidFill>
          </w14:textFill>
        </w:rPr>
      </w:pPr>
    </w:p>
    <w:p w14:paraId="1C28DD74">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Supplementary Method 7.</w:t>
      </w:r>
      <w:r>
        <w:rPr>
          <w:rFonts w:ascii="Times New Roman" w:hAnsi="Times New Roman" w:cs="Times New Roman"/>
          <w:color w:val="000000" w:themeColor="text1"/>
          <w14:textFill>
            <w14:solidFill>
              <w14:schemeClr w14:val="tx1"/>
            </w14:solidFill>
          </w14:textFill>
        </w:rPr>
        <w:t xml:space="preserve"> Classification Model-ResNet 50.</w:t>
      </w:r>
    </w:p>
    <w:p w14:paraId="66C47132">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Model Architecture</w:t>
      </w:r>
    </w:p>
    <w:p w14:paraId="19378500">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The ResNet 50 model</w:t>
      </w:r>
      <w:r>
        <w:rPr>
          <w:rFonts w:ascii="Times New Roman" w:hAnsi="Times New Roman" w:cs="Times New Roman"/>
          <w:color w:val="000000" w:themeColor="text1"/>
          <w14:textFill>
            <w14:solidFill>
              <w14:schemeClr w14:val="tx1"/>
            </w14:solidFill>
          </w14:textFill>
        </w:rPr>
        <w:fldChar w:fldCharType="begin">
          <w:fldData xml:space="preserve">PEVuZE5vdGU+PENpdGU+PEF1dGhvcj5FbWFtPC9BdXRob3I+PFllYXI+MjAyMzwvWWVhcj48UmVj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</w:fldData>
        </w:fldChar>
      </w:r>
      <w:r>
        <w:rPr>
          <w:rFonts w:ascii="Times New Roman" w:hAnsi="Times New Roman" w:cs="Times New Roman"/>
          <w:color w:val="000000" w:themeColor="text1"/>
          <w14:textFill>
            <w14:solidFill>
              <w14:schemeClr w14:val="tx1"/>
            </w14:solidFill>
          </w14:textFill>
        </w:rPr>
        <w:instrText xml:space="preserve"> ADDIN EN.CITE </w:instrText>
      </w:r>
      <w:r>
        <w:rPr>
          <w:rFonts w:ascii="Times New Roman" w:hAnsi="Times New Roman" w:cs="Times New Roman"/>
          <w:color w:val="000000" w:themeColor="text1"/>
          <w14:textFill>
            <w14:solidFill>
              <w14:schemeClr w14:val="tx1"/>
            </w14:solidFill>
          </w14:textFill>
        </w:rPr>
        <w:fldChar w:fldCharType="begin">
          <w:fldData xml:space="preserve">PEVuZE5vdGU+PENpdGU+PEF1dGhvcj5FbWFtPC9BdXRob3I+PFllYXI+MjAyMzwvWWVhcj48UmVj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</w:fldData>
        </w:fldChar>
      </w:r>
      <w:r>
        <w:rPr>
          <w:rFonts w:ascii="Times New Roman" w:hAnsi="Times New Roman" w:cs="Times New Roman"/>
          <w:color w:val="000000" w:themeColor="text1"/>
          <w14:textFill>
            <w14:solidFill>
              <w14:schemeClr w14:val="tx1"/>
            </w14:solidFill>
          </w14:textFill>
        </w:rPr>
        <w:instrText xml:space="preserve"> ADDIN EN.CITE.DATA </w:instrTex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vertAlign w:val="superscript"/>
          <w14:textFill>
            <w14:solidFill>
              <w14:schemeClr w14:val="tx1"/>
            </w14:solidFill>
          </w14:textFill>
        </w:rPr>
        <w:t>12-14</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 known for its deep residual learning framework, consists of 50 layers. Its architecture is designed to combat the vanishing gradient problem in deep networks. The residual blocks facilitate the flow of gradients, enabling efficient training of deeper networks.</w:t>
      </w:r>
    </w:p>
    <w:p w14:paraId="01F611D1">
      <w:pPr>
        <w:spacing w:line="480" w:lineRule="auto"/>
        <w:jc w:val="both"/>
        <w:rPr>
          <w:rFonts w:ascii="Times New Roman" w:hAnsi="Times New Roman" w:cs="Times New Roman"/>
          <w:color w:val="000000" w:themeColor="text1"/>
          <w14:textFill>
            <w14:solidFill>
              <w14:schemeClr w14:val="tx1"/>
            </w14:solidFill>
          </w14:textFill>
        </w:rPr>
      </w:pPr>
    </w:p>
    <w:p w14:paraId="581636F9">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Application: In the classification stage, ResNet 50 is utilized to categorize the tumor into one of four genetic subtypes. The model processes the combined input of original MRI images and Unet-derived tumor segmentation maps. The images are resized to 256x256x3 and undergo convolutional transformations within ResNet 50, followed by a final classification via a fully connected layer.</w:t>
      </w:r>
    </w:p>
    <w:p w14:paraId="6747C334">
      <w:pPr>
        <w:spacing w:line="480" w:lineRule="auto"/>
        <w:jc w:val="both"/>
        <w:rPr>
          <w:rFonts w:ascii="Times New Roman" w:hAnsi="Times New Roman" w:cs="Times New Roman"/>
          <w:color w:val="000000" w:themeColor="text1"/>
          <w14:textFill>
            <w14:solidFill>
              <w14:schemeClr w14:val="tx1"/>
            </w14:solidFill>
          </w14:textFill>
        </w:rPr>
      </w:pPr>
    </w:p>
    <w:p w14:paraId="47187D14">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Classification Dataset</w:t>
      </w:r>
    </w:p>
    <w:p w14:paraId="11834448">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Utilizes the same 325 patient dataset. Each entry includes the original MRI scan and its corresponding tumor segmentation map from the Unet model. The dataset split ensures balanced representation across the four molecular subtypes.</w:t>
      </w:r>
    </w:p>
    <w:p w14:paraId="73DF33BA">
      <w:pPr>
        <w:spacing w:line="480" w:lineRule="auto"/>
        <w:jc w:val="both"/>
        <w:rPr>
          <w:rFonts w:ascii="Times New Roman" w:hAnsi="Times New Roman" w:cs="Times New Roman"/>
          <w:color w:val="000000" w:themeColor="text1"/>
          <w14:textFill>
            <w14:solidFill>
              <w14:schemeClr w14:val="tx1"/>
            </w14:solidFill>
          </w14:textFill>
        </w:rPr>
      </w:pPr>
    </w:p>
    <w:p w14:paraId="54D061E7">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Classification Training</w:t>
      </w:r>
    </w:p>
    <w:p w14:paraId="5948B428">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ResNet 50 undergoes training for 10 epochs on PyTorch. The FocalLoss function is utilized for addressing class imbalance. Model performance is assessed based on accuracy metrics on the validation and external test dataset.</w:t>
      </w:r>
    </w:p>
    <w:p w14:paraId="5534492F">
      <w:pPr>
        <w:spacing w:line="480" w:lineRule="auto"/>
        <w:jc w:val="both"/>
        <w:rPr>
          <w:rFonts w:ascii="Times New Roman" w:hAnsi="Times New Roman" w:cs="Times New Roman"/>
          <w:b/>
          <w:bCs/>
          <w:i/>
          <w:iCs/>
          <w:color w:val="000000" w:themeColor="text1"/>
          <w14:textFill>
            <w14:solidFill>
              <w14:schemeClr w14:val="tx1"/>
            </w14:solidFill>
          </w14:textFill>
        </w:rPr>
      </w:pPr>
    </w:p>
    <w:p w14:paraId="51E86411">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Supplementary</w:t>
      </w:r>
      <w:r>
        <w:rPr>
          <w:rFonts w:ascii="Times New Roman" w:hAnsi="Times New Roman" w:eastAsia="PingFang SC" w:cs="Times New Roman"/>
          <w:b/>
          <w:bCs/>
          <w:i/>
          <w:iCs/>
          <w:color w:val="000000" w:themeColor="text1"/>
          <w14:textFill>
            <w14:solidFill>
              <w14:schemeClr w14:val="tx1"/>
            </w14:solidFill>
          </w14:textFill>
        </w:rPr>
        <w:t xml:space="preserve"> </w:t>
      </w:r>
      <w:r>
        <w:rPr>
          <w:rFonts w:ascii="Times New Roman" w:hAnsi="Times New Roman" w:cs="Times New Roman"/>
          <w:b/>
          <w:i/>
          <w:iCs/>
          <w:color w:val="000000" w:themeColor="text1"/>
          <w14:textFill>
            <w14:solidFill>
              <w14:schemeClr w14:val="tx1"/>
            </w14:solidFill>
          </w14:textFill>
        </w:rPr>
        <w:t>Method 8.</w:t>
      </w:r>
      <w:r>
        <w:rPr>
          <w:rFonts w:ascii="Times New Roman" w:hAnsi="Times New Roman" w:cs="Times New Roman"/>
          <w:bCs/>
          <w:color w:val="000000" w:themeColor="text1"/>
          <w14:textFill>
            <w14:solidFill>
              <w14:schemeClr w14:val="tx1"/>
            </w14:solidFill>
          </w14:textFill>
        </w:rPr>
        <w:t xml:space="preserve"> Additional d</w:t>
      </w:r>
      <w:r>
        <w:rPr>
          <w:rFonts w:ascii="Times New Roman" w:hAnsi="Times New Roman" w:eastAsia="Times New Roman" w:cs="Times New Roman"/>
          <w:bCs/>
          <w:color w:val="000000" w:themeColor="text1"/>
          <w:lang w:bidi="ar"/>
          <w14:textFill>
            <w14:solidFill>
              <w14:schemeClr w14:val="tx1"/>
            </w14:solidFill>
          </w14:textFill>
        </w:rPr>
        <w:t>etails of statistical analysis.</w:t>
      </w:r>
    </w:p>
    <w:p w14:paraId="5B53D1C4">
      <w:pPr>
        <w:spacing w:line="480" w:lineRule="auto"/>
        <w:jc w:val="both"/>
        <w:rPr>
          <w:rFonts w:ascii="Times New Roman" w:hAnsi="Times New Roman" w:cs="Times New Roman"/>
          <w:b/>
          <w:bCs/>
          <w:i/>
          <w:iCs/>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ascii="Times New Roman" w:hAnsi="Times New Roman" w:eastAsia="Times New Roman" w:cs="Times New Roman"/>
          <w:color w:val="000000" w:themeColor="text1"/>
          <w:lang w:bidi="ar"/>
          <w14:textFill>
            <w14:solidFill>
              <w14:schemeClr w14:val="tx1"/>
            </w14:solidFill>
          </w14:textFill>
        </w:rPr>
        <w:t>The Dice score, defined as the spatial overlap between different raters or the ground truth and DL segmentation, was used for the assessment of tumor segmentation performance. The performances of DL model and neuroradiologists were assessed using accuracy, specificity, sensitivity, and AUC. Confidence intervals (CIs) for these parameters were calculated using bootstrapping with 1000 iterations to obtain 95% CIs.</w:t>
      </w:r>
    </w:p>
    <w:p w14:paraId="3B4E9A9D">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 xml:space="preserve">Supplementary Table 1. </w:t>
      </w:r>
      <w:r>
        <w:rPr>
          <w:rFonts w:ascii="Times New Roman" w:hAnsi="Times New Roman" w:cs="Times New Roman"/>
          <w:color w:val="000000" w:themeColor="text1"/>
          <w14:textFill>
            <w14:solidFill>
              <w14:schemeClr w14:val="tx1"/>
            </w14:solidFill>
          </w14:textFill>
        </w:rPr>
        <w:t>Comparison between different deep learning algorithms in the validation dataset.</w:t>
      </w:r>
    </w:p>
    <w:p w14:paraId="4513AD5B">
      <w:pPr>
        <w:spacing w:line="480" w:lineRule="auto"/>
        <w:jc w:val="both"/>
        <w:rPr>
          <w:rFonts w:ascii="Times New Roman" w:hAnsi="Times New Roman" w:cs="Times New Roman"/>
          <w:b/>
          <w:bCs/>
          <w:i/>
          <w:iCs/>
          <w:color w:val="000000" w:themeColor="text1"/>
          <w14:textFill>
            <w14:solidFill>
              <w14:schemeClr w14:val="tx1"/>
            </w14:solidFill>
          </w14:textFill>
        </w:rPr>
      </w:pPr>
    </w:p>
    <w:tbl>
      <w:tblPr>
        <w:tblStyle w:val="14"/>
        <w:tblpPr w:leftFromText="180" w:rightFromText="180" w:vertAnchor="text" w:horzAnchor="page" w:tblpXSpec="center" w:tblpY="113"/>
        <w:tblOverlap w:val="never"/>
        <w:tblW w:w="11389" w:type="dxa"/>
        <w:tblInd w:w="0" w:type="dxa"/>
        <w:tblLayout w:type="fixed"/>
        <w:tblCellMar>
          <w:top w:w="0" w:type="dxa"/>
          <w:left w:w="108" w:type="dxa"/>
          <w:bottom w:w="0" w:type="dxa"/>
          <w:right w:w="108" w:type="dxa"/>
        </w:tblCellMar>
      </w:tblPr>
      <w:tblGrid>
        <w:gridCol w:w="1276"/>
        <w:gridCol w:w="2470"/>
        <w:gridCol w:w="2492"/>
        <w:gridCol w:w="2619"/>
        <w:gridCol w:w="2532"/>
      </w:tblGrid>
      <w:tr w14:paraId="55186E98">
        <w:tblPrEx>
          <w:tblCellMar>
            <w:top w:w="0" w:type="dxa"/>
            <w:left w:w="108" w:type="dxa"/>
            <w:bottom w:w="0" w:type="dxa"/>
            <w:right w:w="108" w:type="dxa"/>
          </w:tblCellMar>
        </w:tblPrEx>
        <w:trPr>
          <w:trHeight w:val="352" w:hRule="atLeast"/>
        </w:trPr>
        <w:tc>
          <w:tcPr>
            <w:tcW w:w="1276" w:type="dxa"/>
            <w:tcBorders>
              <w:top w:val="single" w:color="auto" w:sz="4" w:space="0"/>
              <w:left w:val="nil"/>
              <w:bottom w:val="single" w:color="auto" w:sz="4" w:space="0"/>
              <w:right w:val="nil"/>
            </w:tcBorders>
            <w:shd w:val="clear" w:color="auto" w:fill="auto"/>
            <w:noWrap/>
            <w:vAlign w:val="center"/>
          </w:tcPr>
          <w:p w14:paraId="1EEE4DF5">
            <w:pPr>
              <w:spacing w:line="480" w:lineRule="auto"/>
              <w:jc w:val="both"/>
              <w:rPr>
                <w:rFonts w:ascii="Times New Roman" w:hAnsi="Times New Roman" w:eastAsia="等线"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Algorithms</w:t>
            </w:r>
          </w:p>
        </w:tc>
        <w:tc>
          <w:tcPr>
            <w:tcW w:w="2470" w:type="dxa"/>
            <w:tcBorders>
              <w:top w:val="single" w:color="auto" w:sz="4" w:space="0"/>
              <w:left w:val="nil"/>
              <w:bottom w:val="single" w:color="auto" w:sz="4" w:space="0"/>
              <w:right w:val="nil"/>
            </w:tcBorders>
            <w:shd w:val="clear" w:color="auto" w:fill="auto"/>
            <w:noWrap/>
            <w:vAlign w:val="center"/>
          </w:tcPr>
          <w:p w14:paraId="373177F0">
            <w:pPr>
              <w:spacing w:line="480" w:lineRule="auto"/>
              <w:jc w:val="both"/>
              <w:rPr>
                <w:rFonts w:ascii="Times New Roman" w:hAnsi="Times New Roman" w:eastAsia="等线" w:cs="Times New Roman"/>
                <w:b/>
                <w:bCs/>
                <w:color w:val="000000" w:themeColor="text1"/>
                <w14:textFill>
                  <w14:solidFill>
                    <w14:schemeClr w14:val="tx1"/>
                  </w14:solidFill>
                </w14:textFill>
              </w:rPr>
            </w:pPr>
            <w:r>
              <w:rPr>
                <w:rFonts w:ascii="Times New Roman" w:hAnsi="Times New Roman" w:cs="Times New Roman"/>
                <w:b/>
                <w:bCs/>
                <w:color w:val="000000" w:themeColor="text1"/>
                <w:lang w:bidi="ar"/>
                <w14:textFill>
                  <w14:solidFill>
                    <w14:schemeClr w14:val="tx1"/>
                  </w14:solidFill>
                </w14:textFill>
              </w:rPr>
              <w:t>Accuracy [95%CI]</w:t>
            </w:r>
          </w:p>
        </w:tc>
        <w:tc>
          <w:tcPr>
            <w:tcW w:w="2492" w:type="dxa"/>
            <w:tcBorders>
              <w:top w:val="single" w:color="auto" w:sz="4" w:space="0"/>
              <w:left w:val="nil"/>
              <w:bottom w:val="single" w:color="auto" w:sz="4" w:space="0"/>
              <w:right w:val="nil"/>
            </w:tcBorders>
            <w:shd w:val="clear" w:color="auto" w:fill="auto"/>
            <w:noWrap/>
            <w:vAlign w:val="center"/>
          </w:tcPr>
          <w:p w14:paraId="7FD2F40C">
            <w:pPr>
              <w:spacing w:line="480" w:lineRule="auto"/>
              <w:jc w:val="both"/>
              <w:rPr>
                <w:rFonts w:ascii="Times New Roman" w:hAnsi="Times New Roman" w:eastAsia="等线" w:cs="Times New Roman"/>
                <w:b/>
                <w:bCs/>
                <w:color w:val="000000" w:themeColor="text1"/>
                <w14:textFill>
                  <w14:solidFill>
                    <w14:schemeClr w14:val="tx1"/>
                  </w14:solidFill>
                </w14:textFill>
              </w:rPr>
            </w:pPr>
            <w:r>
              <w:rPr>
                <w:rFonts w:ascii="Times New Roman" w:hAnsi="Times New Roman" w:cs="Times New Roman"/>
                <w:b/>
                <w:bCs/>
                <w:color w:val="000000" w:themeColor="text1"/>
                <w:lang w:bidi="ar"/>
                <w14:textFill>
                  <w14:solidFill>
                    <w14:schemeClr w14:val="tx1"/>
                  </w14:solidFill>
                </w14:textFill>
              </w:rPr>
              <w:t>Recall [95%CI]</w:t>
            </w:r>
          </w:p>
        </w:tc>
        <w:tc>
          <w:tcPr>
            <w:tcW w:w="2619" w:type="dxa"/>
            <w:tcBorders>
              <w:top w:val="single" w:color="auto" w:sz="4" w:space="0"/>
              <w:left w:val="nil"/>
              <w:bottom w:val="single" w:color="auto" w:sz="4" w:space="0"/>
              <w:right w:val="nil"/>
            </w:tcBorders>
            <w:shd w:val="clear" w:color="auto" w:fill="auto"/>
            <w:noWrap/>
            <w:vAlign w:val="center"/>
          </w:tcPr>
          <w:p w14:paraId="5AE96399">
            <w:pPr>
              <w:spacing w:line="480" w:lineRule="auto"/>
              <w:jc w:val="both"/>
              <w:rPr>
                <w:rFonts w:ascii="Times New Roman" w:hAnsi="Times New Roman" w:eastAsia="等线" w:cs="Times New Roman"/>
                <w:b/>
                <w:bCs/>
                <w:color w:val="000000" w:themeColor="text1"/>
                <w14:textFill>
                  <w14:solidFill>
                    <w14:schemeClr w14:val="tx1"/>
                  </w14:solidFill>
                </w14:textFill>
              </w:rPr>
            </w:pPr>
            <w:r>
              <w:rPr>
                <w:rFonts w:ascii="Times New Roman" w:hAnsi="Times New Roman" w:cs="Times New Roman"/>
                <w:b/>
                <w:bCs/>
                <w:color w:val="000000" w:themeColor="text1"/>
                <w:lang w:bidi="ar"/>
                <w14:textFill>
                  <w14:solidFill>
                    <w14:schemeClr w14:val="tx1"/>
                  </w14:solidFill>
                </w14:textFill>
              </w:rPr>
              <w:t>Precision [95%CI]</w:t>
            </w:r>
          </w:p>
        </w:tc>
        <w:tc>
          <w:tcPr>
            <w:tcW w:w="2532" w:type="dxa"/>
            <w:tcBorders>
              <w:top w:val="single" w:color="auto" w:sz="4" w:space="0"/>
              <w:left w:val="nil"/>
              <w:bottom w:val="single" w:color="auto" w:sz="4" w:space="0"/>
              <w:right w:val="nil"/>
            </w:tcBorders>
            <w:shd w:val="clear" w:color="auto" w:fill="auto"/>
            <w:noWrap/>
            <w:vAlign w:val="center"/>
          </w:tcPr>
          <w:p w14:paraId="469ECC82">
            <w:pPr>
              <w:spacing w:line="480" w:lineRule="auto"/>
              <w:jc w:val="both"/>
              <w:rPr>
                <w:rFonts w:ascii="Times New Roman" w:hAnsi="Times New Roman" w:eastAsia="等线" w:cs="Times New Roman"/>
                <w:b/>
                <w:bCs/>
                <w:color w:val="000000" w:themeColor="text1"/>
                <w14:textFill>
                  <w14:solidFill>
                    <w14:schemeClr w14:val="tx1"/>
                  </w14:solidFill>
                </w14:textFill>
              </w:rPr>
            </w:pPr>
            <w:r>
              <w:rPr>
                <w:rFonts w:ascii="Times New Roman" w:hAnsi="Times New Roman" w:cs="Times New Roman"/>
                <w:b/>
                <w:bCs/>
                <w:color w:val="000000" w:themeColor="text1"/>
                <w:lang w:bidi="ar"/>
                <w14:textFill>
                  <w14:solidFill>
                    <w14:schemeClr w14:val="tx1"/>
                  </w14:solidFill>
                </w14:textFill>
              </w:rPr>
              <w:t>F1 Score [95%CI]</w:t>
            </w:r>
          </w:p>
        </w:tc>
      </w:tr>
      <w:tr w14:paraId="433C1DCF">
        <w:tblPrEx>
          <w:tblCellMar>
            <w:top w:w="0" w:type="dxa"/>
            <w:left w:w="108" w:type="dxa"/>
            <w:bottom w:w="0" w:type="dxa"/>
            <w:right w:w="108" w:type="dxa"/>
          </w:tblCellMar>
        </w:tblPrEx>
        <w:trPr>
          <w:trHeight w:val="352" w:hRule="atLeast"/>
        </w:trPr>
        <w:tc>
          <w:tcPr>
            <w:tcW w:w="1276" w:type="dxa"/>
            <w:tcBorders>
              <w:top w:val="single" w:color="auto" w:sz="4" w:space="0"/>
              <w:left w:val="nil"/>
              <w:bottom w:val="nil"/>
              <w:right w:val="nil"/>
            </w:tcBorders>
            <w:shd w:val="clear" w:color="auto" w:fill="auto"/>
            <w:noWrap/>
            <w:vAlign w:val="center"/>
          </w:tcPr>
          <w:p w14:paraId="25578F1E">
            <w:pPr>
              <w:spacing w:line="480" w:lineRule="auto"/>
              <w:jc w:val="both"/>
              <w:textAlignment w:val="center"/>
              <w:rPr>
                <w:rFonts w:ascii="Times New Roman" w:hAnsi="Times New Roman" w:eastAsia="等线" w:cs="Times New Roman"/>
                <w:color w:val="000000" w:themeColor="text1"/>
                <w14:textFill>
                  <w14:solidFill>
                    <w14:schemeClr w14:val="tx1"/>
                  </w14:solidFill>
                </w14:textFill>
              </w:rPr>
            </w:pPr>
            <w:r>
              <w:rPr>
                <w:rFonts w:ascii="Times New Roman" w:hAnsi="Times New Roman" w:eastAsia="等线" w:cs="Times New Roman"/>
                <w:color w:val="000000" w:themeColor="text1"/>
                <w:lang w:bidi="ar"/>
                <w14:textFill>
                  <w14:solidFill>
                    <w14:schemeClr w14:val="tx1"/>
                  </w14:solidFill>
                </w14:textFill>
              </w:rPr>
              <w:t>VGG</w:t>
            </w:r>
          </w:p>
        </w:tc>
        <w:tc>
          <w:tcPr>
            <w:tcW w:w="2470" w:type="dxa"/>
            <w:tcBorders>
              <w:top w:val="single" w:color="auto" w:sz="4" w:space="0"/>
              <w:left w:val="nil"/>
              <w:bottom w:val="nil"/>
              <w:right w:val="nil"/>
            </w:tcBorders>
            <w:shd w:val="clear" w:color="auto" w:fill="auto"/>
            <w:noWrap/>
            <w:vAlign w:val="center"/>
          </w:tcPr>
          <w:p w14:paraId="2B1A39D5">
            <w:pPr>
              <w:spacing w:line="480" w:lineRule="auto"/>
              <w:jc w:val="both"/>
              <w:textAlignment w:val="center"/>
              <w:rPr>
                <w:rFonts w:ascii="Times New Roman" w:hAnsi="Times New Roman" w:eastAsia="等线" w:cs="Times New Roman"/>
                <w:color w:val="000000" w:themeColor="text1"/>
                <w14:textFill>
                  <w14:solidFill>
                    <w14:schemeClr w14:val="tx1"/>
                  </w14:solidFill>
                </w14:textFill>
              </w:rPr>
            </w:pPr>
            <w:r>
              <w:rPr>
                <w:rFonts w:ascii="Times New Roman" w:hAnsi="Times New Roman" w:eastAsia="等线" w:cs="Times New Roman"/>
                <w:color w:val="000000" w:themeColor="text1"/>
                <w:lang w:bidi="ar"/>
                <w14:textFill>
                  <w14:solidFill>
                    <w14:schemeClr w14:val="tx1"/>
                  </w14:solidFill>
                </w14:textFill>
              </w:rPr>
              <w:t>65.43% [47.77%-71.00%]</w:t>
            </w:r>
          </w:p>
        </w:tc>
        <w:tc>
          <w:tcPr>
            <w:tcW w:w="2492" w:type="dxa"/>
            <w:tcBorders>
              <w:top w:val="single" w:color="auto" w:sz="4" w:space="0"/>
              <w:left w:val="nil"/>
              <w:bottom w:val="nil"/>
              <w:right w:val="nil"/>
            </w:tcBorders>
            <w:shd w:val="clear" w:color="auto" w:fill="auto"/>
            <w:noWrap/>
            <w:vAlign w:val="center"/>
          </w:tcPr>
          <w:p w14:paraId="2829623E">
            <w:pPr>
              <w:spacing w:line="480" w:lineRule="auto"/>
              <w:jc w:val="both"/>
              <w:textAlignment w:val="center"/>
              <w:rPr>
                <w:rFonts w:ascii="Times New Roman" w:hAnsi="Times New Roman" w:eastAsia="等线" w:cs="Times New Roman"/>
                <w:color w:val="000000" w:themeColor="text1"/>
                <w14:textFill>
                  <w14:solidFill>
                    <w14:schemeClr w14:val="tx1"/>
                  </w14:solidFill>
                </w14:textFill>
              </w:rPr>
            </w:pPr>
            <w:r>
              <w:rPr>
                <w:rFonts w:ascii="Times New Roman" w:hAnsi="Times New Roman" w:eastAsia="等线" w:cs="Times New Roman"/>
                <w:color w:val="000000" w:themeColor="text1"/>
                <w:lang w:bidi="ar"/>
                <w14:textFill>
                  <w14:solidFill>
                    <w14:schemeClr w14:val="tx1"/>
                  </w14:solidFill>
                </w14:textFill>
              </w:rPr>
              <w:t>68.40% [62.40%-77.10%]</w:t>
            </w:r>
          </w:p>
        </w:tc>
        <w:tc>
          <w:tcPr>
            <w:tcW w:w="2619" w:type="dxa"/>
            <w:tcBorders>
              <w:top w:val="single" w:color="auto" w:sz="4" w:space="0"/>
              <w:left w:val="nil"/>
              <w:bottom w:val="nil"/>
              <w:right w:val="nil"/>
            </w:tcBorders>
            <w:shd w:val="clear" w:color="auto" w:fill="auto"/>
            <w:noWrap/>
            <w:vAlign w:val="center"/>
          </w:tcPr>
          <w:p w14:paraId="56AAB166">
            <w:pPr>
              <w:spacing w:line="480" w:lineRule="auto"/>
              <w:jc w:val="both"/>
              <w:rPr>
                <w:rFonts w:ascii="Times New Roman" w:hAnsi="Times New Roman" w:eastAsia="等线" w:cs="Times New Roman"/>
                <w:color w:val="000000" w:themeColor="text1"/>
                <w14:textFill>
                  <w14:solidFill>
                    <w14:schemeClr w14:val="tx1"/>
                  </w14:solidFill>
                </w14:textFill>
              </w:rPr>
            </w:pPr>
            <w:r>
              <w:rPr>
                <w:rFonts w:ascii="Times New Roman" w:hAnsi="Times New Roman" w:cs="Times New Roman"/>
                <w:color w:val="000000" w:themeColor="text1"/>
                <w:lang w:bidi="ar"/>
                <w14:textFill>
                  <w14:solidFill>
                    <w14:schemeClr w14:val="tx1"/>
                  </w14:solidFill>
                </w14:textFill>
              </w:rPr>
              <w:t>65.03% [47.28%-71.66%]</w:t>
            </w:r>
          </w:p>
        </w:tc>
        <w:tc>
          <w:tcPr>
            <w:tcW w:w="2532" w:type="dxa"/>
            <w:tcBorders>
              <w:top w:val="single" w:color="auto" w:sz="4" w:space="0"/>
              <w:left w:val="nil"/>
              <w:bottom w:val="nil"/>
              <w:right w:val="nil"/>
            </w:tcBorders>
            <w:shd w:val="clear" w:color="auto" w:fill="auto"/>
            <w:noWrap/>
            <w:vAlign w:val="center"/>
          </w:tcPr>
          <w:p w14:paraId="6D647DD4">
            <w:pPr>
              <w:spacing w:line="480" w:lineRule="auto"/>
              <w:jc w:val="both"/>
              <w:textAlignment w:val="center"/>
              <w:rPr>
                <w:rFonts w:ascii="Times New Roman" w:hAnsi="Times New Roman" w:eastAsia="等线" w:cs="Times New Roman"/>
                <w:color w:val="000000" w:themeColor="text1"/>
                <w14:textFill>
                  <w14:solidFill>
                    <w14:schemeClr w14:val="tx1"/>
                  </w14:solidFill>
                </w14:textFill>
              </w:rPr>
            </w:pPr>
            <w:r>
              <w:rPr>
                <w:rFonts w:ascii="Times New Roman" w:hAnsi="Times New Roman" w:eastAsia="等线" w:cs="Times New Roman"/>
                <w:color w:val="000000" w:themeColor="text1"/>
                <w:lang w:bidi="ar"/>
                <w14:textFill>
                  <w14:solidFill>
                    <w14:schemeClr w14:val="tx1"/>
                  </w14:solidFill>
                </w14:textFill>
              </w:rPr>
              <w:t>72.55% [62.42%-77.35%]</w:t>
            </w:r>
          </w:p>
        </w:tc>
      </w:tr>
      <w:tr w14:paraId="01314A4C">
        <w:tblPrEx>
          <w:tblCellMar>
            <w:top w:w="0" w:type="dxa"/>
            <w:left w:w="108" w:type="dxa"/>
            <w:bottom w:w="0" w:type="dxa"/>
            <w:right w:w="108" w:type="dxa"/>
          </w:tblCellMar>
        </w:tblPrEx>
        <w:trPr>
          <w:trHeight w:val="352" w:hRule="atLeast"/>
        </w:trPr>
        <w:tc>
          <w:tcPr>
            <w:tcW w:w="1276" w:type="dxa"/>
            <w:tcBorders>
              <w:top w:val="nil"/>
              <w:left w:val="nil"/>
              <w:bottom w:val="nil"/>
              <w:right w:val="nil"/>
            </w:tcBorders>
            <w:shd w:val="clear" w:color="auto" w:fill="auto"/>
            <w:noWrap/>
            <w:vAlign w:val="center"/>
          </w:tcPr>
          <w:p w14:paraId="74506856">
            <w:pPr>
              <w:spacing w:line="480" w:lineRule="auto"/>
              <w:jc w:val="both"/>
              <w:textAlignment w:val="center"/>
              <w:rPr>
                <w:rFonts w:ascii="Times New Roman" w:hAnsi="Times New Roman" w:eastAsia="等线" w:cs="Times New Roman"/>
                <w:color w:val="000000" w:themeColor="text1"/>
                <w14:textFill>
                  <w14:solidFill>
                    <w14:schemeClr w14:val="tx1"/>
                  </w14:solidFill>
                </w14:textFill>
              </w:rPr>
            </w:pPr>
            <w:r>
              <w:rPr>
                <w:rFonts w:ascii="Times New Roman" w:hAnsi="Times New Roman" w:eastAsia="等线" w:cs="Times New Roman"/>
                <w:color w:val="000000" w:themeColor="text1"/>
                <w:lang w:bidi="ar"/>
                <w14:textFill>
                  <w14:solidFill>
                    <w14:schemeClr w14:val="tx1"/>
                  </w14:solidFill>
                </w14:textFill>
              </w:rPr>
              <w:t>Unet</w:t>
            </w:r>
          </w:p>
        </w:tc>
        <w:tc>
          <w:tcPr>
            <w:tcW w:w="2470" w:type="dxa"/>
            <w:tcBorders>
              <w:top w:val="nil"/>
              <w:left w:val="nil"/>
              <w:bottom w:val="nil"/>
              <w:right w:val="nil"/>
            </w:tcBorders>
            <w:shd w:val="clear" w:color="auto" w:fill="auto"/>
            <w:noWrap/>
            <w:vAlign w:val="center"/>
          </w:tcPr>
          <w:p w14:paraId="4BBF98C9">
            <w:pPr>
              <w:spacing w:line="480" w:lineRule="auto"/>
              <w:jc w:val="both"/>
              <w:textAlignment w:val="center"/>
              <w:rPr>
                <w:rFonts w:ascii="Times New Roman" w:hAnsi="Times New Roman" w:eastAsia="等线" w:cs="Times New Roman"/>
                <w:color w:val="000000" w:themeColor="text1"/>
                <w14:textFill>
                  <w14:solidFill>
                    <w14:schemeClr w14:val="tx1"/>
                  </w14:solidFill>
                </w14:textFill>
              </w:rPr>
            </w:pPr>
            <w:r>
              <w:rPr>
                <w:rFonts w:ascii="Times New Roman" w:hAnsi="Times New Roman" w:eastAsia="等线" w:cs="Times New Roman"/>
                <w:color w:val="000000" w:themeColor="text1"/>
                <w:lang w:bidi="ar"/>
                <w14:textFill>
                  <w14:solidFill>
                    <w14:schemeClr w14:val="tx1"/>
                  </w14:solidFill>
                </w14:textFill>
              </w:rPr>
              <w:t>72.11% [62.01%-82.44%]</w:t>
            </w:r>
          </w:p>
        </w:tc>
        <w:tc>
          <w:tcPr>
            <w:tcW w:w="2492" w:type="dxa"/>
            <w:tcBorders>
              <w:top w:val="nil"/>
              <w:left w:val="nil"/>
              <w:bottom w:val="nil"/>
              <w:right w:val="nil"/>
            </w:tcBorders>
            <w:shd w:val="clear" w:color="auto" w:fill="auto"/>
            <w:noWrap/>
            <w:vAlign w:val="center"/>
          </w:tcPr>
          <w:p w14:paraId="10554671">
            <w:pPr>
              <w:spacing w:line="480" w:lineRule="auto"/>
              <w:jc w:val="both"/>
              <w:textAlignment w:val="center"/>
              <w:rPr>
                <w:rFonts w:ascii="Times New Roman" w:hAnsi="Times New Roman" w:eastAsia="等线" w:cs="Times New Roman"/>
                <w:color w:val="000000" w:themeColor="text1"/>
                <w14:textFill>
                  <w14:solidFill>
                    <w14:schemeClr w14:val="tx1"/>
                  </w14:solidFill>
                </w14:textFill>
              </w:rPr>
            </w:pPr>
            <w:r>
              <w:rPr>
                <w:rFonts w:ascii="Times New Roman" w:hAnsi="Times New Roman" w:eastAsia="等线" w:cs="Times New Roman"/>
                <w:color w:val="000000" w:themeColor="text1"/>
                <w:lang w:bidi="ar"/>
                <w14:textFill>
                  <w14:solidFill>
                    <w14:schemeClr w14:val="tx1"/>
                  </w14:solidFill>
                </w14:textFill>
              </w:rPr>
              <w:t>74.11% [65.40%-84.30%]</w:t>
            </w:r>
          </w:p>
        </w:tc>
        <w:tc>
          <w:tcPr>
            <w:tcW w:w="2619" w:type="dxa"/>
            <w:tcBorders>
              <w:top w:val="nil"/>
              <w:left w:val="nil"/>
              <w:bottom w:val="nil"/>
              <w:right w:val="nil"/>
            </w:tcBorders>
            <w:shd w:val="clear" w:color="auto" w:fill="auto"/>
            <w:noWrap/>
            <w:vAlign w:val="center"/>
          </w:tcPr>
          <w:p w14:paraId="327C1459">
            <w:pPr>
              <w:spacing w:line="480" w:lineRule="auto"/>
              <w:jc w:val="both"/>
              <w:rPr>
                <w:rFonts w:ascii="Times New Roman" w:hAnsi="Times New Roman" w:eastAsia="等线" w:cs="Times New Roman"/>
                <w:color w:val="000000" w:themeColor="text1"/>
                <w14:textFill>
                  <w14:solidFill>
                    <w14:schemeClr w14:val="tx1"/>
                  </w14:solidFill>
                </w14:textFill>
              </w:rPr>
            </w:pPr>
            <w:r>
              <w:rPr>
                <w:rFonts w:ascii="Times New Roman" w:hAnsi="Times New Roman" w:cs="Times New Roman"/>
                <w:color w:val="000000" w:themeColor="text1"/>
                <w:lang w:bidi="ar"/>
                <w14:textFill>
                  <w14:solidFill>
                    <w14:schemeClr w14:val="tx1"/>
                  </w14:solidFill>
                </w14:textFill>
              </w:rPr>
              <w:t>72.00% [62.78%-82.33%]</w:t>
            </w:r>
          </w:p>
        </w:tc>
        <w:tc>
          <w:tcPr>
            <w:tcW w:w="2532" w:type="dxa"/>
            <w:tcBorders>
              <w:top w:val="nil"/>
              <w:left w:val="nil"/>
              <w:bottom w:val="nil"/>
              <w:right w:val="nil"/>
            </w:tcBorders>
            <w:shd w:val="clear" w:color="auto" w:fill="auto"/>
            <w:noWrap/>
            <w:vAlign w:val="center"/>
          </w:tcPr>
          <w:p w14:paraId="5D25761E">
            <w:pPr>
              <w:spacing w:line="480" w:lineRule="auto"/>
              <w:jc w:val="both"/>
              <w:textAlignment w:val="center"/>
              <w:rPr>
                <w:rFonts w:ascii="Times New Roman" w:hAnsi="Times New Roman" w:eastAsia="等线" w:cs="Times New Roman"/>
                <w:color w:val="000000" w:themeColor="text1"/>
                <w14:textFill>
                  <w14:solidFill>
                    <w14:schemeClr w14:val="tx1"/>
                  </w14:solidFill>
                </w14:textFill>
              </w:rPr>
            </w:pPr>
            <w:r>
              <w:rPr>
                <w:rFonts w:ascii="Times New Roman" w:hAnsi="Times New Roman" w:eastAsia="等线" w:cs="Times New Roman"/>
                <w:color w:val="000000" w:themeColor="text1"/>
                <w:lang w:bidi="ar"/>
                <w14:textFill>
                  <w14:solidFill>
                    <w14:schemeClr w14:val="tx1"/>
                  </w14:solidFill>
                </w14:textFill>
              </w:rPr>
              <w:t>75.43% [65.33%-84.32%]</w:t>
            </w:r>
          </w:p>
        </w:tc>
      </w:tr>
      <w:tr w14:paraId="470FC80A">
        <w:tblPrEx>
          <w:tblCellMar>
            <w:top w:w="0" w:type="dxa"/>
            <w:left w:w="108" w:type="dxa"/>
            <w:bottom w:w="0" w:type="dxa"/>
            <w:right w:w="108" w:type="dxa"/>
          </w:tblCellMar>
        </w:tblPrEx>
        <w:trPr>
          <w:trHeight w:val="352" w:hRule="atLeast"/>
        </w:trPr>
        <w:tc>
          <w:tcPr>
            <w:tcW w:w="1276" w:type="dxa"/>
            <w:tcBorders>
              <w:top w:val="nil"/>
              <w:left w:val="nil"/>
              <w:bottom w:val="nil"/>
              <w:right w:val="nil"/>
            </w:tcBorders>
            <w:shd w:val="clear" w:color="auto" w:fill="auto"/>
            <w:noWrap/>
            <w:vAlign w:val="center"/>
          </w:tcPr>
          <w:p w14:paraId="5AFC0094">
            <w:pPr>
              <w:spacing w:line="480" w:lineRule="auto"/>
              <w:jc w:val="both"/>
              <w:textAlignment w:val="center"/>
              <w:rPr>
                <w:rFonts w:ascii="Times New Roman" w:hAnsi="Times New Roman" w:eastAsia="等线" w:cs="Times New Roman"/>
                <w:color w:val="000000" w:themeColor="text1"/>
                <w14:textFill>
                  <w14:solidFill>
                    <w14:schemeClr w14:val="tx1"/>
                  </w14:solidFill>
                </w14:textFill>
              </w:rPr>
            </w:pPr>
            <w:r>
              <w:rPr>
                <w:rFonts w:ascii="Times New Roman" w:hAnsi="Times New Roman" w:eastAsia="等线" w:cs="Times New Roman"/>
                <w:color w:val="000000" w:themeColor="text1"/>
                <w:lang w:bidi="ar"/>
                <w14:textFill>
                  <w14:solidFill>
                    <w14:schemeClr w14:val="tx1"/>
                  </w14:solidFill>
                </w14:textFill>
              </w:rPr>
              <w:t>GoogleNet</w:t>
            </w:r>
          </w:p>
        </w:tc>
        <w:tc>
          <w:tcPr>
            <w:tcW w:w="2470" w:type="dxa"/>
            <w:tcBorders>
              <w:top w:val="nil"/>
              <w:left w:val="nil"/>
              <w:bottom w:val="nil"/>
              <w:right w:val="nil"/>
            </w:tcBorders>
            <w:shd w:val="clear" w:color="auto" w:fill="auto"/>
            <w:noWrap/>
            <w:vAlign w:val="center"/>
          </w:tcPr>
          <w:p w14:paraId="10AF05BC">
            <w:pPr>
              <w:spacing w:line="480" w:lineRule="auto"/>
              <w:jc w:val="both"/>
              <w:textAlignment w:val="center"/>
              <w:rPr>
                <w:rFonts w:ascii="Times New Roman" w:hAnsi="Times New Roman" w:eastAsia="等线" w:cs="Times New Roman"/>
                <w:color w:val="000000" w:themeColor="text1"/>
                <w14:textFill>
                  <w14:solidFill>
                    <w14:schemeClr w14:val="tx1"/>
                  </w14:solidFill>
                </w14:textFill>
              </w:rPr>
            </w:pPr>
            <w:r>
              <w:rPr>
                <w:rFonts w:ascii="Times New Roman" w:hAnsi="Times New Roman" w:eastAsia="等线" w:cs="Times New Roman"/>
                <w:color w:val="000000" w:themeColor="text1"/>
                <w:lang w:bidi="ar"/>
                <w14:textFill>
                  <w14:solidFill>
                    <w14:schemeClr w14:val="tx1"/>
                  </w14:solidFill>
                </w14:textFill>
              </w:rPr>
              <w:t>69.56% [55.22%-79.66%]</w:t>
            </w:r>
          </w:p>
        </w:tc>
        <w:tc>
          <w:tcPr>
            <w:tcW w:w="2492" w:type="dxa"/>
            <w:tcBorders>
              <w:top w:val="nil"/>
              <w:left w:val="nil"/>
              <w:bottom w:val="nil"/>
              <w:right w:val="nil"/>
            </w:tcBorders>
            <w:shd w:val="clear" w:color="auto" w:fill="auto"/>
            <w:noWrap/>
            <w:vAlign w:val="center"/>
          </w:tcPr>
          <w:p w14:paraId="257BC5AE">
            <w:pPr>
              <w:spacing w:line="480" w:lineRule="auto"/>
              <w:jc w:val="both"/>
              <w:textAlignment w:val="center"/>
              <w:rPr>
                <w:rFonts w:ascii="Times New Roman" w:hAnsi="Times New Roman" w:eastAsia="等线" w:cs="Times New Roman"/>
                <w:color w:val="000000" w:themeColor="text1"/>
                <w14:textFill>
                  <w14:solidFill>
                    <w14:schemeClr w14:val="tx1"/>
                  </w14:solidFill>
                </w14:textFill>
              </w:rPr>
            </w:pPr>
            <w:r>
              <w:rPr>
                <w:rFonts w:ascii="Times New Roman" w:hAnsi="Times New Roman" w:eastAsia="等线" w:cs="Times New Roman"/>
                <w:color w:val="000000" w:themeColor="text1"/>
                <w:lang w:bidi="ar"/>
                <w14:textFill>
                  <w14:solidFill>
                    <w14:schemeClr w14:val="tx1"/>
                  </w14:solidFill>
                </w14:textFill>
              </w:rPr>
              <w:t>77.42% [67.42%-83.24%]</w:t>
            </w:r>
          </w:p>
        </w:tc>
        <w:tc>
          <w:tcPr>
            <w:tcW w:w="2619" w:type="dxa"/>
            <w:tcBorders>
              <w:top w:val="nil"/>
              <w:left w:val="nil"/>
              <w:bottom w:val="nil"/>
              <w:right w:val="nil"/>
            </w:tcBorders>
            <w:shd w:val="clear" w:color="auto" w:fill="auto"/>
            <w:noWrap/>
            <w:vAlign w:val="center"/>
          </w:tcPr>
          <w:p w14:paraId="185B6986">
            <w:pPr>
              <w:spacing w:line="480" w:lineRule="auto"/>
              <w:jc w:val="both"/>
              <w:rPr>
                <w:rFonts w:ascii="Times New Roman" w:hAnsi="Times New Roman" w:eastAsia="等线" w:cs="Times New Roman"/>
                <w:color w:val="000000" w:themeColor="text1"/>
                <w14:textFill>
                  <w14:solidFill>
                    <w14:schemeClr w14:val="tx1"/>
                  </w14:solidFill>
                </w14:textFill>
              </w:rPr>
            </w:pPr>
            <w:r>
              <w:rPr>
                <w:rFonts w:ascii="Times New Roman" w:hAnsi="Times New Roman" w:cs="Times New Roman"/>
                <w:color w:val="000000" w:themeColor="text1"/>
                <w:lang w:bidi="ar"/>
                <w14:textFill>
                  <w14:solidFill>
                    <w14:schemeClr w14:val="tx1"/>
                  </w14:solidFill>
                </w14:textFill>
              </w:rPr>
              <w:t>69.06% [55.43%-79.87%]</w:t>
            </w:r>
          </w:p>
        </w:tc>
        <w:tc>
          <w:tcPr>
            <w:tcW w:w="2532" w:type="dxa"/>
            <w:tcBorders>
              <w:top w:val="nil"/>
              <w:left w:val="nil"/>
              <w:bottom w:val="nil"/>
              <w:right w:val="nil"/>
            </w:tcBorders>
            <w:shd w:val="clear" w:color="auto" w:fill="auto"/>
            <w:noWrap/>
            <w:vAlign w:val="center"/>
          </w:tcPr>
          <w:p w14:paraId="05EBEDD5">
            <w:pPr>
              <w:spacing w:line="480" w:lineRule="auto"/>
              <w:jc w:val="both"/>
              <w:textAlignment w:val="center"/>
              <w:rPr>
                <w:rFonts w:ascii="Times New Roman" w:hAnsi="Times New Roman" w:eastAsia="等线" w:cs="Times New Roman"/>
                <w:color w:val="000000" w:themeColor="text1"/>
                <w14:textFill>
                  <w14:solidFill>
                    <w14:schemeClr w14:val="tx1"/>
                  </w14:solidFill>
                </w14:textFill>
              </w:rPr>
            </w:pPr>
            <w:r>
              <w:rPr>
                <w:rFonts w:ascii="Times New Roman" w:hAnsi="Times New Roman" w:eastAsia="等线" w:cs="Times New Roman"/>
                <w:color w:val="000000" w:themeColor="text1"/>
                <w:lang w:bidi="ar"/>
                <w14:textFill>
                  <w14:solidFill>
                    <w14:schemeClr w14:val="tx1"/>
                  </w14:solidFill>
                </w14:textFill>
              </w:rPr>
              <w:t>71.67% [66.98%-80.41%]</w:t>
            </w:r>
          </w:p>
        </w:tc>
      </w:tr>
      <w:tr w14:paraId="44070E25">
        <w:tblPrEx>
          <w:tblCellMar>
            <w:top w:w="0" w:type="dxa"/>
            <w:left w:w="108" w:type="dxa"/>
            <w:bottom w:w="0" w:type="dxa"/>
            <w:right w:w="108" w:type="dxa"/>
          </w:tblCellMar>
        </w:tblPrEx>
        <w:trPr>
          <w:trHeight w:val="375" w:hRule="atLeast"/>
        </w:trPr>
        <w:tc>
          <w:tcPr>
            <w:tcW w:w="1276" w:type="dxa"/>
            <w:tcBorders>
              <w:top w:val="nil"/>
              <w:left w:val="nil"/>
              <w:bottom w:val="single" w:color="auto" w:sz="4" w:space="0"/>
              <w:right w:val="nil"/>
            </w:tcBorders>
            <w:shd w:val="clear" w:color="auto" w:fill="auto"/>
            <w:noWrap/>
            <w:vAlign w:val="center"/>
          </w:tcPr>
          <w:p w14:paraId="437A024C">
            <w:pPr>
              <w:spacing w:line="480" w:lineRule="auto"/>
              <w:jc w:val="both"/>
              <w:textAlignment w:val="center"/>
              <w:rPr>
                <w:rFonts w:ascii="Times New Roman" w:hAnsi="Times New Roman" w:eastAsia="等线" w:cs="Times New Roman"/>
                <w:color w:val="000000" w:themeColor="text1"/>
                <w14:textFill>
                  <w14:solidFill>
                    <w14:schemeClr w14:val="tx1"/>
                  </w14:solidFill>
                </w14:textFill>
              </w:rPr>
            </w:pPr>
            <w:r>
              <w:rPr>
                <w:rFonts w:ascii="Times New Roman" w:hAnsi="Times New Roman" w:eastAsia="等线" w:cs="Times New Roman"/>
                <w:color w:val="000000" w:themeColor="text1"/>
                <w:lang w:bidi="ar"/>
                <w14:textFill>
                  <w14:solidFill>
                    <w14:schemeClr w14:val="tx1"/>
                  </w14:solidFill>
                </w14:textFill>
              </w:rPr>
              <w:t>ResNet 50</w:t>
            </w:r>
          </w:p>
        </w:tc>
        <w:tc>
          <w:tcPr>
            <w:tcW w:w="2470" w:type="dxa"/>
            <w:tcBorders>
              <w:top w:val="nil"/>
              <w:left w:val="nil"/>
              <w:bottom w:val="single" w:color="auto" w:sz="4" w:space="0"/>
              <w:right w:val="nil"/>
            </w:tcBorders>
            <w:shd w:val="clear" w:color="auto" w:fill="auto"/>
            <w:noWrap/>
            <w:vAlign w:val="center"/>
          </w:tcPr>
          <w:p w14:paraId="3AB6EF35">
            <w:pPr>
              <w:spacing w:line="480" w:lineRule="auto"/>
              <w:jc w:val="both"/>
              <w:textAlignment w:val="center"/>
              <w:rPr>
                <w:rFonts w:ascii="Times New Roman" w:hAnsi="Times New Roman" w:eastAsia="等线" w:cs="Times New Roman"/>
                <w:color w:val="000000" w:themeColor="text1"/>
                <w14:textFill>
                  <w14:solidFill>
                    <w14:schemeClr w14:val="tx1"/>
                  </w14:solidFill>
                </w14:textFill>
              </w:rPr>
            </w:pPr>
            <w:r>
              <w:rPr>
                <w:rFonts w:ascii="Times New Roman" w:hAnsi="Times New Roman" w:eastAsia="等线" w:cs="Times New Roman"/>
                <w:color w:val="000000" w:themeColor="text1"/>
                <w:lang w:bidi="ar"/>
                <w14:textFill>
                  <w14:solidFill>
                    <w14:schemeClr w14:val="tx1"/>
                  </w14:solidFill>
                </w14:textFill>
              </w:rPr>
              <w:t>79.41% [69.43%-86.54%]</w:t>
            </w:r>
          </w:p>
        </w:tc>
        <w:tc>
          <w:tcPr>
            <w:tcW w:w="2492" w:type="dxa"/>
            <w:tcBorders>
              <w:top w:val="nil"/>
              <w:left w:val="nil"/>
              <w:bottom w:val="single" w:color="auto" w:sz="4" w:space="0"/>
              <w:right w:val="single" w:color="CCCCCC" w:sz="8" w:space="0"/>
            </w:tcBorders>
            <w:shd w:val="clear" w:color="auto" w:fill="auto"/>
            <w:vAlign w:val="bottom"/>
          </w:tcPr>
          <w:p w14:paraId="170396AE">
            <w:pPr>
              <w:spacing w:line="480" w:lineRule="auto"/>
              <w:jc w:val="both"/>
              <w:textAlignment w:val="bottom"/>
              <w:rPr>
                <w:rFonts w:ascii="Times New Roman" w:hAnsi="Times New Roman" w:eastAsia="等线" w:cs="Times New Roman"/>
                <w:color w:val="000000" w:themeColor="text1"/>
                <w14:textFill>
                  <w14:solidFill>
                    <w14:schemeClr w14:val="tx1"/>
                  </w14:solidFill>
                </w14:textFill>
              </w:rPr>
            </w:pPr>
            <w:r>
              <w:rPr>
                <w:rFonts w:ascii="Times New Roman" w:hAnsi="Times New Roman" w:eastAsia="等线" w:cs="Times New Roman"/>
                <w:color w:val="000000" w:themeColor="text1"/>
                <w:lang w:bidi="ar"/>
                <w14:textFill>
                  <w14:solidFill>
                    <w14:schemeClr w14:val="tx1"/>
                  </w14:solidFill>
                </w14:textFill>
              </w:rPr>
              <w:t>73.65% [55.64%-82.32%]</w:t>
            </w:r>
          </w:p>
        </w:tc>
        <w:tc>
          <w:tcPr>
            <w:tcW w:w="2619" w:type="dxa"/>
            <w:tcBorders>
              <w:top w:val="nil"/>
              <w:left w:val="nil"/>
              <w:bottom w:val="single" w:color="auto" w:sz="4" w:space="0"/>
              <w:right w:val="single" w:color="CCCCCC" w:sz="8" w:space="0"/>
            </w:tcBorders>
            <w:shd w:val="clear" w:color="auto" w:fill="auto"/>
            <w:vAlign w:val="bottom"/>
          </w:tcPr>
          <w:p w14:paraId="7FB83D31">
            <w:pPr>
              <w:spacing w:line="480" w:lineRule="auto"/>
              <w:jc w:val="both"/>
              <w:rPr>
                <w:rFonts w:ascii="Times New Roman" w:hAnsi="Times New Roman" w:eastAsia="等线" w:cs="Times New Roman"/>
                <w:color w:val="000000" w:themeColor="text1"/>
                <w14:textFill>
                  <w14:solidFill>
                    <w14:schemeClr w14:val="tx1"/>
                  </w14:solidFill>
                </w14:textFill>
              </w:rPr>
            </w:pPr>
            <w:r>
              <w:rPr>
                <w:rFonts w:ascii="Times New Roman" w:hAnsi="Times New Roman" w:cs="Times New Roman"/>
                <w:color w:val="000000" w:themeColor="text1"/>
                <w:lang w:bidi="ar"/>
                <w14:textFill>
                  <w14:solidFill>
                    <w14:schemeClr w14:val="tx1"/>
                  </w14:solidFill>
                </w14:textFill>
              </w:rPr>
              <w:t>78.05% [69.00%-86.33%]</w:t>
            </w:r>
          </w:p>
        </w:tc>
        <w:tc>
          <w:tcPr>
            <w:tcW w:w="2532" w:type="dxa"/>
            <w:tcBorders>
              <w:top w:val="nil"/>
              <w:left w:val="nil"/>
              <w:bottom w:val="single" w:color="auto" w:sz="4" w:space="0"/>
              <w:right w:val="single" w:color="CCCCCC" w:sz="8" w:space="0"/>
            </w:tcBorders>
            <w:shd w:val="clear" w:color="auto" w:fill="auto"/>
            <w:vAlign w:val="bottom"/>
          </w:tcPr>
          <w:p w14:paraId="5A10728A">
            <w:pPr>
              <w:spacing w:line="480" w:lineRule="auto"/>
              <w:jc w:val="both"/>
              <w:textAlignment w:val="bottom"/>
              <w:rPr>
                <w:rFonts w:ascii="Times New Roman" w:hAnsi="Times New Roman" w:eastAsia="等线" w:cs="Times New Roman"/>
                <w:color w:val="000000" w:themeColor="text1"/>
                <w14:textFill>
                  <w14:solidFill>
                    <w14:schemeClr w14:val="tx1"/>
                  </w14:solidFill>
                </w14:textFill>
              </w:rPr>
            </w:pPr>
            <w:r>
              <w:rPr>
                <w:rFonts w:ascii="Times New Roman" w:hAnsi="Times New Roman" w:eastAsia="等线" w:cs="Times New Roman"/>
                <w:color w:val="000000" w:themeColor="text1"/>
                <w:lang w:bidi="ar"/>
                <w14:textFill>
                  <w14:solidFill>
                    <w14:schemeClr w14:val="tx1"/>
                  </w14:solidFill>
                </w14:textFill>
              </w:rPr>
              <w:t>70.63% [64.32%-81.64%]</w:t>
            </w:r>
          </w:p>
        </w:tc>
      </w:tr>
    </w:tbl>
    <w:p w14:paraId="3D1FE545">
      <w:pPr>
        <w:spacing w:line="480" w:lineRule="auto"/>
        <w:ind w:right="3468" w:rightChars="1445"/>
        <w:jc w:val="both"/>
        <w:rPr>
          <w:rFonts w:ascii="Times New Roman" w:hAnsi="Times New Roman" w:cs="Times New Roman"/>
          <w:b/>
          <w:bCs/>
          <w:i/>
          <w:iCs/>
          <w:color w:val="000000" w:themeColor="text1"/>
          <w14:textFill>
            <w14:solidFill>
              <w14:schemeClr w14:val="tx1"/>
            </w14:solidFill>
          </w14:textFill>
        </w:rPr>
        <w:sectPr>
          <w:pgSz w:w="16838" w:h="11906" w:orient="landscape"/>
          <w:pgMar w:top="1800" w:right="1440" w:bottom="1800" w:left="1440" w:header="851" w:footer="992" w:gutter="0"/>
          <w:cols w:space="425" w:num="1"/>
          <w:docGrid w:type="lines" w:linePitch="326" w:charSpace="0"/>
        </w:sectPr>
      </w:pPr>
    </w:p>
    <w:p w14:paraId="0BAB49B5">
      <w:pPr>
        <w:spacing w:line="480" w:lineRule="auto"/>
        <w:ind w:right="3468" w:rightChars="1445"/>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 xml:space="preserve">Supplementary Table 2. </w:t>
      </w:r>
      <w:r>
        <w:rPr>
          <w:rFonts w:ascii="Times New Roman" w:hAnsi="Times New Roman" w:cs="Times New Roman"/>
          <w:color w:val="000000" w:themeColor="text1"/>
          <w14:textFill>
            <w14:solidFill>
              <w14:schemeClr w14:val="tx1"/>
            </w14:solidFill>
          </w14:textFill>
        </w:rPr>
        <w:t>Results of logistic regression and hybrid model in the independent external test dataset.</w:t>
      </w:r>
    </w:p>
    <w:tbl>
      <w:tblPr>
        <w:tblStyle w:val="14"/>
        <w:tblpPr w:leftFromText="180" w:rightFromText="180" w:vertAnchor="text" w:horzAnchor="page" w:tblpY="664"/>
        <w:tblOverlap w:val="never"/>
        <w:tblW w:w="15854" w:type="dxa"/>
        <w:tblInd w:w="0" w:type="dxa"/>
        <w:tblLayout w:type="fixed"/>
        <w:tblCellMar>
          <w:top w:w="0" w:type="dxa"/>
          <w:left w:w="108" w:type="dxa"/>
          <w:bottom w:w="0" w:type="dxa"/>
          <w:right w:w="108" w:type="dxa"/>
        </w:tblCellMar>
      </w:tblPr>
      <w:tblGrid>
        <w:gridCol w:w="1258"/>
        <w:gridCol w:w="1321"/>
        <w:gridCol w:w="3006"/>
        <w:gridCol w:w="2805"/>
        <w:gridCol w:w="2671"/>
        <w:gridCol w:w="2855"/>
        <w:gridCol w:w="1938"/>
      </w:tblGrid>
      <w:tr w14:paraId="4A81FE27">
        <w:tblPrEx>
          <w:tblCellMar>
            <w:top w:w="0" w:type="dxa"/>
            <w:left w:w="108" w:type="dxa"/>
            <w:bottom w:w="0" w:type="dxa"/>
            <w:right w:w="108" w:type="dxa"/>
          </w:tblCellMar>
        </w:tblPrEx>
        <w:trPr>
          <w:trHeight w:val="1375" w:hRule="atLeast"/>
        </w:trPr>
        <w:tc>
          <w:tcPr>
            <w:tcW w:w="1258" w:type="dxa"/>
            <w:tcBorders>
              <w:top w:val="single" w:color="000000" w:sz="8" w:space="0"/>
              <w:left w:val="nil"/>
              <w:bottom w:val="single" w:color="000000" w:sz="8" w:space="0"/>
              <w:right w:val="nil"/>
            </w:tcBorders>
            <w:shd w:val="clear" w:color="auto" w:fill="auto"/>
            <w:noWrap/>
          </w:tcPr>
          <w:p w14:paraId="45375CBA">
            <w:pPr>
              <w:spacing w:line="480" w:lineRule="auto"/>
              <w:jc w:val="both"/>
              <w:rPr>
                <w:rFonts w:ascii="Times New Roman" w:hAnsi="Times New Roman" w:cs="Times New Roman"/>
                <w:b/>
                <w:bCs/>
                <w:color w:val="000000" w:themeColor="text1"/>
                <w:sz w:val="22"/>
                <w:szCs w:val="22"/>
                <w14:textFill>
                  <w14:solidFill>
                    <w14:schemeClr w14:val="tx1"/>
                  </w14:solidFill>
                </w14:textFill>
              </w:rPr>
            </w:pPr>
            <w:bookmarkStart w:id="3" w:name="OLE_LINK13"/>
            <w:bookmarkStart w:id="4" w:name="OLE_LINK12"/>
            <w:r>
              <w:rPr>
                <w:rFonts w:ascii="Times New Roman" w:hAnsi="Times New Roman" w:cs="Times New Roman"/>
                <w:b/>
                <w:bCs/>
                <w:color w:val="000000" w:themeColor="text1"/>
                <w:sz w:val="22"/>
                <w:szCs w:val="22"/>
                <w14:textFill>
                  <w14:solidFill>
                    <w14:schemeClr w14:val="tx1"/>
                  </w14:solidFill>
                </w14:textFill>
              </w:rPr>
              <w:t>Subgroups</w:t>
            </w:r>
          </w:p>
        </w:tc>
        <w:tc>
          <w:tcPr>
            <w:tcW w:w="1321" w:type="dxa"/>
            <w:tcBorders>
              <w:top w:val="single" w:color="000000" w:sz="8" w:space="0"/>
              <w:left w:val="nil"/>
              <w:bottom w:val="single" w:color="000000" w:sz="8" w:space="0"/>
              <w:right w:val="nil"/>
            </w:tcBorders>
            <w:shd w:val="clear" w:color="auto" w:fill="auto"/>
            <w:noWrap/>
          </w:tcPr>
          <w:p w14:paraId="77ED1958">
            <w:pPr>
              <w:spacing w:line="480" w:lineRule="auto"/>
              <w:jc w:val="both"/>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Metrics</w:t>
            </w:r>
          </w:p>
        </w:tc>
        <w:tc>
          <w:tcPr>
            <w:tcW w:w="3006" w:type="dxa"/>
            <w:tcBorders>
              <w:top w:val="single" w:color="000000" w:sz="8" w:space="0"/>
              <w:left w:val="nil"/>
              <w:bottom w:val="single" w:color="000000" w:sz="8" w:space="0"/>
              <w:right w:val="nil"/>
            </w:tcBorders>
            <w:shd w:val="clear" w:color="auto" w:fill="auto"/>
            <w:noWrap/>
          </w:tcPr>
          <w:p w14:paraId="5DF233A3">
            <w:pPr>
              <w:spacing w:line="480" w:lineRule="auto"/>
              <w:jc w:val="both"/>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Logistic regression model</w:t>
            </w:r>
          </w:p>
        </w:tc>
        <w:tc>
          <w:tcPr>
            <w:tcW w:w="2805" w:type="dxa"/>
            <w:tcBorders>
              <w:top w:val="single" w:color="000000" w:sz="8" w:space="0"/>
              <w:left w:val="nil"/>
              <w:bottom w:val="single" w:color="000000" w:sz="8" w:space="0"/>
              <w:right w:val="nil"/>
            </w:tcBorders>
            <w:shd w:val="clear" w:color="auto" w:fill="auto"/>
            <w:noWrap/>
          </w:tcPr>
          <w:p w14:paraId="2FB3D8FF">
            <w:pPr>
              <w:spacing w:line="480" w:lineRule="auto"/>
              <w:jc w:val="both"/>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MB-CNN</w:t>
            </w:r>
          </w:p>
        </w:tc>
        <w:tc>
          <w:tcPr>
            <w:tcW w:w="2671" w:type="dxa"/>
            <w:tcBorders>
              <w:top w:val="single" w:color="000000" w:sz="8" w:space="0"/>
              <w:left w:val="nil"/>
              <w:bottom w:val="single" w:color="000000" w:sz="8" w:space="0"/>
              <w:right w:val="nil"/>
            </w:tcBorders>
            <w:shd w:val="clear" w:color="auto" w:fill="auto"/>
          </w:tcPr>
          <w:p w14:paraId="21986DE1">
            <w:pPr>
              <w:spacing w:line="480" w:lineRule="auto"/>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 xml:space="preserve">Increase rate </w:t>
            </w:r>
            <w:r>
              <w:rPr>
                <w:rFonts w:ascii="Times New Roman" w:hAnsi="Times New Roman" w:cs="Times New Roman"/>
                <w:b/>
                <w:bCs/>
                <w:color w:val="000000" w:themeColor="text1"/>
                <w:sz w:val="22"/>
                <w:szCs w:val="22"/>
                <w14:textFill>
                  <w14:solidFill>
                    <w14:schemeClr w14:val="tx1"/>
                  </w14:solidFill>
                </w14:textFill>
              </w:rPr>
              <w:br w:type="textWrapping"/>
            </w:r>
            <w:r>
              <w:rPr>
                <w:rFonts w:ascii="Times New Roman" w:hAnsi="Times New Roman" w:cs="Times New Roman"/>
                <w:b/>
                <w:bCs/>
                <w:color w:val="000000" w:themeColor="text1"/>
                <w:sz w:val="22"/>
                <w:szCs w:val="22"/>
                <w14:textFill>
                  <w14:solidFill>
                    <w14:schemeClr w14:val="tx1"/>
                  </w14:solidFill>
                </w14:textFill>
              </w:rPr>
              <w:t>(Logistic regression vs. MB-CNN)</w:t>
            </w:r>
          </w:p>
        </w:tc>
        <w:tc>
          <w:tcPr>
            <w:tcW w:w="2855" w:type="dxa"/>
            <w:tcBorders>
              <w:top w:val="single" w:color="000000" w:sz="8" w:space="0"/>
              <w:left w:val="nil"/>
              <w:bottom w:val="single" w:color="000000" w:sz="8" w:space="0"/>
              <w:right w:val="nil"/>
            </w:tcBorders>
            <w:shd w:val="clear" w:color="auto" w:fill="auto"/>
            <w:noWrap/>
          </w:tcPr>
          <w:p w14:paraId="6FBC0FE6">
            <w:pPr>
              <w:spacing w:line="480" w:lineRule="auto"/>
              <w:jc w:val="both"/>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Hybrid model</w:t>
            </w:r>
          </w:p>
        </w:tc>
        <w:tc>
          <w:tcPr>
            <w:tcW w:w="1938" w:type="dxa"/>
            <w:tcBorders>
              <w:top w:val="single" w:color="000000" w:sz="8" w:space="0"/>
              <w:left w:val="nil"/>
              <w:bottom w:val="single" w:color="000000" w:sz="8" w:space="0"/>
              <w:right w:val="nil"/>
            </w:tcBorders>
            <w:shd w:val="clear" w:color="auto" w:fill="auto"/>
          </w:tcPr>
          <w:p w14:paraId="1CBAEF7B">
            <w:pPr>
              <w:spacing w:line="480" w:lineRule="auto"/>
              <w:jc w:val="both"/>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 xml:space="preserve">Increase rate </w:t>
            </w:r>
            <w:r>
              <w:rPr>
                <w:rFonts w:ascii="Times New Roman" w:hAnsi="Times New Roman" w:cs="Times New Roman"/>
                <w:b/>
                <w:bCs/>
                <w:color w:val="000000" w:themeColor="text1"/>
                <w:sz w:val="22"/>
                <w:szCs w:val="22"/>
                <w14:textFill>
                  <w14:solidFill>
                    <w14:schemeClr w14:val="tx1"/>
                  </w14:solidFill>
                </w14:textFill>
              </w:rPr>
              <w:br w:type="textWrapping"/>
            </w:r>
            <w:r>
              <w:rPr>
                <w:rFonts w:ascii="Times New Roman" w:hAnsi="Times New Roman" w:cs="Times New Roman"/>
                <w:b/>
                <w:bCs/>
                <w:color w:val="000000" w:themeColor="text1"/>
                <w:sz w:val="22"/>
                <w:szCs w:val="22"/>
                <w14:textFill>
                  <w14:solidFill>
                    <w14:schemeClr w14:val="tx1"/>
                  </w14:solidFill>
                </w14:textFill>
              </w:rPr>
              <w:t>(MB-CNN vs. Hybrid model)</w:t>
            </w:r>
          </w:p>
        </w:tc>
      </w:tr>
      <w:tr w14:paraId="4519EFBF">
        <w:tblPrEx>
          <w:tblCellMar>
            <w:top w:w="0" w:type="dxa"/>
            <w:left w:w="108" w:type="dxa"/>
            <w:bottom w:w="0" w:type="dxa"/>
            <w:right w:w="108" w:type="dxa"/>
          </w:tblCellMar>
        </w:tblPrEx>
        <w:trPr>
          <w:trHeight w:val="360" w:hRule="atLeast"/>
        </w:trPr>
        <w:tc>
          <w:tcPr>
            <w:tcW w:w="1258" w:type="dxa"/>
            <w:tcBorders>
              <w:top w:val="nil"/>
              <w:left w:val="nil"/>
              <w:bottom w:val="nil"/>
              <w:right w:val="nil"/>
            </w:tcBorders>
            <w:shd w:val="clear" w:color="auto" w:fill="auto"/>
            <w:noWrap/>
            <w:vAlign w:val="bottom"/>
          </w:tcPr>
          <w:p w14:paraId="77FFE80B">
            <w:pPr>
              <w:spacing w:line="480" w:lineRule="auto"/>
              <w:jc w:val="both"/>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WNT</w:t>
            </w:r>
          </w:p>
        </w:tc>
        <w:tc>
          <w:tcPr>
            <w:tcW w:w="1321" w:type="dxa"/>
            <w:tcBorders>
              <w:top w:val="nil"/>
              <w:left w:val="nil"/>
              <w:bottom w:val="nil"/>
              <w:right w:val="nil"/>
            </w:tcBorders>
            <w:shd w:val="clear" w:color="auto" w:fill="auto"/>
            <w:noWrap/>
          </w:tcPr>
          <w:p w14:paraId="2F75F1F2">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Accuracy</w:t>
            </w:r>
          </w:p>
        </w:tc>
        <w:tc>
          <w:tcPr>
            <w:tcW w:w="3006" w:type="dxa"/>
            <w:tcBorders>
              <w:top w:val="nil"/>
              <w:left w:val="nil"/>
              <w:bottom w:val="nil"/>
              <w:right w:val="nil"/>
            </w:tcBorders>
            <w:shd w:val="clear" w:color="auto" w:fill="auto"/>
            <w:noWrap/>
            <w:vAlign w:val="bottom"/>
          </w:tcPr>
          <w:p w14:paraId="5ACFA5CE">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52.17% [31.76% - 72.59%]</w:t>
            </w:r>
          </w:p>
        </w:tc>
        <w:tc>
          <w:tcPr>
            <w:tcW w:w="2805" w:type="dxa"/>
            <w:tcBorders>
              <w:top w:val="nil"/>
              <w:left w:val="nil"/>
              <w:bottom w:val="nil"/>
              <w:right w:val="nil"/>
            </w:tcBorders>
            <w:shd w:val="clear" w:color="auto" w:fill="auto"/>
            <w:noWrap/>
            <w:vAlign w:val="center"/>
          </w:tcPr>
          <w:p w14:paraId="6B18C851">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76.29% [70.24% - 92.34%]</w:t>
            </w:r>
          </w:p>
        </w:tc>
        <w:tc>
          <w:tcPr>
            <w:tcW w:w="2671" w:type="dxa"/>
            <w:tcBorders>
              <w:top w:val="nil"/>
              <w:left w:val="nil"/>
              <w:bottom w:val="nil"/>
              <w:right w:val="nil"/>
            </w:tcBorders>
            <w:shd w:val="clear" w:color="auto" w:fill="auto"/>
            <w:noWrap/>
            <w:vAlign w:val="center"/>
          </w:tcPr>
          <w:p w14:paraId="30C9CEA0">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31.61%</w:t>
            </w:r>
          </w:p>
        </w:tc>
        <w:tc>
          <w:tcPr>
            <w:tcW w:w="2855" w:type="dxa"/>
            <w:tcBorders>
              <w:top w:val="nil"/>
              <w:left w:val="nil"/>
              <w:bottom w:val="nil"/>
              <w:right w:val="nil"/>
            </w:tcBorders>
            <w:shd w:val="clear" w:color="auto" w:fill="auto"/>
            <w:noWrap/>
          </w:tcPr>
          <w:p w14:paraId="4908AC10">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79.31% [64.57% - 94.05%]</w:t>
            </w:r>
          </w:p>
        </w:tc>
        <w:tc>
          <w:tcPr>
            <w:tcW w:w="1938" w:type="dxa"/>
            <w:tcBorders>
              <w:top w:val="nil"/>
              <w:left w:val="nil"/>
              <w:bottom w:val="nil"/>
              <w:right w:val="nil"/>
            </w:tcBorders>
            <w:shd w:val="clear" w:color="auto" w:fill="auto"/>
          </w:tcPr>
          <w:p w14:paraId="6CBDB6C7">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3.81%</w:t>
            </w:r>
          </w:p>
        </w:tc>
      </w:tr>
      <w:tr w14:paraId="0FBAE98A">
        <w:tblPrEx>
          <w:tblCellMar>
            <w:top w:w="0" w:type="dxa"/>
            <w:left w:w="108" w:type="dxa"/>
            <w:bottom w:w="0" w:type="dxa"/>
            <w:right w:w="108" w:type="dxa"/>
          </w:tblCellMar>
        </w:tblPrEx>
        <w:trPr>
          <w:trHeight w:val="360" w:hRule="atLeast"/>
        </w:trPr>
        <w:tc>
          <w:tcPr>
            <w:tcW w:w="1258" w:type="dxa"/>
            <w:tcBorders>
              <w:top w:val="nil"/>
              <w:left w:val="nil"/>
              <w:bottom w:val="nil"/>
              <w:right w:val="nil"/>
            </w:tcBorders>
            <w:shd w:val="clear" w:color="auto" w:fill="auto"/>
            <w:noWrap/>
            <w:vAlign w:val="bottom"/>
          </w:tcPr>
          <w:p w14:paraId="0F0F4B2E">
            <w:pPr>
              <w:spacing w:line="480" w:lineRule="auto"/>
              <w:jc w:val="both"/>
              <w:rPr>
                <w:rFonts w:ascii="Times New Roman" w:hAnsi="Times New Roman" w:cs="Times New Roman"/>
                <w:color w:val="000000" w:themeColor="text1"/>
                <w:sz w:val="22"/>
                <w:szCs w:val="22"/>
                <w14:textFill>
                  <w14:solidFill>
                    <w14:schemeClr w14:val="tx1"/>
                  </w14:solidFill>
                </w14:textFill>
              </w:rPr>
            </w:pPr>
            <w:bookmarkStart w:id="5" w:name="OLE_LINK42"/>
            <w:r>
              <w:rPr>
                <w:rFonts w:ascii="Times New Roman" w:hAnsi="Times New Roman" w:cs="Times New Roman"/>
                <w:color w:val="000000" w:themeColor="text1"/>
                <w:sz w:val="22"/>
                <w:szCs w:val="22"/>
                <w14:textFill>
                  <w14:solidFill>
                    <w14:schemeClr w14:val="tx1"/>
                  </w14:solidFill>
                </w14:textFill>
              </w:rPr>
              <w:t>(n=</w:t>
            </w:r>
            <w:bookmarkEnd w:id="5"/>
            <w:r>
              <w:rPr>
                <w:rFonts w:ascii="Times New Roman" w:hAnsi="Times New Roman" w:cs="Times New Roman"/>
                <w:color w:val="000000" w:themeColor="text1"/>
                <w:sz w:val="22"/>
                <w:szCs w:val="22"/>
                <w14:textFill>
                  <w14:solidFill>
                    <w14:schemeClr w14:val="tx1"/>
                  </w14:solidFill>
                </w14:textFill>
              </w:rPr>
              <w:t>21)</w:t>
            </w:r>
          </w:p>
        </w:tc>
        <w:tc>
          <w:tcPr>
            <w:tcW w:w="1321" w:type="dxa"/>
            <w:tcBorders>
              <w:top w:val="nil"/>
              <w:left w:val="nil"/>
              <w:bottom w:val="nil"/>
              <w:right w:val="nil"/>
            </w:tcBorders>
            <w:shd w:val="clear" w:color="auto" w:fill="auto"/>
            <w:noWrap/>
            <w:vAlign w:val="bottom"/>
          </w:tcPr>
          <w:p w14:paraId="58C3E08D">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Precision</w:t>
            </w:r>
          </w:p>
        </w:tc>
        <w:tc>
          <w:tcPr>
            <w:tcW w:w="3006" w:type="dxa"/>
            <w:tcBorders>
              <w:top w:val="nil"/>
              <w:left w:val="nil"/>
              <w:bottom w:val="nil"/>
              <w:right w:val="nil"/>
            </w:tcBorders>
            <w:shd w:val="clear" w:color="auto" w:fill="auto"/>
            <w:noWrap/>
            <w:vAlign w:val="bottom"/>
          </w:tcPr>
          <w:p w14:paraId="6D8A6DF1">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54.55% [33.74% - 75.35%]</w:t>
            </w:r>
          </w:p>
        </w:tc>
        <w:tc>
          <w:tcPr>
            <w:tcW w:w="2805" w:type="dxa"/>
            <w:tcBorders>
              <w:top w:val="nil"/>
              <w:left w:val="nil"/>
              <w:bottom w:val="nil"/>
              <w:right w:val="nil"/>
            </w:tcBorders>
            <w:shd w:val="clear" w:color="auto" w:fill="auto"/>
            <w:noWrap/>
            <w:vAlign w:val="center"/>
          </w:tcPr>
          <w:p w14:paraId="72A8A5E4">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78.75% [62.69% - 84.81%]</w:t>
            </w:r>
          </w:p>
        </w:tc>
        <w:tc>
          <w:tcPr>
            <w:tcW w:w="2671" w:type="dxa"/>
            <w:tcBorders>
              <w:top w:val="nil"/>
              <w:left w:val="nil"/>
              <w:bottom w:val="nil"/>
              <w:right w:val="nil"/>
            </w:tcBorders>
            <w:shd w:val="clear" w:color="auto" w:fill="auto"/>
            <w:noWrap/>
            <w:vAlign w:val="center"/>
          </w:tcPr>
          <w:p w14:paraId="4AF11908">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30.73%</w:t>
            </w:r>
          </w:p>
        </w:tc>
        <w:tc>
          <w:tcPr>
            <w:tcW w:w="2855" w:type="dxa"/>
            <w:tcBorders>
              <w:top w:val="nil"/>
              <w:left w:val="nil"/>
              <w:bottom w:val="nil"/>
              <w:right w:val="nil"/>
            </w:tcBorders>
            <w:shd w:val="clear" w:color="auto" w:fill="auto"/>
            <w:noWrap/>
            <w:vAlign w:val="bottom"/>
          </w:tcPr>
          <w:p w14:paraId="1E5A35D4">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81.86% [71.54% - 91.30%]</w:t>
            </w:r>
          </w:p>
        </w:tc>
        <w:tc>
          <w:tcPr>
            <w:tcW w:w="1938" w:type="dxa"/>
            <w:tcBorders>
              <w:top w:val="nil"/>
              <w:left w:val="nil"/>
              <w:bottom w:val="nil"/>
              <w:right w:val="nil"/>
            </w:tcBorders>
            <w:shd w:val="clear" w:color="auto" w:fill="auto"/>
            <w:vAlign w:val="bottom"/>
          </w:tcPr>
          <w:p w14:paraId="05CFCB67">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3.79%</w:t>
            </w:r>
          </w:p>
        </w:tc>
      </w:tr>
      <w:tr w14:paraId="79CC9CF8">
        <w:tblPrEx>
          <w:tblCellMar>
            <w:top w:w="0" w:type="dxa"/>
            <w:left w:w="108" w:type="dxa"/>
            <w:bottom w:w="0" w:type="dxa"/>
            <w:right w:w="108" w:type="dxa"/>
          </w:tblCellMar>
        </w:tblPrEx>
        <w:trPr>
          <w:trHeight w:val="360" w:hRule="atLeast"/>
        </w:trPr>
        <w:tc>
          <w:tcPr>
            <w:tcW w:w="1258" w:type="dxa"/>
            <w:tcBorders>
              <w:top w:val="nil"/>
              <w:left w:val="nil"/>
              <w:bottom w:val="nil"/>
              <w:right w:val="nil"/>
            </w:tcBorders>
            <w:shd w:val="clear" w:color="auto" w:fill="auto"/>
            <w:noWrap/>
            <w:vAlign w:val="bottom"/>
          </w:tcPr>
          <w:p w14:paraId="109E12AD">
            <w:pPr>
              <w:spacing w:line="480" w:lineRule="auto"/>
              <w:jc w:val="both"/>
              <w:rPr>
                <w:rFonts w:ascii="Times New Roman" w:hAnsi="Times New Roman" w:cs="Times New Roman"/>
                <w:color w:val="000000" w:themeColor="text1"/>
                <w:sz w:val="22"/>
                <w:szCs w:val="22"/>
                <w14:textFill>
                  <w14:solidFill>
                    <w14:schemeClr w14:val="tx1"/>
                  </w14:solidFill>
                </w14:textFill>
              </w:rPr>
            </w:pPr>
          </w:p>
        </w:tc>
        <w:tc>
          <w:tcPr>
            <w:tcW w:w="1321" w:type="dxa"/>
            <w:tcBorders>
              <w:top w:val="nil"/>
              <w:left w:val="nil"/>
              <w:bottom w:val="nil"/>
              <w:right w:val="nil"/>
            </w:tcBorders>
            <w:shd w:val="clear" w:color="auto" w:fill="auto"/>
            <w:noWrap/>
            <w:vAlign w:val="bottom"/>
          </w:tcPr>
          <w:p w14:paraId="1B3F2B86">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Recall</w:t>
            </w:r>
          </w:p>
        </w:tc>
        <w:tc>
          <w:tcPr>
            <w:tcW w:w="3006" w:type="dxa"/>
            <w:tcBorders>
              <w:top w:val="nil"/>
              <w:left w:val="nil"/>
              <w:bottom w:val="nil"/>
              <w:right w:val="nil"/>
            </w:tcBorders>
            <w:shd w:val="clear" w:color="auto" w:fill="auto"/>
            <w:noWrap/>
            <w:vAlign w:val="bottom"/>
          </w:tcPr>
          <w:p w14:paraId="617581C1">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52.17% [31.76% - 72.59%]</w:t>
            </w:r>
          </w:p>
        </w:tc>
        <w:tc>
          <w:tcPr>
            <w:tcW w:w="2805" w:type="dxa"/>
            <w:tcBorders>
              <w:top w:val="nil"/>
              <w:left w:val="nil"/>
              <w:bottom w:val="nil"/>
              <w:right w:val="nil"/>
            </w:tcBorders>
            <w:shd w:val="clear" w:color="auto" w:fill="auto"/>
            <w:noWrap/>
            <w:vAlign w:val="bottom"/>
          </w:tcPr>
          <w:p w14:paraId="73FFAD4A">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75.86% [60.29% - 91.44%]</w:t>
            </w:r>
          </w:p>
        </w:tc>
        <w:tc>
          <w:tcPr>
            <w:tcW w:w="2671" w:type="dxa"/>
            <w:tcBorders>
              <w:top w:val="nil"/>
              <w:left w:val="nil"/>
              <w:bottom w:val="nil"/>
              <w:right w:val="nil"/>
            </w:tcBorders>
            <w:shd w:val="clear" w:color="auto" w:fill="auto"/>
            <w:noWrap/>
            <w:vAlign w:val="bottom"/>
          </w:tcPr>
          <w:p w14:paraId="32A7EA77">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31.23%</w:t>
            </w:r>
          </w:p>
        </w:tc>
        <w:tc>
          <w:tcPr>
            <w:tcW w:w="2855" w:type="dxa"/>
            <w:tcBorders>
              <w:top w:val="nil"/>
              <w:left w:val="nil"/>
              <w:bottom w:val="nil"/>
              <w:right w:val="nil"/>
            </w:tcBorders>
            <w:shd w:val="clear" w:color="auto" w:fill="auto"/>
            <w:noWrap/>
            <w:vAlign w:val="bottom"/>
          </w:tcPr>
          <w:p w14:paraId="6EDAB75C">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79.33% [60.00% - 92.59%]</w:t>
            </w:r>
          </w:p>
        </w:tc>
        <w:tc>
          <w:tcPr>
            <w:tcW w:w="1938" w:type="dxa"/>
            <w:tcBorders>
              <w:top w:val="nil"/>
              <w:left w:val="nil"/>
              <w:bottom w:val="nil"/>
              <w:right w:val="nil"/>
            </w:tcBorders>
            <w:shd w:val="clear" w:color="auto" w:fill="auto"/>
            <w:vAlign w:val="bottom"/>
          </w:tcPr>
          <w:p w14:paraId="57B94659">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4.37%</w:t>
            </w:r>
          </w:p>
        </w:tc>
      </w:tr>
      <w:tr w14:paraId="635AAFF6">
        <w:tblPrEx>
          <w:tblCellMar>
            <w:top w:w="0" w:type="dxa"/>
            <w:left w:w="108" w:type="dxa"/>
            <w:bottom w:w="0" w:type="dxa"/>
            <w:right w:w="108" w:type="dxa"/>
          </w:tblCellMar>
        </w:tblPrEx>
        <w:trPr>
          <w:trHeight w:val="360" w:hRule="atLeast"/>
        </w:trPr>
        <w:tc>
          <w:tcPr>
            <w:tcW w:w="1258" w:type="dxa"/>
            <w:tcBorders>
              <w:top w:val="nil"/>
              <w:left w:val="nil"/>
              <w:bottom w:val="nil"/>
              <w:right w:val="nil"/>
            </w:tcBorders>
            <w:shd w:val="clear" w:color="auto" w:fill="auto"/>
            <w:noWrap/>
            <w:vAlign w:val="bottom"/>
          </w:tcPr>
          <w:p w14:paraId="39AED1BA">
            <w:pPr>
              <w:spacing w:line="480" w:lineRule="auto"/>
              <w:jc w:val="both"/>
              <w:rPr>
                <w:rFonts w:ascii="Times New Roman" w:hAnsi="Times New Roman" w:cs="Times New Roman"/>
                <w:color w:val="000000" w:themeColor="text1"/>
                <w:sz w:val="22"/>
                <w:szCs w:val="22"/>
                <w14:textFill>
                  <w14:solidFill>
                    <w14:schemeClr w14:val="tx1"/>
                  </w14:solidFill>
                </w14:textFill>
              </w:rPr>
            </w:pPr>
          </w:p>
        </w:tc>
        <w:tc>
          <w:tcPr>
            <w:tcW w:w="1321" w:type="dxa"/>
            <w:tcBorders>
              <w:top w:val="nil"/>
              <w:left w:val="nil"/>
              <w:bottom w:val="nil"/>
              <w:right w:val="nil"/>
            </w:tcBorders>
            <w:shd w:val="clear" w:color="auto" w:fill="auto"/>
            <w:noWrap/>
            <w:vAlign w:val="bottom"/>
          </w:tcPr>
          <w:p w14:paraId="02B09B53">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F1 Score</w:t>
            </w:r>
          </w:p>
        </w:tc>
        <w:tc>
          <w:tcPr>
            <w:tcW w:w="3006" w:type="dxa"/>
            <w:tcBorders>
              <w:top w:val="nil"/>
              <w:left w:val="nil"/>
              <w:bottom w:val="nil"/>
              <w:right w:val="nil"/>
            </w:tcBorders>
            <w:shd w:val="clear" w:color="auto" w:fill="auto"/>
            <w:noWrap/>
            <w:vAlign w:val="bottom"/>
          </w:tcPr>
          <w:p w14:paraId="4C436EF5">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53.33% [33.31% - 69.23%]</w:t>
            </w:r>
          </w:p>
        </w:tc>
        <w:tc>
          <w:tcPr>
            <w:tcW w:w="2805" w:type="dxa"/>
            <w:tcBorders>
              <w:top w:val="nil"/>
              <w:left w:val="nil"/>
              <w:bottom w:val="nil"/>
              <w:right w:val="nil"/>
            </w:tcBorders>
            <w:shd w:val="clear" w:color="auto" w:fill="auto"/>
            <w:noWrap/>
            <w:vAlign w:val="center"/>
          </w:tcPr>
          <w:p w14:paraId="52048280">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72.13% [36.60% - 72.84%]</w:t>
            </w:r>
          </w:p>
        </w:tc>
        <w:tc>
          <w:tcPr>
            <w:tcW w:w="2671" w:type="dxa"/>
            <w:tcBorders>
              <w:top w:val="nil"/>
              <w:left w:val="nil"/>
              <w:bottom w:val="nil"/>
              <w:right w:val="nil"/>
            </w:tcBorders>
            <w:shd w:val="clear" w:color="auto" w:fill="auto"/>
            <w:noWrap/>
            <w:vAlign w:val="center"/>
          </w:tcPr>
          <w:p w14:paraId="120F3CA6">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26.06%</w:t>
            </w:r>
          </w:p>
        </w:tc>
        <w:tc>
          <w:tcPr>
            <w:tcW w:w="2855" w:type="dxa"/>
            <w:tcBorders>
              <w:top w:val="nil"/>
              <w:left w:val="nil"/>
              <w:bottom w:val="nil"/>
              <w:right w:val="nil"/>
            </w:tcBorders>
            <w:shd w:val="clear" w:color="auto" w:fill="auto"/>
            <w:noWrap/>
            <w:vAlign w:val="bottom"/>
          </w:tcPr>
          <w:p w14:paraId="6D965F1B">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77.46% [63.16% - 86.96%]</w:t>
            </w:r>
          </w:p>
        </w:tc>
        <w:tc>
          <w:tcPr>
            <w:tcW w:w="1938" w:type="dxa"/>
            <w:tcBorders>
              <w:top w:val="nil"/>
              <w:left w:val="nil"/>
              <w:bottom w:val="nil"/>
              <w:right w:val="nil"/>
            </w:tcBorders>
            <w:shd w:val="clear" w:color="auto" w:fill="auto"/>
            <w:vAlign w:val="bottom"/>
          </w:tcPr>
          <w:p w14:paraId="3CCB6E7E">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6.88%</w:t>
            </w:r>
          </w:p>
        </w:tc>
      </w:tr>
      <w:tr w14:paraId="1A8A309D">
        <w:tblPrEx>
          <w:tblCellMar>
            <w:top w:w="0" w:type="dxa"/>
            <w:left w:w="108" w:type="dxa"/>
            <w:bottom w:w="0" w:type="dxa"/>
            <w:right w:w="108" w:type="dxa"/>
          </w:tblCellMar>
        </w:tblPrEx>
        <w:trPr>
          <w:trHeight w:val="360" w:hRule="atLeast"/>
        </w:trPr>
        <w:tc>
          <w:tcPr>
            <w:tcW w:w="1258" w:type="dxa"/>
            <w:tcBorders>
              <w:top w:val="nil"/>
              <w:left w:val="nil"/>
              <w:bottom w:val="nil"/>
              <w:right w:val="nil"/>
            </w:tcBorders>
            <w:shd w:val="clear" w:color="auto" w:fill="auto"/>
            <w:noWrap/>
            <w:vAlign w:val="bottom"/>
          </w:tcPr>
          <w:p w14:paraId="291D688E">
            <w:pPr>
              <w:spacing w:line="480" w:lineRule="auto"/>
              <w:jc w:val="both"/>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SHH</w:t>
            </w:r>
          </w:p>
        </w:tc>
        <w:tc>
          <w:tcPr>
            <w:tcW w:w="1321" w:type="dxa"/>
            <w:tcBorders>
              <w:top w:val="nil"/>
              <w:left w:val="nil"/>
              <w:bottom w:val="nil"/>
              <w:right w:val="nil"/>
            </w:tcBorders>
            <w:shd w:val="clear" w:color="auto" w:fill="auto"/>
            <w:noWrap/>
          </w:tcPr>
          <w:p w14:paraId="6840D08C">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Accuracy</w:t>
            </w:r>
          </w:p>
        </w:tc>
        <w:tc>
          <w:tcPr>
            <w:tcW w:w="3006" w:type="dxa"/>
            <w:tcBorders>
              <w:top w:val="nil"/>
              <w:left w:val="nil"/>
              <w:bottom w:val="nil"/>
              <w:right w:val="nil"/>
            </w:tcBorders>
            <w:shd w:val="clear" w:color="auto" w:fill="auto"/>
            <w:vAlign w:val="bottom"/>
          </w:tcPr>
          <w:p w14:paraId="198D7735">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65.22% [45.75% - 84.68%]</w:t>
            </w:r>
          </w:p>
        </w:tc>
        <w:tc>
          <w:tcPr>
            <w:tcW w:w="2805" w:type="dxa"/>
            <w:tcBorders>
              <w:top w:val="nil"/>
              <w:left w:val="nil"/>
              <w:bottom w:val="nil"/>
              <w:right w:val="nil"/>
            </w:tcBorders>
            <w:shd w:val="clear" w:color="auto" w:fill="auto"/>
            <w:noWrap/>
            <w:vAlign w:val="center"/>
          </w:tcPr>
          <w:p w14:paraId="6322F8C1">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78.71% [73.14% - 94.28%]</w:t>
            </w:r>
          </w:p>
        </w:tc>
        <w:tc>
          <w:tcPr>
            <w:tcW w:w="2671" w:type="dxa"/>
            <w:tcBorders>
              <w:top w:val="nil"/>
              <w:left w:val="nil"/>
              <w:bottom w:val="nil"/>
              <w:right w:val="nil"/>
            </w:tcBorders>
            <w:shd w:val="clear" w:color="auto" w:fill="auto"/>
            <w:noWrap/>
            <w:vAlign w:val="center"/>
          </w:tcPr>
          <w:p w14:paraId="4FADEF69">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17.14%</w:t>
            </w:r>
          </w:p>
        </w:tc>
        <w:tc>
          <w:tcPr>
            <w:tcW w:w="2855" w:type="dxa"/>
            <w:tcBorders>
              <w:top w:val="nil"/>
              <w:left w:val="nil"/>
              <w:bottom w:val="nil"/>
              <w:right w:val="nil"/>
            </w:tcBorders>
            <w:shd w:val="clear" w:color="auto" w:fill="auto"/>
            <w:noWrap/>
            <w:vAlign w:val="bottom"/>
          </w:tcPr>
          <w:p w14:paraId="5EC66D2E">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86.21% [73.66% - 98.76%]</w:t>
            </w:r>
          </w:p>
        </w:tc>
        <w:tc>
          <w:tcPr>
            <w:tcW w:w="1938" w:type="dxa"/>
            <w:tcBorders>
              <w:top w:val="nil"/>
              <w:left w:val="nil"/>
              <w:bottom w:val="nil"/>
              <w:right w:val="nil"/>
            </w:tcBorders>
            <w:shd w:val="clear" w:color="auto" w:fill="auto"/>
            <w:vAlign w:val="bottom"/>
          </w:tcPr>
          <w:p w14:paraId="7D5755F9">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8.70%</w:t>
            </w:r>
          </w:p>
        </w:tc>
      </w:tr>
      <w:tr w14:paraId="5E75BDC2">
        <w:tblPrEx>
          <w:tblCellMar>
            <w:top w:w="0" w:type="dxa"/>
            <w:left w:w="108" w:type="dxa"/>
            <w:bottom w:w="0" w:type="dxa"/>
            <w:right w:w="108" w:type="dxa"/>
          </w:tblCellMar>
        </w:tblPrEx>
        <w:trPr>
          <w:trHeight w:val="360" w:hRule="atLeast"/>
        </w:trPr>
        <w:tc>
          <w:tcPr>
            <w:tcW w:w="1258" w:type="dxa"/>
            <w:tcBorders>
              <w:top w:val="nil"/>
              <w:left w:val="nil"/>
              <w:bottom w:val="nil"/>
              <w:right w:val="nil"/>
            </w:tcBorders>
            <w:shd w:val="clear" w:color="auto" w:fill="auto"/>
            <w:noWrap/>
            <w:vAlign w:val="bottom"/>
          </w:tcPr>
          <w:p w14:paraId="4277B3F4">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(n=19)</w:t>
            </w:r>
          </w:p>
        </w:tc>
        <w:tc>
          <w:tcPr>
            <w:tcW w:w="1321" w:type="dxa"/>
            <w:tcBorders>
              <w:top w:val="nil"/>
              <w:left w:val="nil"/>
              <w:bottom w:val="nil"/>
              <w:right w:val="nil"/>
            </w:tcBorders>
            <w:shd w:val="clear" w:color="auto" w:fill="auto"/>
            <w:noWrap/>
            <w:vAlign w:val="bottom"/>
          </w:tcPr>
          <w:p w14:paraId="053F64F8">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Precision</w:t>
            </w:r>
          </w:p>
        </w:tc>
        <w:tc>
          <w:tcPr>
            <w:tcW w:w="3006" w:type="dxa"/>
            <w:tcBorders>
              <w:top w:val="nil"/>
              <w:left w:val="nil"/>
              <w:bottom w:val="nil"/>
              <w:right w:val="nil"/>
            </w:tcBorders>
            <w:shd w:val="clear" w:color="auto" w:fill="auto"/>
            <w:vAlign w:val="bottom"/>
          </w:tcPr>
          <w:p w14:paraId="6C1142F3">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60.00% [40.80% - 79.20%]</w:t>
            </w:r>
          </w:p>
        </w:tc>
        <w:tc>
          <w:tcPr>
            <w:tcW w:w="2805" w:type="dxa"/>
            <w:tcBorders>
              <w:top w:val="nil"/>
              <w:left w:val="nil"/>
              <w:bottom w:val="nil"/>
              <w:right w:val="nil"/>
            </w:tcBorders>
            <w:shd w:val="clear" w:color="auto" w:fill="auto"/>
            <w:noWrap/>
            <w:vAlign w:val="center"/>
          </w:tcPr>
          <w:p w14:paraId="6D4261B4">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72.73% [57.53% - 87.92%]</w:t>
            </w:r>
          </w:p>
        </w:tc>
        <w:tc>
          <w:tcPr>
            <w:tcW w:w="2671" w:type="dxa"/>
            <w:tcBorders>
              <w:top w:val="nil"/>
              <w:left w:val="nil"/>
              <w:bottom w:val="nil"/>
              <w:right w:val="nil"/>
            </w:tcBorders>
            <w:shd w:val="clear" w:color="auto" w:fill="auto"/>
            <w:noWrap/>
            <w:vAlign w:val="center"/>
          </w:tcPr>
          <w:p w14:paraId="26AB394B">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17.50%</w:t>
            </w:r>
          </w:p>
        </w:tc>
        <w:tc>
          <w:tcPr>
            <w:tcW w:w="2855" w:type="dxa"/>
            <w:tcBorders>
              <w:top w:val="nil"/>
              <w:left w:val="nil"/>
              <w:bottom w:val="nil"/>
              <w:right w:val="nil"/>
            </w:tcBorders>
            <w:shd w:val="clear" w:color="auto" w:fill="auto"/>
            <w:noWrap/>
            <w:vAlign w:val="bottom"/>
          </w:tcPr>
          <w:p w14:paraId="11C1B250">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80.65% [66.67% - 95.65%]</w:t>
            </w:r>
          </w:p>
        </w:tc>
        <w:tc>
          <w:tcPr>
            <w:tcW w:w="1938" w:type="dxa"/>
            <w:tcBorders>
              <w:top w:val="nil"/>
              <w:left w:val="nil"/>
              <w:bottom w:val="nil"/>
              <w:right w:val="nil"/>
            </w:tcBorders>
            <w:shd w:val="clear" w:color="auto" w:fill="auto"/>
            <w:vAlign w:val="bottom"/>
          </w:tcPr>
          <w:p w14:paraId="4EE26627">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9.82%</w:t>
            </w:r>
          </w:p>
        </w:tc>
      </w:tr>
      <w:tr w14:paraId="53E947E5">
        <w:tblPrEx>
          <w:tblCellMar>
            <w:top w:w="0" w:type="dxa"/>
            <w:left w:w="108" w:type="dxa"/>
            <w:bottom w:w="0" w:type="dxa"/>
            <w:right w:w="108" w:type="dxa"/>
          </w:tblCellMar>
        </w:tblPrEx>
        <w:trPr>
          <w:trHeight w:val="360" w:hRule="atLeast"/>
        </w:trPr>
        <w:tc>
          <w:tcPr>
            <w:tcW w:w="1258" w:type="dxa"/>
            <w:tcBorders>
              <w:top w:val="nil"/>
              <w:left w:val="nil"/>
              <w:bottom w:val="nil"/>
              <w:right w:val="nil"/>
            </w:tcBorders>
            <w:shd w:val="clear" w:color="auto" w:fill="auto"/>
            <w:noWrap/>
            <w:vAlign w:val="bottom"/>
          </w:tcPr>
          <w:p w14:paraId="65FDA247">
            <w:pPr>
              <w:spacing w:line="480" w:lineRule="auto"/>
              <w:jc w:val="both"/>
              <w:rPr>
                <w:rFonts w:ascii="Times New Roman" w:hAnsi="Times New Roman" w:cs="Times New Roman"/>
                <w:color w:val="000000" w:themeColor="text1"/>
                <w:sz w:val="22"/>
                <w:szCs w:val="22"/>
                <w14:textFill>
                  <w14:solidFill>
                    <w14:schemeClr w14:val="tx1"/>
                  </w14:solidFill>
                </w14:textFill>
              </w:rPr>
            </w:pPr>
          </w:p>
        </w:tc>
        <w:tc>
          <w:tcPr>
            <w:tcW w:w="1321" w:type="dxa"/>
            <w:tcBorders>
              <w:top w:val="nil"/>
              <w:left w:val="nil"/>
              <w:bottom w:val="nil"/>
              <w:right w:val="nil"/>
            </w:tcBorders>
            <w:shd w:val="clear" w:color="auto" w:fill="auto"/>
            <w:noWrap/>
            <w:vAlign w:val="bottom"/>
          </w:tcPr>
          <w:p w14:paraId="4E475FB9">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Recall</w:t>
            </w:r>
          </w:p>
        </w:tc>
        <w:tc>
          <w:tcPr>
            <w:tcW w:w="3006" w:type="dxa"/>
            <w:tcBorders>
              <w:top w:val="nil"/>
              <w:left w:val="nil"/>
              <w:bottom w:val="nil"/>
              <w:right w:val="nil"/>
            </w:tcBorders>
            <w:shd w:val="clear" w:color="auto" w:fill="auto"/>
            <w:noWrap/>
            <w:vAlign w:val="bottom"/>
          </w:tcPr>
          <w:p w14:paraId="2330258F">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65.22% [45.75% - 84.68%]</w:t>
            </w:r>
          </w:p>
        </w:tc>
        <w:tc>
          <w:tcPr>
            <w:tcW w:w="2805" w:type="dxa"/>
            <w:tcBorders>
              <w:top w:val="nil"/>
              <w:left w:val="nil"/>
              <w:bottom w:val="nil"/>
              <w:right w:val="nil"/>
            </w:tcBorders>
            <w:shd w:val="clear" w:color="auto" w:fill="auto"/>
            <w:noWrap/>
            <w:vAlign w:val="center"/>
          </w:tcPr>
          <w:p w14:paraId="091DA144">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82.76% [69.01% - 96.51%]</w:t>
            </w:r>
          </w:p>
        </w:tc>
        <w:tc>
          <w:tcPr>
            <w:tcW w:w="2671" w:type="dxa"/>
            <w:tcBorders>
              <w:top w:val="nil"/>
              <w:left w:val="nil"/>
              <w:bottom w:val="nil"/>
              <w:right w:val="nil"/>
            </w:tcBorders>
            <w:shd w:val="clear" w:color="auto" w:fill="auto"/>
            <w:noWrap/>
            <w:vAlign w:val="center"/>
          </w:tcPr>
          <w:p w14:paraId="50C057AA">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21.19%</w:t>
            </w:r>
          </w:p>
        </w:tc>
        <w:tc>
          <w:tcPr>
            <w:tcW w:w="2855" w:type="dxa"/>
            <w:tcBorders>
              <w:top w:val="nil"/>
              <w:left w:val="nil"/>
              <w:bottom w:val="nil"/>
              <w:right w:val="nil"/>
            </w:tcBorders>
            <w:shd w:val="clear" w:color="auto" w:fill="auto"/>
            <w:noWrap/>
            <w:vAlign w:val="bottom"/>
          </w:tcPr>
          <w:p w14:paraId="7DEFE3CE">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86.21% [72.00% - 96.88%]</w:t>
            </w:r>
          </w:p>
        </w:tc>
        <w:tc>
          <w:tcPr>
            <w:tcW w:w="1938" w:type="dxa"/>
            <w:tcBorders>
              <w:top w:val="nil"/>
              <w:left w:val="nil"/>
              <w:bottom w:val="nil"/>
              <w:right w:val="nil"/>
            </w:tcBorders>
            <w:shd w:val="clear" w:color="auto" w:fill="auto"/>
            <w:vAlign w:val="bottom"/>
          </w:tcPr>
          <w:p w14:paraId="770347E0">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4.00%</w:t>
            </w:r>
          </w:p>
        </w:tc>
      </w:tr>
      <w:tr w14:paraId="3C46CA3A">
        <w:tblPrEx>
          <w:tblCellMar>
            <w:top w:w="0" w:type="dxa"/>
            <w:left w:w="108" w:type="dxa"/>
            <w:bottom w:w="0" w:type="dxa"/>
            <w:right w:w="108" w:type="dxa"/>
          </w:tblCellMar>
        </w:tblPrEx>
        <w:trPr>
          <w:trHeight w:val="360" w:hRule="atLeast"/>
        </w:trPr>
        <w:tc>
          <w:tcPr>
            <w:tcW w:w="1258" w:type="dxa"/>
            <w:tcBorders>
              <w:top w:val="nil"/>
              <w:left w:val="nil"/>
              <w:bottom w:val="nil"/>
              <w:right w:val="nil"/>
            </w:tcBorders>
            <w:shd w:val="clear" w:color="auto" w:fill="auto"/>
            <w:noWrap/>
            <w:vAlign w:val="bottom"/>
          </w:tcPr>
          <w:p w14:paraId="37780F35">
            <w:pPr>
              <w:spacing w:line="480" w:lineRule="auto"/>
              <w:jc w:val="both"/>
              <w:rPr>
                <w:rFonts w:ascii="Times New Roman" w:hAnsi="Times New Roman" w:cs="Times New Roman"/>
                <w:color w:val="000000" w:themeColor="text1"/>
                <w:sz w:val="22"/>
                <w:szCs w:val="22"/>
                <w14:textFill>
                  <w14:solidFill>
                    <w14:schemeClr w14:val="tx1"/>
                  </w14:solidFill>
                </w14:textFill>
              </w:rPr>
            </w:pPr>
          </w:p>
        </w:tc>
        <w:tc>
          <w:tcPr>
            <w:tcW w:w="1321" w:type="dxa"/>
            <w:tcBorders>
              <w:top w:val="nil"/>
              <w:left w:val="nil"/>
              <w:bottom w:val="nil"/>
              <w:right w:val="nil"/>
            </w:tcBorders>
            <w:shd w:val="clear" w:color="auto" w:fill="auto"/>
            <w:noWrap/>
            <w:vAlign w:val="bottom"/>
          </w:tcPr>
          <w:p w14:paraId="13EC3721">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F1 Score</w:t>
            </w:r>
          </w:p>
        </w:tc>
        <w:tc>
          <w:tcPr>
            <w:tcW w:w="3006" w:type="dxa"/>
            <w:tcBorders>
              <w:top w:val="nil"/>
              <w:left w:val="nil"/>
              <w:bottom w:val="nil"/>
              <w:right w:val="nil"/>
            </w:tcBorders>
            <w:shd w:val="clear" w:color="auto" w:fill="auto"/>
            <w:noWrap/>
            <w:vAlign w:val="bottom"/>
          </w:tcPr>
          <w:p w14:paraId="680B9C6A">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62.50% [43.75% - 76.19%]</w:t>
            </w:r>
          </w:p>
        </w:tc>
        <w:tc>
          <w:tcPr>
            <w:tcW w:w="2805" w:type="dxa"/>
            <w:tcBorders>
              <w:top w:val="nil"/>
              <w:left w:val="nil"/>
              <w:bottom w:val="nil"/>
              <w:right w:val="nil"/>
            </w:tcBorders>
            <w:shd w:val="clear" w:color="auto" w:fill="auto"/>
            <w:noWrap/>
            <w:vAlign w:val="center"/>
          </w:tcPr>
          <w:p w14:paraId="207C8DE3">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77.42% [46.61% - 81.53%]</w:t>
            </w:r>
          </w:p>
        </w:tc>
        <w:tc>
          <w:tcPr>
            <w:tcW w:w="2671" w:type="dxa"/>
            <w:tcBorders>
              <w:top w:val="nil"/>
              <w:left w:val="nil"/>
              <w:bottom w:val="nil"/>
              <w:right w:val="nil"/>
            </w:tcBorders>
            <w:shd w:val="clear" w:color="auto" w:fill="auto"/>
            <w:noWrap/>
            <w:vAlign w:val="center"/>
          </w:tcPr>
          <w:p w14:paraId="655C0F36">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19.27%</w:t>
            </w:r>
          </w:p>
        </w:tc>
        <w:tc>
          <w:tcPr>
            <w:tcW w:w="2855" w:type="dxa"/>
            <w:tcBorders>
              <w:top w:val="nil"/>
              <w:left w:val="nil"/>
              <w:bottom w:val="nil"/>
              <w:right w:val="nil"/>
            </w:tcBorders>
            <w:shd w:val="clear" w:color="auto" w:fill="auto"/>
            <w:noWrap/>
            <w:vAlign w:val="bottom"/>
          </w:tcPr>
          <w:p w14:paraId="17C06AFA">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83.33% [71.99% - 93.03%]</w:t>
            </w:r>
          </w:p>
        </w:tc>
        <w:tc>
          <w:tcPr>
            <w:tcW w:w="1938" w:type="dxa"/>
            <w:tcBorders>
              <w:top w:val="nil"/>
              <w:left w:val="nil"/>
              <w:bottom w:val="nil"/>
              <w:right w:val="nil"/>
            </w:tcBorders>
            <w:shd w:val="clear" w:color="auto" w:fill="auto"/>
            <w:vAlign w:val="bottom"/>
          </w:tcPr>
          <w:p w14:paraId="4BD4C2ED">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7.09%</w:t>
            </w:r>
          </w:p>
        </w:tc>
      </w:tr>
      <w:tr w14:paraId="47B513A4">
        <w:tblPrEx>
          <w:tblCellMar>
            <w:top w:w="0" w:type="dxa"/>
            <w:left w:w="108" w:type="dxa"/>
            <w:bottom w:w="0" w:type="dxa"/>
            <w:right w:w="108" w:type="dxa"/>
          </w:tblCellMar>
        </w:tblPrEx>
        <w:trPr>
          <w:trHeight w:val="360" w:hRule="atLeast"/>
        </w:trPr>
        <w:tc>
          <w:tcPr>
            <w:tcW w:w="1258" w:type="dxa"/>
            <w:tcBorders>
              <w:top w:val="nil"/>
              <w:left w:val="nil"/>
              <w:bottom w:val="nil"/>
              <w:right w:val="nil"/>
            </w:tcBorders>
            <w:shd w:val="clear" w:color="auto" w:fill="auto"/>
            <w:noWrap/>
            <w:vAlign w:val="bottom"/>
          </w:tcPr>
          <w:p w14:paraId="02C8DB88">
            <w:pPr>
              <w:spacing w:line="480" w:lineRule="auto"/>
              <w:jc w:val="both"/>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Group 3</w:t>
            </w:r>
          </w:p>
        </w:tc>
        <w:tc>
          <w:tcPr>
            <w:tcW w:w="1321" w:type="dxa"/>
            <w:tcBorders>
              <w:top w:val="nil"/>
              <w:left w:val="nil"/>
              <w:bottom w:val="nil"/>
              <w:right w:val="nil"/>
            </w:tcBorders>
            <w:shd w:val="clear" w:color="auto" w:fill="auto"/>
            <w:noWrap/>
          </w:tcPr>
          <w:p w14:paraId="6E9A9651">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Accuracy</w:t>
            </w:r>
          </w:p>
        </w:tc>
        <w:tc>
          <w:tcPr>
            <w:tcW w:w="3006" w:type="dxa"/>
            <w:tcBorders>
              <w:top w:val="nil"/>
              <w:left w:val="nil"/>
              <w:bottom w:val="nil"/>
              <w:right w:val="nil"/>
            </w:tcBorders>
            <w:shd w:val="clear" w:color="auto" w:fill="auto"/>
            <w:noWrap/>
            <w:vAlign w:val="bottom"/>
          </w:tcPr>
          <w:p w14:paraId="3B859E2F">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60.87% [40.92% - 80.81%]</w:t>
            </w:r>
          </w:p>
        </w:tc>
        <w:tc>
          <w:tcPr>
            <w:tcW w:w="2805" w:type="dxa"/>
            <w:tcBorders>
              <w:top w:val="nil"/>
              <w:left w:val="nil"/>
              <w:bottom w:val="nil"/>
              <w:right w:val="nil"/>
            </w:tcBorders>
            <w:shd w:val="clear" w:color="auto" w:fill="auto"/>
            <w:noWrap/>
            <w:vAlign w:val="center"/>
          </w:tcPr>
          <w:p w14:paraId="10124C1E">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77.90% [72.16% - 93.64%]</w:t>
            </w:r>
          </w:p>
        </w:tc>
        <w:tc>
          <w:tcPr>
            <w:tcW w:w="2671" w:type="dxa"/>
            <w:tcBorders>
              <w:top w:val="nil"/>
              <w:left w:val="nil"/>
              <w:bottom w:val="nil"/>
              <w:right w:val="nil"/>
            </w:tcBorders>
            <w:shd w:val="clear" w:color="auto" w:fill="auto"/>
            <w:noWrap/>
            <w:vAlign w:val="center"/>
          </w:tcPr>
          <w:p w14:paraId="28FEC29D">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21.86%</w:t>
            </w:r>
          </w:p>
        </w:tc>
        <w:tc>
          <w:tcPr>
            <w:tcW w:w="2855" w:type="dxa"/>
            <w:tcBorders>
              <w:top w:val="nil"/>
              <w:left w:val="nil"/>
              <w:bottom w:val="nil"/>
              <w:right w:val="nil"/>
            </w:tcBorders>
            <w:shd w:val="clear" w:color="auto" w:fill="auto"/>
            <w:noWrap/>
            <w:vAlign w:val="bottom"/>
          </w:tcPr>
          <w:p w14:paraId="507CBEDA">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85.29% [73.39% - 97.20%]</w:t>
            </w:r>
          </w:p>
        </w:tc>
        <w:tc>
          <w:tcPr>
            <w:tcW w:w="1938" w:type="dxa"/>
            <w:tcBorders>
              <w:top w:val="nil"/>
              <w:left w:val="nil"/>
              <w:bottom w:val="nil"/>
              <w:right w:val="nil"/>
            </w:tcBorders>
            <w:shd w:val="clear" w:color="auto" w:fill="auto"/>
            <w:vAlign w:val="bottom"/>
          </w:tcPr>
          <w:p w14:paraId="5CB2856A">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8.66%</w:t>
            </w:r>
          </w:p>
        </w:tc>
      </w:tr>
      <w:tr w14:paraId="36E3F89E">
        <w:tblPrEx>
          <w:tblCellMar>
            <w:top w:w="0" w:type="dxa"/>
            <w:left w:w="108" w:type="dxa"/>
            <w:bottom w:w="0" w:type="dxa"/>
            <w:right w:w="108" w:type="dxa"/>
          </w:tblCellMar>
        </w:tblPrEx>
        <w:trPr>
          <w:trHeight w:val="360" w:hRule="atLeast"/>
        </w:trPr>
        <w:tc>
          <w:tcPr>
            <w:tcW w:w="1258" w:type="dxa"/>
            <w:tcBorders>
              <w:top w:val="nil"/>
              <w:left w:val="nil"/>
              <w:bottom w:val="nil"/>
              <w:right w:val="nil"/>
            </w:tcBorders>
            <w:shd w:val="clear" w:color="auto" w:fill="auto"/>
            <w:noWrap/>
            <w:vAlign w:val="bottom"/>
          </w:tcPr>
          <w:p w14:paraId="08BF5625">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(n=45)</w:t>
            </w:r>
          </w:p>
        </w:tc>
        <w:tc>
          <w:tcPr>
            <w:tcW w:w="1321" w:type="dxa"/>
            <w:tcBorders>
              <w:top w:val="nil"/>
              <w:left w:val="nil"/>
              <w:bottom w:val="nil"/>
              <w:right w:val="nil"/>
            </w:tcBorders>
            <w:shd w:val="clear" w:color="auto" w:fill="auto"/>
            <w:noWrap/>
            <w:vAlign w:val="bottom"/>
          </w:tcPr>
          <w:p w14:paraId="2F587B92">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Precision</w:t>
            </w:r>
          </w:p>
        </w:tc>
        <w:tc>
          <w:tcPr>
            <w:tcW w:w="3006" w:type="dxa"/>
            <w:tcBorders>
              <w:top w:val="nil"/>
              <w:left w:val="nil"/>
              <w:bottom w:val="nil"/>
              <w:right w:val="nil"/>
            </w:tcBorders>
            <w:shd w:val="clear" w:color="auto" w:fill="auto"/>
            <w:vAlign w:val="bottom"/>
          </w:tcPr>
          <w:p w14:paraId="7089575E">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53.85% [34.68% - 73.01%]</w:t>
            </w:r>
          </w:p>
        </w:tc>
        <w:tc>
          <w:tcPr>
            <w:tcW w:w="2805" w:type="dxa"/>
            <w:tcBorders>
              <w:top w:val="nil"/>
              <w:left w:val="nil"/>
              <w:bottom w:val="nil"/>
              <w:right w:val="nil"/>
            </w:tcBorders>
            <w:shd w:val="clear" w:color="auto" w:fill="auto"/>
            <w:noWrap/>
            <w:vAlign w:val="center"/>
          </w:tcPr>
          <w:p w14:paraId="5FE9AE5A">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81.74% [67.42% - 93.11%]</w:t>
            </w:r>
          </w:p>
        </w:tc>
        <w:tc>
          <w:tcPr>
            <w:tcW w:w="2671" w:type="dxa"/>
            <w:tcBorders>
              <w:top w:val="nil"/>
              <w:left w:val="nil"/>
              <w:bottom w:val="nil"/>
              <w:right w:val="nil"/>
            </w:tcBorders>
            <w:shd w:val="clear" w:color="auto" w:fill="auto"/>
            <w:noWrap/>
            <w:vAlign w:val="center"/>
          </w:tcPr>
          <w:p w14:paraId="22D2A09E">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33.33%</w:t>
            </w:r>
          </w:p>
        </w:tc>
        <w:tc>
          <w:tcPr>
            <w:tcW w:w="2855" w:type="dxa"/>
            <w:tcBorders>
              <w:top w:val="nil"/>
              <w:left w:val="nil"/>
              <w:bottom w:val="nil"/>
              <w:right w:val="nil"/>
            </w:tcBorders>
            <w:shd w:val="clear" w:color="auto" w:fill="auto"/>
            <w:noWrap/>
            <w:vAlign w:val="bottom"/>
          </w:tcPr>
          <w:p w14:paraId="056892C9">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82.38% [65.00% - 91.49%]</w:t>
            </w:r>
          </w:p>
        </w:tc>
        <w:tc>
          <w:tcPr>
            <w:tcW w:w="1938" w:type="dxa"/>
            <w:tcBorders>
              <w:top w:val="nil"/>
              <w:left w:val="nil"/>
              <w:bottom w:val="nil"/>
              <w:right w:val="nil"/>
            </w:tcBorders>
            <w:shd w:val="clear" w:color="auto" w:fill="auto"/>
            <w:vAlign w:val="bottom"/>
          </w:tcPr>
          <w:p w14:paraId="17D3E424">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1.95%</w:t>
            </w:r>
          </w:p>
        </w:tc>
      </w:tr>
      <w:tr w14:paraId="730E28F0">
        <w:tblPrEx>
          <w:tblCellMar>
            <w:top w:w="0" w:type="dxa"/>
            <w:left w:w="108" w:type="dxa"/>
            <w:bottom w:w="0" w:type="dxa"/>
            <w:right w:w="108" w:type="dxa"/>
          </w:tblCellMar>
        </w:tblPrEx>
        <w:trPr>
          <w:trHeight w:val="360" w:hRule="atLeast"/>
        </w:trPr>
        <w:tc>
          <w:tcPr>
            <w:tcW w:w="1258" w:type="dxa"/>
            <w:tcBorders>
              <w:top w:val="nil"/>
              <w:left w:val="nil"/>
              <w:bottom w:val="nil"/>
              <w:right w:val="nil"/>
            </w:tcBorders>
            <w:shd w:val="clear" w:color="auto" w:fill="auto"/>
            <w:noWrap/>
            <w:vAlign w:val="bottom"/>
          </w:tcPr>
          <w:p w14:paraId="62C5A06F">
            <w:pPr>
              <w:spacing w:line="480" w:lineRule="auto"/>
              <w:jc w:val="both"/>
              <w:rPr>
                <w:rFonts w:ascii="Times New Roman" w:hAnsi="Times New Roman" w:cs="Times New Roman"/>
                <w:color w:val="000000" w:themeColor="text1"/>
                <w:sz w:val="22"/>
                <w:szCs w:val="22"/>
                <w14:textFill>
                  <w14:solidFill>
                    <w14:schemeClr w14:val="tx1"/>
                  </w14:solidFill>
                </w14:textFill>
              </w:rPr>
            </w:pPr>
          </w:p>
        </w:tc>
        <w:tc>
          <w:tcPr>
            <w:tcW w:w="1321" w:type="dxa"/>
            <w:tcBorders>
              <w:top w:val="nil"/>
              <w:left w:val="nil"/>
              <w:bottom w:val="nil"/>
              <w:right w:val="nil"/>
            </w:tcBorders>
            <w:shd w:val="clear" w:color="auto" w:fill="auto"/>
            <w:noWrap/>
            <w:vAlign w:val="bottom"/>
          </w:tcPr>
          <w:p w14:paraId="52A8B6C3">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Recall</w:t>
            </w:r>
          </w:p>
        </w:tc>
        <w:tc>
          <w:tcPr>
            <w:tcW w:w="3006" w:type="dxa"/>
            <w:tcBorders>
              <w:top w:val="nil"/>
              <w:left w:val="nil"/>
              <w:bottom w:val="nil"/>
              <w:right w:val="nil"/>
            </w:tcBorders>
            <w:shd w:val="clear" w:color="auto" w:fill="auto"/>
            <w:noWrap/>
            <w:vAlign w:val="bottom"/>
          </w:tcPr>
          <w:p w14:paraId="2D783B05">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60.87% [40.92% - 80.81%]</w:t>
            </w:r>
          </w:p>
        </w:tc>
        <w:tc>
          <w:tcPr>
            <w:tcW w:w="2805" w:type="dxa"/>
            <w:tcBorders>
              <w:top w:val="nil"/>
              <w:left w:val="nil"/>
              <w:bottom w:val="nil"/>
              <w:right w:val="nil"/>
            </w:tcBorders>
            <w:shd w:val="clear" w:color="auto" w:fill="auto"/>
            <w:noWrap/>
            <w:vAlign w:val="center"/>
          </w:tcPr>
          <w:p w14:paraId="787D0308">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76.47% [62.21% - 90.73%]</w:t>
            </w:r>
          </w:p>
        </w:tc>
        <w:tc>
          <w:tcPr>
            <w:tcW w:w="2671" w:type="dxa"/>
            <w:tcBorders>
              <w:top w:val="nil"/>
              <w:left w:val="nil"/>
              <w:bottom w:val="nil"/>
              <w:right w:val="nil"/>
            </w:tcBorders>
            <w:shd w:val="clear" w:color="auto" w:fill="auto"/>
            <w:noWrap/>
            <w:vAlign w:val="center"/>
          </w:tcPr>
          <w:p w14:paraId="6EEA5066">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20.40%</w:t>
            </w:r>
          </w:p>
        </w:tc>
        <w:tc>
          <w:tcPr>
            <w:tcW w:w="2855" w:type="dxa"/>
            <w:tcBorders>
              <w:top w:val="nil"/>
              <w:left w:val="nil"/>
              <w:bottom w:val="nil"/>
              <w:right w:val="nil"/>
            </w:tcBorders>
            <w:shd w:val="clear" w:color="auto" w:fill="auto"/>
            <w:noWrap/>
            <w:vAlign w:val="bottom"/>
          </w:tcPr>
          <w:p w14:paraId="2E1B5B0F">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85.29% [72.50% - 96.97%]</w:t>
            </w:r>
          </w:p>
        </w:tc>
        <w:tc>
          <w:tcPr>
            <w:tcW w:w="1938" w:type="dxa"/>
            <w:tcBorders>
              <w:top w:val="nil"/>
              <w:left w:val="nil"/>
              <w:bottom w:val="nil"/>
              <w:right w:val="nil"/>
            </w:tcBorders>
            <w:shd w:val="clear" w:color="auto" w:fill="auto"/>
            <w:noWrap/>
            <w:vAlign w:val="center"/>
          </w:tcPr>
          <w:p w14:paraId="6A81079E">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10.34%</w:t>
            </w:r>
          </w:p>
        </w:tc>
      </w:tr>
      <w:tr w14:paraId="2AA62924">
        <w:tblPrEx>
          <w:tblCellMar>
            <w:top w:w="0" w:type="dxa"/>
            <w:left w:w="108" w:type="dxa"/>
            <w:bottom w:w="0" w:type="dxa"/>
            <w:right w:w="108" w:type="dxa"/>
          </w:tblCellMar>
        </w:tblPrEx>
        <w:trPr>
          <w:trHeight w:val="360" w:hRule="atLeast"/>
        </w:trPr>
        <w:tc>
          <w:tcPr>
            <w:tcW w:w="1258" w:type="dxa"/>
            <w:tcBorders>
              <w:top w:val="nil"/>
              <w:left w:val="nil"/>
              <w:bottom w:val="nil"/>
              <w:right w:val="nil"/>
            </w:tcBorders>
            <w:shd w:val="clear" w:color="auto" w:fill="auto"/>
            <w:noWrap/>
            <w:vAlign w:val="bottom"/>
          </w:tcPr>
          <w:p w14:paraId="014578A7">
            <w:pPr>
              <w:spacing w:line="480" w:lineRule="auto"/>
              <w:jc w:val="both"/>
              <w:rPr>
                <w:rFonts w:ascii="Times New Roman" w:hAnsi="Times New Roman" w:cs="Times New Roman"/>
                <w:color w:val="000000" w:themeColor="text1"/>
                <w:sz w:val="22"/>
                <w:szCs w:val="22"/>
                <w14:textFill>
                  <w14:solidFill>
                    <w14:schemeClr w14:val="tx1"/>
                  </w14:solidFill>
                </w14:textFill>
              </w:rPr>
            </w:pPr>
          </w:p>
        </w:tc>
        <w:tc>
          <w:tcPr>
            <w:tcW w:w="1321" w:type="dxa"/>
            <w:tcBorders>
              <w:top w:val="nil"/>
              <w:left w:val="nil"/>
              <w:bottom w:val="nil"/>
              <w:right w:val="nil"/>
            </w:tcBorders>
            <w:shd w:val="clear" w:color="auto" w:fill="auto"/>
            <w:noWrap/>
            <w:vAlign w:val="bottom"/>
          </w:tcPr>
          <w:p w14:paraId="61323CB6">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F1 Score</w:t>
            </w:r>
          </w:p>
        </w:tc>
        <w:tc>
          <w:tcPr>
            <w:tcW w:w="3006" w:type="dxa"/>
            <w:tcBorders>
              <w:top w:val="nil"/>
              <w:left w:val="nil"/>
              <w:bottom w:val="nil"/>
              <w:right w:val="nil"/>
            </w:tcBorders>
            <w:shd w:val="clear" w:color="auto" w:fill="auto"/>
            <w:noWrap/>
            <w:vAlign w:val="bottom"/>
          </w:tcPr>
          <w:p w14:paraId="5F500C1A">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57.14% [38.89% - 72.73%]</w:t>
            </w:r>
          </w:p>
        </w:tc>
        <w:tc>
          <w:tcPr>
            <w:tcW w:w="2805" w:type="dxa"/>
            <w:tcBorders>
              <w:top w:val="nil"/>
              <w:left w:val="nil"/>
              <w:bottom w:val="nil"/>
              <w:right w:val="nil"/>
            </w:tcBorders>
            <w:shd w:val="clear" w:color="auto" w:fill="auto"/>
            <w:noWrap/>
            <w:vAlign w:val="center"/>
          </w:tcPr>
          <w:p w14:paraId="1CED1BA9">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77.61% [42.84% - 75.86%]</w:t>
            </w:r>
          </w:p>
        </w:tc>
        <w:tc>
          <w:tcPr>
            <w:tcW w:w="2671" w:type="dxa"/>
            <w:tcBorders>
              <w:top w:val="nil"/>
              <w:left w:val="nil"/>
              <w:bottom w:val="nil"/>
              <w:right w:val="nil"/>
            </w:tcBorders>
            <w:shd w:val="clear" w:color="auto" w:fill="auto"/>
            <w:noWrap/>
            <w:vAlign w:val="center"/>
          </w:tcPr>
          <w:p w14:paraId="4F4AF08B">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26.38%</w:t>
            </w:r>
          </w:p>
        </w:tc>
        <w:tc>
          <w:tcPr>
            <w:tcW w:w="2855" w:type="dxa"/>
            <w:tcBorders>
              <w:top w:val="nil"/>
              <w:left w:val="nil"/>
              <w:bottom w:val="nil"/>
              <w:right w:val="nil"/>
            </w:tcBorders>
            <w:shd w:val="clear" w:color="auto" w:fill="auto"/>
            <w:noWrap/>
            <w:vAlign w:val="bottom"/>
          </w:tcPr>
          <w:p w14:paraId="08FAEFA6">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81.69% [71.18% - 90.91%]</w:t>
            </w:r>
          </w:p>
        </w:tc>
        <w:tc>
          <w:tcPr>
            <w:tcW w:w="1938" w:type="dxa"/>
            <w:tcBorders>
              <w:top w:val="nil"/>
              <w:left w:val="nil"/>
              <w:bottom w:val="nil"/>
              <w:right w:val="nil"/>
            </w:tcBorders>
            <w:shd w:val="clear" w:color="auto" w:fill="auto"/>
            <w:vAlign w:val="bottom"/>
          </w:tcPr>
          <w:p w14:paraId="1DC85D0B">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4.99%</w:t>
            </w:r>
          </w:p>
        </w:tc>
      </w:tr>
      <w:tr w14:paraId="773FD891">
        <w:tblPrEx>
          <w:tblCellMar>
            <w:top w:w="0" w:type="dxa"/>
            <w:left w:w="108" w:type="dxa"/>
            <w:bottom w:w="0" w:type="dxa"/>
            <w:right w:w="108" w:type="dxa"/>
          </w:tblCellMar>
        </w:tblPrEx>
        <w:trPr>
          <w:trHeight w:val="360" w:hRule="atLeast"/>
        </w:trPr>
        <w:tc>
          <w:tcPr>
            <w:tcW w:w="1258" w:type="dxa"/>
            <w:tcBorders>
              <w:top w:val="nil"/>
              <w:left w:val="nil"/>
              <w:bottom w:val="nil"/>
              <w:right w:val="nil"/>
            </w:tcBorders>
            <w:shd w:val="clear" w:color="auto" w:fill="auto"/>
            <w:noWrap/>
            <w:vAlign w:val="bottom"/>
          </w:tcPr>
          <w:p w14:paraId="4385221E">
            <w:pPr>
              <w:spacing w:line="480" w:lineRule="auto"/>
              <w:jc w:val="both"/>
              <w:rPr>
                <w:rFonts w:ascii="Times New Roman" w:hAnsi="Times New Roman" w:cs="Times New Roman"/>
                <w:b/>
                <w:bCs/>
                <w:color w:val="000000" w:themeColor="text1"/>
                <w:sz w:val="22"/>
                <w:szCs w:val="22"/>
                <w14:textFill>
                  <w14:solidFill>
                    <w14:schemeClr w14:val="tx1"/>
                  </w14:solidFill>
                </w14:textFill>
              </w:rPr>
            </w:pPr>
            <w:r>
              <w:rPr>
                <w:rFonts w:ascii="Times New Roman" w:hAnsi="Times New Roman" w:cs="Times New Roman"/>
                <w:b/>
                <w:bCs/>
                <w:color w:val="000000" w:themeColor="text1"/>
                <w:sz w:val="22"/>
                <w:szCs w:val="22"/>
                <w14:textFill>
                  <w14:solidFill>
                    <w14:schemeClr w14:val="tx1"/>
                  </w14:solidFill>
                </w14:textFill>
              </w:rPr>
              <w:t>Group 4</w:t>
            </w:r>
          </w:p>
        </w:tc>
        <w:tc>
          <w:tcPr>
            <w:tcW w:w="1321" w:type="dxa"/>
            <w:tcBorders>
              <w:top w:val="nil"/>
              <w:left w:val="nil"/>
              <w:bottom w:val="nil"/>
              <w:right w:val="nil"/>
            </w:tcBorders>
            <w:shd w:val="clear" w:color="auto" w:fill="auto"/>
            <w:noWrap/>
          </w:tcPr>
          <w:p w14:paraId="657AC325">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Accuracy</w:t>
            </w:r>
          </w:p>
        </w:tc>
        <w:tc>
          <w:tcPr>
            <w:tcW w:w="3006" w:type="dxa"/>
            <w:tcBorders>
              <w:top w:val="nil"/>
              <w:left w:val="nil"/>
              <w:bottom w:val="nil"/>
              <w:right w:val="nil"/>
            </w:tcBorders>
            <w:shd w:val="clear" w:color="auto" w:fill="auto"/>
            <w:noWrap/>
            <w:vAlign w:val="bottom"/>
          </w:tcPr>
          <w:p w14:paraId="319D5203">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58.28% [40.09% - 66.46%]</w:t>
            </w:r>
          </w:p>
        </w:tc>
        <w:tc>
          <w:tcPr>
            <w:tcW w:w="2805" w:type="dxa"/>
            <w:tcBorders>
              <w:top w:val="nil"/>
              <w:left w:val="nil"/>
              <w:bottom w:val="nil"/>
              <w:right w:val="nil"/>
            </w:tcBorders>
            <w:shd w:val="clear" w:color="auto" w:fill="auto"/>
            <w:noWrap/>
            <w:vAlign w:val="center"/>
          </w:tcPr>
          <w:p w14:paraId="7B600252">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77.10% [71.20% - 92.99%]</w:t>
            </w:r>
          </w:p>
        </w:tc>
        <w:tc>
          <w:tcPr>
            <w:tcW w:w="2671" w:type="dxa"/>
            <w:tcBorders>
              <w:top w:val="nil"/>
              <w:left w:val="nil"/>
              <w:bottom w:val="nil"/>
              <w:right w:val="nil"/>
            </w:tcBorders>
            <w:shd w:val="clear" w:color="auto" w:fill="auto"/>
            <w:noWrap/>
            <w:vAlign w:val="center"/>
          </w:tcPr>
          <w:p w14:paraId="2D45FDB3">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24.41%</w:t>
            </w:r>
          </w:p>
        </w:tc>
        <w:tc>
          <w:tcPr>
            <w:tcW w:w="2855" w:type="dxa"/>
            <w:tcBorders>
              <w:top w:val="nil"/>
              <w:left w:val="nil"/>
              <w:bottom w:val="nil"/>
              <w:right w:val="nil"/>
            </w:tcBorders>
            <w:shd w:val="clear" w:color="auto" w:fill="auto"/>
            <w:noWrap/>
            <w:vAlign w:val="bottom"/>
          </w:tcPr>
          <w:p w14:paraId="712283E2">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78.00% [60.00% - 90.00%]</w:t>
            </w:r>
          </w:p>
        </w:tc>
        <w:tc>
          <w:tcPr>
            <w:tcW w:w="1938" w:type="dxa"/>
            <w:tcBorders>
              <w:top w:val="nil"/>
              <w:left w:val="nil"/>
              <w:bottom w:val="nil"/>
              <w:right w:val="nil"/>
            </w:tcBorders>
            <w:shd w:val="clear" w:color="auto" w:fill="auto"/>
            <w:vAlign w:val="bottom"/>
          </w:tcPr>
          <w:p w14:paraId="542A565C">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1.15%</w:t>
            </w:r>
          </w:p>
        </w:tc>
      </w:tr>
      <w:tr w14:paraId="2CA45779">
        <w:tblPrEx>
          <w:tblCellMar>
            <w:top w:w="0" w:type="dxa"/>
            <w:left w:w="108" w:type="dxa"/>
            <w:bottom w:w="0" w:type="dxa"/>
            <w:right w:w="108" w:type="dxa"/>
          </w:tblCellMar>
        </w:tblPrEx>
        <w:trPr>
          <w:trHeight w:val="360" w:hRule="atLeast"/>
        </w:trPr>
        <w:tc>
          <w:tcPr>
            <w:tcW w:w="1258" w:type="dxa"/>
            <w:tcBorders>
              <w:top w:val="nil"/>
              <w:left w:val="nil"/>
              <w:bottom w:val="nil"/>
              <w:right w:val="nil"/>
            </w:tcBorders>
            <w:shd w:val="clear" w:color="auto" w:fill="auto"/>
            <w:noWrap/>
            <w:vAlign w:val="bottom"/>
          </w:tcPr>
          <w:p w14:paraId="67642803">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(n=39)</w:t>
            </w:r>
          </w:p>
        </w:tc>
        <w:tc>
          <w:tcPr>
            <w:tcW w:w="1321" w:type="dxa"/>
            <w:tcBorders>
              <w:top w:val="nil"/>
              <w:left w:val="nil"/>
              <w:bottom w:val="nil"/>
              <w:right w:val="nil"/>
            </w:tcBorders>
            <w:shd w:val="clear" w:color="auto" w:fill="auto"/>
            <w:noWrap/>
            <w:vAlign w:val="bottom"/>
          </w:tcPr>
          <w:p w14:paraId="085FE651">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Precision</w:t>
            </w:r>
          </w:p>
        </w:tc>
        <w:tc>
          <w:tcPr>
            <w:tcW w:w="3006" w:type="dxa"/>
            <w:tcBorders>
              <w:top w:val="nil"/>
              <w:left w:val="nil"/>
              <w:bottom w:val="nil"/>
              <w:right w:val="nil"/>
            </w:tcBorders>
            <w:shd w:val="clear" w:color="auto" w:fill="auto"/>
            <w:vAlign w:val="bottom"/>
          </w:tcPr>
          <w:p w14:paraId="62136221">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66.67% [46.50% - 86.83%]</w:t>
            </w:r>
          </w:p>
        </w:tc>
        <w:tc>
          <w:tcPr>
            <w:tcW w:w="2805" w:type="dxa"/>
            <w:tcBorders>
              <w:top w:val="nil"/>
              <w:left w:val="nil"/>
              <w:bottom w:val="nil"/>
              <w:right w:val="nil"/>
            </w:tcBorders>
            <w:shd w:val="clear" w:color="auto" w:fill="auto"/>
            <w:vAlign w:val="bottom"/>
          </w:tcPr>
          <w:p w14:paraId="1CA86861">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80.77% [65.62% - 95.92%]</w:t>
            </w:r>
          </w:p>
        </w:tc>
        <w:tc>
          <w:tcPr>
            <w:tcW w:w="2671" w:type="dxa"/>
            <w:tcBorders>
              <w:top w:val="nil"/>
              <w:left w:val="nil"/>
              <w:bottom w:val="nil"/>
              <w:right w:val="nil"/>
            </w:tcBorders>
            <w:shd w:val="clear" w:color="auto" w:fill="auto"/>
            <w:vAlign w:val="bottom"/>
          </w:tcPr>
          <w:p w14:paraId="03B9034B">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17.46%</w:t>
            </w:r>
          </w:p>
        </w:tc>
        <w:tc>
          <w:tcPr>
            <w:tcW w:w="2855" w:type="dxa"/>
            <w:tcBorders>
              <w:top w:val="nil"/>
              <w:left w:val="nil"/>
              <w:bottom w:val="nil"/>
              <w:right w:val="nil"/>
            </w:tcBorders>
            <w:shd w:val="clear" w:color="auto" w:fill="auto"/>
            <w:noWrap/>
            <w:vAlign w:val="bottom"/>
          </w:tcPr>
          <w:p w14:paraId="6BC0149B">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88.89% [76.00% -100.00%]</w:t>
            </w:r>
          </w:p>
        </w:tc>
        <w:tc>
          <w:tcPr>
            <w:tcW w:w="1938" w:type="dxa"/>
            <w:tcBorders>
              <w:top w:val="nil"/>
              <w:left w:val="nil"/>
              <w:bottom w:val="nil"/>
              <w:right w:val="nil"/>
            </w:tcBorders>
            <w:shd w:val="clear" w:color="auto" w:fill="auto"/>
            <w:vAlign w:val="bottom"/>
          </w:tcPr>
          <w:p w14:paraId="42E37FA3">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9.13%</w:t>
            </w:r>
          </w:p>
        </w:tc>
      </w:tr>
      <w:tr w14:paraId="31CF893D">
        <w:tblPrEx>
          <w:tblCellMar>
            <w:top w:w="0" w:type="dxa"/>
            <w:left w:w="108" w:type="dxa"/>
            <w:bottom w:w="0" w:type="dxa"/>
            <w:right w:w="108" w:type="dxa"/>
          </w:tblCellMar>
        </w:tblPrEx>
        <w:trPr>
          <w:trHeight w:val="375" w:hRule="atLeast"/>
        </w:trPr>
        <w:tc>
          <w:tcPr>
            <w:tcW w:w="1258" w:type="dxa"/>
            <w:tcBorders>
              <w:top w:val="nil"/>
              <w:left w:val="nil"/>
              <w:bottom w:val="nil"/>
              <w:right w:val="nil"/>
            </w:tcBorders>
            <w:shd w:val="clear" w:color="auto" w:fill="auto"/>
            <w:noWrap/>
            <w:vAlign w:val="bottom"/>
          </w:tcPr>
          <w:p w14:paraId="37BC8CD5">
            <w:pPr>
              <w:spacing w:line="480" w:lineRule="auto"/>
              <w:jc w:val="both"/>
              <w:rPr>
                <w:rFonts w:ascii="Times New Roman" w:hAnsi="Times New Roman" w:cs="Times New Roman"/>
                <w:color w:val="000000" w:themeColor="text1"/>
                <w:sz w:val="22"/>
                <w:szCs w:val="22"/>
                <w14:textFill>
                  <w14:solidFill>
                    <w14:schemeClr w14:val="tx1"/>
                  </w14:solidFill>
                </w14:textFill>
              </w:rPr>
            </w:pPr>
          </w:p>
        </w:tc>
        <w:tc>
          <w:tcPr>
            <w:tcW w:w="1321" w:type="dxa"/>
            <w:tcBorders>
              <w:top w:val="nil"/>
              <w:left w:val="nil"/>
              <w:bottom w:val="nil"/>
              <w:right w:val="nil"/>
            </w:tcBorders>
            <w:shd w:val="clear" w:color="auto" w:fill="auto"/>
            <w:noWrap/>
            <w:vAlign w:val="bottom"/>
          </w:tcPr>
          <w:p w14:paraId="577392FB">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Recall</w:t>
            </w:r>
          </w:p>
        </w:tc>
        <w:tc>
          <w:tcPr>
            <w:tcW w:w="3006" w:type="dxa"/>
            <w:tcBorders>
              <w:top w:val="nil"/>
              <w:left w:val="nil"/>
              <w:bottom w:val="nil"/>
              <w:right w:val="nil"/>
            </w:tcBorders>
            <w:shd w:val="clear" w:color="auto" w:fill="auto"/>
            <w:noWrap/>
            <w:vAlign w:val="bottom"/>
          </w:tcPr>
          <w:p w14:paraId="07DA8B97">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48.28% [30.09% - 66.46%]</w:t>
            </w:r>
          </w:p>
        </w:tc>
        <w:tc>
          <w:tcPr>
            <w:tcW w:w="2805" w:type="dxa"/>
            <w:tcBorders>
              <w:top w:val="nil"/>
              <w:left w:val="nil"/>
              <w:bottom w:val="nil"/>
              <w:right w:val="nil"/>
            </w:tcBorders>
            <w:shd w:val="clear" w:color="auto" w:fill="auto"/>
            <w:noWrap/>
            <w:vAlign w:val="bottom"/>
          </w:tcPr>
          <w:p w14:paraId="6629E29D">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65.63% [49.17% - 82.08%]</w:t>
            </w:r>
          </w:p>
        </w:tc>
        <w:tc>
          <w:tcPr>
            <w:tcW w:w="2671" w:type="dxa"/>
            <w:tcBorders>
              <w:top w:val="nil"/>
              <w:left w:val="nil"/>
              <w:bottom w:val="nil"/>
              <w:right w:val="nil"/>
            </w:tcBorders>
            <w:shd w:val="clear" w:color="auto" w:fill="auto"/>
            <w:noWrap/>
            <w:vAlign w:val="bottom"/>
          </w:tcPr>
          <w:p w14:paraId="6FE79B2A">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26.44%</w:t>
            </w:r>
          </w:p>
        </w:tc>
        <w:tc>
          <w:tcPr>
            <w:tcW w:w="2855" w:type="dxa"/>
            <w:tcBorders>
              <w:top w:val="nil"/>
              <w:left w:val="nil"/>
              <w:bottom w:val="nil"/>
              <w:right w:val="nil"/>
            </w:tcBorders>
            <w:shd w:val="clear" w:color="auto" w:fill="auto"/>
            <w:noWrap/>
            <w:vAlign w:val="bottom"/>
          </w:tcPr>
          <w:p w14:paraId="23389D4F">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75.00% [59.24% - 89.66%]</w:t>
            </w:r>
          </w:p>
        </w:tc>
        <w:tc>
          <w:tcPr>
            <w:tcW w:w="1938" w:type="dxa"/>
            <w:tcBorders>
              <w:top w:val="nil"/>
              <w:left w:val="nil"/>
              <w:bottom w:val="nil"/>
              <w:right w:val="nil"/>
            </w:tcBorders>
            <w:shd w:val="clear" w:color="auto" w:fill="auto"/>
            <w:vAlign w:val="bottom"/>
          </w:tcPr>
          <w:p w14:paraId="4DF7ADB3">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12.49%</w:t>
            </w:r>
          </w:p>
        </w:tc>
      </w:tr>
      <w:tr w14:paraId="5E75A3F3">
        <w:tblPrEx>
          <w:tblCellMar>
            <w:top w:w="0" w:type="dxa"/>
            <w:left w:w="108" w:type="dxa"/>
            <w:bottom w:w="0" w:type="dxa"/>
            <w:right w:w="108" w:type="dxa"/>
          </w:tblCellMar>
        </w:tblPrEx>
        <w:trPr>
          <w:trHeight w:val="375" w:hRule="atLeast"/>
        </w:trPr>
        <w:tc>
          <w:tcPr>
            <w:tcW w:w="1258" w:type="dxa"/>
            <w:tcBorders>
              <w:top w:val="nil"/>
              <w:left w:val="nil"/>
              <w:bottom w:val="single" w:color="000000" w:sz="8" w:space="0"/>
              <w:right w:val="nil"/>
            </w:tcBorders>
            <w:shd w:val="clear" w:color="auto" w:fill="auto"/>
            <w:noWrap/>
            <w:vAlign w:val="bottom"/>
          </w:tcPr>
          <w:p w14:paraId="01D0C181">
            <w:pPr>
              <w:spacing w:line="480" w:lineRule="auto"/>
              <w:jc w:val="both"/>
              <w:rPr>
                <w:rFonts w:ascii="Times New Roman" w:hAnsi="Times New Roman" w:cs="Times New Roman"/>
                <w:color w:val="000000" w:themeColor="text1"/>
                <w:sz w:val="22"/>
                <w:szCs w:val="22"/>
                <w14:textFill>
                  <w14:solidFill>
                    <w14:schemeClr w14:val="tx1"/>
                  </w14:solidFill>
                </w14:textFill>
              </w:rPr>
            </w:pPr>
          </w:p>
        </w:tc>
        <w:tc>
          <w:tcPr>
            <w:tcW w:w="1321" w:type="dxa"/>
            <w:tcBorders>
              <w:top w:val="nil"/>
              <w:left w:val="nil"/>
              <w:bottom w:val="single" w:color="000000" w:sz="8" w:space="0"/>
              <w:right w:val="nil"/>
            </w:tcBorders>
            <w:shd w:val="clear" w:color="auto" w:fill="auto"/>
            <w:noWrap/>
            <w:vAlign w:val="bottom"/>
          </w:tcPr>
          <w:p w14:paraId="409C2B42">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F1 Score</w:t>
            </w:r>
          </w:p>
        </w:tc>
        <w:tc>
          <w:tcPr>
            <w:tcW w:w="3006" w:type="dxa"/>
            <w:tcBorders>
              <w:top w:val="nil"/>
              <w:left w:val="nil"/>
              <w:bottom w:val="single" w:color="000000" w:sz="8" w:space="0"/>
              <w:right w:val="nil"/>
            </w:tcBorders>
            <w:shd w:val="clear" w:color="auto" w:fill="auto"/>
            <w:noWrap/>
            <w:vAlign w:val="bottom"/>
          </w:tcPr>
          <w:p w14:paraId="42346210">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56.00% [36.36% - 71.11%]</w:t>
            </w:r>
          </w:p>
        </w:tc>
        <w:tc>
          <w:tcPr>
            <w:tcW w:w="2805" w:type="dxa"/>
            <w:tcBorders>
              <w:top w:val="nil"/>
              <w:left w:val="nil"/>
              <w:bottom w:val="single" w:color="000000" w:sz="8" w:space="0"/>
              <w:right w:val="nil"/>
            </w:tcBorders>
            <w:shd w:val="clear" w:color="auto" w:fill="auto"/>
            <w:noWrap/>
            <w:vAlign w:val="bottom"/>
          </w:tcPr>
          <w:p w14:paraId="6EA2DD8C">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72.41% [30.22% - 64.82%]</w:t>
            </w:r>
          </w:p>
        </w:tc>
        <w:tc>
          <w:tcPr>
            <w:tcW w:w="2671" w:type="dxa"/>
            <w:tcBorders>
              <w:top w:val="nil"/>
              <w:left w:val="nil"/>
              <w:bottom w:val="single" w:color="000000" w:sz="8" w:space="0"/>
              <w:right w:val="nil"/>
            </w:tcBorders>
            <w:shd w:val="clear" w:color="auto" w:fill="auto"/>
            <w:noWrap/>
            <w:vAlign w:val="bottom"/>
          </w:tcPr>
          <w:p w14:paraId="791A269D">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22.66%</w:t>
            </w:r>
          </w:p>
        </w:tc>
        <w:tc>
          <w:tcPr>
            <w:tcW w:w="2855" w:type="dxa"/>
            <w:tcBorders>
              <w:top w:val="nil"/>
              <w:left w:val="nil"/>
              <w:bottom w:val="single" w:color="000000" w:sz="8" w:space="0"/>
              <w:right w:val="nil"/>
            </w:tcBorders>
            <w:shd w:val="clear" w:color="auto" w:fill="auto"/>
            <w:noWrap/>
            <w:vAlign w:val="bottom"/>
          </w:tcPr>
          <w:p w14:paraId="7B483E75">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81.36% [69.39% - 91.23%]</w:t>
            </w:r>
          </w:p>
        </w:tc>
        <w:tc>
          <w:tcPr>
            <w:tcW w:w="1938" w:type="dxa"/>
            <w:tcBorders>
              <w:top w:val="nil"/>
              <w:left w:val="nil"/>
              <w:bottom w:val="single" w:color="000000" w:sz="8" w:space="0"/>
              <w:right w:val="nil"/>
            </w:tcBorders>
            <w:shd w:val="clear" w:color="auto" w:fill="auto"/>
            <w:vAlign w:val="bottom"/>
          </w:tcPr>
          <w:p w14:paraId="1D90FE39">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t>11.00%</w:t>
            </w:r>
          </w:p>
        </w:tc>
      </w:tr>
      <w:bookmarkEnd w:id="3"/>
      <w:bookmarkEnd w:id="4"/>
    </w:tbl>
    <w:p w14:paraId="621F99E9">
      <w:pPr>
        <w:spacing w:line="480" w:lineRule="auto"/>
        <w:jc w:val="both"/>
        <w:rPr>
          <w:rFonts w:ascii="Times New Roman" w:hAnsi="Times New Roman" w:cs="Times New Roman"/>
          <w:b/>
          <w:bCs/>
          <w:i/>
          <w:iCs/>
          <w:color w:val="000000" w:themeColor="text1"/>
          <w14:textFill>
            <w14:solidFill>
              <w14:schemeClr w14:val="tx1"/>
            </w14:solidFill>
          </w14:textFill>
        </w:rPr>
        <w:sectPr>
          <w:pgSz w:w="16838" w:h="11906" w:orient="landscape"/>
          <w:pgMar w:top="1800" w:right="1440" w:bottom="1800" w:left="1440" w:header="851" w:footer="992" w:gutter="0"/>
          <w:cols w:space="425" w:num="1"/>
          <w:docGrid w:type="lines" w:linePitch="326" w:charSpace="0"/>
        </w:sectPr>
      </w:pPr>
    </w:p>
    <w:p w14:paraId="71606A6A">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Supplementary Table 3.</w:t>
      </w:r>
      <w:r>
        <w:rPr>
          <w:rFonts w:ascii="Times New Roman" w:hAnsi="Times New Roman" w:cs="Times New Roman"/>
          <w:i/>
          <w:iCs/>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The performance of MB-CNN in juvenile group and adult group in subgroup analyses on independent test dataset.</w:t>
      </w:r>
    </w:p>
    <w:tbl>
      <w:tblPr>
        <w:tblStyle w:val="14"/>
        <w:tblW w:w="15048" w:type="dxa"/>
        <w:tblInd w:w="0" w:type="dxa"/>
        <w:tblLayout w:type="autofit"/>
        <w:tblCellMar>
          <w:top w:w="0" w:type="dxa"/>
          <w:left w:w="108" w:type="dxa"/>
          <w:bottom w:w="0" w:type="dxa"/>
          <w:right w:w="108" w:type="dxa"/>
        </w:tblCellMar>
      </w:tblPr>
      <w:tblGrid>
        <w:gridCol w:w="2675"/>
        <w:gridCol w:w="2920"/>
        <w:gridCol w:w="3201"/>
        <w:gridCol w:w="3201"/>
        <w:gridCol w:w="3051"/>
      </w:tblGrid>
      <w:tr w14:paraId="7CAE2842">
        <w:tblPrEx>
          <w:tblCellMar>
            <w:top w:w="0" w:type="dxa"/>
            <w:left w:w="108" w:type="dxa"/>
            <w:bottom w:w="0" w:type="dxa"/>
            <w:right w:w="108" w:type="dxa"/>
          </w:tblCellMar>
        </w:tblPrEx>
        <w:trPr>
          <w:trHeight w:val="352" w:hRule="atLeast"/>
        </w:trPr>
        <w:tc>
          <w:tcPr>
            <w:tcW w:w="2675" w:type="dxa"/>
            <w:tcBorders>
              <w:top w:val="single" w:color="auto" w:sz="4" w:space="0"/>
              <w:left w:val="nil"/>
              <w:bottom w:val="single" w:color="auto" w:sz="4" w:space="0"/>
              <w:right w:val="nil"/>
            </w:tcBorders>
            <w:shd w:val="clear" w:color="auto" w:fill="auto"/>
            <w:noWrap/>
            <w:vAlign w:val="bottom"/>
          </w:tcPr>
          <w:p w14:paraId="1ADF5E7E">
            <w:pPr>
              <w:spacing w:line="480" w:lineRule="auto"/>
              <w:jc w:val="both"/>
              <w:rPr>
                <w:rFonts w:ascii="Times New Roman" w:hAnsi="Times New Roman" w:cs="Times New Roman"/>
                <w:b/>
                <w:bCs/>
                <w:color w:val="000000" w:themeColor="text1"/>
                <w14:textFill>
                  <w14:solidFill>
                    <w14:schemeClr w14:val="tx1"/>
                  </w14:solidFill>
                </w14:textFill>
              </w:rPr>
            </w:pPr>
          </w:p>
        </w:tc>
        <w:tc>
          <w:tcPr>
            <w:tcW w:w="2920" w:type="dxa"/>
            <w:tcBorders>
              <w:top w:val="single" w:color="auto" w:sz="4" w:space="0"/>
              <w:left w:val="nil"/>
              <w:bottom w:val="single" w:color="auto" w:sz="4" w:space="0"/>
              <w:right w:val="nil"/>
            </w:tcBorders>
            <w:shd w:val="clear" w:color="auto" w:fill="auto"/>
            <w:noWrap/>
            <w:vAlign w:val="bottom"/>
          </w:tcPr>
          <w:p w14:paraId="0638D687">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Accuracy [95%CI]</w:t>
            </w:r>
          </w:p>
        </w:tc>
        <w:tc>
          <w:tcPr>
            <w:tcW w:w="3201" w:type="dxa"/>
            <w:tcBorders>
              <w:top w:val="single" w:color="auto" w:sz="4" w:space="0"/>
              <w:left w:val="nil"/>
              <w:bottom w:val="single" w:color="auto" w:sz="4" w:space="0"/>
              <w:right w:val="nil"/>
            </w:tcBorders>
            <w:shd w:val="clear" w:color="auto" w:fill="auto"/>
            <w:noWrap/>
          </w:tcPr>
          <w:p w14:paraId="4D8AA8D9">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Recall [95%CI]</w:t>
            </w:r>
          </w:p>
        </w:tc>
        <w:tc>
          <w:tcPr>
            <w:tcW w:w="3201" w:type="dxa"/>
            <w:tcBorders>
              <w:top w:val="single" w:color="auto" w:sz="4" w:space="0"/>
              <w:left w:val="nil"/>
              <w:bottom w:val="single" w:color="auto" w:sz="4" w:space="0"/>
              <w:right w:val="nil"/>
            </w:tcBorders>
            <w:shd w:val="clear" w:color="auto" w:fill="auto"/>
            <w:noWrap/>
          </w:tcPr>
          <w:p w14:paraId="5B7C6253">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Precision [95%CI]</w:t>
            </w:r>
          </w:p>
        </w:tc>
        <w:tc>
          <w:tcPr>
            <w:tcW w:w="3051" w:type="dxa"/>
            <w:tcBorders>
              <w:top w:val="single" w:color="auto" w:sz="4" w:space="0"/>
              <w:left w:val="nil"/>
              <w:bottom w:val="single" w:color="auto" w:sz="4" w:space="0"/>
              <w:right w:val="nil"/>
            </w:tcBorders>
            <w:shd w:val="clear" w:color="auto" w:fill="auto"/>
            <w:noWrap/>
            <w:vAlign w:val="bottom"/>
          </w:tcPr>
          <w:p w14:paraId="4DD4EDA8">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F1 Score [95%CI]</w:t>
            </w:r>
          </w:p>
        </w:tc>
      </w:tr>
      <w:tr w14:paraId="294289DF">
        <w:tblPrEx>
          <w:tblCellMar>
            <w:top w:w="0" w:type="dxa"/>
            <w:left w:w="108" w:type="dxa"/>
            <w:bottom w:w="0" w:type="dxa"/>
            <w:right w:w="108" w:type="dxa"/>
          </w:tblCellMar>
        </w:tblPrEx>
        <w:trPr>
          <w:trHeight w:val="352" w:hRule="atLeast"/>
        </w:trPr>
        <w:tc>
          <w:tcPr>
            <w:tcW w:w="15048" w:type="dxa"/>
            <w:gridSpan w:val="5"/>
            <w:tcBorders>
              <w:top w:val="single" w:color="auto" w:sz="4" w:space="0"/>
              <w:left w:val="nil"/>
              <w:bottom w:val="nil"/>
              <w:right w:val="nil"/>
            </w:tcBorders>
            <w:shd w:val="clear" w:color="auto" w:fill="auto"/>
            <w:noWrap/>
            <w:vAlign w:val="bottom"/>
          </w:tcPr>
          <w:p w14:paraId="404B7133">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Juvenile group (</w:t>
            </w:r>
            <w:r>
              <w:rPr>
                <w:rFonts w:ascii="Times New Roman" w:hAnsi="Times New Roman" w:cs="Times New Roman"/>
                <w:color w:val="000000" w:themeColor="text1"/>
                <w:shd w:val="clear" w:color="auto" w:fill="FFFFFF"/>
                <w14:textFill>
                  <w14:solidFill>
                    <w14:schemeClr w14:val="tx1"/>
                  </w14:solidFill>
                </w14:textFill>
              </w:rPr>
              <w:t>≤</w:t>
            </w:r>
            <w:r>
              <w:rPr>
                <w:rFonts w:ascii="Times New Roman" w:hAnsi="Times New Roman" w:cs="Times New Roman"/>
                <w:b/>
                <w:bCs/>
                <w:color w:val="000000" w:themeColor="text1"/>
                <w14:textFill>
                  <w14:solidFill>
                    <w14:schemeClr w14:val="tx1"/>
                  </w14:solidFill>
                </w14:textFill>
              </w:rPr>
              <w:t xml:space="preserve"> 18 years)</w:t>
            </w:r>
          </w:p>
        </w:tc>
      </w:tr>
      <w:tr w14:paraId="7A12519C">
        <w:tblPrEx>
          <w:tblCellMar>
            <w:top w:w="0" w:type="dxa"/>
            <w:left w:w="108" w:type="dxa"/>
            <w:bottom w:w="0" w:type="dxa"/>
            <w:right w:w="108" w:type="dxa"/>
          </w:tblCellMar>
        </w:tblPrEx>
        <w:trPr>
          <w:trHeight w:val="352" w:hRule="atLeast"/>
        </w:trPr>
        <w:tc>
          <w:tcPr>
            <w:tcW w:w="2675" w:type="dxa"/>
            <w:tcBorders>
              <w:top w:val="nil"/>
              <w:left w:val="nil"/>
              <w:bottom w:val="nil"/>
              <w:right w:val="nil"/>
            </w:tcBorders>
            <w:shd w:val="clear" w:color="auto" w:fill="auto"/>
            <w:noWrap/>
            <w:vAlign w:val="bottom"/>
          </w:tcPr>
          <w:p w14:paraId="78AFE967">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WNT </w:t>
            </w:r>
            <w:bookmarkStart w:id="6" w:name="OLE_LINK43"/>
            <w:r>
              <w:rPr>
                <w:rFonts w:ascii="Times New Roman" w:hAnsi="Times New Roman" w:cs="Times New Roman"/>
                <w:color w:val="000000" w:themeColor="text1"/>
                <w14:textFill>
                  <w14:solidFill>
                    <w14:schemeClr w14:val="tx1"/>
                  </w14:solidFill>
                </w14:textFill>
              </w:rPr>
              <w:t>(n=18)</w:t>
            </w:r>
            <w:bookmarkEnd w:id="6"/>
          </w:p>
        </w:tc>
        <w:tc>
          <w:tcPr>
            <w:tcW w:w="2920" w:type="dxa"/>
            <w:tcBorders>
              <w:top w:val="nil"/>
              <w:left w:val="nil"/>
              <w:bottom w:val="nil"/>
              <w:right w:val="nil"/>
            </w:tcBorders>
            <w:shd w:val="clear" w:color="auto" w:fill="auto"/>
            <w:noWrap/>
            <w:vAlign w:val="center"/>
          </w:tcPr>
          <w:p w14:paraId="0F9A19DE">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78.91% [55.97% - 91.86%]</w:t>
            </w:r>
          </w:p>
        </w:tc>
        <w:tc>
          <w:tcPr>
            <w:tcW w:w="3201" w:type="dxa"/>
            <w:tcBorders>
              <w:top w:val="nil"/>
              <w:left w:val="nil"/>
              <w:bottom w:val="nil"/>
              <w:right w:val="nil"/>
            </w:tcBorders>
            <w:shd w:val="clear" w:color="auto" w:fill="auto"/>
            <w:noWrap/>
            <w:vAlign w:val="center"/>
          </w:tcPr>
          <w:p w14:paraId="25DF2075">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69.88% [56.52% - 91.30%]</w:t>
            </w:r>
          </w:p>
        </w:tc>
        <w:tc>
          <w:tcPr>
            <w:tcW w:w="3201" w:type="dxa"/>
            <w:tcBorders>
              <w:top w:val="nil"/>
              <w:left w:val="nil"/>
              <w:bottom w:val="nil"/>
              <w:right w:val="nil"/>
            </w:tcBorders>
            <w:shd w:val="clear" w:color="auto" w:fill="auto"/>
            <w:noWrap/>
            <w:vAlign w:val="center"/>
          </w:tcPr>
          <w:p w14:paraId="7BECF4ED">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62.50% [56.52% - 91.30%]</w:t>
            </w:r>
          </w:p>
        </w:tc>
        <w:tc>
          <w:tcPr>
            <w:tcW w:w="3051" w:type="dxa"/>
            <w:tcBorders>
              <w:top w:val="nil"/>
              <w:left w:val="nil"/>
              <w:bottom w:val="nil"/>
              <w:right w:val="nil"/>
            </w:tcBorders>
            <w:shd w:val="clear" w:color="auto" w:fill="auto"/>
            <w:noWrap/>
            <w:vAlign w:val="center"/>
          </w:tcPr>
          <w:p w14:paraId="4C7D32CA">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76.83% [57.14% - 85.71%]</w:t>
            </w:r>
          </w:p>
        </w:tc>
      </w:tr>
      <w:tr w14:paraId="50101EB9">
        <w:tblPrEx>
          <w:tblCellMar>
            <w:top w:w="0" w:type="dxa"/>
            <w:left w:w="108" w:type="dxa"/>
            <w:bottom w:w="0" w:type="dxa"/>
            <w:right w:w="108" w:type="dxa"/>
          </w:tblCellMar>
        </w:tblPrEx>
        <w:trPr>
          <w:trHeight w:val="352" w:hRule="atLeast"/>
        </w:trPr>
        <w:tc>
          <w:tcPr>
            <w:tcW w:w="2675" w:type="dxa"/>
            <w:tcBorders>
              <w:top w:val="nil"/>
              <w:left w:val="nil"/>
              <w:bottom w:val="nil"/>
              <w:right w:val="nil"/>
            </w:tcBorders>
            <w:shd w:val="clear" w:color="auto" w:fill="auto"/>
            <w:noWrap/>
            <w:vAlign w:val="bottom"/>
          </w:tcPr>
          <w:p w14:paraId="2BD1D2E5">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SHH (n=11)</w:t>
            </w:r>
          </w:p>
        </w:tc>
        <w:tc>
          <w:tcPr>
            <w:tcW w:w="2920" w:type="dxa"/>
            <w:tcBorders>
              <w:top w:val="nil"/>
              <w:left w:val="nil"/>
              <w:bottom w:val="nil"/>
              <w:right w:val="nil"/>
            </w:tcBorders>
            <w:shd w:val="clear" w:color="auto" w:fill="auto"/>
            <w:noWrap/>
            <w:vAlign w:val="center"/>
          </w:tcPr>
          <w:p w14:paraId="2B947389">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85.67% [67.12% - 98.10%]</w:t>
            </w:r>
          </w:p>
        </w:tc>
        <w:tc>
          <w:tcPr>
            <w:tcW w:w="3201" w:type="dxa"/>
            <w:tcBorders>
              <w:top w:val="nil"/>
              <w:left w:val="nil"/>
              <w:bottom w:val="nil"/>
              <w:right w:val="nil"/>
            </w:tcBorders>
            <w:shd w:val="clear" w:color="auto" w:fill="auto"/>
            <w:noWrap/>
            <w:vAlign w:val="center"/>
          </w:tcPr>
          <w:p w14:paraId="79210829">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79.81% [65.22% - 95.65%]</w:t>
            </w:r>
          </w:p>
        </w:tc>
        <w:tc>
          <w:tcPr>
            <w:tcW w:w="3201" w:type="dxa"/>
            <w:tcBorders>
              <w:top w:val="nil"/>
              <w:left w:val="nil"/>
              <w:bottom w:val="nil"/>
              <w:right w:val="nil"/>
            </w:tcBorders>
            <w:shd w:val="clear" w:color="auto" w:fill="auto"/>
            <w:noWrap/>
            <w:vAlign w:val="center"/>
          </w:tcPr>
          <w:p w14:paraId="03431259">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72.01% [60.00% - 92.00%]</w:t>
            </w:r>
          </w:p>
        </w:tc>
        <w:tc>
          <w:tcPr>
            <w:tcW w:w="3051" w:type="dxa"/>
            <w:tcBorders>
              <w:top w:val="nil"/>
              <w:left w:val="nil"/>
              <w:bottom w:val="nil"/>
              <w:right w:val="nil"/>
            </w:tcBorders>
            <w:shd w:val="clear" w:color="auto" w:fill="auto"/>
            <w:noWrap/>
            <w:vAlign w:val="center"/>
          </w:tcPr>
          <w:p w14:paraId="3F2380C7">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78.92% [64.86% - 90.57%]</w:t>
            </w:r>
          </w:p>
        </w:tc>
      </w:tr>
      <w:tr w14:paraId="6A0FB810">
        <w:tblPrEx>
          <w:tblCellMar>
            <w:top w:w="0" w:type="dxa"/>
            <w:left w:w="108" w:type="dxa"/>
            <w:bottom w:w="0" w:type="dxa"/>
            <w:right w:w="108" w:type="dxa"/>
          </w:tblCellMar>
        </w:tblPrEx>
        <w:trPr>
          <w:trHeight w:val="352" w:hRule="atLeast"/>
        </w:trPr>
        <w:tc>
          <w:tcPr>
            <w:tcW w:w="2675" w:type="dxa"/>
            <w:tcBorders>
              <w:top w:val="nil"/>
              <w:left w:val="nil"/>
              <w:bottom w:val="nil"/>
              <w:right w:val="nil"/>
            </w:tcBorders>
            <w:shd w:val="clear" w:color="auto" w:fill="auto"/>
            <w:noWrap/>
            <w:vAlign w:val="bottom"/>
          </w:tcPr>
          <w:p w14:paraId="1577742E">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Group 3</w:t>
            </w:r>
            <w:bookmarkStart w:id="7" w:name="OLE_LINK44"/>
            <w:r>
              <w:rPr>
                <w:rFonts w:ascii="Times New Roman" w:hAnsi="Times New Roman" w:cs="Times New Roman"/>
                <w:color w:val="000000" w:themeColor="text1"/>
                <w14:textFill>
                  <w14:solidFill>
                    <w14:schemeClr w14:val="tx1"/>
                  </w14:solidFill>
                </w14:textFill>
              </w:rPr>
              <w:t xml:space="preserve"> (n=40)</w:t>
            </w:r>
            <w:bookmarkEnd w:id="7"/>
          </w:p>
        </w:tc>
        <w:tc>
          <w:tcPr>
            <w:tcW w:w="2920" w:type="dxa"/>
            <w:tcBorders>
              <w:top w:val="nil"/>
              <w:left w:val="nil"/>
              <w:bottom w:val="nil"/>
              <w:right w:val="nil"/>
            </w:tcBorders>
            <w:shd w:val="clear" w:color="auto" w:fill="auto"/>
            <w:noWrap/>
            <w:vAlign w:val="center"/>
          </w:tcPr>
          <w:p w14:paraId="22B0BB71">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82.61% [55.43% - 88.92%]</w:t>
            </w:r>
          </w:p>
        </w:tc>
        <w:tc>
          <w:tcPr>
            <w:tcW w:w="3201" w:type="dxa"/>
            <w:tcBorders>
              <w:top w:val="nil"/>
              <w:left w:val="nil"/>
              <w:bottom w:val="nil"/>
              <w:right w:val="nil"/>
            </w:tcBorders>
            <w:shd w:val="clear" w:color="auto" w:fill="auto"/>
            <w:noWrap/>
            <w:vAlign w:val="center"/>
          </w:tcPr>
          <w:p w14:paraId="71139066">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83.66% [67.11% - 98.41%]</w:t>
            </w:r>
          </w:p>
        </w:tc>
        <w:tc>
          <w:tcPr>
            <w:tcW w:w="3201" w:type="dxa"/>
            <w:tcBorders>
              <w:top w:val="nil"/>
              <w:left w:val="nil"/>
              <w:bottom w:val="nil"/>
              <w:right w:val="nil"/>
            </w:tcBorders>
            <w:shd w:val="clear" w:color="auto" w:fill="auto"/>
            <w:noWrap/>
            <w:vAlign w:val="center"/>
          </w:tcPr>
          <w:p w14:paraId="16979BA8">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78.33% [60.85% - 82.43%]</w:t>
            </w:r>
          </w:p>
        </w:tc>
        <w:tc>
          <w:tcPr>
            <w:tcW w:w="3051" w:type="dxa"/>
            <w:tcBorders>
              <w:top w:val="nil"/>
              <w:left w:val="nil"/>
              <w:bottom w:val="nil"/>
              <w:right w:val="nil"/>
            </w:tcBorders>
            <w:shd w:val="clear" w:color="auto" w:fill="auto"/>
            <w:noWrap/>
            <w:vAlign w:val="center"/>
          </w:tcPr>
          <w:p w14:paraId="513B4696">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79.17% [63.82% - 89.80%]</w:t>
            </w:r>
          </w:p>
        </w:tc>
      </w:tr>
      <w:tr w14:paraId="29503D76">
        <w:tblPrEx>
          <w:tblCellMar>
            <w:top w:w="0" w:type="dxa"/>
            <w:left w:w="108" w:type="dxa"/>
            <w:bottom w:w="0" w:type="dxa"/>
            <w:right w:w="108" w:type="dxa"/>
          </w:tblCellMar>
        </w:tblPrEx>
        <w:trPr>
          <w:trHeight w:val="360" w:hRule="atLeast"/>
        </w:trPr>
        <w:tc>
          <w:tcPr>
            <w:tcW w:w="2675" w:type="dxa"/>
            <w:tcBorders>
              <w:top w:val="nil"/>
              <w:left w:val="nil"/>
              <w:bottom w:val="nil"/>
              <w:right w:val="nil"/>
            </w:tcBorders>
            <w:shd w:val="clear" w:color="auto" w:fill="auto"/>
            <w:noWrap/>
            <w:vAlign w:val="bottom"/>
          </w:tcPr>
          <w:p w14:paraId="78153A44">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Group 4 (n=29)</w:t>
            </w:r>
          </w:p>
        </w:tc>
        <w:tc>
          <w:tcPr>
            <w:tcW w:w="2920" w:type="dxa"/>
            <w:tcBorders>
              <w:top w:val="nil"/>
              <w:left w:val="nil"/>
              <w:bottom w:val="nil"/>
              <w:right w:val="nil"/>
            </w:tcBorders>
            <w:shd w:val="clear" w:color="auto" w:fill="auto"/>
            <w:noWrap/>
            <w:vAlign w:val="center"/>
          </w:tcPr>
          <w:p w14:paraId="61693797">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68.97% [52.13% - 85.80%]</w:t>
            </w:r>
          </w:p>
        </w:tc>
        <w:tc>
          <w:tcPr>
            <w:tcW w:w="3201" w:type="dxa"/>
            <w:tcBorders>
              <w:top w:val="nil"/>
              <w:left w:val="nil"/>
              <w:bottom w:val="nil"/>
              <w:right w:val="nil"/>
            </w:tcBorders>
            <w:shd w:val="clear" w:color="auto" w:fill="auto"/>
            <w:vAlign w:val="center"/>
          </w:tcPr>
          <w:p w14:paraId="1C86837C">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77.63% [51.72% - 86.21%]</w:t>
            </w:r>
          </w:p>
        </w:tc>
        <w:tc>
          <w:tcPr>
            <w:tcW w:w="3201" w:type="dxa"/>
            <w:tcBorders>
              <w:top w:val="nil"/>
              <w:left w:val="nil"/>
              <w:bottom w:val="nil"/>
              <w:right w:val="nil"/>
            </w:tcBorders>
            <w:shd w:val="clear" w:color="auto" w:fill="auto"/>
            <w:vAlign w:val="center"/>
          </w:tcPr>
          <w:p w14:paraId="6F6EE78A">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69.20% [64.00% - 86.00%]</w:t>
            </w:r>
          </w:p>
        </w:tc>
        <w:tc>
          <w:tcPr>
            <w:tcW w:w="3051" w:type="dxa"/>
            <w:tcBorders>
              <w:top w:val="nil"/>
              <w:left w:val="nil"/>
              <w:bottom w:val="nil"/>
              <w:right w:val="nil"/>
            </w:tcBorders>
            <w:shd w:val="clear" w:color="auto" w:fill="auto"/>
            <w:noWrap/>
            <w:vAlign w:val="center"/>
          </w:tcPr>
          <w:p w14:paraId="0CB57B84">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74.07% [59.26% - 85.19%]</w:t>
            </w:r>
          </w:p>
        </w:tc>
      </w:tr>
      <w:tr w14:paraId="2D082379">
        <w:tblPrEx>
          <w:tblCellMar>
            <w:top w:w="0" w:type="dxa"/>
            <w:left w:w="108" w:type="dxa"/>
            <w:bottom w:w="0" w:type="dxa"/>
            <w:right w:w="108" w:type="dxa"/>
          </w:tblCellMar>
        </w:tblPrEx>
        <w:trPr>
          <w:trHeight w:val="352" w:hRule="atLeast"/>
        </w:trPr>
        <w:tc>
          <w:tcPr>
            <w:tcW w:w="15048" w:type="dxa"/>
            <w:gridSpan w:val="5"/>
            <w:tcBorders>
              <w:top w:val="nil"/>
              <w:left w:val="nil"/>
              <w:bottom w:val="nil"/>
              <w:right w:val="nil"/>
            </w:tcBorders>
            <w:shd w:val="clear" w:color="auto" w:fill="auto"/>
            <w:noWrap/>
            <w:vAlign w:val="center"/>
          </w:tcPr>
          <w:p w14:paraId="0652AECA">
            <w:pPr>
              <w:spacing w:line="480" w:lineRule="auto"/>
              <w:jc w:val="both"/>
              <w:rPr>
                <w:rFonts w:ascii="Times New Roman" w:hAnsi="Times New Roman" w:eastAsia="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Adult group (&gt; 18 years)</w:t>
            </w:r>
          </w:p>
        </w:tc>
      </w:tr>
      <w:tr w14:paraId="4BAC4441">
        <w:tblPrEx>
          <w:tblCellMar>
            <w:top w:w="0" w:type="dxa"/>
            <w:left w:w="108" w:type="dxa"/>
            <w:bottom w:w="0" w:type="dxa"/>
            <w:right w:w="108" w:type="dxa"/>
          </w:tblCellMar>
        </w:tblPrEx>
        <w:trPr>
          <w:trHeight w:val="352" w:hRule="atLeast"/>
        </w:trPr>
        <w:tc>
          <w:tcPr>
            <w:tcW w:w="2675" w:type="dxa"/>
            <w:tcBorders>
              <w:top w:val="nil"/>
              <w:left w:val="nil"/>
              <w:bottom w:val="nil"/>
              <w:right w:val="nil"/>
            </w:tcBorders>
            <w:shd w:val="clear" w:color="auto" w:fill="auto"/>
            <w:noWrap/>
            <w:vAlign w:val="bottom"/>
          </w:tcPr>
          <w:p w14:paraId="2C459341">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WNT (n=3)</w:t>
            </w:r>
          </w:p>
        </w:tc>
        <w:tc>
          <w:tcPr>
            <w:tcW w:w="2920" w:type="dxa"/>
            <w:tcBorders>
              <w:top w:val="nil"/>
              <w:left w:val="nil"/>
              <w:bottom w:val="nil"/>
              <w:right w:val="nil"/>
            </w:tcBorders>
            <w:shd w:val="clear" w:color="auto" w:fill="auto"/>
            <w:noWrap/>
            <w:vAlign w:val="center"/>
          </w:tcPr>
          <w:p w14:paraId="042EE43B">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74.67% </w:t>
            </w:r>
            <w:bookmarkStart w:id="8" w:name="OLE_LINK38"/>
            <w:r>
              <w:rPr>
                <w:rFonts w:ascii="Times New Roman" w:hAnsi="Times New Roman" w:cs="Times New Roman"/>
                <w:color w:val="000000" w:themeColor="text1"/>
                <w14:textFill>
                  <w14:solidFill>
                    <w14:schemeClr w14:val="tx1"/>
                  </w14:solidFill>
                </w14:textFill>
              </w:rPr>
              <w:t>[58.95% - 84.39%]</w:t>
            </w:r>
            <w:bookmarkEnd w:id="8"/>
          </w:p>
        </w:tc>
        <w:tc>
          <w:tcPr>
            <w:tcW w:w="3201" w:type="dxa"/>
            <w:tcBorders>
              <w:top w:val="nil"/>
              <w:left w:val="nil"/>
              <w:bottom w:val="nil"/>
              <w:right w:val="nil"/>
            </w:tcBorders>
            <w:shd w:val="clear" w:color="auto" w:fill="auto"/>
            <w:noWrap/>
            <w:vAlign w:val="center"/>
          </w:tcPr>
          <w:p w14:paraId="15F66714">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82.11% [28.95% - 100.00%]</w:t>
            </w:r>
          </w:p>
        </w:tc>
        <w:tc>
          <w:tcPr>
            <w:tcW w:w="3201" w:type="dxa"/>
            <w:tcBorders>
              <w:top w:val="nil"/>
              <w:left w:val="nil"/>
              <w:bottom w:val="nil"/>
              <w:right w:val="nil"/>
            </w:tcBorders>
            <w:shd w:val="clear" w:color="auto" w:fill="auto"/>
            <w:noWrap/>
            <w:vAlign w:val="center"/>
          </w:tcPr>
          <w:p w14:paraId="28DD3439">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66.77% [58.33% - 96.00%]</w:t>
            </w:r>
          </w:p>
        </w:tc>
        <w:tc>
          <w:tcPr>
            <w:tcW w:w="3051" w:type="dxa"/>
            <w:tcBorders>
              <w:top w:val="nil"/>
              <w:left w:val="nil"/>
              <w:bottom w:val="nil"/>
              <w:right w:val="nil"/>
            </w:tcBorders>
            <w:shd w:val="clear" w:color="auto" w:fill="auto"/>
            <w:noWrap/>
            <w:vAlign w:val="bottom"/>
          </w:tcPr>
          <w:p w14:paraId="49292CE6">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71.21% [55.43% - 83.42%]</w:t>
            </w:r>
          </w:p>
        </w:tc>
      </w:tr>
      <w:tr w14:paraId="181E1445">
        <w:tblPrEx>
          <w:tblCellMar>
            <w:top w:w="0" w:type="dxa"/>
            <w:left w:w="108" w:type="dxa"/>
            <w:bottom w:w="0" w:type="dxa"/>
            <w:right w:w="108" w:type="dxa"/>
          </w:tblCellMar>
        </w:tblPrEx>
        <w:trPr>
          <w:trHeight w:val="352" w:hRule="atLeast"/>
        </w:trPr>
        <w:tc>
          <w:tcPr>
            <w:tcW w:w="2675" w:type="dxa"/>
            <w:tcBorders>
              <w:top w:val="nil"/>
              <w:left w:val="nil"/>
              <w:bottom w:val="nil"/>
              <w:right w:val="nil"/>
            </w:tcBorders>
            <w:shd w:val="clear" w:color="auto" w:fill="auto"/>
            <w:noWrap/>
            <w:vAlign w:val="bottom"/>
          </w:tcPr>
          <w:p w14:paraId="2AC33D25">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SHH (n=8)</w:t>
            </w:r>
          </w:p>
        </w:tc>
        <w:tc>
          <w:tcPr>
            <w:tcW w:w="2920" w:type="dxa"/>
            <w:tcBorders>
              <w:top w:val="nil"/>
              <w:left w:val="nil"/>
              <w:bottom w:val="nil"/>
              <w:right w:val="nil"/>
            </w:tcBorders>
            <w:shd w:val="clear" w:color="auto" w:fill="auto"/>
            <w:noWrap/>
            <w:vAlign w:val="bottom"/>
          </w:tcPr>
          <w:p w14:paraId="1F0D6B84">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79.33% [61.42% - 84.66%]</w:t>
            </w:r>
          </w:p>
        </w:tc>
        <w:tc>
          <w:tcPr>
            <w:tcW w:w="3201" w:type="dxa"/>
            <w:tcBorders>
              <w:top w:val="nil"/>
              <w:left w:val="nil"/>
              <w:bottom w:val="nil"/>
              <w:right w:val="nil"/>
            </w:tcBorders>
            <w:shd w:val="clear" w:color="auto" w:fill="auto"/>
            <w:noWrap/>
            <w:vAlign w:val="center"/>
          </w:tcPr>
          <w:p w14:paraId="60E26DD5">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80.01% [53.51% - 100.00%]</w:t>
            </w:r>
          </w:p>
        </w:tc>
        <w:tc>
          <w:tcPr>
            <w:tcW w:w="3201" w:type="dxa"/>
            <w:tcBorders>
              <w:top w:val="nil"/>
              <w:left w:val="nil"/>
              <w:bottom w:val="nil"/>
              <w:right w:val="nil"/>
            </w:tcBorders>
            <w:shd w:val="clear" w:color="auto" w:fill="auto"/>
            <w:noWrap/>
            <w:vAlign w:val="bottom"/>
          </w:tcPr>
          <w:p w14:paraId="699C7E23">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83.31% [62.86% - 100.00%]</w:t>
            </w:r>
          </w:p>
        </w:tc>
        <w:tc>
          <w:tcPr>
            <w:tcW w:w="3051" w:type="dxa"/>
            <w:tcBorders>
              <w:top w:val="nil"/>
              <w:left w:val="nil"/>
              <w:bottom w:val="nil"/>
              <w:right w:val="nil"/>
            </w:tcBorders>
            <w:shd w:val="clear" w:color="auto" w:fill="auto"/>
            <w:noWrap/>
            <w:vAlign w:val="center"/>
          </w:tcPr>
          <w:p w14:paraId="339FE4ED">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76.92% [66.44% - 82.11%]</w:t>
            </w:r>
          </w:p>
        </w:tc>
      </w:tr>
      <w:tr w14:paraId="5CEFABAB">
        <w:tblPrEx>
          <w:tblCellMar>
            <w:top w:w="0" w:type="dxa"/>
            <w:left w:w="108" w:type="dxa"/>
            <w:bottom w:w="0" w:type="dxa"/>
            <w:right w:w="108" w:type="dxa"/>
          </w:tblCellMar>
        </w:tblPrEx>
        <w:trPr>
          <w:trHeight w:val="352" w:hRule="atLeast"/>
        </w:trPr>
        <w:tc>
          <w:tcPr>
            <w:tcW w:w="2675" w:type="dxa"/>
            <w:tcBorders>
              <w:top w:val="nil"/>
              <w:left w:val="nil"/>
              <w:bottom w:val="nil"/>
              <w:right w:val="nil"/>
            </w:tcBorders>
            <w:shd w:val="clear" w:color="auto" w:fill="auto"/>
            <w:noWrap/>
            <w:vAlign w:val="bottom"/>
          </w:tcPr>
          <w:p w14:paraId="54FC4912">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Group 3 (n=5)</w:t>
            </w:r>
          </w:p>
        </w:tc>
        <w:tc>
          <w:tcPr>
            <w:tcW w:w="2920" w:type="dxa"/>
            <w:tcBorders>
              <w:top w:val="nil"/>
              <w:left w:val="nil"/>
              <w:bottom w:val="nil"/>
              <w:right w:val="nil"/>
            </w:tcBorders>
            <w:shd w:val="clear" w:color="auto" w:fill="auto"/>
            <w:noWrap/>
            <w:vAlign w:val="bottom"/>
          </w:tcPr>
          <w:p w14:paraId="6D8C259B">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81.82% [69.03% - 97.61%]</w:t>
            </w:r>
          </w:p>
        </w:tc>
        <w:tc>
          <w:tcPr>
            <w:tcW w:w="3201" w:type="dxa"/>
            <w:tcBorders>
              <w:top w:val="nil"/>
              <w:left w:val="nil"/>
              <w:bottom w:val="nil"/>
              <w:right w:val="nil"/>
            </w:tcBorders>
            <w:shd w:val="clear" w:color="auto" w:fill="auto"/>
            <w:noWrap/>
            <w:vAlign w:val="center"/>
          </w:tcPr>
          <w:p w14:paraId="348BA4FE">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75.63% [59.03% - 100.00%]</w:t>
            </w:r>
          </w:p>
        </w:tc>
        <w:tc>
          <w:tcPr>
            <w:tcW w:w="3201" w:type="dxa"/>
            <w:tcBorders>
              <w:top w:val="nil"/>
              <w:left w:val="nil"/>
              <w:bottom w:val="nil"/>
              <w:right w:val="nil"/>
            </w:tcBorders>
            <w:shd w:val="clear" w:color="auto" w:fill="auto"/>
            <w:noWrap/>
            <w:vAlign w:val="center"/>
          </w:tcPr>
          <w:p w14:paraId="6C457D83">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90.90% [79.00% - 100.00%]</w:t>
            </w:r>
          </w:p>
        </w:tc>
        <w:tc>
          <w:tcPr>
            <w:tcW w:w="3051" w:type="dxa"/>
            <w:tcBorders>
              <w:top w:val="nil"/>
              <w:left w:val="nil"/>
              <w:bottom w:val="nil"/>
              <w:right w:val="nil"/>
            </w:tcBorders>
            <w:shd w:val="clear" w:color="auto" w:fill="auto"/>
            <w:noWrap/>
            <w:vAlign w:val="center"/>
          </w:tcPr>
          <w:p w14:paraId="40ECF13E">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85.71% [76.44% - 93.63%]</w:t>
            </w:r>
          </w:p>
        </w:tc>
      </w:tr>
      <w:tr w14:paraId="39CB2ECB">
        <w:tblPrEx>
          <w:tblCellMar>
            <w:top w:w="0" w:type="dxa"/>
            <w:left w:w="108" w:type="dxa"/>
            <w:bottom w:w="0" w:type="dxa"/>
            <w:right w:w="108" w:type="dxa"/>
          </w:tblCellMar>
        </w:tblPrEx>
        <w:trPr>
          <w:trHeight w:val="352" w:hRule="atLeast"/>
        </w:trPr>
        <w:tc>
          <w:tcPr>
            <w:tcW w:w="2675" w:type="dxa"/>
            <w:tcBorders>
              <w:top w:val="nil"/>
              <w:left w:val="nil"/>
              <w:bottom w:val="nil"/>
              <w:right w:val="nil"/>
            </w:tcBorders>
            <w:shd w:val="clear" w:color="auto" w:fill="auto"/>
            <w:noWrap/>
            <w:vAlign w:val="bottom"/>
          </w:tcPr>
          <w:p w14:paraId="71999848">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Group 4</w:t>
            </w:r>
            <w:bookmarkStart w:id="9" w:name="OLE_LINK45"/>
            <w:r>
              <w:rPr>
                <w:rFonts w:ascii="Times New Roman" w:hAnsi="Times New Roman" w:cs="Times New Roman"/>
                <w:color w:val="000000" w:themeColor="text1"/>
                <w14:textFill>
                  <w14:solidFill>
                    <w14:schemeClr w14:val="tx1"/>
                  </w14:solidFill>
                </w14:textFill>
              </w:rPr>
              <w:t xml:space="preserve"> (n=10)</w:t>
            </w:r>
            <w:bookmarkEnd w:id="9"/>
          </w:p>
        </w:tc>
        <w:tc>
          <w:tcPr>
            <w:tcW w:w="2920" w:type="dxa"/>
            <w:tcBorders>
              <w:top w:val="nil"/>
              <w:left w:val="nil"/>
              <w:bottom w:val="nil"/>
              <w:right w:val="nil"/>
            </w:tcBorders>
            <w:shd w:val="clear" w:color="auto" w:fill="auto"/>
            <w:noWrap/>
            <w:vAlign w:val="bottom"/>
          </w:tcPr>
          <w:p w14:paraId="2C740834">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66.67% [53.32% - 75.65%]</w:t>
            </w:r>
          </w:p>
        </w:tc>
        <w:tc>
          <w:tcPr>
            <w:tcW w:w="3201" w:type="dxa"/>
            <w:tcBorders>
              <w:top w:val="nil"/>
              <w:left w:val="nil"/>
              <w:bottom w:val="nil"/>
              <w:right w:val="nil"/>
            </w:tcBorders>
            <w:shd w:val="clear" w:color="auto" w:fill="auto"/>
            <w:noWrap/>
            <w:vAlign w:val="center"/>
          </w:tcPr>
          <w:p w14:paraId="7A6B8B14">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66.67% [43.32% - 81.64%]</w:t>
            </w:r>
          </w:p>
        </w:tc>
        <w:tc>
          <w:tcPr>
            <w:tcW w:w="3201" w:type="dxa"/>
            <w:tcBorders>
              <w:top w:val="nil"/>
              <w:left w:val="nil"/>
              <w:bottom w:val="nil"/>
              <w:right w:val="nil"/>
            </w:tcBorders>
            <w:shd w:val="clear" w:color="auto" w:fill="auto"/>
            <w:noWrap/>
            <w:vAlign w:val="center"/>
          </w:tcPr>
          <w:p w14:paraId="0AC37674">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69.57% [57.88% - 85.42%]</w:t>
            </w:r>
          </w:p>
        </w:tc>
        <w:tc>
          <w:tcPr>
            <w:tcW w:w="3051" w:type="dxa"/>
            <w:tcBorders>
              <w:top w:val="nil"/>
              <w:left w:val="nil"/>
              <w:bottom w:val="nil"/>
              <w:right w:val="nil"/>
            </w:tcBorders>
            <w:shd w:val="clear" w:color="auto" w:fill="auto"/>
            <w:noWrap/>
            <w:vAlign w:val="center"/>
          </w:tcPr>
          <w:p w14:paraId="07A4011B">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69.77% [61,65% - 83.67%]</w:t>
            </w:r>
          </w:p>
        </w:tc>
      </w:tr>
      <w:tr w14:paraId="76968199">
        <w:tblPrEx>
          <w:tblCellMar>
            <w:top w:w="0" w:type="dxa"/>
            <w:left w:w="108" w:type="dxa"/>
            <w:bottom w:w="0" w:type="dxa"/>
            <w:right w:w="108" w:type="dxa"/>
          </w:tblCellMar>
        </w:tblPrEx>
        <w:trPr>
          <w:trHeight w:val="352" w:hRule="atLeast"/>
        </w:trPr>
        <w:tc>
          <w:tcPr>
            <w:tcW w:w="2675" w:type="dxa"/>
            <w:tcBorders>
              <w:top w:val="nil"/>
              <w:left w:val="nil"/>
              <w:bottom w:val="nil"/>
              <w:right w:val="nil"/>
            </w:tcBorders>
            <w:shd w:val="clear" w:color="auto" w:fill="auto"/>
            <w:noWrap/>
            <w:vAlign w:val="center"/>
          </w:tcPr>
          <w:p w14:paraId="42CEEE3F">
            <w:pPr>
              <w:spacing w:line="480" w:lineRule="auto"/>
              <w:jc w:val="both"/>
              <w:rPr>
                <w:rFonts w:ascii="Times New Roman" w:hAnsi="Times New Roman" w:cs="Times New Roman"/>
                <w:color w:val="000000" w:themeColor="text1"/>
                <w14:textFill>
                  <w14:solidFill>
                    <w14:schemeClr w14:val="tx1"/>
                  </w14:solidFill>
                </w14:textFill>
              </w:rPr>
            </w:pPr>
            <w:bookmarkStart w:id="10" w:name="_Hlk164160116"/>
          </w:p>
        </w:tc>
        <w:tc>
          <w:tcPr>
            <w:tcW w:w="2920" w:type="dxa"/>
            <w:tcBorders>
              <w:top w:val="nil"/>
              <w:left w:val="nil"/>
              <w:bottom w:val="nil"/>
              <w:right w:val="nil"/>
            </w:tcBorders>
            <w:shd w:val="clear" w:color="auto" w:fill="auto"/>
            <w:noWrap/>
            <w:vAlign w:val="center"/>
          </w:tcPr>
          <w:p w14:paraId="1796D230">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AUC [95%CI]</w:t>
            </w:r>
          </w:p>
        </w:tc>
        <w:tc>
          <w:tcPr>
            <w:tcW w:w="3201" w:type="dxa"/>
            <w:tcBorders>
              <w:top w:val="nil"/>
              <w:left w:val="nil"/>
              <w:bottom w:val="nil"/>
              <w:right w:val="nil"/>
            </w:tcBorders>
            <w:shd w:val="clear" w:color="auto" w:fill="auto"/>
            <w:noWrap/>
            <w:vAlign w:val="center"/>
          </w:tcPr>
          <w:p w14:paraId="100A331D">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Accuracy [95%CI]</w:t>
            </w:r>
          </w:p>
        </w:tc>
        <w:tc>
          <w:tcPr>
            <w:tcW w:w="3201" w:type="dxa"/>
            <w:tcBorders>
              <w:top w:val="nil"/>
              <w:left w:val="nil"/>
              <w:bottom w:val="nil"/>
              <w:right w:val="nil"/>
            </w:tcBorders>
            <w:shd w:val="clear" w:color="auto" w:fill="auto"/>
            <w:noWrap/>
            <w:vAlign w:val="center"/>
          </w:tcPr>
          <w:p w14:paraId="7257916F">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Sensitivity [95%CI]</w:t>
            </w:r>
          </w:p>
        </w:tc>
        <w:tc>
          <w:tcPr>
            <w:tcW w:w="3051" w:type="dxa"/>
            <w:tcBorders>
              <w:top w:val="nil"/>
              <w:left w:val="nil"/>
              <w:bottom w:val="nil"/>
              <w:right w:val="nil"/>
            </w:tcBorders>
            <w:shd w:val="clear" w:color="auto" w:fill="auto"/>
            <w:noWrap/>
            <w:vAlign w:val="center"/>
          </w:tcPr>
          <w:p w14:paraId="24734E7B">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Specificity [95%CI]</w:t>
            </w:r>
          </w:p>
        </w:tc>
      </w:tr>
      <w:tr w14:paraId="42EE484A">
        <w:tblPrEx>
          <w:tblCellMar>
            <w:top w:w="0" w:type="dxa"/>
            <w:left w:w="108" w:type="dxa"/>
            <w:bottom w:w="0" w:type="dxa"/>
            <w:right w:w="108" w:type="dxa"/>
          </w:tblCellMar>
        </w:tblPrEx>
        <w:trPr>
          <w:trHeight w:val="352" w:hRule="atLeast"/>
        </w:trPr>
        <w:tc>
          <w:tcPr>
            <w:tcW w:w="15048" w:type="dxa"/>
            <w:gridSpan w:val="5"/>
            <w:tcBorders>
              <w:top w:val="nil"/>
              <w:left w:val="nil"/>
              <w:bottom w:val="nil"/>
              <w:right w:val="nil"/>
            </w:tcBorders>
            <w:shd w:val="clear" w:color="auto" w:fill="auto"/>
            <w:noWrap/>
            <w:vAlign w:val="center"/>
          </w:tcPr>
          <w:p w14:paraId="06F6BE46">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Juvenile group (</w:t>
            </w:r>
            <w:r>
              <w:rPr>
                <w:rFonts w:ascii="Times New Roman" w:hAnsi="Times New Roman" w:cs="Times New Roman"/>
                <w:color w:val="000000" w:themeColor="text1"/>
                <w:shd w:val="clear" w:color="auto" w:fill="FFFFFF"/>
                <w14:textFill>
                  <w14:solidFill>
                    <w14:schemeClr w14:val="tx1"/>
                  </w14:solidFill>
                </w14:textFill>
              </w:rPr>
              <w:t>≤</w:t>
            </w:r>
            <w:r>
              <w:rPr>
                <w:rFonts w:ascii="Times New Roman" w:hAnsi="Times New Roman" w:cs="Times New Roman"/>
                <w:b/>
                <w:bCs/>
                <w:color w:val="000000" w:themeColor="text1"/>
                <w14:textFill>
                  <w14:solidFill>
                    <w14:schemeClr w14:val="tx1"/>
                  </w14:solidFill>
                </w14:textFill>
              </w:rPr>
              <w:t xml:space="preserve"> 18 years)</w:t>
            </w:r>
          </w:p>
        </w:tc>
      </w:tr>
      <w:tr w14:paraId="330908BD">
        <w:tblPrEx>
          <w:tblCellMar>
            <w:top w:w="0" w:type="dxa"/>
            <w:left w:w="108" w:type="dxa"/>
            <w:bottom w:w="0" w:type="dxa"/>
            <w:right w:w="108" w:type="dxa"/>
          </w:tblCellMar>
        </w:tblPrEx>
        <w:trPr>
          <w:trHeight w:val="352" w:hRule="atLeast"/>
        </w:trPr>
        <w:tc>
          <w:tcPr>
            <w:tcW w:w="2675" w:type="dxa"/>
            <w:tcBorders>
              <w:top w:val="nil"/>
              <w:left w:val="nil"/>
              <w:bottom w:val="nil"/>
              <w:right w:val="nil"/>
            </w:tcBorders>
            <w:shd w:val="clear" w:color="auto" w:fill="auto"/>
            <w:noWrap/>
            <w:vAlign w:val="center"/>
          </w:tcPr>
          <w:p w14:paraId="4A5815F3">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MB-CNN_TP53 (n=11)</w:t>
            </w:r>
          </w:p>
        </w:tc>
        <w:tc>
          <w:tcPr>
            <w:tcW w:w="2920" w:type="dxa"/>
            <w:tcBorders>
              <w:top w:val="nil"/>
              <w:left w:val="nil"/>
              <w:bottom w:val="nil"/>
              <w:right w:val="nil"/>
            </w:tcBorders>
            <w:shd w:val="clear" w:color="auto" w:fill="auto"/>
            <w:noWrap/>
            <w:vAlign w:val="center"/>
          </w:tcPr>
          <w:p w14:paraId="304EE7AA">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0.888 [0.745 - 1.000]</w:t>
            </w:r>
          </w:p>
        </w:tc>
        <w:tc>
          <w:tcPr>
            <w:tcW w:w="3201" w:type="dxa"/>
            <w:tcBorders>
              <w:top w:val="nil"/>
              <w:left w:val="nil"/>
              <w:bottom w:val="nil"/>
              <w:right w:val="nil"/>
            </w:tcBorders>
            <w:shd w:val="clear" w:color="auto" w:fill="auto"/>
            <w:noWrap/>
            <w:vAlign w:val="center"/>
          </w:tcPr>
          <w:p w14:paraId="5E1A3D2C">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83.33% [66.67% - 95.83%]</w:t>
            </w:r>
          </w:p>
        </w:tc>
        <w:tc>
          <w:tcPr>
            <w:tcW w:w="3201" w:type="dxa"/>
            <w:tcBorders>
              <w:top w:val="nil"/>
              <w:left w:val="nil"/>
              <w:bottom w:val="nil"/>
              <w:right w:val="nil"/>
            </w:tcBorders>
            <w:shd w:val="clear" w:color="auto" w:fill="auto"/>
            <w:noWrap/>
            <w:vAlign w:val="center"/>
          </w:tcPr>
          <w:p w14:paraId="2FA9A7B6">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81.82% [54.55% - 100.00%]</w:t>
            </w:r>
          </w:p>
        </w:tc>
        <w:tc>
          <w:tcPr>
            <w:tcW w:w="3051" w:type="dxa"/>
            <w:tcBorders>
              <w:top w:val="nil"/>
              <w:left w:val="nil"/>
              <w:bottom w:val="nil"/>
              <w:right w:val="nil"/>
            </w:tcBorders>
            <w:shd w:val="clear" w:color="auto" w:fill="auto"/>
            <w:noWrap/>
            <w:vAlign w:val="center"/>
          </w:tcPr>
          <w:p w14:paraId="1A93CC15">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84.62% [61.54% - 100.00%]</w:t>
            </w:r>
          </w:p>
        </w:tc>
      </w:tr>
      <w:tr w14:paraId="446EA04B">
        <w:tblPrEx>
          <w:tblCellMar>
            <w:top w:w="0" w:type="dxa"/>
            <w:left w:w="108" w:type="dxa"/>
            <w:bottom w:w="0" w:type="dxa"/>
            <w:right w:w="108" w:type="dxa"/>
          </w:tblCellMar>
        </w:tblPrEx>
        <w:trPr>
          <w:trHeight w:val="352" w:hRule="atLeast"/>
        </w:trPr>
        <w:tc>
          <w:tcPr>
            <w:tcW w:w="2675" w:type="dxa"/>
            <w:tcBorders>
              <w:top w:val="nil"/>
              <w:left w:val="nil"/>
              <w:bottom w:val="nil"/>
              <w:right w:val="nil"/>
            </w:tcBorders>
            <w:shd w:val="clear" w:color="auto" w:fill="auto"/>
            <w:noWrap/>
            <w:vAlign w:val="center"/>
          </w:tcPr>
          <w:p w14:paraId="7CA0FC98">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MB-CNN_MYC (n=40)</w:t>
            </w:r>
          </w:p>
        </w:tc>
        <w:tc>
          <w:tcPr>
            <w:tcW w:w="2920" w:type="dxa"/>
            <w:tcBorders>
              <w:top w:val="nil"/>
              <w:left w:val="nil"/>
              <w:bottom w:val="nil"/>
              <w:right w:val="nil"/>
            </w:tcBorders>
            <w:shd w:val="clear" w:color="auto" w:fill="auto"/>
            <w:noWrap/>
            <w:vAlign w:val="center"/>
          </w:tcPr>
          <w:p w14:paraId="47074D6D">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0.909 [0.796 - 0.950]</w:t>
            </w:r>
          </w:p>
        </w:tc>
        <w:tc>
          <w:tcPr>
            <w:tcW w:w="3201" w:type="dxa"/>
            <w:tcBorders>
              <w:top w:val="nil"/>
              <w:left w:val="nil"/>
              <w:bottom w:val="nil"/>
              <w:right w:val="nil"/>
            </w:tcBorders>
            <w:shd w:val="clear" w:color="auto" w:fill="auto"/>
            <w:noWrap/>
            <w:vAlign w:val="center"/>
          </w:tcPr>
          <w:p w14:paraId="7E323253">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86.96% [73.91% - 100.00%]</w:t>
            </w:r>
          </w:p>
        </w:tc>
        <w:tc>
          <w:tcPr>
            <w:tcW w:w="3201" w:type="dxa"/>
            <w:tcBorders>
              <w:top w:val="nil"/>
              <w:left w:val="nil"/>
              <w:bottom w:val="nil"/>
              <w:right w:val="nil"/>
            </w:tcBorders>
            <w:shd w:val="clear" w:color="auto" w:fill="auto"/>
            <w:noWrap/>
            <w:vAlign w:val="center"/>
          </w:tcPr>
          <w:p w14:paraId="66C19149">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84.62% [61.54% - 100.00%]</w:t>
            </w:r>
          </w:p>
        </w:tc>
        <w:tc>
          <w:tcPr>
            <w:tcW w:w="3051" w:type="dxa"/>
            <w:tcBorders>
              <w:top w:val="nil"/>
              <w:left w:val="nil"/>
              <w:bottom w:val="nil"/>
              <w:right w:val="nil"/>
            </w:tcBorders>
            <w:shd w:val="clear" w:color="auto" w:fill="auto"/>
            <w:noWrap/>
            <w:vAlign w:val="center"/>
          </w:tcPr>
          <w:p w14:paraId="2AEF9688">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90.00% [70.00% - 100.00%]</w:t>
            </w:r>
          </w:p>
        </w:tc>
      </w:tr>
      <w:tr w14:paraId="28E35BF7">
        <w:tblPrEx>
          <w:tblCellMar>
            <w:top w:w="0" w:type="dxa"/>
            <w:left w:w="108" w:type="dxa"/>
            <w:bottom w:w="0" w:type="dxa"/>
            <w:right w:w="108" w:type="dxa"/>
          </w:tblCellMar>
        </w:tblPrEx>
        <w:trPr>
          <w:trHeight w:val="352" w:hRule="atLeast"/>
        </w:trPr>
        <w:tc>
          <w:tcPr>
            <w:tcW w:w="2675" w:type="dxa"/>
            <w:tcBorders>
              <w:top w:val="nil"/>
              <w:left w:val="nil"/>
              <w:bottom w:val="nil"/>
              <w:right w:val="nil"/>
            </w:tcBorders>
            <w:shd w:val="clear" w:color="auto" w:fill="auto"/>
            <w:noWrap/>
            <w:vAlign w:val="center"/>
          </w:tcPr>
          <w:p w14:paraId="6308429F">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MB-CNN_Chr11 (n=29)</w:t>
            </w:r>
          </w:p>
        </w:tc>
        <w:tc>
          <w:tcPr>
            <w:tcW w:w="2920" w:type="dxa"/>
            <w:tcBorders>
              <w:top w:val="nil"/>
              <w:left w:val="nil"/>
              <w:bottom w:val="nil"/>
              <w:right w:val="nil"/>
            </w:tcBorders>
            <w:shd w:val="clear" w:color="auto" w:fill="auto"/>
            <w:noWrap/>
            <w:vAlign w:val="center"/>
          </w:tcPr>
          <w:p w14:paraId="4EF0C4BF">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0.936 [0.856 - 1.000]</w:t>
            </w:r>
          </w:p>
        </w:tc>
        <w:tc>
          <w:tcPr>
            <w:tcW w:w="3201" w:type="dxa"/>
            <w:tcBorders>
              <w:top w:val="nil"/>
              <w:left w:val="nil"/>
              <w:bottom w:val="nil"/>
              <w:right w:val="nil"/>
            </w:tcBorders>
            <w:shd w:val="clear" w:color="auto" w:fill="auto"/>
            <w:noWrap/>
            <w:vAlign w:val="center"/>
          </w:tcPr>
          <w:p w14:paraId="05B8BE50">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92.11% [81.58% - 100.00%]</w:t>
            </w:r>
          </w:p>
        </w:tc>
        <w:tc>
          <w:tcPr>
            <w:tcW w:w="3201" w:type="dxa"/>
            <w:tcBorders>
              <w:top w:val="nil"/>
              <w:left w:val="nil"/>
              <w:bottom w:val="nil"/>
              <w:right w:val="nil"/>
            </w:tcBorders>
            <w:shd w:val="clear" w:color="auto" w:fill="auto"/>
            <w:noWrap/>
            <w:vAlign w:val="center"/>
          </w:tcPr>
          <w:p w14:paraId="1B69BE42">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88.89% [72.22% - 100.00%]</w:t>
            </w:r>
          </w:p>
        </w:tc>
        <w:tc>
          <w:tcPr>
            <w:tcW w:w="3051" w:type="dxa"/>
            <w:tcBorders>
              <w:top w:val="nil"/>
              <w:left w:val="nil"/>
              <w:bottom w:val="nil"/>
              <w:right w:val="nil"/>
            </w:tcBorders>
            <w:shd w:val="clear" w:color="auto" w:fill="auto"/>
            <w:noWrap/>
            <w:vAlign w:val="center"/>
          </w:tcPr>
          <w:p w14:paraId="42B4B07C">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95.00% [85.00% - 100.00%]</w:t>
            </w:r>
          </w:p>
        </w:tc>
      </w:tr>
      <w:tr w14:paraId="3B0A825E">
        <w:tblPrEx>
          <w:tblCellMar>
            <w:top w:w="0" w:type="dxa"/>
            <w:left w:w="108" w:type="dxa"/>
            <w:bottom w:w="0" w:type="dxa"/>
            <w:right w:w="108" w:type="dxa"/>
          </w:tblCellMar>
        </w:tblPrEx>
        <w:trPr>
          <w:trHeight w:val="352" w:hRule="atLeast"/>
        </w:trPr>
        <w:tc>
          <w:tcPr>
            <w:tcW w:w="15048" w:type="dxa"/>
            <w:gridSpan w:val="5"/>
            <w:tcBorders>
              <w:top w:val="nil"/>
              <w:left w:val="nil"/>
              <w:bottom w:val="nil"/>
              <w:right w:val="nil"/>
            </w:tcBorders>
            <w:shd w:val="clear" w:color="auto" w:fill="auto"/>
            <w:noWrap/>
            <w:vAlign w:val="center"/>
          </w:tcPr>
          <w:p w14:paraId="354BE12E">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Adult group (&gt;18 years)</w:t>
            </w:r>
          </w:p>
        </w:tc>
      </w:tr>
      <w:tr w14:paraId="40DCF712">
        <w:tblPrEx>
          <w:tblCellMar>
            <w:top w:w="0" w:type="dxa"/>
            <w:left w:w="108" w:type="dxa"/>
            <w:bottom w:w="0" w:type="dxa"/>
            <w:right w:w="108" w:type="dxa"/>
          </w:tblCellMar>
        </w:tblPrEx>
        <w:trPr>
          <w:trHeight w:val="352" w:hRule="atLeast"/>
        </w:trPr>
        <w:tc>
          <w:tcPr>
            <w:tcW w:w="2675" w:type="dxa"/>
            <w:tcBorders>
              <w:top w:val="nil"/>
              <w:left w:val="nil"/>
              <w:bottom w:val="nil"/>
              <w:right w:val="nil"/>
            </w:tcBorders>
            <w:shd w:val="clear" w:color="auto" w:fill="auto"/>
            <w:noWrap/>
            <w:vAlign w:val="center"/>
          </w:tcPr>
          <w:p w14:paraId="1D383621">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MB-CNN_TP53 (n=8)</w:t>
            </w:r>
          </w:p>
        </w:tc>
        <w:tc>
          <w:tcPr>
            <w:tcW w:w="2920" w:type="dxa"/>
            <w:tcBorders>
              <w:top w:val="nil"/>
              <w:left w:val="nil"/>
              <w:bottom w:val="nil"/>
              <w:right w:val="nil"/>
            </w:tcBorders>
            <w:shd w:val="clear" w:color="auto" w:fill="auto"/>
            <w:noWrap/>
            <w:vAlign w:val="center"/>
          </w:tcPr>
          <w:p w14:paraId="10814BA2">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0.877 [0.689 - 1.000]</w:t>
            </w:r>
          </w:p>
        </w:tc>
        <w:tc>
          <w:tcPr>
            <w:tcW w:w="3201" w:type="dxa"/>
            <w:tcBorders>
              <w:top w:val="nil"/>
              <w:left w:val="nil"/>
              <w:bottom w:val="nil"/>
              <w:right w:val="nil"/>
            </w:tcBorders>
            <w:shd w:val="clear" w:color="auto" w:fill="auto"/>
            <w:noWrap/>
            <w:vAlign w:val="center"/>
          </w:tcPr>
          <w:p w14:paraId="4B3F4FCE">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82.61% [65.22% - 95.65%]</w:t>
            </w:r>
          </w:p>
        </w:tc>
        <w:tc>
          <w:tcPr>
            <w:tcW w:w="3201" w:type="dxa"/>
            <w:tcBorders>
              <w:top w:val="nil"/>
              <w:left w:val="nil"/>
              <w:bottom w:val="nil"/>
              <w:right w:val="nil"/>
            </w:tcBorders>
            <w:shd w:val="clear" w:color="auto" w:fill="auto"/>
            <w:noWrap/>
            <w:vAlign w:val="center"/>
          </w:tcPr>
          <w:p w14:paraId="56E57663">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80.00% [53.85% - 100.00%]</w:t>
            </w:r>
          </w:p>
        </w:tc>
        <w:tc>
          <w:tcPr>
            <w:tcW w:w="3051" w:type="dxa"/>
            <w:tcBorders>
              <w:top w:val="nil"/>
              <w:left w:val="nil"/>
              <w:bottom w:val="nil"/>
              <w:right w:val="nil"/>
            </w:tcBorders>
            <w:shd w:val="clear" w:color="auto" w:fill="auto"/>
            <w:noWrap/>
            <w:vAlign w:val="center"/>
          </w:tcPr>
          <w:p w14:paraId="3BFBAB07">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84.62% [62.50% - 100.00%]</w:t>
            </w:r>
          </w:p>
        </w:tc>
      </w:tr>
      <w:tr w14:paraId="2BCF71B9">
        <w:tblPrEx>
          <w:tblCellMar>
            <w:top w:w="0" w:type="dxa"/>
            <w:left w:w="108" w:type="dxa"/>
            <w:bottom w:w="0" w:type="dxa"/>
            <w:right w:w="108" w:type="dxa"/>
          </w:tblCellMar>
        </w:tblPrEx>
        <w:trPr>
          <w:trHeight w:val="352" w:hRule="atLeast"/>
        </w:trPr>
        <w:tc>
          <w:tcPr>
            <w:tcW w:w="2675" w:type="dxa"/>
            <w:tcBorders>
              <w:top w:val="nil"/>
              <w:left w:val="nil"/>
              <w:right w:val="nil"/>
            </w:tcBorders>
            <w:shd w:val="clear" w:color="auto" w:fill="auto"/>
            <w:noWrap/>
            <w:vAlign w:val="center"/>
          </w:tcPr>
          <w:p w14:paraId="77FF4AF9">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MB-CNN_MYC (n=5)</w:t>
            </w:r>
          </w:p>
        </w:tc>
        <w:tc>
          <w:tcPr>
            <w:tcW w:w="2920" w:type="dxa"/>
            <w:tcBorders>
              <w:top w:val="nil"/>
              <w:left w:val="nil"/>
              <w:right w:val="nil"/>
            </w:tcBorders>
            <w:shd w:val="clear" w:color="auto" w:fill="auto"/>
            <w:noWrap/>
            <w:vAlign w:val="center"/>
          </w:tcPr>
          <w:p w14:paraId="17EC1FB5">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0.915 [0.770 - 1.000]</w:t>
            </w:r>
          </w:p>
        </w:tc>
        <w:tc>
          <w:tcPr>
            <w:tcW w:w="3201" w:type="dxa"/>
            <w:tcBorders>
              <w:top w:val="nil"/>
              <w:left w:val="nil"/>
              <w:right w:val="nil"/>
            </w:tcBorders>
            <w:shd w:val="clear" w:color="auto" w:fill="auto"/>
            <w:noWrap/>
            <w:vAlign w:val="center"/>
          </w:tcPr>
          <w:p w14:paraId="58890FEF">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86.96% [69.57% - 100.00%]</w:t>
            </w:r>
          </w:p>
        </w:tc>
        <w:tc>
          <w:tcPr>
            <w:tcW w:w="3201" w:type="dxa"/>
            <w:tcBorders>
              <w:top w:val="nil"/>
              <w:left w:val="nil"/>
              <w:right w:val="nil"/>
            </w:tcBorders>
            <w:shd w:val="clear" w:color="auto" w:fill="auto"/>
            <w:noWrap/>
            <w:vAlign w:val="center"/>
          </w:tcPr>
          <w:p w14:paraId="1D3531F9">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84.62% [61.54% - 100.00%]</w:t>
            </w:r>
          </w:p>
        </w:tc>
        <w:tc>
          <w:tcPr>
            <w:tcW w:w="3051" w:type="dxa"/>
            <w:tcBorders>
              <w:top w:val="nil"/>
              <w:left w:val="nil"/>
              <w:right w:val="nil"/>
            </w:tcBorders>
            <w:shd w:val="clear" w:color="auto" w:fill="auto"/>
            <w:noWrap/>
            <w:vAlign w:val="center"/>
          </w:tcPr>
          <w:p w14:paraId="1CCAD163">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90.00% [66.67% - 100.00%]</w:t>
            </w:r>
          </w:p>
        </w:tc>
      </w:tr>
      <w:tr w14:paraId="4DEB1F8D">
        <w:tblPrEx>
          <w:tblCellMar>
            <w:top w:w="0" w:type="dxa"/>
            <w:left w:w="108" w:type="dxa"/>
            <w:bottom w:w="0" w:type="dxa"/>
            <w:right w:w="108" w:type="dxa"/>
          </w:tblCellMar>
        </w:tblPrEx>
        <w:trPr>
          <w:trHeight w:val="352" w:hRule="atLeast"/>
        </w:trPr>
        <w:tc>
          <w:tcPr>
            <w:tcW w:w="2675" w:type="dxa"/>
            <w:tcBorders>
              <w:top w:val="nil"/>
              <w:left w:val="nil"/>
              <w:bottom w:val="single" w:color="auto" w:sz="4" w:space="0"/>
              <w:right w:val="nil"/>
            </w:tcBorders>
            <w:shd w:val="clear" w:color="auto" w:fill="auto"/>
            <w:noWrap/>
            <w:vAlign w:val="center"/>
          </w:tcPr>
          <w:p w14:paraId="504A86DF">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MB-CNN_Chr11 (n=10)</w:t>
            </w:r>
          </w:p>
        </w:tc>
        <w:tc>
          <w:tcPr>
            <w:tcW w:w="2920" w:type="dxa"/>
            <w:tcBorders>
              <w:top w:val="nil"/>
              <w:left w:val="nil"/>
              <w:bottom w:val="single" w:color="auto" w:sz="4" w:space="0"/>
              <w:right w:val="nil"/>
            </w:tcBorders>
            <w:shd w:val="clear" w:color="auto" w:fill="auto"/>
            <w:noWrap/>
            <w:vAlign w:val="center"/>
          </w:tcPr>
          <w:p w14:paraId="5624E97C">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0.947 [0.810 - 1.000]</w:t>
            </w:r>
          </w:p>
        </w:tc>
        <w:tc>
          <w:tcPr>
            <w:tcW w:w="3201" w:type="dxa"/>
            <w:tcBorders>
              <w:top w:val="nil"/>
              <w:left w:val="nil"/>
              <w:bottom w:val="single" w:color="auto" w:sz="4" w:space="0"/>
              <w:right w:val="nil"/>
            </w:tcBorders>
            <w:shd w:val="clear" w:color="auto" w:fill="auto"/>
            <w:noWrap/>
            <w:vAlign w:val="center"/>
          </w:tcPr>
          <w:p w14:paraId="611E1708">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91.30% [78.26% - 100.00%]</w:t>
            </w:r>
          </w:p>
        </w:tc>
        <w:tc>
          <w:tcPr>
            <w:tcW w:w="3201" w:type="dxa"/>
            <w:tcBorders>
              <w:top w:val="nil"/>
              <w:left w:val="nil"/>
              <w:bottom w:val="single" w:color="auto" w:sz="4" w:space="0"/>
              <w:right w:val="nil"/>
            </w:tcBorders>
            <w:shd w:val="clear" w:color="auto" w:fill="auto"/>
            <w:noWrap/>
            <w:vAlign w:val="center"/>
          </w:tcPr>
          <w:p w14:paraId="5A6677B4">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91.67% [73.33% - 100.00%]</w:t>
            </w:r>
          </w:p>
        </w:tc>
        <w:tc>
          <w:tcPr>
            <w:tcW w:w="3051" w:type="dxa"/>
            <w:tcBorders>
              <w:top w:val="nil"/>
              <w:left w:val="nil"/>
              <w:bottom w:val="single" w:color="auto" w:sz="4" w:space="0"/>
              <w:right w:val="nil"/>
            </w:tcBorders>
            <w:shd w:val="clear" w:color="auto" w:fill="auto"/>
            <w:noWrap/>
            <w:vAlign w:val="center"/>
          </w:tcPr>
          <w:p w14:paraId="280B2084">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90.91% [69.23% - 100.00%]</w:t>
            </w:r>
          </w:p>
        </w:tc>
      </w:tr>
      <w:bookmarkEnd w:id="10"/>
    </w:tbl>
    <w:p w14:paraId="50263585">
      <w:pPr>
        <w:spacing w:line="480" w:lineRule="auto"/>
        <w:jc w:val="both"/>
        <w:rPr>
          <w:rFonts w:ascii="Times New Roman" w:hAnsi="Times New Roman" w:cs="Times New Roman"/>
          <w:color w:val="000000" w:themeColor="text1"/>
          <w14:textFill>
            <w14:solidFill>
              <w14:schemeClr w14:val="tx1"/>
            </w14:solidFill>
          </w14:textFill>
        </w:rPr>
      </w:pPr>
    </w:p>
    <w:p w14:paraId="64E00C3A">
      <w:pPr>
        <w:spacing w:line="480" w:lineRule="auto"/>
        <w:jc w:val="both"/>
        <w:rPr>
          <w:rFonts w:ascii="Times New Roman" w:hAnsi="Times New Roman" w:cs="Times New Roman"/>
          <w:b/>
          <w:bCs/>
          <w:i/>
          <w:iCs/>
          <w:color w:val="000000" w:themeColor="text1"/>
          <w14:textFill>
            <w14:solidFill>
              <w14:schemeClr w14:val="tx1"/>
            </w14:solidFill>
          </w14:textFill>
        </w:rPr>
        <w:sectPr>
          <w:pgSz w:w="16838" w:h="11906" w:orient="landscape"/>
          <w:pgMar w:top="1800" w:right="1440" w:bottom="1800" w:left="1440" w:header="851" w:footer="992" w:gutter="0"/>
          <w:cols w:space="425" w:num="1"/>
          <w:docGrid w:type="lines" w:linePitch="326" w:charSpace="0"/>
        </w:sectPr>
      </w:pPr>
    </w:p>
    <w:p w14:paraId="6C42DB68">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Supplementary Figure 1.</w:t>
      </w:r>
      <w:r>
        <w:rPr>
          <w:rFonts w:ascii="Times New Roman" w:hAnsi="Times New Roman" w:cs="Times New Roman"/>
          <w:color w:val="000000" w:themeColor="text1"/>
          <w14:textFill>
            <w14:solidFill>
              <w14:schemeClr w14:val="tx1"/>
            </w14:solidFill>
          </w14:textFill>
        </w:rPr>
        <w:t xml:space="preserve"> The proportion of manufactures in different datasets.</w:t>
      </w:r>
    </w:p>
    <w:p w14:paraId="369D3ACC">
      <w:pPr>
        <w:spacing w:line="480" w:lineRule="auto"/>
        <w:jc w:val="both"/>
        <w:rPr>
          <w:rFonts w:ascii="Times New Roman" w:hAnsi="Times New Roman" w:cs="Times New Roman"/>
          <w:color w:val="000000" w:themeColor="text1"/>
          <w14:textFill>
            <w14:solidFill>
              <w14:schemeClr w14:val="tx1"/>
            </w14:solidFill>
          </w14:textFill>
        </w:rPr>
      </w:pPr>
    </w:p>
    <w:p w14:paraId="48E581B2">
      <w:pPr>
        <w:spacing w:line="480" w:lineRule="auto"/>
        <w:ind w:left="-850" w:leftChars="-354"/>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8461375" cy="3722370"/>
            <wp:effectExtent l="0" t="0" r="0" b="0"/>
            <wp:docPr id="7" name="图片 7" descr="manufa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anufacture"/>
                    <pic:cNvPicPr>
                      <a:picLocks noChangeAspect="1"/>
                    </pic:cNvPicPr>
                  </pic:nvPicPr>
                  <pic:blipFill>
                    <a:blip r:embed="rId4"/>
                    <a:stretch>
                      <a:fillRect/>
                    </a:stretch>
                  </pic:blipFill>
                  <pic:spPr>
                    <a:xfrm>
                      <a:off x="0" y="0"/>
                      <a:ext cx="8506359" cy="3742429"/>
                    </a:xfrm>
                    <a:prstGeom prst="rect">
                      <a:avLst/>
                    </a:prstGeom>
                  </pic:spPr>
                </pic:pic>
              </a:graphicData>
            </a:graphic>
          </wp:inline>
        </w:drawing>
      </w:r>
    </w:p>
    <w:p w14:paraId="27AD757D">
      <w:pPr>
        <w:spacing w:line="480" w:lineRule="auto"/>
        <w:jc w:val="both"/>
        <w:rPr>
          <w:rFonts w:ascii="Times New Roman" w:hAnsi="Times New Roman" w:cs="Times New Roman"/>
          <w:b/>
          <w:bCs/>
          <w:i/>
          <w:iCs/>
          <w:color w:val="000000" w:themeColor="text1"/>
          <w14:textFill>
            <w14:solidFill>
              <w14:schemeClr w14:val="tx1"/>
            </w14:solidFill>
          </w14:textFill>
        </w:rPr>
      </w:pPr>
    </w:p>
    <w:p w14:paraId="4480FE7F">
      <w:pPr>
        <w:spacing w:line="480" w:lineRule="auto"/>
        <w:jc w:val="both"/>
        <w:rPr>
          <w:rFonts w:ascii="Times New Roman" w:hAnsi="Times New Roman" w:cs="Times New Roman"/>
          <w:b/>
          <w:bCs/>
          <w:i/>
          <w:iCs/>
          <w:color w:val="000000" w:themeColor="text1"/>
          <w14:textFill>
            <w14:solidFill>
              <w14:schemeClr w14:val="tx1"/>
            </w14:solidFill>
          </w14:textFill>
        </w:rPr>
        <w:sectPr>
          <w:pgSz w:w="16838" w:h="11906" w:orient="landscape"/>
          <w:pgMar w:top="1800" w:right="1440" w:bottom="1800" w:left="1440" w:header="851" w:footer="992" w:gutter="0"/>
          <w:cols w:space="425" w:num="1"/>
          <w:docGrid w:type="lines" w:linePitch="326" w:charSpace="0"/>
        </w:sectPr>
      </w:pPr>
    </w:p>
    <w:p w14:paraId="23B02FEC">
      <w:pPr>
        <w:spacing w:line="48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i/>
          <w:iCs/>
          <w:color w:val="000000" w:themeColor="text1"/>
          <w14:textFill>
            <w14:solidFill>
              <w14:schemeClr w14:val="tx1"/>
            </w14:solidFill>
          </w14:textFill>
        </w:rPr>
        <w:t>Supplementary Figure 2.</w:t>
      </w:r>
      <w:r>
        <w:rPr>
          <w:rFonts w:ascii="Times New Roman" w:hAnsi="Times New Roman" w:cs="Times New Roman"/>
          <w:color w:val="000000" w:themeColor="text1"/>
          <w14:textFill>
            <w14:solidFill>
              <w14:schemeClr w14:val="tx1"/>
            </w14:solidFill>
          </w14:textFill>
        </w:rPr>
        <w:t xml:space="preserve"> The area under ROC curve, accuracy, sensitivity, and specificity of different algorithms.</w:t>
      </w:r>
    </w:p>
    <w:p w14:paraId="392B25C9">
      <w:pPr>
        <w:spacing w:line="480" w:lineRule="auto"/>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object>
          <v:shape id="_x0000_i1025" o:spt="75" type="#_x0000_t75" style="height:232.5pt;width:430.25pt;" o:ole="t" filled="f" o:preferrelative="t" stroked="f" coordsize="21600,21600">
            <v:path/>
            <v:fill on="f" focussize="0,0"/>
            <v:stroke on="f" joinstyle="miter"/>
            <v:imagedata r:id="rId6" o:title="oleimage"/>
            <o:lock v:ext="edit" aspectratio="t"/>
            <w10:wrap type="none"/>
            <w10:anchorlock/>
          </v:shape>
          <o:OLEObject Type="Embed" ProgID="Package" ShapeID="_x0000_i1025" DrawAspect="Content" ObjectID="_1468075725" r:id="rId5">
            <o:LockedField>false</o:LockedField>
          </o:OLEObject>
        </w:object>
      </w:r>
    </w:p>
    <w:p w14:paraId="47555A93">
      <w:pPr>
        <w:spacing w:line="480" w:lineRule="auto"/>
        <w:jc w:val="both"/>
        <w:rPr>
          <w:rFonts w:ascii="Times New Roman" w:hAnsi="Times New Roman" w:cs="Times New Roman"/>
          <w:b/>
          <w:bCs/>
          <w:i/>
          <w:iCs/>
          <w:color w:val="000000" w:themeColor="text1"/>
          <w14:textFill>
            <w14:solidFill>
              <w14:schemeClr w14:val="tx1"/>
            </w14:solidFill>
          </w14:textFill>
        </w:rPr>
      </w:pPr>
    </w:p>
    <w:p w14:paraId="308088FA">
      <w:pPr>
        <w:spacing w:line="480" w:lineRule="auto"/>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References</w:t>
      </w:r>
    </w:p>
    <w:p w14:paraId="3511A706">
      <w:pPr>
        <w:pStyle w:val="34"/>
        <w:ind w:left="720" w:hanging="720"/>
        <w:rPr>
          <w:rFonts w:ascii="Times New Roman" w:hAnsi="Times New Roman" w:cs="Times New Roman"/>
          <w:sz w:val="22"/>
          <w:szCs w:val="22"/>
        </w:rPr>
      </w:pPr>
      <w:r>
        <w:rPr>
          <w:rFonts w:ascii="Times New Roman" w:hAnsi="Times New Roman" w:cs="Times New Roman"/>
          <w:color w:val="000000" w:themeColor="text1"/>
          <w:sz w:val="22"/>
          <w:szCs w:val="22"/>
          <w14:textFill>
            <w14:solidFill>
              <w14:schemeClr w14:val="tx1"/>
            </w14:solidFill>
          </w14:textFill>
        </w:rPr>
        <w:fldChar w:fldCharType="begin"/>
      </w:r>
      <w:r>
        <w:rPr>
          <w:rFonts w:ascii="Times New Roman" w:hAnsi="Times New Roman" w:cs="Times New Roman"/>
          <w:color w:val="000000" w:themeColor="text1"/>
          <w:sz w:val="22"/>
          <w:szCs w:val="22"/>
          <w14:textFill>
            <w14:solidFill>
              <w14:schemeClr w14:val="tx1"/>
            </w14:solidFill>
          </w14:textFill>
        </w:rPr>
        <w:instrText xml:space="preserve"> ADDIN EN.REFLIST </w:instrText>
      </w:r>
      <w:r>
        <w:rPr>
          <w:rFonts w:ascii="Times New Roman" w:hAnsi="Times New Roman" w:cs="Times New Roman"/>
          <w:color w:val="000000" w:themeColor="text1"/>
          <w:sz w:val="22"/>
          <w:szCs w:val="22"/>
          <w14:textFill>
            <w14:solidFill>
              <w14:schemeClr w14:val="tx1"/>
            </w14:solidFill>
          </w14:textFill>
        </w:rPr>
        <w:fldChar w:fldCharType="separate"/>
      </w:r>
      <w:r>
        <w:rPr>
          <w:rFonts w:ascii="Times New Roman" w:hAnsi="Times New Roman" w:cs="Times New Roman"/>
          <w:b/>
          <w:sz w:val="22"/>
          <w:szCs w:val="22"/>
        </w:rPr>
        <w:t>1.</w:t>
      </w:r>
      <w:r>
        <w:rPr>
          <w:rFonts w:ascii="Times New Roman" w:hAnsi="Times New Roman" w:cs="Times New Roman"/>
          <w:sz w:val="22"/>
          <w:szCs w:val="22"/>
        </w:rPr>
        <w:tab/>
      </w:r>
      <w:r>
        <w:rPr>
          <w:rFonts w:ascii="Times New Roman" w:hAnsi="Times New Roman" w:cs="Times New Roman"/>
          <w:sz w:val="22"/>
          <w:szCs w:val="22"/>
        </w:rPr>
        <w:t xml:space="preserve">Davies MN, Volta M, Pidsley R, et al. Functional annotation of the human brain methylome identifies tissue-specific epigenetic variation across brain and blood. </w:t>
      </w:r>
      <w:r>
        <w:rPr>
          <w:rFonts w:ascii="Times New Roman" w:hAnsi="Times New Roman" w:cs="Times New Roman"/>
          <w:i/>
          <w:sz w:val="22"/>
          <w:szCs w:val="22"/>
        </w:rPr>
        <w:t xml:space="preserve">Genome Biol. </w:t>
      </w:r>
      <w:r>
        <w:rPr>
          <w:rFonts w:ascii="Times New Roman" w:hAnsi="Times New Roman" w:cs="Times New Roman"/>
          <w:sz w:val="22"/>
          <w:szCs w:val="22"/>
        </w:rPr>
        <w:t>2012; 13(6):R43.</w:t>
      </w:r>
    </w:p>
    <w:p w14:paraId="33DEE573">
      <w:pPr>
        <w:pStyle w:val="34"/>
        <w:ind w:left="720" w:hanging="720"/>
        <w:rPr>
          <w:rFonts w:ascii="Times New Roman" w:hAnsi="Times New Roman" w:cs="Times New Roman"/>
          <w:sz w:val="22"/>
          <w:szCs w:val="22"/>
        </w:rPr>
      </w:pPr>
      <w:r>
        <w:rPr>
          <w:rFonts w:ascii="Times New Roman" w:hAnsi="Times New Roman" w:cs="Times New Roman"/>
          <w:b/>
          <w:sz w:val="22"/>
          <w:szCs w:val="22"/>
        </w:rPr>
        <w:t>2.</w:t>
      </w:r>
      <w:r>
        <w:rPr>
          <w:rFonts w:ascii="Times New Roman" w:hAnsi="Times New Roman" w:cs="Times New Roman"/>
          <w:sz w:val="22"/>
          <w:szCs w:val="22"/>
        </w:rPr>
        <w:tab/>
      </w:r>
      <w:r>
        <w:rPr>
          <w:rFonts w:ascii="Times New Roman" w:hAnsi="Times New Roman" w:cs="Times New Roman"/>
          <w:sz w:val="22"/>
          <w:szCs w:val="22"/>
        </w:rPr>
        <w:t xml:space="preserve">Zhukova N, Ramaswamy V, Remke M, et al. Subgroup-specific prognostic implications of TP53 mutation in medulloblastoma. </w:t>
      </w:r>
      <w:r>
        <w:rPr>
          <w:rFonts w:ascii="Times New Roman" w:hAnsi="Times New Roman" w:cs="Times New Roman"/>
          <w:i/>
          <w:sz w:val="22"/>
          <w:szCs w:val="22"/>
        </w:rPr>
        <w:t xml:space="preserve">J Clin Oncol. </w:t>
      </w:r>
      <w:r>
        <w:rPr>
          <w:rFonts w:ascii="Times New Roman" w:hAnsi="Times New Roman" w:cs="Times New Roman"/>
          <w:sz w:val="22"/>
          <w:szCs w:val="22"/>
        </w:rPr>
        <w:t>2013; 31(23):2927-2935.</w:t>
      </w:r>
    </w:p>
    <w:p w14:paraId="0D071252">
      <w:pPr>
        <w:pStyle w:val="34"/>
        <w:ind w:left="720" w:hanging="720"/>
        <w:rPr>
          <w:rFonts w:ascii="Times New Roman" w:hAnsi="Times New Roman" w:cs="Times New Roman"/>
          <w:sz w:val="22"/>
          <w:szCs w:val="22"/>
        </w:rPr>
      </w:pPr>
      <w:r>
        <w:rPr>
          <w:rFonts w:ascii="Times New Roman" w:hAnsi="Times New Roman" w:cs="Times New Roman"/>
          <w:b/>
          <w:sz w:val="22"/>
          <w:szCs w:val="22"/>
        </w:rPr>
        <w:t>3.</w:t>
      </w:r>
      <w:r>
        <w:rPr>
          <w:rFonts w:ascii="Times New Roman" w:hAnsi="Times New Roman" w:cs="Times New Roman"/>
          <w:sz w:val="22"/>
          <w:szCs w:val="22"/>
        </w:rPr>
        <w:tab/>
      </w:r>
      <w:r>
        <w:rPr>
          <w:rFonts w:ascii="Times New Roman" w:hAnsi="Times New Roman" w:cs="Times New Roman"/>
          <w:sz w:val="22"/>
          <w:szCs w:val="22"/>
        </w:rPr>
        <w:t xml:space="preserve">Eibl RH, Schneemann M. Medulloblastoma: From TP53 Mutations to Molecular Classification and Liquid Biopsy. </w:t>
      </w:r>
      <w:r>
        <w:rPr>
          <w:rFonts w:ascii="Times New Roman" w:hAnsi="Times New Roman" w:cs="Times New Roman"/>
          <w:i/>
          <w:sz w:val="22"/>
          <w:szCs w:val="22"/>
        </w:rPr>
        <w:t xml:space="preserve">Biology (Basel). </w:t>
      </w:r>
      <w:r>
        <w:rPr>
          <w:rFonts w:ascii="Times New Roman" w:hAnsi="Times New Roman" w:cs="Times New Roman"/>
          <w:sz w:val="22"/>
          <w:szCs w:val="22"/>
        </w:rPr>
        <w:t>2023; 12(2).</w:t>
      </w:r>
    </w:p>
    <w:p w14:paraId="17EA3D6C">
      <w:pPr>
        <w:pStyle w:val="34"/>
        <w:ind w:left="720" w:hanging="720"/>
        <w:rPr>
          <w:rFonts w:ascii="Times New Roman" w:hAnsi="Times New Roman" w:cs="Times New Roman"/>
          <w:sz w:val="22"/>
          <w:szCs w:val="22"/>
        </w:rPr>
      </w:pPr>
      <w:r>
        <w:rPr>
          <w:rFonts w:ascii="Times New Roman" w:hAnsi="Times New Roman" w:cs="Times New Roman"/>
          <w:b/>
          <w:sz w:val="22"/>
          <w:szCs w:val="22"/>
        </w:rPr>
        <w:t>4.</w:t>
      </w:r>
      <w:r>
        <w:rPr>
          <w:rFonts w:ascii="Times New Roman" w:hAnsi="Times New Roman" w:cs="Times New Roman"/>
          <w:sz w:val="22"/>
          <w:szCs w:val="22"/>
        </w:rPr>
        <w:tab/>
      </w:r>
      <w:r>
        <w:rPr>
          <w:rFonts w:ascii="Times New Roman" w:hAnsi="Times New Roman" w:cs="Times New Roman"/>
          <w:sz w:val="22"/>
          <w:szCs w:val="22"/>
        </w:rPr>
        <w:t xml:space="preserve">Kumar D, Jain S, Coulter DW, Joshi SS, Chaturvedi NK. PRMT5 as a Potential Therapeutic Target in MYC-Amplified Medulloblastoma. </w:t>
      </w:r>
      <w:r>
        <w:rPr>
          <w:rFonts w:ascii="Times New Roman" w:hAnsi="Times New Roman" w:cs="Times New Roman"/>
          <w:i/>
          <w:sz w:val="22"/>
          <w:szCs w:val="22"/>
        </w:rPr>
        <w:t xml:space="preserve">Cancers (Basel). </w:t>
      </w:r>
      <w:r>
        <w:rPr>
          <w:rFonts w:ascii="Times New Roman" w:hAnsi="Times New Roman" w:cs="Times New Roman"/>
          <w:sz w:val="22"/>
          <w:szCs w:val="22"/>
        </w:rPr>
        <w:t>2023; 15(24).</w:t>
      </w:r>
    </w:p>
    <w:p w14:paraId="54D73083">
      <w:pPr>
        <w:pStyle w:val="34"/>
        <w:ind w:left="720" w:hanging="720"/>
        <w:rPr>
          <w:rFonts w:ascii="Times New Roman" w:hAnsi="Times New Roman" w:cs="Times New Roman"/>
          <w:sz w:val="22"/>
          <w:szCs w:val="22"/>
        </w:rPr>
      </w:pPr>
      <w:r>
        <w:rPr>
          <w:rFonts w:ascii="Times New Roman" w:hAnsi="Times New Roman" w:cs="Times New Roman"/>
          <w:b/>
          <w:sz w:val="22"/>
          <w:szCs w:val="22"/>
        </w:rPr>
        <w:t>5.</w:t>
      </w:r>
      <w:r>
        <w:rPr>
          <w:rFonts w:ascii="Times New Roman" w:hAnsi="Times New Roman" w:cs="Times New Roman"/>
          <w:sz w:val="22"/>
          <w:szCs w:val="22"/>
        </w:rPr>
        <w:tab/>
      </w:r>
      <w:r>
        <w:rPr>
          <w:rFonts w:ascii="Times New Roman" w:hAnsi="Times New Roman" w:cs="Times New Roman"/>
          <w:sz w:val="22"/>
          <w:szCs w:val="22"/>
        </w:rPr>
        <w:t xml:space="preserve">Ramaswamy V, Remke M, Bouffet E, et al. Risk stratification of childhood medulloblastoma in the molecular era: the current consensus. </w:t>
      </w:r>
      <w:r>
        <w:rPr>
          <w:rFonts w:ascii="Times New Roman" w:hAnsi="Times New Roman" w:cs="Times New Roman"/>
          <w:i/>
          <w:sz w:val="22"/>
          <w:szCs w:val="22"/>
        </w:rPr>
        <w:t xml:space="preserve">Acta Neuropathol. </w:t>
      </w:r>
      <w:r>
        <w:rPr>
          <w:rFonts w:ascii="Times New Roman" w:hAnsi="Times New Roman" w:cs="Times New Roman"/>
          <w:sz w:val="22"/>
          <w:szCs w:val="22"/>
        </w:rPr>
        <w:t>2016; 131(6):821-831.</w:t>
      </w:r>
    </w:p>
    <w:p w14:paraId="157396E9">
      <w:pPr>
        <w:pStyle w:val="34"/>
        <w:ind w:left="720" w:hanging="720"/>
        <w:rPr>
          <w:rFonts w:ascii="Times New Roman" w:hAnsi="Times New Roman" w:cs="Times New Roman"/>
          <w:sz w:val="22"/>
          <w:szCs w:val="22"/>
        </w:rPr>
      </w:pPr>
      <w:r>
        <w:rPr>
          <w:rFonts w:ascii="Times New Roman" w:hAnsi="Times New Roman" w:cs="Times New Roman"/>
          <w:b/>
          <w:sz w:val="22"/>
          <w:szCs w:val="22"/>
        </w:rPr>
        <w:t>6.</w:t>
      </w:r>
      <w:r>
        <w:rPr>
          <w:rFonts w:ascii="Times New Roman" w:hAnsi="Times New Roman" w:cs="Times New Roman"/>
          <w:sz w:val="22"/>
          <w:szCs w:val="22"/>
        </w:rPr>
        <w:tab/>
      </w:r>
      <w:r>
        <w:rPr>
          <w:rFonts w:ascii="Times New Roman" w:hAnsi="Times New Roman" w:cs="Times New Roman"/>
          <w:sz w:val="22"/>
          <w:szCs w:val="22"/>
        </w:rPr>
        <w:t xml:space="preserve">Lundervold AS, Lundervold A. An overview of deep learning in medical imaging focusing on MRI. </w:t>
      </w:r>
      <w:r>
        <w:rPr>
          <w:rFonts w:ascii="Times New Roman" w:hAnsi="Times New Roman" w:cs="Times New Roman"/>
          <w:i/>
          <w:sz w:val="22"/>
          <w:szCs w:val="22"/>
        </w:rPr>
        <w:t xml:space="preserve">Z Med Phys. </w:t>
      </w:r>
      <w:r>
        <w:rPr>
          <w:rFonts w:ascii="Times New Roman" w:hAnsi="Times New Roman" w:cs="Times New Roman"/>
          <w:sz w:val="22"/>
          <w:szCs w:val="22"/>
        </w:rPr>
        <w:t>2019; 29(2):102-127.</w:t>
      </w:r>
    </w:p>
    <w:p w14:paraId="58471B7E">
      <w:pPr>
        <w:pStyle w:val="34"/>
        <w:ind w:left="720" w:hanging="720"/>
        <w:rPr>
          <w:rFonts w:ascii="Times New Roman" w:hAnsi="Times New Roman" w:cs="Times New Roman"/>
          <w:sz w:val="22"/>
          <w:szCs w:val="22"/>
        </w:rPr>
      </w:pPr>
      <w:r>
        <w:rPr>
          <w:rFonts w:ascii="Times New Roman" w:hAnsi="Times New Roman" w:cs="Times New Roman"/>
          <w:b/>
          <w:sz w:val="22"/>
          <w:szCs w:val="22"/>
        </w:rPr>
        <w:t>7.</w:t>
      </w:r>
      <w:r>
        <w:rPr>
          <w:rFonts w:ascii="Times New Roman" w:hAnsi="Times New Roman" w:cs="Times New Roman"/>
          <w:sz w:val="22"/>
          <w:szCs w:val="22"/>
        </w:rPr>
        <w:tab/>
      </w:r>
      <w:r>
        <w:rPr>
          <w:rFonts w:ascii="Times New Roman" w:hAnsi="Times New Roman" w:cs="Times New Roman"/>
          <w:sz w:val="22"/>
          <w:szCs w:val="22"/>
        </w:rPr>
        <w:t xml:space="preserve">Thamm M, Jeffery JJ, Zhang Y, et al. Multimodal Cross-Device and Marker-Free Co-Registration of Preclinical Imaging Modalities. </w:t>
      </w:r>
      <w:r>
        <w:rPr>
          <w:rFonts w:ascii="Times New Roman" w:hAnsi="Times New Roman" w:cs="Times New Roman"/>
          <w:i/>
          <w:sz w:val="22"/>
          <w:szCs w:val="22"/>
        </w:rPr>
        <w:t xml:space="preserve">J Vis Exp. </w:t>
      </w:r>
      <w:r>
        <w:rPr>
          <w:rFonts w:ascii="Times New Roman" w:hAnsi="Times New Roman" w:cs="Times New Roman"/>
          <w:sz w:val="22"/>
          <w:szCs w:val="22"/>
        </w:rPr>
        <w:t>2023(200).</w:t>
      </w:r>
    </w:p>
    <w:p w14:paraId="4CCFEA83">
      <w:pPr>
        <w:pStyle w:val="34"/>
        <w:ind w:left="720" w:hanging="720"/>
        <w:rPr>
          <w:rFonts w:ascii="Times New Roman" w:hAnsi="Times New Roman" w:cs="Times New Roman"/>
          <w:sz w:val="22"/>
          <w:szCs w:val="22"/>
        </w:rPr>
      </w:pPr>
      <w:r>
        <w:rPr>
          <w:rFonts w:ascii="Times New Roman" w:hAnsi="Times New Roman" w:cs="Times New Roman"/>
          <w:b/>
          <w:sz w:val="22"/>
          <w:szCs w:val="22"/>
        </w:rPr>
        <w:t>8.</w:t>
      </w:r>
      <w:r>
        <w:rPr>
          <w:rFonts w:ascii="Times New Roman" w:hAnsi="Times New Roman" w:cs="Times New Roman"/>
          <w:sz w:val="22"/>
          <w:szCs w:val="22"/>
        </w:rPr>
        <w:tab/>
      </w:r>
      <w:r>
        <w:rPr>
          <w:rFonts w:ascii="Times New Roman" w:hAnsi="Times New Roman" w:cs="Times New Roman"/>
          <w:sz w:val="22"/>
          <w:szCs w:val="22"/>
        </w:rPr>
        <w:t xml:space="preserve">Hao R, Namdar K, Liu L, Haider MA, Khalvati F. A Comprehensive Study of Data Augmentation Strategies for Prostate Cancer Detection in Diffusion-Weighted MRI Using Convolutional Neural Networks. </w:t>
      </w:r>
      <w:r>
        <w:rPr>
          <w:rFonts w:ascii="Times New Roman" w:hAnsi="Times New Roman" w:cs="Times New Roman"/>
          <w:i/>
          <w:sz w:val="22"/>
          <w:szCs w:val="22"/>
        </w:rPr>
        <w:t xml:space="preserve">J Digit Imaging. </w:t>
      </w:r>
      <w:r>
        <w:rPr>
          <w:rFonts w:ascii="Times New Roman" w:hAnsi="Times New Roman" w:cs="Times New Roman"/>
          <w:sz w:val="22"/>
          <w:szCs w:val="22"/>
        </w:rPr>
        <w:t>2021; 34(4):862-876.</w:t>
      </w:r>
    </w:p>
    <w:p w14:paraId="2B8EC942">
      <w:pPr>
        <w:pStyle w:val="34"/>
        <w:ind w:left="720" w:hanging="720"/>
        <w:rPr>
          <w:rFonts w:ascii="Times New Roman" w:hAnsi="Times New Roman" w:cs="Times New Roman"/>
          <w:sz w:val="22"/>
          <w:szCs w:val="22"/>
        </w:rPr>
      </w:pPr>
      <w:r>
        <w:rPr>
          <w:rFonts w:ascii="Times New Roman" w:hAnsi="Times New Roman" w:cs="Times New Roman"/>
          <w:b/>
          <w:sz w:val="22"/>
          <w:szCs w:val="22"/>
        </w:rPr>
        <w:t>9.</w:t>
      </w:r>
      <w:r>
        <w:rPr>
          <w:rFonts w:ascii="Times New Roman" w:hAnsi="Times New Roman" w:cs="Times New Roman"/>
          <w:sz w:val="22"/>
          <w:szCs w:val="22"/>
        </w:rPr>
        <w:tab/>
      </w:r>
      <w:r>
        <w:rPr>
          <w:rFonts w:ascii="Times New Roman" w:hAnsi="Times New Roman" w:cs="Times New Roman"/>
          <w:sz w:val="22"/>
          <w:szCs w:val="22"/>
        </w:rPr>
        <w:t xml:space="preserve">Artan Y, Oto A, Yetik IS. Cross-device automated prostate cancer localization with multiparametric MRI. </w:t>
      </w:r>
      <w:r>
        <w:rPr>
          <w:rFonts w:ascii="Times New Roman" w:hAnsi="Times New Roman" w:cs="Times New Roman"/>
          <w:i/>
          <w:sz w:val="22"/>
          <w:szCs w:val="22"/>
        </w:rPr>
        <w:t xml:space="preserve">Annu Int Conf IEEE Eng Med Biol Soc. </w:t>
      </w:r>
      <w:r>
        <w:rPr>
          <w:rFonts w:ascii="Times New Roman" w:hAnsi="Times New Roman" w:cs="Times New Roman"/>
          <w:sz w:val="22"/>
          <w:szCs w:val="22"/>
        </w:rPr>
        <w:t>2012; 2012:6247-6250.</w:t>
      </w:r>
    </w:p>
    <w:p w14:paraId="6A1CD25D">
      <w:pPr>
        <w:pStyle w:val="34"/>
        <w:ind w:left="720" w:hanging="720"/>
        <w:rPr>
          <w:rFonts w:ascii="Times New Roman" w:hAnsi="Times New Roman" w:cs="Times New Roman"/>
          <w:sz w:val="22"/>
          <w:szCs w:val="22"/>
        </w:rPr>
      </w:pPr>
      <w:r>
        <w:rPr>
          <w:rFonts w:ascii="Times New Roman" w:hAnsi="Times New Roman" w:cs="Times New Roman"/>
          <w:b/>
          <w:sz w:val="22"/>
          <w:szCs w:val="22"/>
        </w:rPr>
        <w:t>10.</w:t>
      </w:r>
      <w:r>
        <w:rPr>
          <w:rFonts w:ascii="Times New Roman" w:hAnsi="Times New Roman" w:cs="Times New Roman"/>
          <w:sz w:val="22"/>
          <w:szCs w:val="22"/>
        </w:rPr>
        <w:tab/>
      </w:r>
      <w:r>
        <w:rPr>
          <w:rFonts w:ascii="Times New Roman" w:hAnsi="Times New Roman" w:cs="Times New Roman"/>
          <w:sz w:val="22"/>
          <w:szCs w:val="22"/>
        </w:rPr>
        <w:t xml:space="preserve">Falk T, Mai D, Bensch R, et al. U-Net: deep learning for cell counting, detection, and morphometry. </w:t>
      </w:r>
      <w:r>
        <w:rPr>
          <w:rFonts w:ascii="Times New Roman" w:hAnsi="Times New Roman" w:cs="Times New Roman"/>
          <w:i/>
          <w:sz w:val="22"/>
          <w:szCs w:val="22"/>
        </w:rPr>
        <w:t xml:space="preserve">Nat Methods. </w:t>
      </w:r>
      <w:r>
        <w:rPr>
          <w:rFonts w:ascii="Times New Roman" w:hAnsi="Times New Roman" w:cs="Times New Roman"/>
          <w:sz w:val="22"/>
          <w:szCs w:val="22"/>
        </w:rPr>
        <w:t>2019; 16(1):67-70.</w:t>
      </w:r>
    </w:p>
    <w:p w14:paraId="390691BF">
      <w:pPr>
        <w:pStyle w:val="34"/>
        <w:ind w:left="720" w:hanging="720"/>
        <w:rPr>
          <w:rFonts w:ascii="Times New Roman" w:hAnsi="Times New Roman" w:cs="Times New Roman"/>
          <w:sz w:val="22"/>
          <w:szCs w:val="22"/>
        </w:rPr>
      </w:pPr>
      <w:r>
        <w:rPr>
          <w:rFonts w:ascii="Times New Roman" w:hAnsi="Times New Roman" w:cs="Times New Roman"/>
          <w:b/>
          <w:sz w:val="22"/>
          <w:szCs w:val="22"/>
        </w:rPr>
        <w:t>11.</w:t>
      </w:r>
      <w:r>
        <w:rPr>
          <w:rFonts w:ascii="Times New Roman" w:hAnsi="Times New Roman" w:cs="Times New Roman"/>
          <w:sz w:val="22"/>
          <w:szCs w:val="22"/>
        </w:rPr>
        <w:tab/>
      </w:r>
      <w:r>
        <w:rPr>
          <w:rFonts w:ascii="Times New Roman" w:hAnsi="Times New Roman" w:cs="Times New Roman"/>
          <w:sz w:val="22"/>
          <w:szCs w:val="22"/>
        </w:rPr>
        <w:t xml:space="preserve">Savjani R. nnU-Net: Further Automating Biomedical Image Autosegmentation. </w:t>
      </w:r>
      <w:r>
        <w:rPr>
          <w:rFonts w:ascii="Times New Roman" w:hAnsi="Times New Roman" w:cs="Times New Roman"/>
          <w:i/>
          <w:sz w:val="22"/>
          <w:szCs w:val="22"/>
        </w:rPr>
        <w:t xml:space="preserve">Radiol Imaging Cancer. </w:t>
      </w:r>
      <w:r>
        <w:rPr>
          <w:rFonts w:ascii="Times New Roman" w:hAnsi="Times New Roman" w:cs="Times New Roman"/>
          <w:sz w:val="22"/>
          <w:szCs w:val="22"/>
        </w:rPr>
        <w:t>2021; 3(1):e209039.</w:t>
      </w:r>
    </w:p>
    <w:p w14:paraId="238648D2">
      <w:pPr>
        <w:pStyle w:val="34"/>
        <w:ind w:left="720" w:hanging="720"/>
        <w:rPr>
          <w:rFonts w:ascii="Times New Roman" w:hAnsi="Times New Roman" w:cs="Times New Roman"/>
          <w:sz w:val="22"/>
          <w:szCs w:val="22"/>
        </w:rPr>
      </w:pPr>
      <w:r>
        <w:rPr>
          <w:rFonts w:ascii="Times New Roman" w:hAnsi="Times New Roman" w:cs="Times New Roman"/>
          <w:b/>
          <w:sz w:val="22"/>
          <w:szCs w:val="22"/>
        </w:rPr>
        <w:t>12.</w:t>
      </w:r>
      <w:r>
        <w:rPr>
          <w:rFonts w:ascii="Times New Roman" w:hAnsi="Times New Roman" w:cs="Times New Roman"/>
          <w:sz w:val="22"/>
          <w:szCs w:val="22"/>
        </w:rPr>
        <w:tab/>
      </w:r>
      <w:r>
        <w:rPr>
          <w:rFonts w:ascii="Times New Roman" w:hAnsi="Times New Roman" w:cs="Times New Roman"/>
          <w:sz w:val="22"/>
          <w:szCs w:val="22"/>
        </w:rPr>
        <w:t xml:space="preserve">Emam MM, Samee NA, Jamjoom MM, Houssein EH. Optimized deep learning architecture for brain tumor classification using improved Hunger Games Search Algorithm. </w:t>
      </w:r>
      <w:r>
        <w:rPr>
          <w:rFonts w:ascii="Times New Roman" w:hAnsi="Times New Roman" w:cs="Times New Roman"/>
          <w:i/>
          <w:sz w:val="22"/>
          <w:szCs w:val="22"/>
        </w:rPr>
        <w:t xml:space="preserve">Comput Biol Med. </w:t>
      </w:r>
      <w:r>
        <w:rPr>
          <w:rFonts w:ascii="Times New Roman" w:hAnsi="Times New Roman" w:cs="Times New Roman"/>
          <w:sz w:val="22"/>
          <w:szCs w:val="22"/>
        </w:rPr>
        <w:t>2023; 160:106966.</w:t>
      </w:r>
    </w:p>
    <w:p w14:paraId="09249ACD">
      <w:pPr>
        <w:pStyle w:val="34"/>
        <w:ind w:left="720" w:hanging="720"/>
        <w:rPr>
          <w:rFonts w:ascii="Times New Roman" w:hAnsi="Times New Roman" w:cs="Times New Roman"/>
          <w:sz w:val="22"/>
          <w:szCs w:val="22"/>
        </w:rPr>
      </w:pPr>
      <w:r>
        <w:rPr>
          <w:rFonts w:ascii="Times New Roman" w:hAnsi="Times New Roman" w:cs="Times New Roman"/>
          <w:b/>
          <w:sz w:val="22"/>
          <w:szCs w:val="22"/>
        </w:rPr>
        <w:t>13.</w:t>
      </w:r>
      <w:r>
        <w:rPr>
          <w:rFonts w:ascii="Times New Roman" w:hAnsi="Times New Roman" w:cs="Times New Roman"/>
          <w:sz w:val="22"/>
          <w:szCs w:val="22"/>
        </w:rPr>
        <w:tab/>
      </w:r>
      <w:r>
        <w:rPr>
          <w:rFonts w:ascii="Times New Roman" w:hAnsi="Times New Roman" w:cs="Times New Roman"/>
          <w:sz w:val="22"/>
          <w:szCs w:val="22"/>
        </w:rPr>
        <w:t xml:space="preserve">Asad R, Rehman SU, Imran A, Li J, Almuhaimeed A, Alzahrani A. Computer-Aided Early Melanoma Brain-Tumor Detection Using Deep-Learning Approach. </w:t>
      </w:r>
      <w:r>
        <w:rPr>
          <w:rFonts w:ascii="Times New Roman" w:hAnsi="Times New Roman" w:cs="Times New Roman"/>
          <w:i/>
          <w:sz w:val="22"/>
          <w:szCs w:val="22"/>
        </w:rPr>
        <w:t xml:space="preserve">Biomedicines. </w:t>
      </w:r>
      <w:r>
        <w:rPr>
          <w:rFonts w:ascii="Times New Roman" w:hAnsi="Times New Roman" w:cs="Times New Roman"/>
          <w:sz w:val="22"/>
          <w:szCs w:val="22"/>
        </w:rPr>
        <w:t>2023; 11(1).</w:t>
      </w:r>
    </w:p>
    <w:p w14:paraId="1CE2E2AA">
      <w:pPr>
        <w:pStyle w:val="34"/>
        <w:ind w:left="720" w:hanging="720"/>
        <w:rPr>
          <w:rFonts w:ascii="Times New Roman" w:hAnsi="Times New Roman" w:cs="Times New Roman"/>
          <w:sz w:val="22"/>
          <w:szCs w:val="22"/>
        </w:rPr>
      </w:pPr>
      <w:r>
        <w:rPr>
          <w:rFonts w:ascii="Times New Roman" w:hAnsi="Times New Roman" w:cs="Times New Roman"/>
          <w:b/>
          <w:sz w:val="22"/>
          <w:szCs w:val="22"/>
        </w:rPr>
        <w:t>14.</w:t>
      </w:r>
      <w:r>
        <w:rPr>
          <w:rFonts w:ascii="Times New Roman" w:hAnsi="Times New Roman" w:cs="Times New Roman"/>
          <w:sz w:val="22"/>
          <w:szCs w:val="22"/>
        </w:rPr>
        <w:tab/>
      </w:r>
      <w:r>
        <w:rPr>
          <w:rFonts w:ascii="Times New Roman" w:hAnsi="Times New Roman" w:cs="Times New Roman"/>
          <w:sz w:val="22"/>
          <w:szCs w:val="22"/>
        </w:rPr>
        <w:t xml:space="preserve">Ahmad B, Sun J, You Q, Palade V, Mao Z. Brain Tumor Classification Using a Combination of Variational Autoencoders and Generative Adversarial Networks. </w:t>
      </w:r>
      <w:r>
        <w:rPr>
          <w:rFonts w:ascii="Times New Roman" w:hAnsi="Times New Roman" w:cs="Times New Roman"/>
          <w:i/>
          <w:sz w:val="22"/>
          <w:szCs w:val="22"/>
        </w:rPr>
        <w:t xml:space="preserve">Biomedicines. </w:t>
      </w:r>
      <w:r>
        <w:rPr>
          <w:rFonts w:ascii="Times New Roman" w:hAnsi="Times New Roman" w:cs="Times New Roman"/>
          <w:sz w:val="22"/>
          <w:szCs w:val="22"/>
        </w:rPr>
        <w:t>2022; 10(2).</w:t>
      </w:r>
    </w:p>
    <w:p w14:paraId="1178E76E">
      <w:pPr>
        <w:spacing w:line="480" w:lineRule="auto"/>
        <w:jc w:val="both"/>
        <w:rPr>
          <w:rFonts w:ascii="Times New Roman" w:hAnsi="Times New Roman" w:cs="Times New Roman"/>
          <w:color w:val="000000" w:themeColor="text1"/>
          <w:sz w:val="22"/>
          <w:szCs w:val="22"/>
          <w14:textFill>
            <w14:solidFill>
              <w14:schemeClr w14:val="tx1"/>
            </w14:solidFill>
          </w14:textFill>
        </w:rPr>
      </w:pPr>
      <w:r>
        <w:rPr>
          <w:rFonts w:ascii="Times New Roman" w:hAnsi="Times New Roman" w:cs="Times New Roman"/>
          <w:color w:val="000000" w:themeColor="text1"/>
          <w:sz w:val="22"/>
          <w:szCs w:val="22"/>
          <w14:textFill>
            <w14:solidFill>
              <w14:schemeClr w14:val="tx1"/>
            </w14:solidFill>
          </w14:textFill>
        </w:rPr>
        <w:fldChar w:fldCharType="end"/>
      </w:r>
    </w:p>
    <w:sectPr>
      <w:pgSz w:w="11906" w:h="16838"/>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PingFang SC">
    <w:altName w:val="宋体"/>
    <w:panose1 w:val="020B0400000000000000"/>
    <w:charset w:val="86"/>
    <w:family w:val="swiss"/>
    <w:pitch w:val="default"/>
    <w:sig w:usb0="00000000" w:usb1="00000000" w:usb2="00000017"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UxYzVlNzU1ZGY5YmQ1MDA0NDMzNDQxMmM1NDRhNDUifQ=="/>
    <w:docVar w:name="EN.Layout" w:val="&lt;ENLayout&gt;&lt;Style&gt;Neuro-Onc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zdfxd9kt0dvhesway5sddw0d5e5x05r5pt&quot;&gt;My EndNote Library&lt;record-ids&gt;&lt;item&gt;111&lt;/item&gt;&lt;item&gt;293&lt;/item&gt;&lt;item&gt;430&lt;/item&gt;&lt;item&gt;431&lt;/item&gt;&lt;item&gt;432&lt;/item&gt;&lt;item&gt;460&lt;/item&gt;&lt;item&gt;461&lt;/item&gt;&lt;item&gt;462&lt;/item&gt;&lt;item&gt;463&lt;/item&gt;&lt;item&gt;483&lt;/item&gt;&lt;item&gt;484&lt;/item&gt;&lt;item&gt;485&lt;/item&gt;&lt;item&gt;486&lt;/item&gt;&lt;/record-ids&gt;&lt;/item&gt;&lt;/Libraries&gt;"/>
  </w:docVars>
  <w:rsids>
    <w:rsidRoot w:val="000E5EA5"/>
    <w:rsid w:val="000035AC"/>
    <w:rsid w:val="000110C2"/>
    <w:rsid w:val="00017F3B"/>
    <w:rsid w:val="0002079C"/>
    <w:rsid w:val="000260D4"/>
    <w:rsid w:val="000459DF"/>
    <w:rsid w:val="00052686"/>
    <w:rsid w:val="00055FE4"/>
    <w:rsid w:val="00064A21"/>
    <w:rsid w:val="00067807"/>
    <w:rsid w:val="000823B1"/>
    <w:rsid w:val="00085C34"/>
    <w:rsid w:val="000A4AB2"/>
    <w:rsid w:val="000B0603"/>
    <w:rsid w:val="000B5DCB"/>
    <w:rsid w:val="000E3D60"/>
    <w:rsid w:val="000E5EA5"/>
    <w:rsid w:val="00106D41"/>
    <w:rsid w:val="00107203"/>
    <w:rsid w:val="00111420"/>
    <w:rsid w:val="001141DB"/>
    <w:rsid w:val="0011432F"/>
    <w:rsid w:val="001144C0"/>
    <w:rsid w:val="0012106B"/>
    <w:rsid w:val="001239AC"/>
    <w:rsid w:val="00124667"/>
    <w:rsid w:val="001275DF"/>
    <w:rsid w:val="0014388F"/>
    <w:rsid w:val="00150551"/>
    <w:rsid w:val="00156CB7"/>
    <w:rsid w:val="00166266"/>
    <w:rsid w:val="00166772"/>
    <w:rsid w:val="0017089B"/>
    <w:rsid w:val="0017505E"/>
    <w:rsid w:val="001769C6"/>
    <w:rsid w:val="00181BE1"/>
    <w:rsid w:val="001919DE"/>
    <w:rsid w:val="001B222A"/>
    <w:rsid w:val="001B69E0"/>
    <w:rsid w:val="001D230E"/>
    <w:rsid w:val="0022496E"/>
    <w:rsid w:val="002422EB"/>
    <w:rsid w:val="00244D54"/>
    <w:rsid w:val="00256396"/>
    <w:rsid w:val="00270FB4"/>
    <w:rsid w:val="00271020"/>
    <w:rsid w:val="00286E8D"/>
    <w:rsid w:val="002A23EB"/>
    <w:rsid w:val="002A496C"/>
    <w:rsid w:val="002A50E3"/>
    <w:rsid w:val="002A5F78"/>
    <w:rsid w:val="002C0998"/>
    <w:rsid w:val="002D2206"/>
    <w:rsid w:val="002E11FD"/>
    <w:rsid w:val="002F37AB"/>
    <w:rsid w:val="002F5193"/>
    <w:rsid w:val="002F6A29"/>
    <w:rsid w:val="00315250"/>
    <w:rsid w:val="00340EE2"/>
    <w:rsid w:val="003530AF"/>
    <w:rsid w:val="003712EE"/>
    <w:rsid w:val="00373CD7"/>
    <w:rsid w:val="003878BC"/>
    <w:rsid w:val="003969B7"/>
    <w:rsid w:val="003A1669"/>
    <w:rsid w:val="003B3634"/>
    <w:rsid w:val="003E4487"/>
    <w:rsid w:val="00432A7C"/>
    <w:rsid w:val="004408BA"/>
    <w:rsid w:val="004540D1"/>
    <w:rsid w:val="00463915"/>
    <w:rsid w:val="00471496"/>
    <w:rsid w:val="00487068"/>
    <w:rsid w:val="004A3841"/>
    <w:rsid w:val="004B4C50"/>
    <w:rsid w:val="004B5C98"/>
    <w:rsid w:val="004C03BA"/>
    <w:rsid w:val="004E460B"/>
    <w:rsid w:val="004F40F5"/>
    <w:rsid w:val="00506842"/>
    <w:rsid w:val="00516434"/>
    <w:rsid w:val="00523638"/>
    <w:rsid w:val="00524B83"/>
    <w:rsid w:val="0053465B"/>
    <w:rsid w:val="0053723C"/>
    <w:rsid w:val="00542A2E"/>
    <w:rsid w:val="00547C7B"/>
    <w:rsid w:val="00563CB3"/>
    <w:rsid w:val="005668A3"/>
    <w:rsid w:val="00575B3E"/>
    <w:rsid w:val="005764FD"/>
    <w:rsid w:val="00583B7B"/>
    <w:rsid w:val="005970FA"/>
    <w:rsid w:val="005A1197"/>
    <w:rsid w:val="005A5F9F"/>
    <w:rsid w:val="005D409F"/>
    <w:rsid w:val="005D4AAB"/>
    <w:rsid w:val="005E2D10"/>
    <w:rsid w:val="005E61C2"/>
    <w:rsid w:val="005F382A"/>
    <w:rsid w:val="005F7921"/>
    <w:rsid w:val="00600F43"/>
    <w:rsid w:val="006100BD"/>
    <w:rsid w:val="00613DB3"/>
    <w:rsid w:val="00620EAE"/>
    <w:rsid w:val="00624BA9"/>
    <w:rsid w:val="00624CF3"/>
    <w:rsid w:val="00634D12"/>
    <w:rsid w:val="00656CF0"/>
    <w:rsid w:val="00675E14"/>
    <w:rsid w:val="006766F8"/>
    <w:rsid w:val="00687D8A"/>
    <w:rsid w:val="00690540"/>
    <w:rsid w:val="006912F7"/>
    <w:rsid w:val="00692FE5"/>
    <w:rsid w:val="00693802"/>
    <w:rsid w:val="007244D4"/>
    <w:rsid w:val="0073369B"/>
    <w:rsid w:val="00742898"/>
    <w:rsid w:val="0075438C"/>
    <w:rsid w:val="00764F07"/>
    <w:rsid w:val="0076556A"/>
    <w:rsid w:val="00780641"/>
    <w:rsid w:val="00784145"/>
    <w:rsid w:val="007942AD"/>
    <w:rsid w:val="0079563D"/>
    <w:rsid w:val="007B53F3"/>
    <w:rsid w:val="007E486C"/>
    <w:rsid w:val="007F105A"/>
    <w:rsid w:val="007F4EA4"/>
    <w:rsid w:val="00802053"/>
    <w:rsid w:val="00805B9F"/>
    <w:rsid w:val="0080628D"/>
    <w:rsid w:val="00836556"/>
    <w:rsid w:val="008371F6"/>
    <w:rsid w:val="008542A2"/>
    <w:rsid w:val="00854993"/>
    <w:rsid w:val="008559C7"/>
    <w:rsid w:val="00863110"/>
    <w:rsid w:val="008741A1"/>
    <w:rsid w:val="00886C4B"/>
    <w:rsid w:val="00890189"/>
    <w:rsid w:val="00890749"/>
    <w:rsid w:val="00895A11"/>
    <w:rsid w:val="008A508A"/>
    <w:rsid w:val="008A711E"/>
    <w:rsid w:val="008A79B4"/>
    <w:rsid w:val="008B0C9B"/>
    <w:rsid w:val="008B0E2C"/>
    <w:rsid w:val="008B3038"/>
    <w:rsid w:val="008C0140"/>
    <w:rsid w:val="008D7498"/>
    <w:rsid w:val="008D75CC"/>
    <w:rsid w:val="008E49B4"/>
    <w:rsid w:val="008F579E"/>
    <w:rsid w:val="00912CA4"/>
    <w:rsid w:val="0091384F"/>
    <w:rsid w:val="00951030"/>
    <w:rsid w:val="009724EF"/>
    <w:rsid w:val="00972519"/>
    <w:rsid w:val="00972A7F"/>
    <w:rsid w:val="009947C6"/>
    <w:rsid w:val="009B0126"/>
    <w:rsid w:val="009D5360"/>
    <w:rsid w:val="009E1D29"/>
    <w:rsid w:val="009E33FD"/>
    <w:rsid w:val="009E3E28"/>
    <w:rsid w:val="009F27FB"/>
    <w:rsid w:val="009F6F5C"/>
    <w:rsid w:val="009F7DD2"/>
    <w:rsid w:val="00A05A6E"/>
    <w:rsid w:val="00A1153A"/>
    <w:rsid w:val="00A31F8F"/>
    <w:rsid w:val="00A37522"/>
    <w:rsid w:val="00A635D7"/>
    <w:rsid w:val="00AC7414"/>
    <w:rsid w:val="00AD7973"/>
    <w:rsid w:val="00AE3D74"/>
    <w:rsid w:val="00AF257E"/>
    <w:rsid w:val="00B0081A"/>
    <w:rsid w:val="00B05389"/>
    <w:rsid w:val="00B0758E"/>
    <w:rsid w:val="00B13392"/>
    <w:rsid w:val="00B16E72"/>
    <w:rsid w:val="00B53543"/>
    <w:rsid w:val="00B54FAC"/>
    <w:rsid w:val="00B737F1"/>
    <w:rsid w:val="00B740C4"/>
    <w:rsid w:val="00B8481E"/>
    <w:rsid w:val="00BB40DA"/>
    <w:rsid w:val="00BC5B0C"/>
    <w:rsid w:val="00BD05B4"/>
    <w:rsid w:val="00BD1404"/>
    <w:rsid w:val="00BE14B4"/>
    <w:rsid w:val="00BE790B"/>
    <w:rsid w:val="00BF5785"/>
    <w:rsid w:val="00BF6DF6"/>
    <w:rsid w:val="00C20185"/>
    <w:rsid w:val="00C20FFC"/>
    <w:rsid w:val="00C27BBF"/>
    <w:rsid w:val="00C62DCE"/>
    <w:rsid w:val="00C63FD2"/>
    <w:rsid w:val="00C6400A"/>
    <w:rsid w:val="00C77511"/>
    <w:rsid w:val="00C8077D"/>
    <w:rsid w:val="00C913B0"/>
    <w:rsid w:val="00C9786B"/>
    <w:rsid w:val="00CB05DA"/>
    <w:rsid w:val="00CC1806"/>
    <w:rsid w:val="00CC257F"/>
    <w:rsid w:val="00CC5A6C"/>
    <w:rsid w:val="00D034B8"/>
    <w:rsid w:val="00D04162"/>
    <w:rsid w:val="00D165C1"/>
    <w:rsid w:val="00D2350F"/>
    <w:rsid w:val="00D27528"/>
    <w:rsid w:val="00D31E3A"/>
    <w:rsid w:val="00D34AAA"/>
    <w:rsid w:val="00D42662"/>
    <w:rsid w:val="00D465B6"/>
    <w:rsid w:val="00D5067E"/>
    <w:rsid w:val="00D737D2"/>
    <w:rsid w:val="00D82812"/>
    <w:rsid w:val="00D94521"/>
    <w:rsid w:val="00D96698"/>
    <w:rsid w:val="00DA0424"/>
    <w:rsid w:val="00DA6162"/>
    <w:rsid w:val="00DB54E7"/>
    <w:rsid w:val="00DC1897"/>
    <w:rsid w:val="00DE17DA"/>
    <w:rsid w:val="00DE52E2"/>
    <w:rsid w:val="00DE7572"/>
    <w:rsid w:val="00DF0A33"/>
    <w:rsid w:val="00DF3068"/>
    <w:rsid w:val="00DF62A3"/>
    <w:rsid w:val="00E00DF2"/>
    <w:rsid w:val="00E10F8D"/>
    <w:rsid w:val="00E14BC8"/>
    <w:rsid w:val="00E223BC"/>
    <w:rsid w:val="00E26D96"/>
    <w:rsid w:val="00E270BD"/>
    <w:rsid w:val="00E42BD6"/>
    <w:rsid w:val="00E4759D"/>
    <w:rsid w:val="00E51177"/>
    <w:rsid w:val="00E618B7"/>
    <w:rsid w:val="00E665B5"/>
    <w:rsid w:val="00E92E19"/>
    <w:rsid w:val="00E9459A"/>
    <w:rsid w:val="00EC7BCE"/>
    <w:rsid w:val="00ED3DAF"/>
    <w:rsid w:val="00EF36F9"/>
    <w:rsid w:val="00EF5FF1"/>
    <w:rsid w:val="00F07474"/>
    <w:rsid w:val="00F21A82"/>
    <w:rsid w:val="00F40EFE"/>
    <w:rsid w:val="00F4466A"/>
    <w:rsid w:val="00F544D1"/>
    <w:rsid w:val="00F747DD"/>
    <w:rsid w:val="00F7728F"/>
    <w:rsid w:val="00FA709B"/>
    <w:rsid w:val="00FA7FED"/>
    <w:rsid w:val="00FC4A76"/>
    <w:rsid w:val="00FD15DD"/>
    <w:rsid w:val="00FE43FF"/>
    <w:rsid w:val="00FF3893"/>
    <w:rsid w:val="010C0E20"/>
    <w:rsid w:val="1A762D22"/>
    <w:rsid w:val="39BE8209"/>
    <w:rsid w:val="3AC398C3"/>
    <w:rsid w:val="3BFF2C19"/>
    <w:rsid w:val="3FFB40D0"/>
    <w:rsid w:val="3FFFB11A"/>
    <w:rsid w:val="46FF9D97"/>
    <w:rsid w:val="5DBFA33D"/>
    <w:rsid w:val="5DCDEB08"/>
    <w:rsid w:val="5FEB21D1"/>
    <w:rsid w:val="65FD823C"/>
    <w:rsid w:val="69C06C0A"/>
    <w:rsid w:val="6F5730D3"/>
    <w:rsid w:val="7577FED5"/>
    <w:rsid w:val="79624BF3"/>
    <w:rsid w:val="7B7BF896"/>
    <w:rsid w:val="7DA8D427"/>
    <w:rsid w:val="7DFF93A4"/>
    <w:rsid w:val="7EFD7D25"/>
    <w:rsid w:val="7FB77BF1"/>
    <w:rsid w:val="7FEFC690"/>
    <w:rsid w:val="7FFF4DCB"/>
    <w:rsid w:val="BBF7226B"/>
    <w:rsid w:val="BFFE461F"/>
    <w:rsid w:val="C67D77D7"/>
    <w:rsid w:val="DB1EA8F5"/>
    <w:rsid w:val="DD719E3D"/>
    <w:rsid w:val="DEF30980"/>
    <w:rsid w:val="EBD3418E"/>
    <w:rsid w:val="F363BC4A"/>
    <w:rsid w:val="F3FB002D"/>
    <w:rsid w:val="F7B3EF70"/>
    <w:rsid w:val="FBEED137"/>
    <w:rsid w:val="FDBF2296"/>
    <w:rsid w:val="FECB4574"/>
    <w:rsid w:val="FEF38648"/>
    <w:rsid w:val="FF2DE55B"/>
    <w:rsid w:val="FFF956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16"/>
    <w:qFormat/>
    <w:uiPriority w:val="9"/>
    <w:pPr>
      <w:keepNext/>
      <w:keepLines/>
      <w:widowControl w:val="0"/>
      <w:spacing w:before="480" w:after="80"/>
      <w:jc w:val="both"/>
      <w:outlineLvl w:val="0"/>
    </w:pPr>
    <w:rPr>
      <w:rFonts w:asciiTheme="majorHAnsi" w:hAnsiTheme="majorHAnsi" w:eastAsiaTheme="majorEastAsia" w:cstheme="majorBidi"/>
      <w:color w:val="104862" w:themeColor="accent1" w:themeShade="BF"/>
      <w:kern w:val="2"/>
      <w:sz w:val="48"/>
      <w:szCs w:val="48"/>
    </w:rPr>
  </w:style>
  <w:style w:type="paragraph" w:styleId="3">
    <w:name w:val="heading 2"/>
    <w:basedOn w:val="1"/>
    <w:next w:val="1"/>
    <w:link w:val="17"/>
    <w:semiHidden/>
    <w:unhideWhenUsed/>
    <w:qFormat/>
    <w:uiPriority w:val="9"/>
    <w:pPr>
      <w:keepNext/>
      <w:keepLines/>
      <w:widowControl w:val="0"/>
      <w:spacing w:before="160" w:after="80"/>
      <w:jc w:val="both"/>
      <w:outlineLvl w:val="1"/>
    </w:pPr>
    <w:rPr>
      <w:rFonts w:asciiTheme="majorHAnsi" w:hAnsiTheme="majorHAnsi" w:eastAsiaTheme="majorEastAsia" w:cstheme="majorBidi"/>
      <w:color w:val="104862" w:themeColor="accent1" w:themeShade="BF"/>
      <w:kern w:val="2"/>
      <w:sz w:val="40"/>
      <w:szCs w:val="40"/>
    </w:rPr>
  </w:style>
  <w:style w:type="paragraph" w:styleId="4">
    <w:name w:val="heading 3"/>
    <w:basedOn w:val="1"/>
    <w:next w:val="1"/>
    <w:link w:val="18"/>
    <w:semiHidden/>
    <w:unhideWhenUsed/>
    <w:qFormat/>
    <w:uiPriority w:val="9"/>
    <w:pPr>
      <w:keepNext/>
      <w:keepLines/>
      <w:widowControl w:val="0"/>
      <w:spacing w:before="160" w:after="80"/>
      <w:jc w:val="both"/>
      <w:outlineLvl w:val="2"/>
    </w:pPr>
    <w:rPr>
      <w:rFonts w:asciiTheme="majorHAnsi" w:hAnsiTheme="majorHAnsi" w:eastAsiaTheme="majorEastAsia" w:cstheme="majorBidi"/>
      <w:color w:val="104862" w:themeColor="accent1" w:themeShade="BF"/>
      <w:kern w:val="2"/>
      <w:sz w:val="32"/>
      <w:szCs w:val="32"/>
    </w:rPr>
  </w:style>
  <w:style w:type="paragraph" w:styleId="5">
    <w:name w:val="heading 4"/>
    <w:basedOn w:val="1"/>
    <w:next w:val="1"/>
    <w:link w:val="19"/>
    <w:semiHidden/>
    <w:unhideWhenUsed/>
    <w:qFormat/>
    <w:uiPriority w:val="9"/>
    <w:pPr>
      <w:keepNext/>
      <w:keepLines/>
      <w:widowControl w:val="0"/>
      <w:spacing w:before="80" w:after="40"/>
      <w:jc w:val="both"/>
      <w:outlineLvl w:val="3"/>
    </w:pPr>
    <w:rPr>
      <w:rFonts w:asciiTheme="minorHAnsi" w:hAnsiTheme="minorHAnsi" w:eastAsiaTheme="minorEastAsia" w:cstheme="majorBidi"/>
      <w:color w:val="104862" w:themeColor="accent1" w:themeShade="BF"/>
      <w:kern w:val="2"/>
      <w:sz w:val="28"/>
      <w:szCs w:val="28"/>
    </w:rPr>
  </w:style>
  <w:style w:type="paragraph" w:styleId="6">
    <w:name w:val="heading 5"/>
    <w:basedOn w:val="1"/>
    <w:next w:val="1"/>
    <w:link w:val="20"/>
    <w:semiHidden/>
    <w:unhideWhenUsed/>
    <w:qFormat/>
    <w:uiPriority w:val="9"/>
    <w:pPr>
      <w:keepNext/>
      <w:keepLines/>
      <w:widowControl w:val="0"/>
      <w:spacing w:before="80" w:after="40"/>
      <w:jc w:val="both"/>
      <w:outlineLvl w:val="4"/>
    </w:pPr>
    <w:rPr>
      <w:rFonts w:asciiTheme="minorHAnsi" w:hAnsiTheme="minorHAnsi" w:eastAsiaTheme="minorEastAsia" w:cstheme="majorBidi"/>
      <w:color w:val="104862" w:themeColor="accent1" w:themeShade="BF"/>
      <w:kern w:val="2"/>
    </w:rPr>
  </w:style>
  <w:style w:type="paragraph" w:styleId="7">
    <w:name w:val="heading 6"/>
    <w:basedOn w:val="1"/>
    <w:next w:val="1"/>
    <w:link w:val="21"/>
    <w:semiHidden/>
    <w:unhideWhenUsed/>
    <w:qFormat/>
    <w:uiPriority w:val="9"/>
    <w:pPr>
      <w:keepNext/>
      <w:keepLines/>
      <w:widowControl w:val="0"/>
      <w:spacing w:before="40"/>
      <w:jc w:val="both"/>
      <w:outlineLvl w:val="5"/>
    </w:pPr>
    <w:rPr>
      <w:rFonts w:asciiTheme="minorHAnsi" w:hAnsiTheme="minorHAnsi" w:eastAsiaTheme="minorEastAsia" w:cstheme="majorBidi"/>
      <w:b/>
      <w:bCs/>
      <w:color w:val="104862" w:themeColor="accent1" w:themeShade="BF"/>
      <w:kern w:val="2"/>
      <w:sz w:val="21"/>
    </w:rPr>
  </w:style>
  <w:style w:type="paragraph" w:styleId="8">
    <w:name w:val="heading 7"/>
    <w:basedOn w:val="1"/>
    <w:next w:val="1"/>
    <w:link w:val="22"/>
    <w:semiHidden/>
    <w:unhideWhenUsed/>
    <w:qFormat/>
    <w:uiPriority w:val="9"/>
    <w:pPr>
      <w:keepNext/>
      <w:keepLines/>
      <w:widowControl w:val="0"/>
      <w:spacing w:before="40"/>
      <w:jc w:val="both"/>
      <w:outlineLvl w:val="6"/>
    </w:pPr>
    <w:rPr>
      <w:rFonts w:asciiTheme="minorHAnsi" w:hAnsiTheme="minorHAnsi" w:eastAsiaTheme="minorEastAsia" w:cstheme="majorBidi"/>
      <w:b/>
      <w:bCs/>
      <w:color w:val="595959" w:themeColor="text1" w:themeTint="A6"/>
      <w:kern w:val="2"/>
      <w:sz w:val="21"/>
      <w14:textFill>
        <w14:solidFill>
          <w14:schemeClr w14:val="tx1">
            <w14:lumMod w14:val="65000"/>
            <w14:lumOff w14:val="35000"/>
          </w14:schemeClr>
        </w14:solidFill>
      </w14:textFill>
    </w:rPr>
  </w:style>
  <w:style w:type="paragraph" w:styleId="9">
    <w:name w:val="heading 8"/>
    <w:basedOn w:val="1"/>
    <w:next w:val="1"/>
    <w:link w:val="23"/>
    <w:semiHidden/>
    <w:unhideWhenUsed/>
    <w:qFormat/>
    <w:uiPriority w:val="9"/>
    <w:pPr>
      <w:keepNext/>
      <w:keepLines/>
      <w:widowControl w:val="0"/>
      <w:jc w:val="both"/>
      <w:outlineLvl w:val="7"/>
    </w:pPr>
    <w:rPr>
      <w:rFonts w:asciiTheme="minorHAnsi" w:hAnsiTheme="minorHAnsi" w:eastAsiaTheme="minorEastAsia" w:cstheme="majorBidi"/>
      <w:color w:val="595959" w:themeColor="text1" w:themeTint="A6"/>
      <w:kern w:val="2"/>
      <w:sz w:val="21"/>
      <w14:textFill>
        <w14:solidFill>
          <w14:schemeClr w14:val="tx1">
            <w14:lumMod w14:val="65000"/>
            <w14:lumOff w14:val="35000"/>
          </w14:schemeClr>
        </w14:solidFill>
      </w14:textFill>
    </w:rPr>
  </w:style>
  <w:style w:type="paragraph" w:styleId="10">
    <w:name w:val="heading 9"/>
    <w:basedOn w:val="1"/>
    <w:next w:val="1"/>
    <w:link w:val="24"/>
    <w:semiHidden/>
    <w:unhideWhenUsed/>
    <w:qFormat/>
    <w:uiPriority w:val="9"/>
    <w:pPr>
      <w:keepNext/>
      <w:keepLines/>
      <w:widowControl w:val="0"/>
      <w:jc w:val="both"/>
      <w:outlineLvl w:val="8"/>
    </w:pPr>
    <w:rPr>
      <w:rFonts w:asciiTheme="minorHAnsi" w:hAnsiTheme="minorHAnsi" w:eastAsiaTheme="majorEastAsia" w:cstheme="majorBidi"/>
      <w:color w:val="595959" w:themeColor="text1" w:themeTint="A6"/>
      <w:kern w:val="2"/>
      <w:sz w:val="21"/>
      <w14:textFill>
        <w14:solidFill>
          <w14:schemeClr w14:val="tx1">
            <w14:lumMod w14:val="65000"/>
            <w14:lumOff w14:val="35000"/>
          </w14:schemeClr>
        </w14:solidFill>
      </w14:textFill>
    </w:rPr>
  </w:style>
  <w:style w:type="character" w:default="1" w:styleId="15">
    <w:name w:val="Default Paragraph Font"/>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11">
    <w:name w:val="Subtitle"/>
    <w:basedOn w:val="1"/>
    <w:next w:val="1"/>
    <w:link w:val="26"/>
    <w:qFormat/>
    <w:uiPriority w:val="11"/>
    <w:pPr>
      <w:widowControl w:val="0"/>
      <w:spacing w:after="160"/>
      <w:jc w:val="center"/>
    </w:pPr>
    <w:rPr>
      <w:rFonts w:asciiTheme="majorHAnsi" w:hAnsiTheme="majorHAnsi" w:eastAsiaTheme="majorEastAsia" w:cstheme="majorBidi"/>
      <w:color w:val="595959" w:themeColor="text1" w:themeTint="A6"/>
      <w:spacing w:val="15"/>
      <w:kern w:val="2"/>
      <w:sz w:val="28"/>
      <w:szCs w:val="28"/>
      <w14:textFill>
        <w14:solidFill>
          <w14:schemeClr w14:val="tx1">
            <w14:lumMod w14:val="65000"/>
            <w14:lumOff w14:val="35000"/>
          </w14:schemeClr>
        </w14:solidFill>
      </w14:textFill>
    </w:rPr>
  </w:style>
  <w:style w:type="paragraph" w:styleId="12">
    <w:name w:val="Normal (Web)"/>
    <w:basedOn w:val="1"/>
    <w:uiPriority w:val="0"/>
    <w:pPr>
      <w:spacing w:beforeAutospacing="1" w:afterAutospacing="1"/>
    </w:pPr>
    <w:rPr>
      <w:rFonts w:cs="Times New Roman"/>
    </w:rPr>
  </w:style>
  <w:style w:type="paragraph" w:styleId="13">
    <w:name w:val="Title"/>
    <w:basedOn w:val="1"/>
    <w:next w:val="1"/>
    <w:link w:val="25"/>
    <w:qFormat/>
    <w:uiPriority w:val="10"/>
    <w:pPr>
      <w:widowControl w:val="0"/>
      <w:spacing w:after="80"/>
      <w:contextualSpacing/>
      <w:jc w:val="center"/>
    </w:pPr>
    <w:rPr>
      <w:rFonts w:asciiTheme="majorHAnsi" w:hAnsiTheme="majorHAnsi" w:eastAsiaTheme="majorEastAsia" w:cstheme="majorBidi"/>
      <w:spacing w:val="-10"/>
      <w:kern w:val="28"/>
      <w:sz w:val="56"/>
      <w:szCs w:val="56"/>
    </w:rPr>
  </w:style>
  <w:style w:type="character" w:customStyle="1" w:styleId="16">
    <w:name w:val="标题 1 字符"/>
    <w:basedOn w:val="15"/>
    <w:link w:val="2"/>
    <w:qFormat/>
    <w:uiPriority w:val="9"/>
    <w:rPr>
      <w:rFonts w:asciiTheme="majorHAnsi" w:hAnsiTheme="majorHAnsi" w:eastAsiaTheme="majorEastAsia" w:cstheme="majorBidi"/>
      <w:color w:val="104862" w:themeColor="accent1" w:themeShade="BF"/>
      <w:sz w:val="48"/>
      <w:szCs w:val="48"/>
    </w:rPr>
  </w:style>
  <w:style w:type="character" w:customStyle="1" w:styleId="17">
    <w:name w:val="标题 2 字符"/>
    <w:basedOn w:val="15"/>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18">
    <w:name w:val="标题 3 字符"/>
    <w:basedOn w:val="15"/>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19">
    <w:name w:val="标题 4 字符"/>
    <w:basedOn w:val="15"/>
    <w:link w:val="5"/>
    <w:semiHidden/>
    <w:uiPriority w:val="9"/>
    <w:rPr>
      <w:rFonts w:cstheme="majorBidi"/>
      <w:color w:val="104862" w:themeColor="accent1" w:themeShade="BF"/>
      <w:sz w:val="28"/>
      <w:szCs w:val="28"/>
    </w:rPr>
  </w:style>
  <w:style w:type="character" w:customStyle="1" w:styleId="20">
    <w:name w:val="标题 5 字符"/>
    <w:basedOn w:val="15"/>
    <w:link w:val="6"/>
    <w:semiHidden/>
    <w:qFormat/>
    <w:uiPriority w:val="9"/>
    <w:rPr>
      <w:rFonts w:cstheme="majorBidi"/>
      <w:color w:val="104862" w:themeColor="accent1" w:themeShade="BF"/>
      <w:sz w:val="24"/>
    </w:rPr>
  </w:style>
  <w:style w:type="character" w:customStyle="1" w:styleId="21">
    <w:name w:val="标题 6 字符"/>
    <w:basedOn w:val="15"/>
    <w:link w:val="7"/>
    <w:semiHidden/>
    <w:uiPriority w:val="9"/>
    <w:rPr>
      <w:rFonts w:cstheme="majorBidi"/>
      <w:b/>
      <w:bCs/>
      <w:color w:val="104862" w:themeColor="accent1" w:themeShade="BF"/>
    </w:rPr>
  </w:style>
  <w:style w:type="character" w:customStyle="1" w:styleId="22">
    <w:name w:val="标题 7 字符"/>
    <w:basedOn w:val="15"/>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3">
    <w:name w:val="标题 8 字符"/>
    <w:basedOn w:val="15"/>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4">
    <w:name w:val="标题 9 字符"/>
    <w:basedOn w:val="15"/>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标题 字符"/>
    <w:basedOn w:val="15"/>
    <w:link w:val="13"/>
    <w:qFormat/>
    <w:uiPriority w:val="10"/>
    <w:rPr>
      <w:rFonts w:asciiTheme="majorHAnsi" w:hAnsiTheme="majorHAnsi" w:eastAsiaTheme="majorEastAsia" w:cstheme="majorBidi"/>
      <w:spacing w:val="-10"/>
      <w:kern w:val="28"/>
      <w:sz w:val="56"/>
      <w:szCs w:val="56"/>
    </w:rPr>
  </w:style>
  <w:style w:type="character" w:customStyle="1" w:styleId="26">
    <w:name w:val="副标题 字符"/>
    <w:basedOn w:val="15"/>
    <w:link w:val="11"/>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7">
    <w:name w:val="Quote"/>
    <w:basedOn w:val="1"/>
    <w:next w:val="1"/>
    <w:link w:val="28"/>
    <w:qFormat/>
    <w:uiPriority w:val="29"/>
    <w:pPr>
      <w:widowControl w:val="0"/>
      <w:spacing w:before="160" w:after="160"/>
      <w:jc w:val="center"/>
    </w:pPr>
    <w:rPr>
      <w:rFonts w:asciiTheme="minorHAnsi" w:hAnsiTheme="minorHAnsi" w:eastAsiaTheme="minorEastAsia" w:cstheme="minorBidi"/>
      <w:i/>
      <w:iCs/>
      <w:color w:val="404040" w:themeColor="text1" w:themeTint="BF"/>
      <w:kern w:val="2"/>
      <w:sz w:val="21"/>
      <w14:textFill>
        <w14:solidFill>
          <w14:schemeClr w14:val="tx1">
            <w14:lumMod w14:val="75000"/>
            <w14:lumOff w14:val="25000"/>
          </w14:schemeClr>
        </w14:solidFill>
      </w14:textFill>
    </w:rPr>
  </w:style>
  <w:style w:type="character" w:customStyle="1" w:styleId="28">
    <w:name w:val="引用 字符"/>
    <w:basedOn w:val="15"/>
    <w:link w:val="27"/>
    <w:qFormat/>
    <w:uiPriority w:val="29"/>
    <w:rPr>
      <w:i/>
      <w:iCs/>
      <w:color w:val="404040" w:themeColor="text1" w:themeTint="BF"/>
      <w14:textFill>
        <w14:solidFill>
          <w14:schemeClr w14:val="tx1">
            <w14:lumMod w14:val="75000"/>
            <w14:lumOff w14:val="25000"/>
          </w14:schemeClr>
        </w14:solidFill>
      </w14:textFill>
    </w:rPr>
  </w:style>
  <w:style w:type="paragraph" w:styleId="29">
    <w:name w:val="List Paragraph"/>
    <w:basedOn w:val="1"/>
    <w:qFormat/>
    <w:uiPriority w:val="34"/>
    <w:pPr>
      <w:widowControl w:val="0"/>
      <w:ind w:left="720"/>
      <w:contextualSpacing/>
      <w:jc w:val="both"/>
    </w:pPr>
    <w:rPr>
      <w:rFonts w:asciiTheme="minorHAnsi" w:hAnsiTheme="minorHAnsi" w:eastAsiaTheme="minorEastAsia" w:cstheme="minorBidi"/>
      <w:kern w:val="2"/>
      <w:sz w:val="21"/>
    </w:rPr>
  </w:style>
  <w:style w:type="character" w:customStyle="1" w:styleId="30">
    <w:name w:val="明显强调1"/>
    <w:basedOn w:val="15"/>
    <w:qFormat/>
    <w:uiPriority w:val="21"/>
    <w:rPr>
      <w:i/>
      <w:iCs/>
      <w:color w:val="104862" w:themeColor="accent1" w:themeShade="BF"/>
    </w:rPr>
  </w:style>
  <w:style w:type="paragraph" w:styleId="31">
    <w:name w:val="Intense Quote"/>
    <w:basedOn w:val="1"/>
    <w:next w:val="1"/>
    <w:link w:val="32"/>
    <w:qFormat/>
    <w:uiPriority w:val="30"/>
    <w:pPr>
      <w:widowControl w:val="0"/>
      <w:pBdr>
        <w:top w:val="single" w:color="0F4761" w:themeColor="accent1" w:themeShade="BF" w:sz="4" w:space="10"/>
        <w:bottom w:val="single" w:color="0F4761" w:themeColor="accent1" w:themeShade="BF" w:sz="4" w:space="10"/>
      </w:pBdr>
      <w:spacing w:before="360" w:after="360"/>
      <w:ind w:left="864" w:right="864"/>
      <w:jc w:val="center"/>
    </w:pPr>
    <w:rPr>
      <w:rFonts w:asciiTheme="minorHAnsi" w:hAnsiTheme="minorHAnsi" w:eastAsiaTheme="minorEastAsia" w:cstheme="minorBidi"/>
      <w:i/>
      <w:iCs/>
      <w:color w:val="104862" w:themeColor="accent1" w:themeShade="BF"/>
      <w:kern w:val="2"/>
      <w:sz w:val="21"/>
    </w:rPr>
  </w:style>
  <w:style w:type="character" w:customStyle="1" w:styleId="32">
    <w:name w:val="明显引用 字符"/>
    <w:basedOn w:val="15"/>
    <w:link w:val="31"/>
    <w:qFormat/>
    <w:uiPriority w:val="30"/>
    <w:rPr>
      <w:i/>
      <w:iCs/>
      <w:color w:val="104862" w:themeColor="accent1" w:themeShade="BF"/>
    </w:rPr>
  </w:style>
  <w:style w:type="character" w:customStyle="1" w:styleId="33">
    <w:name w:val="明显参考1"/>
    <w:basedOn w:val="15"/>
    <w:qFormat/>
    <w:uiPriority w:val="32"/>
    <w:rPr>
      <w:b/>
      <w:bCs/>
      <w:smallCaps/>
      <w:color w:val="104862" w:themeColor="accent1" w:themeShade="BF"/>
      <w:spacing w:val="5"/>
    </w:rPr>
  </w:style>
  <w:style w:type="paragraph" w:customStyle="1" w:styleId="34">
    <w:name w:val="EndNote Bibliography"/>
    <w:link w:val="36"/>
    <w:qFormat/>
    <w:uiPriority w:val="0"/>
    <w:pPr>
      <w:jc w:val="both"/>
    </w:pPr>
    <w:rPr>
      <w:rFonts w:ascii="Calibri" w:hAnsi="Calibri" w:cs="Calibri" w:eastAsiaTheme="minorEastAsia"/>
      <w:kern w:val="2"/>
      <w:szCs w:val="24"/>
      <w:lang w:val="en-US" w:eastAsia="zh-CN" w:bidi="ar-SA"/>
    </w:rPr>
  </w:style>
  <w:style w:type="character" w:customStyle="1" w:styleId="35">
    <w:name w:val="font21"/>
    <w:basedOn w:val="15"/>
    <w:uiPriority w:val="0"/>
    <w:rPr>
      <w:rFonts w:hint="eastAsia" w:ascii="宋体" w:hAnsi="宋体" w:eastAsia="宋体" w:cs="宋体"/>
      <w:color w:val="000000"/>
      <w:sz w:val="20"/>
      <w:szCs w:val="20"/>
      <w:u w:val="none"/>
    </w:rPr>
  </w:style>
  <w:style w:type="character" w:customStyle="1" w:styleId="36">
    <w:name w:val="EndNote Bibliography 字符"/>
    <w:basedOn w:val="15"/>
    <w:link w:val="34"/>
    <w:qFormat/>
    <w:uiPriority w:val="0"/>
    <w:rPr>
      <w:rFonts w:ascii="Calibri" w:hAnsi="Calibri" w:cs="Calibri" w:eastAsiaTheme="minorEastAsia"/>
      <w:kern w:val="2"/>
      <w:szCs w:val="24"/>
    </w:rPr>
  </w:style>
  <w:style w:type="paragraph" w:customStyle="1" w:styleId="37">
    <w:name w:val="EndNote Bibliography Title"/>
    <w:basedOn w:val="1"/>
    <w:link w:val="38"/>
    <w:qFormat/>
    <w:uiPriority w:val="0"/>
    <w:pPr>
      <w:jc w:val="center"/>
    </w:pPr>
    <w:rPr>
      <w:rFonts w:ascii="Calibri" w:hAnsi="Calibri" w:cs="Calibri"/>
      <w:sz w:val="20"/>
    </w:rPr>
  </w:style>
  <w:style w:type="character" w:customStyle="1" w:styleId="38">
    <w:name w:val="EndNote Bibliography Title 字符"/>
    <w:basedOn w:val="15"/>
    <w:link w:val="37"/>
    <w:qFormat/>
    <w:uiPriority w:val="0"/>
    <w:rPr>
      <w:rFonts w:ascii="Calibri" w:hAnsi="Calibri" w:cs="Calibri"/>
      <w:szCs w:val="24"/>
    </w:rPr>
  </w:style>
  <w:style w:type="paragraph" w:customStyle="1" w:styleId="39">
    <w:name w:val="Revision"/>
    <w:hidden/>
    <w:unhideWhenUsed/>
    <w:qFormat/>
    <w:uiPriority w:val="99"/>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2331</Words>
  <Characters>14484</Characters>
  <Lines>183</Lines>
  <Paragraphs>51</Paragraphs>
  <TotalTime>0</TotalTime>
  <ScaleCrop>false</ScaleCrop>
  <LinksUpToDate>false</LinksUpToDate>
  <CharactersWithSpaces>16556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2024-05-03T03:31:00Z</dcterms:created>
  <dc:creator>Yanong LI</dc:creator>
  <cp:lastModifiedBy>SEESAW</cp:lastModifiedBy>
  <dcterms:modified xsi:type="dcterms:W3CDTF">2025-05-08T14:19:56Z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B39C0724AE9DDB49BE844166BB61E6DF_42</vt:lpwstr>
  </property>
  <property fmtid="{D5CDD505-2E9C-101B-9397-08002B2CF9AE}" pid="4" name="KSOTemplateDocerSaveRecord">
    <vt:lpwstr>eyJoZGlkIjoiZGUxYzVlNzU1ZGY5YmQ1MDA0NDMzNDQxMmM1NDRhNDUiLCJ1c2VySWQiOiIxMTY4NDM1OTExIn0=</vt:lpwstr>
  </property>
</Properties>
</file>