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77378" w14:textId="3F77C774" w:rsidR="00AB4FF7" w:rsidRPr="00AB4FF7" w:rsidRDefault="00AB4FF7" w:rsidP="00AB4FF7">
      <w:pPr>
        <w:jc w:val="both"/>
        <w:rPr>
          <w:b/>
          <w:bCs/>
        </w:rPr>
      </w:pPr>
      <w:bookmarkStart w:id="0" w:name="_Hlk189837323"/>
      <w:r>
        <w:rPr>
          <w:b/>
          <w:bCs/>
        </w:rPr>
        <w:t>Supporting Information</w:t>
      </w:r>
    </w:p>
    <w:p w14:paraId="376D028F" w14:textId="392D3F67" w:rsidR="00AB4FF7" w:rsidRPr="006C6335" w:rsidRDefault="00FE3720" w:rsidP="00AB4FF7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Exploring the </w:t>
      </w:r>
      <w:r w:rsidR="00AB4FF7" w:rsidRPr="03E4DA7A">
        <w:rPr>
          <w:rFonts w:cs="Times New Roman"/>
          <w:b/>
          <w:bCs/>
          <w:sz w:val="28"/>
          <w:szCs w:val="28"/>
        </w:rPr>
        <w:t>Interaction Between Particle Cracking and Expansion in NMC811 Using an Electro-Chemo-Mechanical Model</w:t>
      </w:r>
    </w:p>
    <w:bookmarkEnd w:id="0"/>
    <w:p w14:paraId="6C07FBA4" w14:textId="77777777" w:rsidR="00AB4FF7" w:rsidRPr="006C6335" w:rsidRDefault="00AB4FF7" w:rsidP="00AB4FF7">
      <w:pPr>
        <w:rPr>
          <w:rFonts w:cs="Times New Roman"/>
          <w:b/>
          <w:bCs/>
          <w:sz w:val="28"/>
          <w:szCs w:val="28"/>
        </w:rPr>
      </w:pPr>
    </w:p>
    <w:p w14:paraId="094DBEAA" w14:textId="77777777" w:rsidR="00AB4FF7" w:rsidRPr="004D3A9F" w:rsidRDefault="00AB4FF7" w:rsidP="00AB4FF7">
      <w:pPr>
        <w:rPr>
          <w:rFonts w:cs="Times New Roman"/>
          <w:b/>
          <w:bCs/>
          <w:szCs w:val="24"/>
          <w:vertAlign w:val="superscript"/>
          <w:lang w:val="sv-SE"/>
        </w:rPr>
      </w:pPr>
      <w:r w:rsidRPr="004D3A9F">
        <w:rPr>
          <w:rFonts w:cs="Times New Roman"/>
          <w:b/>
          <w:bCs/>
          <w:szCs w:val="24"/>
          <w:lang w:val="sv-SE"/>
        </w:rPr>
        <w:t>VINIT NAGDA</w:t>
      </w:r>
      <w:r w:rsidRPr="005E79F0">
        <w:rPr>
          <w:rFonts w:cs="Times New Roman"/>
          <w:b/>
          <w:bCs/>
          <w:szCs w:val="24"/>
          <w:lang w:val="sv-SE"/>
        </w:rPr>
        <w:t xml:space="preserve"> </w:t>
      </w:r>
      <w:r w:rsidRPr="004D3A9F">
        <w:rPr>
          <w:rFonts w:cs="Times New Roman"/>
          <w:b/>
          <w:bCs/>
          <w:sz w:val="28"/>
          <w:szCs w:val="28"/>
          <w:vertAlign w:val="superscript"/>
          <w:lang w:val="sv-SE"/>
        </w:rPr>
        <w:t>a,</w:t>
      </w:r>
      <w:r>
        <w:rPr>
          <w:rFonts w:cs="Times New Roman"/>
          <w:b/>
          <w:bCs/>
          <w:sz w:val="28"/>
          <w:szCs w:val="28"/>
          <w:vertAlign w:val="superscript"/>
          <w:lang w:val="sv-SE"/>
        </w:rPr>
        <w:t xml:space="preserve"> </w:t>
      </w:r>
      <w:r w:rsidRPr="004D3A9F">
        <w:rPr>
          <w:rFonts w:cs="Times New Roman"/>
          <w:b/>
          <w:bCs/>
          <w:sz w:val="28"/>
          <w:szCs w:val="28"/>
          <w:vertAlign w:val="superscript"/>
          <w:lang w:val="sv-SE"/>
        </w:rPr>
        <w:t>*</w:t>
      </w:r>
      <w:r w:rsidRPr="004D3A9F">
        <w:rPr>
          <w:rFonts w:cs="Times New Roman"/>
          <w:b/>
          <w:bCs/>
          <w:szCs w:val="24"/>
          <w:lang w:val="sv-SE"/>
        </w:rPr>
        <w:t xml:space="preserve">, </w:t>
      </w:r>
      <w:bookmarkStart w:id="1" w:name="_Hlk149137450"/>
      <w:r w:rsidRPr="004D3A9F">
        <w:rPr>
          <w:rFonts w:cs="Times New Roman"/>
          <w:b/>
          <w:bCs/>
          <w:szCs w:val="24"/>
          <w:lang w:val="sv-SE"/>
        </w:rPr>
        <w:t>HENRIK EKSTRÖM</w:t>
      </w:r>
      <w:bookmarkEnd w:id="1"/>
      <w:r>
        <w:rPr>
          <w:rFonts w:cs="Times New Roman"/>
          <w:b/>
          <w:bCs/>
          <w:szCs w:val="24"/>
          <w:lang w:val="sv-SE"/>
        </w:rPr>
        <w:t xml:space="preserve"> </w:t>
      </w:r>
      <w:r w:rsidRPr="005E79F0">
        <w:rPr>
          <w:rFonts w:cs="Times New Roman"/>
          <w:b/>
          <w:sz w:val="28"/>
          <w:szCs w:val="28"/>
          <w:vertAlign w:val="superscript"/>
          <w:lang w:val="sv-SE"/>
        </w:rPr>
        <w:t>b,</w:t>
      </w:r>
      <w:r>
        <w:rPr>
          <w:rFonts w:cs="Times New Roman"/>
          <w:b/>
          <w:sz w:val="28"/>
          <w:szCs w:val="28"/>
          <w:vertAlign w:val="superscript"/>
          <w:lang w:val="sv-SE"/>
        </w:rPr>
        <w:t xml:space="preserve"> </w:t>
      </w:r>
      <w:r w:rsidRPr="005E79F0">
        <w:rPr>
          <w:rFonts w:cs="Times New Roman"/>
          <w:b/>
          <w:sz w:val="28"/>
          <w:szCs w:val="28"/>
          <w:vertAlign w:val="superscript"/>
          <w:lang w:val="sv-SE"/>
        </w:rPr>
        <w:t>c</w:t>
      </w:r>
      <w:r w:rsidRPr="004D3A9F">
        <w:rPr>
          <w:rFonts w:cs="Times New Roman"/>
          <w:b/>
          <w:bCs/>
          <w:szCs w:val="24"/>
          <w:lang w:val="sv-SE"/>
        </w:rPr>
        <w:t>, ARTEM KULACHENKO</w:t>
      </w:r>
      <w:r>
        <w:rPr>
          <w:rFonts w:cs="Times New Roman"/>
          <w:b/>
          <w:bCs/>
          <w:szCs w:val="24"/>
          <w:lang w:val="sv-SE"/>
        </w:rPr>
        <w:t xml:space="preserve"> </w:t>
      </w:r>
      <w:r w:rsidRPr="005E79F0">
        <w:rPr>
          <w:rFonts w:cs="Times New Roman"/>
          <w:b/>
          <w:bCs/>
          <w:sz w:val="28"/>
          <w:szCs w:val="28"/>
          <w:vertAlign w:val="superscript"/>
          <w:lang w:val="sv-SE"/>
        </w:rPr>
        <w:t xml:space="preserve">a </w:t>
      </w:r>
    </w:p>
    <w:p w14:paraId="06982B72" w14:textId="77777777" w:rsidR="00AB4FF7" w:rsidRPr="006C6335" w:rsidRDefault="00AB4FF7" w:rsidP="00AB4FF7">
      <w:pPr>
        <w:pStyle w:val="LiteWCCM"/>
        <w:jc w:val="left"/>
      </w:pPr>
      <w:r w:rsidRPr="005E79F0">
        <w:rPr>
          <w:sz w:val="28"/>
          <w:szCs w:val="28"/>
          <w:vertAlign w:val="superscript"/>
        </w:rPr>
        <w:t>a</w:t>
      </w:r>
      <w:r>
        <w:t xml:space="preserve"> </w:t>
      </w:r>
      <w:r w:rsidRPr="006C6335">
        <w:t>Department of Engineering Mechanics, KTH Royal Institute of Technology, Stockholm</w:t>
      </w:r>
    </w:p>
    <w:p w14:paraId="16C763EC" w14:textId="551B4CBD" w:rsidR="00AB4FF7" w:rsidRPr="006C6335" w:rsidRDefault="00AB4FF7" w:rsidP="00AB4FF7">
      <w:pPr>
        <w:pStyle w:val="LiteWCCM"/>
        <w:jc w:val="left"/>
        <w:rPr>
          <w:b/>
          <w:bCs/>
        </w:rPr>
      </w:pPr>
      <w:r>
        <w:rPr>
          <w:sz w:val="28"/>
          <w:szCs w:val="28"/>
          <w:vertAlign w:val="superscript"/>
        </w:rPr>
        <w:t>b</w:t>
      </w:r>
      <w:r w:rsidRPr="006C6335" w:rsidDel="008E3B2E">
        <w:rPr>
          <w:b/>
          <w:bCs/>
          <w:vertAlign w:val="superscript"/>
        </w:rPr>
        <w:t xml:space="preserve"> </w:t>
      </w:r>
      <w:r w:rsidRPr="006C6335">
        <w:t>Department of</w:t>
      </w:r>
      <w:r w:rsidRPr="006C6335">
        <w:rPr>
          <w:b/>
          <w:bCs/>
        </w:rPr>
        <w:t xml:space="preserve"> </w:t>
      </w:r>
      <w:r w:rsidR="009854A9">
        <w:t>Chemical Engineering</w:t>
      </w:r>
      <w:r w:rsidRPr="006C6335">
        <w:t>, KTH Royal Institute of Technology, Stockholm</w:t>
      </w:r>
    </w:p>
    <w:p w14:paraId="7A510E5A" w14:textId="77777777" w:rsidR="00AB4FF7" w:rsidRDefault="00AB4FF7" w:rsidP="00AB4FF7">
      <w:pPr>
        <w:pStyle w:val="LiteWCCM"/>
        <w:jc w:val="left"/>
      </w:pPr>
      <w:r>
        <w:rPr>
          <w:sz w:val="28"/>
          <w:szCs w:val="28"/>
          <w:vertAlign w:val="superscript"/>
        </w:rPr>
        <w:t>c</w:t>
      </w:r>
      <w:r w:rsidRPr="006C6335" w:rsidDel="008E3B2E">
        <w:t xml:space="preserve"> </w:t>
      </w:r>
      <w:r w:rsidRPr="006C6335">
        <w:t>COMSOL AB, Sweden</w:t>
      </w:r>
    </w:p>
    <w:p w14:paraId="12A086B0" w14:textId="77777777" w:rsidR="00AB4FF7" w:rsidRPr="005E79F0" w:rsidRDefault="00AB4FF7" w:rsidP="00AB4FF7">
      <w:pPr>
        <w:pStyle w:val="LiteWCCM"/>
        <w:jc w:val="left"/>
        <w:rPr>
          <w:lang w:val="en-US"/>
        </w:rPr>
      </w:pPr>
      <w:r w:rsidRPr="005E79F0">
        <w:rPr>
          <w:b/>
          <w:bCs/>
          <w:sz w:val="28"/>
          <w:szCs w:val="28"/>
          <w:vertAlign w:val="superscript"/>
          <w:lang w:val="en-US"/>
        </w:rPr>
        <w:t xml:space="preserve">* </w:t>
      </w:r>
      <w:r w:rsidRPr="005E79F0">
        <w:rPr>
          <w:szCs w:val="24"/>
          <w:lang w:val="en-US"/>
        </w:rPr>
        <w:t>Corresponding author:</w:t>
      </w:r>
      <w:r w:rsidRPr="005E79F0">
        <w:rPr>
          <w:sz w:val="28"/>
          <w:szCs w:val="28"/>
          <w:lang w:val="en-US"/>
        </w:rPr>
        <w:t xml:space="preserve"> </w:t>
      </w:r>
      <w:r w:rsidRPr="005E79F0">
        <w:rPr>
          <w:szCs w:val="24"/>
          <w:lang w:val="en-US"/>
        </w:rPr>
        <w:t>nagda@kth.se</w:t>
      </w:r>
    </w:p>
    <w:p w14:paraId="5C2C3AE0" w14:textId="77777777" w:rsidR="00AD2195" w:rsidRDefault="00AD2195">
      <w:pPr>
        <w:rPr>
          <w:lang w:val="en-US"/>
        </w:rPr>
      </w:pPr>
    </w:p>
    <w:p w14:paraId="3F7F1D9E" w14:textId="77777777" w:rsidR="00931486" w:rsidRDefault="00931486">
      <w:pPr>
        <w:rPr>
          <w:lang w:val="en-US"/>
        </w:rPr>
      </w:pPr>
    </w:p>
    <w:p w14:paraId="37BE9B4D" w14:textId="77777777" w:rsidR="00931486" w:rsidRDefault="00931486">
      <w:pPr>
        <w:rPr>
          <w:lang w:val="en-US"/>
        </w:rPr>
      </w:pPr>
    </w:p>
    <w:p w14:paraId="32C83322" w14:textId="77777777" w:rsidR="00931486" w:rsidRDefault="00931486">
      <w:pPr>
        <w:rPr>
          <w:lang w:val="en-US"/>
        </w:rPr>
      </w:pPr>
    </w:p>
    <w:p w14:paraId="539E6702" w14:textId="77777777" w:rsidR="00931486" w:rsidRDefault="00931486">
      <w:pPr>
        <w:rPr>
          <w:lang w:val="en-US"/>
        </w:rPr>
      </w:pPr>
    </w:p>
    <w:p w14:paraId="556A342C" w14:textId="77777777" w:rsidR="00931486" w:rsidRDefault="00931486">
      <w:pPr>
        <w:rPr>
          <w:lang w:val="en-US"/>
        </w:rPr>
      </w:pPr>
    </w:p>
    <w:p w14:paraId="1CC8A349" w14:textId="77777777" w:rsidR="00931486" w:rsidRDefault="00931486">
      <w:pPr>
        <w:rPr>
          <w:lang w:val="en-US"/>
        </w:rPr>
      </w:pPr>
    </w:p>
    <w:p w14:paraId="502448E8" w14:textId="77777777" w:rsidR="00931486" w:rsidRDefault="00931486">
      <w:pPr>
        <w:rPr>
          <w:lang w:val="en-US"/>
        </w:rPr>
      </w:pPr>
    </w:p>
    <w:p w14:paraId="7A316809" w14:textId="77777777" w:rsidR="00931486" w:rsidRDefault="00931486">
      <w:pPr>
        <w:rPr>
          <w:lang w:val="en-US"/>
        </w:rPr>
      </w:pPr>
    </w:p>
    <w:p w14:paraId="109FCD6B" w14:textId="77777777" w:rsidR="00931486" w:rsidRDefault="00931486">
      <w:pPr>
        <w:rPr>
          <w:lang w:val="en-US"/>
        </w:rPr>
      </w:pPr>
    </w:p>
    <w:p w14:paraId="335D47D7" w14:textId="77777777" w:rsidR="00931486" w:rsidRDefault="00931486">
      <w:pPr>
        <w:rPr>
          <w:lang w:val="en-US"/>
        </w:rPr>
      </w:pPr>
    </w:p>
    <w:p w14:paraId="55DDA02A" w14:textId="77777777" w:rsidR="00931486" w:rsidRDefault="00931486">
      <w:pPr>
        <w:rPr>
          <w:lang w:val="en-US"/>
        </w:rPr>
      </w:pPr>
    </w:p>
    <w:p w14:paraId="31890E8F" w14:textId="77777777" w:rsidR="00931486" w:rsidRDefault="00931486">
      <w:pPr>
        <w:rPr>
          <w:lang w:val="en-US"/>
        </w:rPr>
      </w:pPr>
    </w:p>
    <w:p w14:paraId="10F01905" w14:textId="77777777" w:rsidR="00931486" w:rsidRDefault="00931486">
      <w:pPr>
        <w:rPr>
          <w:lang w:val="en-US"/>
        </w:rPr>
      </w:pPr>
    </w:p>
    <w:p w14:paraId="226D4949" w14:textId="77777777" w:rsidR="00931486" w:rsidRDefault="00931486">
      <w:pPr>
        <w:rPr>
          <w:lang w:val="en-US"/>
        </w:rPr>
      </w:pPr>
    </w:p>
    <w:p w14:paraId="24130046" w14:textId="77777777" w:rsidR="00931486" w:rsidRDefault="00931486">
      <w:pPr>
        <w:rPr>
          <w:lang w:val="en-US"/>
        </w:rPr>
      </w:pPr>
    </w:p>
    <w:p w14:paraId="417E19B9" w14:textId="77777777" w:rsidR="00931486" w:rsidRDefault="00931486">
      <w:pPr>
        <w:rPr>
          <w:lang w:val="en-US"/>
        </w:rPr>
      </w:pPr>
    </w:p>
    <w:p w14:paraId="2B84957B" w14:textId="77777777" w:rsidR="00931486" w:rsidRDefault="00931486">
      <w:pPr>
        <w:rPr>
          <w:lang w:val="en-US"/>
        </w:rPr>
      </w:pPr>
    </w:p>
    <w:p w14:paraId="4DE6FDCA" w14:textId="77777777" w:rsidR="00931486" w:rsidRDefault="00931486">
      <w:pPr>
        <w:rPr>
          <w:lang w:val="en-US"/>
        </w:rPr>
      </w:pPr>
    </w:p>
    <w:p w14:paraId="55D2CC23" w14:textId="77777777" w:rsidR="00931486" w:rsidRDefault="00931486">
      <w:pPr>
        <w:rPr>
          <w:lang w:val="en-US"/>
        </w:rPr>
      </w:pPr>
    </w:p>
    <w:p w14:paraId="59E1208C" w14:textId="77777777" w:rsidR="00931486" w:rsidRDefault="00931486">
      <w:pPr>
        <w:rPr>
          <w:lang w:val="en-US"/>
        </w:rPr>
      </w:pPr>
    </w:p>
    <w:p w14:paraId="231ABF64" w14:textId="77777777" w:rsidR="00931486" w:rsidRDefault="00931486">
      <w:pPr>
        <w:rPr>
          <w:lang w:val="en-US"/>
        </w:rPr>
      </w:pPr>
    </w:p>
    <w:p w14:paraId="5CCDA87C" w14:textId="23444740" w:rsidR="00B07D33" w:rsidRDefault="00B07D33" w:rsidP="009D45A2">
      <w:pPr>
        <w:pStyle w:val="Heading3"/>
        <w:numPr>
          <w:ilvl w:val="0"/>
          <w:numId w:val="3"/>
        </w:numPr>
        <w:rPr>
          <w:color w:val="000000" w:themeColor="text1"/>
          <w:lang w:val="en-SE"/>
        </w:rPr>
      </w:pPr>
      <w:r>
        <w:rPr>
          <w:color w:val="000000" w:themeColor="text1"/>
          <w:lang w:val="en-SE"/>
        </w:rPr>
        <w:lastRenderedPageBreak/>
        <w:t>Construction of Particle Structure</w:t>
      </w:r>
    </w:p>
    <w:p w14:paraId="6B740A2D" w14:textId="2F03DB6C" w:rsidR="00B07D33" w:rsidRPr="00B07D33" w:rsidRDefault="00B07D33" w:rsidP="00B07D33">
      <w:pPr>
        <w:jc w:val="both"/>
        <w:rPr>
          <w:lang w:val="en-SE"/>
        </w:rPr>
      </w:pPr>
      <w:r w:rsidRPr="00B07D33">
        <w:rPr>
          <w:lang w:val="en-SE"/>
        </w:rPr>
        <w:t xml:space="preserve">To understand the mechanical degradation processes occurring within NMC811 active </w:t>
      </w:r>
      <w:r w:rsidR="00AF2EE4">
        <w:rPr>
          <w:lang w:val="en-SE"/>
        </w:rPr>
        <w:t>particle</w:t>
      </w:r>
      <w:r w:rsidRPr="00B07D33">
        <w:rPr>
          <w:lang w:val="en-SE"/>
        </w:rPr>
        <w:t>, th</w:t>
      </w:r>
      <w:r w:rsidR="00B92B2C">
        <w:rPr>
          <w:lang w:val="en-SE"/>
        </w:rPr>
        <w:t>e presented</w:t>
      </w:r>
      <w:r w:rsidRPr="00B07D33">
        <w:rPr>
          <w:lang w:val="en-SE"/>
        </w:rPr>
        <w:t xml:space="preserve"> study utilizes a computational model based on realistic particle morphology. The geometry of the active particle was derived directly from electrode microstructures previously reconstructed using X-ray computed tomography (CT) </w:t>
      </w:r>
      <w:r w:rsidR="00A94D51" w:rsidRPr="00B07D33">
        <w:rPr>
          <w:lang w:val="en-SE"/>
        </w:rPr>
        <w:t>imaging</w:t>
      </w:r>
      <w:r w:rsidR="00E51039">
        <w:rPr>
          <w:lang w:val="en-SE"/>
        </w:rPr>
        <w:t xml:space="preserve"> </w:t>
      </w:r>
      <w:r w:rsidR="00E51039">
        <w:rPr>
          <w:lang w:val="en-SE"/>
        </w:rPr>
        <w:fldChar w:fldCharType="begin"/>
      </w:r>
      <w:r w:rsidR="00E51039">
        <w:rPr>
          <w:lang w:val="en-SE"/>
        </w:rPr>
        <w:instrText xml:space="preserve"> ADDIN EN.CITE &lt;EndNote&gt;&lt;Cite&gt;&lt;Author&gt;Nagda&lt;/Author&gt;&lt;Year&gt;2023&lt;/Year&gt;&lt;RecNum&gt;321&lt;/RecNum&gt;&lt;DisplayText&gt;[1]&lt;/DisplayText&gt;&lt;record&gt;&lt;rec-number&gt;321&lt;/rec-number&gt;&lt;foreign-keys&gt;&lt;key app="EN" db-id="e5vs5v928pef9beva9q59wsidxawastdww5x" timestamp="1744381381"&gt;321&lt;/key&gt;&lt;/foreign-keys&gt;&lt;ref-type name="Journal Article"&gt;17&lt;/ref-type&gt;&lt;contributors&gt;&lt;authors&gt;&lt;author&gt;Nagda, Vinit&lt;/author&gt;&lt;author&gt;Kulachenko, Artem&lt;/author&gt;&lt;author&gt;Lindström, Stefan B&lt;/author&gt;&lt;/authors&gt;&lt;/contributors&gt;&lt;titles&gt;&lt;title&gt;Image-based 3D characterization and reconstruction of heterogeneous battery electrode microstructure&lt;/title&gt;&lt;secondary-title&gt;Computational materials science&lt;/secondary-title&gt;&lt;/titles&gt;&lt;periodical&gt;&lt;full-title&gt;Computational Materials Science&lt;/full-title&gt;&lt;/periodical&gt;&lt;pages&gt;112139&lt;/pages&gt;&lt;volume&gt;223&lt;/volume&gt;&lt;dates&gt;&lt;year&gt;2023&lt;/year&gt;&lt;/dates&gt;&lt;isbn&gt;0927-0256&lt;/isbn&gt;&lt;urls&gt;&lt;/urls&gt;&lt;/record&gt;&lt;/Cite&gt;&lt;/EndNote&gt;</w:instrText>
      </w:r>
      <w:r w:rsidR="00E51039">
        <w:rPr>
          <w:lang w:val="en-SE"/>
        </w:rPr>
        <w:fldChar w:fldCharType="separate"/>
      </w:r>
      <w:r w:rsidR="00E51039">
        <w:rPr>
          <w:noProof/>
          <w:lang w:val="en-SE"/>
        </w:rPr>
        <w:t>[1]</w:t>
      </w:r>
      <w:r w:rsidR="00E51039">
        <w:rPr>
          <w:lang w:val="en-SE"/>
        </w:rPr>
        <w:fldChar w:fldCharType="end"/>
      </w:r>
      <w:r w:rsidR="00A94D51" w:rsidRPr="00B07D33">
        <w:rPr>
          <w:lang w:val="en-SE"/>
        </w:rPr>
        <w:t>.</w:t>
      </w:r>
    </w:p>
    <w:p w14:paraId="1249AD40" w14:textId="7F6337CF" w:rsidR="00B07D33" w:rsidRPr="00DB1368" w:rsidRDefault="00B07D33" w:rsidP="00DB1368">
      <w:pPr>
        <w:jc w:val="both"/>
        <w:rPr>
          <w:lang w:val="en-SE"/>
        </w:rPr>
      </w:pPr>
      <w:r w:rsidRPr="00B07D33">
        <w:rPr>
          <w:lang w:val="en-SE"/>
        </w:rPr>
        <w:t xml:space="preserve">From the reconstructed microstructure, a single </w:t>
      </w:r>
      <w:r w:rsidR="000E1DC8">
        <w:rPr>
          <w:lang w:val="en-SE"/>
        </w:rPr>
        <w:t>active</w:t>
      </w:r>
      <w:r w:rsidRPr="00B07D33">
        <w:rPr>
          <w:lang w:val="en-SE"/>
        </w:rPr>
        <w:t xml:space="preserve"> particle with an approximate radius of 10 microns was randomly selected as the subject for detailed </w:t>
      </w:r>
      <w:r w:rsidR="00AF2EE4" w:rsidRPr="00B07D33">
        <w:rPr>
          <w:lang w:val="en-SE"/>
        </w:rPr>
        <w:t>modelling</w:t>
      </w:r>
      <w:r w:rsidR="00F95AB5">
        <w:rPr>
          <w:lang w:val="en-SE"/>
        </w:rPr>
        <w:t xml:space="preserve">, illustrated in </w:t>
      </w:r>
      <w:r w:rsidR="00881798" w:rsidRPr="00D91F5B">
        <w:fldChar w:fldCharType="begin"/>
      </w:r>
      <w:r w:rsidR="00881798" w:rsidRPr="00D91F5B">
        <w:instrText xml:space="preserve"> REF _Ref195541996 \h </w:instrText>
      </w:r>
      <w:r w:rsidR="00881798">
        <w:instrText xml:space="preserve"> \* MERGEFORMAT </w:instrText>
      </w:r>
      <w:r w:rsidR="00881798" w:rsidRPr="00D91F5B">
        <w:fldChar w:fldCharType="separate"/>
      </w:r>
      <w:r w:rsidR="00881798" w:rsidRPr="00D91F5B">
        <w:rPr>
          <w:lang w:val="en-US"/>
        </w:rPr>
        <w:t>Figure S1</w:t>
      </w:r>
      <w:r w:rsidR="00881798" w:rsidRPr="00D91F5B">
        <w:fldChar w:fldCharType="end"/>
      </w:r>
      <w:r w:rsidR="00881798">
        <w:t>.a)</w:t>
      </w:r>
      <w:r w:rsidRPr="00B07D33">
        <w:rPr>
          <w:lang w:val="en-SE"/>
        </w:rPr>
        <w:t xml:space="preserve">. </w:t>
      </w:r>
      <w:r w:rsidR="004050A4" w:rsidRPr="004050A4">
        <w:rPr>
          <w:lang w:val="en-SE"/>
        </w:rPr>
        <w:t>The particle is explicitly modelled as a secondary NMC particle, consisting of agglomerated primary particles to represent a polycrystalline structure</w:t>
      </w:r>
      <w:r w:rsidRPr="00B07D33">
        <w:rPr>
          <w:lang w:val="en-SE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9"/>
        <w:gridCol w:w="3126"/>
        <w:gridCol w:w="2821"/>
      </w:tblGrid>
      <w:tr w:rsidR="00FE52CB" w14:paraId="1CC58CAB" w14:textId="77777777" w:rsidTr="00A92E4D">
        <w:tc>
          <w:tcPr>
            <w:tcW w:w="9016" w:type="dxa"/>
            <w:gridSpan w:val="3"/>
          </w:tcPr>
          <w:p w14:paraId="693E5F9D" w14:textId="6D67928B" w:rsidR="00E25850" w:rsidRDefault="00E25850" w:rsidP="00E25850">
            <w:pPr>
              <w:rPr>
                <w:noProof/>
                <w:lang w:val="en-SE"/>
                <w14:ligatures w14:val="standardContextual"/>
              </w:rPr>
            </w:pPr>
            <w:r>
              <w:rPr>
                <w:noProof/>
                <w:lang w:val="en-SE"/>
                <w14:ligatures w14:val="standardContextual"/>
              </w:rPr>
              <w:t>a)</w:t>
            </w:r>
          </w:p>
          <w:p w14:paraId="72B1E710" w14:textId="2CABF49E" w:rsidR="00FE52CB" w:rsidRDefault="00F11C31" w:rsidP="00FE52CB">
            <w:pPr>
              <w:jc w:val="center"/>
              <w:rPr>
                <w:noProof/>
                <w:lang w:val="en-SE"/>
                <w14:ligatures w14:val="standardContextual"/>
              </w:rPr>
            </w:pPr>
            <w:r>
              <w:rPr>
                <w:noProof/>
                <w:lang w:val="en-SE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D4107D" wp14:editId="677B66CF">
                      <wp:simplePos x="0" y="0"/>
                      <wp:positionH relativeFrom="column">
                        <wp:posOffset>3090545</wp:posOffset>
                      </wp:positionH>
                      <wp:positionV relativeFrom="paragraph">
                        <wp:posOffset>976630</wp:posOffset>
                      </wp:positionV>
                      <wp:extent cx="704850" cy="0"/>
                      <wp:effectExtent l="0" t="76200" r="19050" b="95250"/>
                      <wp:wrapNone/>
                      <wp:docPr id="1581669703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F78CC0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243.35pt;margin-top:76.9pt;width:55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FE52CB">
              <w:rPr>
                <w:noProof/>
                <w:lang w:val="en-SE"/>
                <w14:ligatures w14:val="standardContextual"/>
              </w:rPr>
              <w:drawing>
                <wp:inline distT="0" distB="0" distL="0" distR="0" wp14:anchorId="201D75D9" wp14:editId="38C748F2">
                  <wp:extent cx="5219554" cy="1809750"/>
                  <wp:effectExtent l="0" t="0" r="635" b="0"/>
                  <wp:docPr id="142202697" name="Picture 2" descr="A blue and green ball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02697" name="Picture 2" descr="A blue and green balls&#10;&#10;AI-generated content may be incorrect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570" cy="1812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6B19B1" w14:textId="65CDAE16" w:rsidR="00FE52CB" w:rsidRDefault="00FE52CB" w:rsidP="00B33355">
            <w:pPr>
              <w:jc w:val="both"/>
              <w:rPr>
                <w:lang w:val="en-SE"/>
              </w:rPr>
            </w:pPr>
          </w:p>
        </w:tc>
      </w:tr>
      <w:tr w:rsidR="00132613" w14:paraId="60196EDC" w14:textId="77777777" w:rsidTr="00A92E4D">
        <w:tc>
          <w:tcPr>
            <w:tcW w:w="3114" w:type="dxa"/>
          </w:tcPr>
          <w:p w14:paraId="031F8FF3" w14:textId="45A0DACF" w:rsidR="00132613" w:rsidRDefault="00E25850" w:rsidP="00B33355">
            <w:pPr>
              <w:jc w:val="both"/>
              <w:rPr>
                <w:noProof/>
                <w:lang w:val="en-SE"/>
                <w14:ligatures w14:val="standardContextual"/>
              </w:rPr>
            </w:pPr>
            <w:r>
              <w:rPr>
                <w:noProof/>
                <w:lang w:val="en-SE"/>
                <w14:ligatures w14:val="standardContextual"/>
              </w:rPr>
              <w:t>b)</w:t>
            </w:r>
          </w:p>
          <w:p w14:paraId="24C8178E" w14:textId="5B474BEA" w:rsidR="00FE52CB" w:rsidRDefault="00127ADC" w:rsidP="00B33355">
            <w:pPr>
              <w:jc w:val="both"/>
              <w:rPr>
                <w:lang w:val="en-SE"/>
              </w:rPr>
            </w:pPr>
            <w:r>
              <w:rPr>
                <w:noProof/>
                <w:lang w:val="en-SE"/>
                <w14:ligatures w14:val="standardContextual"/>
              </w:rPr>
              <w:t xml:space="preserve">  </w:t>
            </w:r>
            <w:r w:rsidR="00FE52CB">
              <w:rPr>
                <w:noProof/>
                <w:lang w:val="en-SE"/>
                <w14:ligatures w14:val="standardContextual"/>
              </w:rPr>
              <w:drawing>
                <wp:inline distT="0" distB="0" distL="0" distR="0" wp14:anchorId="324E300A" wp14:editId="135BC7E7">
                  <wp:extent cx="1550910" cy="1498266"/>
                  <wp:effectExtent l="0" t="0" r="0" b="6985"/>
                  <wp:docPr id="967527870" name="Picture 3" descr="A red sphere with black do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527870" name="Picture 3" descr="A red sphere with black dots&#10;&#10;AI-generated content may be incorrect.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89" t="6408" r="14042" b="3846"/>
                          <a:stretch/>
                        </pic:blipFill>
                        <pic:spPr bwMode="auto">
                          <a:xfrm>
                            <a:off x="0" y="0"/>
                            <a:ext cx="1556518" cy="15036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1226FDD9" w14:textId="7D6103B0" w:rsidR="00E25850" w:rsidRDefault="00E25850" w:rsidP="00B33355">
            <w:pPr>
              <w:jc w:val="both"/>
              <w:rPr>
                <w:noProof/>
                <w:lang w:val="en-SE"/>
                <w14:ligatures w14:val="standardContextual"/>
              </w:rPr>
            </w:pPr>
            <w:r>
              <w:rPr>
                <w:noProof/>
                <w:lang w:val="en-SE"/>
                <w14:ligatures w14:val="standardContextual"/>
              </w:rPr>
              <w:t>c)</w:t>
            </w:r>
          </w:p>
          <w:p w14:paraId="61B24F37" w14:textId="46F723D8" w:rsidR="00FE52CB" w:rsidRDefault="00FE52CB" w:rsidP="00B33355">
            <w:pPr>
              <w:jc w:val="both"/>
              <w:rPr>
                <w:lang w:val="en-SE"/>
              </w:rPr>
            </w:pPr>
            <w:r>
              <w:rPr>
                <w:noProof/>
                <w:lang w:val="en-SE"/>
                <w14:ligatures w14:val="standardContextual"/>
              </w:rPr>
              <w:drawing>
                <wp:inline distT="0" distB="0" distL="0" distR="0" wp14:anchorId="42AF1248" wp14:editId="566E8976">
                  <wp:extent cx="1553899" cy="1487168"/>
                  <wp:effectExtent l="152400" t="171450" r="141605" b="170815"/>
                  <wp:docPr id="114038101" name="Picture 4" descr="A colorful cube with different colored squar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38101" name="Picture 4" descr="A colorful cube with different colored squares&#10;&#10;AI-generated content may be incorrect.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58" t="28943" r="17999" b="19563"/>
                          <a:stretch/>
                        </pic:blipFill>
                        <pic:spPr bwMode="auto">
                          <a:xfrm rot="20822570">
                            <a:off x="0" y="0"/>
                            <a:ext cx="1562480" cy="1495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5" w:type="dxa"/>
          </w:tcPr>
          <w:p w14:paraId="253DF903" w14:textId="1BAC8CBA" w:rsidR="00132613" w:rsidRDefault="00E25850" w:rsidP="00132613">
            <w:pPr>
              <w:rPr>
                <w:noProof/>
                <w:lang w:val="en-SE"/>
                <w14:ligatures w14:val="standardContextual"/>
              </w:rPr>
            </w:pPr>
            <w:r>
              <w:rPr>
                <w:noProof/>
                <w:lang w:val="en-SE"/>
                <w14:ligatures w14:val="standardContextual"/>
              </w:rPr>
              <w:t>d)</w:t>
            </w:r>
          </w:p>
          <w:p w14:paraId="020566F2" w14:textId="72C46D7C" w:rsidR="00A92E4D" w:rsidRDefault="00A92E4D" w:rsidP="00132613">
            <w:pPr>
              <w:rPr>
                <w:noProof/>
                <w:lang w:val="en-SE"/>
              </w:rPr>
            </w:pPr>
            <w:r>
              <w:rPr>
                <w:noProof/>
                <w:lang w:val="en-SE"/>
              </w:rPr>
              <w:t xml:space="preserve"> </w:t>
            </w:r>
          </w:p>
          <w:p w14:paraId="1095DBAE" w14:textId="196E7E47" w:rsidR="00FE52CB" w:rsidRDefault="00A92E4D" w:rsidP="00322D27">
            <w:pPr>
              <w:keepNext/>
              <w:rPr>
                <w:lang w:val="en-SE"/>
              </w:rPr>
            </w:pPr>
            <w:r>
              <w:rPr>
                <w:lang w:val="en-SE"/>
              </w:rPr>
              <w:t xml:space="preserve">  </w:t>
            </w:r>
            <w:r w:rsidR="00132613">
              <w:rPr>
                <w:noProof/>
                <w:lang w:val="en-SE"/>
                <w14:ligatures w14:val="standardContextual"/>
              </w:rPr>
              <w:drawing>
                <wp:inline distT="0" distB="0" distL="0" distR="0" wp14:anchorId="591CFE64" wp14:editId="5A606F7D">
                  <wp:extent cx="1282700" cy="1181100"/>
                  <wp:effectExtent l="0" t="0" r="0" b="0"/>
                  <wp:docPr id="1289203130" name="Picture 5" descr="A colorful ball with many different colo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203130" name="Picture 5" descr="A colorful ball with many different colors&#10;&#10;AI-generated content may be incorrect.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25" t="10417" r="18620" b="8854"/>
                          <a:stretch/>
                        </pic:blipFill>
                        <pic:spPr bwMode="auto">
                          <a:xfrm>
                            <a:off x="0" y="0"/>
                            <a:ext cx="1282703" cy="118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7675E7" w14:textId="6083FDF0" w:rsidR="00B33355" w:rsidRDefault="00322D27" w:rsidP="00D91F5B">
      <w:pPr>
        <w:pStyle w:val="Caption"/>
        <w:jc w:val="center"/>
        <w:rPr>
          <w:i w:val="0"/>
          <w:iCs w:val="0"/>
          <w:color w:val="auto"/>
          <w:sz w:val="22"/>
          <w:szCs w:val="22"/>
          <w:lang w:val="en-US"/>
        </w:rPr>
      </w:pPr>
      <w:bookmarkStart w:id="2" w:name="_Ref195541996"/>
      <w:r w:rsidRPr="002F33EE">
        <w:rPr>
          <w:i w:val="0"/>
          <w:iCs w:val="0"/>
          <w:color w:val="auto"/>
          <w:sz w:val="22"/>
          <w:szCs w:val="22"/>
          <w:lang w:val="en-US"/>
        </w:rPr>
        <w:t>Figure S</w:t>
      </w:r>
      <w:r w:rsidRPr="002F33EE">
        <w:rPr>
          <w:i w:val="0"/>
          <w:iCs w:val="0"/>
          <w:color w:val="auto"/>
          <w:sz w:val="22"/>
          <w:szCs w:val="22"/>
        </w:rPr>
        <w:fldChar w:fldCharType="begin"/>
      </w:r>
      <w:r w:rsidRPr="002F33EE">
        <w:rPr>
          <w:i w:val="0"/>
          <w:iCs w:val="0"/>
          <w:color w:val="auto"/>
          <w:sz w:val="22"/>
          <w:szCs w:val="22"/>
          <w:lang w:val="en-US"/>
        </w:rPr>
        <w:instrText xml:space="preserve"> SEQ Figure \* ARABIC </w:instrText>
      </w:r>
      <w:r w:rsidRPr="002F33EE">
        <w:rPr>
          <w:i w:val="0"/>
          <w:iCs w:val="0"/>
          <w:color w:val="auto"/>
          <w:sz w:val="22"/>
          <w:szCs w:val="22"/>
        </w:rPr>
        <w:fldChar w:fldCharType="separate"/>
      </w:r>
      <w:r w:rsidRPr="002F33EE">
        <w:rPr>
          <w:i w:val="0"/>
          <w:iCs w:val="0"/>
          <w:noProof/>
          <w:color w:val="auto"/>
          <w:sz w:val="22"/>
          <w:szCs w:val="22"/>
          <w:lang w:val="en-US"/>
        </w:rPr>
        <w:t>1</w:t>
      </w:r>
      <w:r w:rsidRPr="002F33EE">
        <w:rPr>
          <w:i w:val="0"/>
          <w:iCs w:val="0"/>
          <w:color w:val="auto"/>
          <w:sz w:val="22"/>
          <w:szCs w:val="22"/>
        </w:rPr>
        <w:fldChar w:fldCharType="end"/>
      </w:r>
      <w:bookmarkEnd w:id="2"/>
      <w:r w:rsidRPr="002F33EE">
        <w:rPr>
          <w:i w:val="0"/>
          <w:iCs w:val="0"/>
          <w:color w:val="auto"/>
          <w:sz w:val="22"/>
          <w:szCs w:val="22"/>
          <w:lang w:val="en-US"/>
        </w:rPr>
        <w:t xml:space="preserve">. a) </w:t>
      </w:r>
      <w:r w:rsidR="002F33EE" w:rsidRPr="002F33EE">
        <w:rPr>
          <w:i w:val="0"/>
          <w:iCs w:val="0"/>
          <w:color w:val="auto"/>
          <w:sz w:val="22"/>
          <w:szCs w:val="22"/>
          <w:lang w:val="en-US"/>
        </w:rPr>
        <w:t>Particle of radius 10</w:t>
      </w:r>
      <w:r w:rsidR="00881798">
        <w:rPr>
          <w:i w:val="0"/>
          <w:iCs w:val="0"/>
          <w:color w:val="auto"/>
          <w:sz w:val="22"/>
          <w:szCs w:val="22"/>
          <w:lang w:val="en-US"/>
        </w:rPr>
        <w:t xml:space="preserve"> </w:t>
      </w:r>
      <w:r w:rsidR="002F33EE" w:rsidRPr="002F33EE">
        <w:rPr>
          <w:i w:val="0"/>
          <w:iCs w:val="0"/>
          <w:color w:val="auto"/>
          <w:sz w:val="22"/>
          <w:szCs w:val="22"/>
          <w:lang w:val="en-US"/>
        </w:rPr>
        <w:t>microns randomly selected from the reconstructed electrode microstructure</w:t>
      </w:r>
      <w:r w:rsidR="000B3881">
        <w:rPr>
          <w:i w:val="0"/>
          <w:iCs w:val="0"/>
          <w:color w:val="auto"/>
          <w:sz w:val="22"/>
          <w:szCs w:val="22"/>
          <w:lang w:val="en-US"/>
        </w:rPr>
        <w:t>.</w:t>
      </w:r>
      <w:r w:rsidR="0097080A">
        <w:rPr>
          <w:i w:val="0"/>
          <w:iCs w:val="0"/>
          <w:color w:val="auto"/>
          <w:sz w:val="22"/>
          <w:szCs w:val="22"/>
          <w:lang w:val="en-US"/>
        </w:rPr>
        <w:t xml:space="preserve"> b) Seed points (</w:t>
      </w:r>
      <w:r w:rsidR="0097080A" w:rsidRPr="000B3881">
        <w:rPr>
          <w:b/>
          <w:bCs/>
          <w:i w:val="0"/>
          <w:iCs w:val="0"/>
          <w:color w:val="auto"/>
          <w:sz w:val="22"/>
          <w:szCs w:val="22"/>
          <w:lang w:val="en-US"/>
        </w:rPr>
        <w:t>x</w:t>
      </w:r>
      <w:r w:rsidR="0097080A">
        <w:rPr>
          <w:i w:val="0"/>
          <w:iCs w:val="0"/>
          <w:color w:val="auto"/>
          <w:sz w:val="22"/>
          <w:szCs w:val="22"/>
          <w:lang w:val="en-US"/>
        </w:rPr>
        <w:t xml:space="preserve">) obtained from the </w:t>
      </w:r>
      <w:r w:rsidR="00856E2D">
        <w:rPr>
          <w:i w:val="0"/>
          <w:iCs w:val="0"/>
          <w:color w:val="auto"/>
          <w:sz w:val="22"/>
          <w:szCs w:val="22"/>
          <w:lang w:val="en-US"/>
        </w:rPr>
        <w:t>sphere packing in the bounding box. c) Laguerre tessellation</w:t>
      </w:r>
      <w:r w:rsidR="00D1085B">
        <w:rPr>
          <w:i w:val="0"/>
          <w:iCs w:val="0"/>
          <w:color w:val="auto"/>
          <w:sz w:val="22"/>
          <w:szCs w:val="22"/>
          <w:lang w:val="en-US"/>
        </w:rPr>
        <w:t>s</w:t>
      </w:r>
      <w:r w:rsidR="00856E2D">
        <w:rPr>
          <w:i w:val="0"/>
          <w:iCs w:val="0"/>
          <w:color w:val="auto"/>
          <w:sz w:val="22"/>
          <w:szCs w:val="22"/>
          <w:lang w:val="en-US"/>
        </w:rPr>
        <w:t xml:space="preserve"> generated from the seed points and their corresponding weights. d) Polycrystalline particle structure </w:t>
      </w:r>
      <w:r w:rsidR="00E47768">
        <w:rPr>
          <w:i w:val="0"/>
          <w:iCs w:val="0"/>
          <w:color w:val="auto"/>
          <w:sz w:val="22"/>
          <w:szCs w:val="22"/>
          <w:lang w:val="en-US"/>
        </w:rPr>
        <w:t xml:space="preserve">with random grain orientation </w:t>
      </w:r>
      <w:r w:rsidR="00856E2D">
        <w:rPr>
          <w:i w:val="0"/>
          <w:iCs w:val="0"/>
          <w:color w:val="auto"/>
          <w:sz w:val="22"/>
          <w:szCs w:val="22"/>
          <w:lang w:val="en-US"/>
        </w:rPr>
        <w:t xml:space="preserve">obtained from </w:t>
      </w:r>
      <w:r w:rsidR="00D91F5B">
        <w:rPr>
          <w:i w:val="0"/>
          <w:iCs w:val="0"/>
          <w:color w:val="auto"/>
          <w:sz w:val="22"/>
          <w:szCs w:val="22"/>
          <w:lang w:val="en-US"/>
        </w:rPr>
        <w:t>cropping the tessellations to particle shape.</w:t>
      </w:r>
    </w:p>
    <w:p w14:paraId="14CA39EA" w14:textId="77777777" w:rsidR="00DB1368" w:rsidRPr="00B07D33" w:rsidRDefault="00DB1368" w:rsidP="00DB1368">
      <w:pPr>
        <w:jc w:val="both"/>
        <w:rPr>
          <w:lang w:val="en-SE"/>
        </w:rPr>
      </w:pPr>
      <w:r w:rsidRPr="00B07D33">
        <w:rPr>
          <w:lang w:val="en-SE"/>
        </w:rPr>
        <w:t>The construction of this representative polycrystalline structure involved several steps:</w:t>
      </w:r>
    </w:p>
    <w:p w14:paraId="2D1C90B6" w14:textId="77777777" w:rsidR="00DB1368" w:rsidRPr="00B07D33" w:rsidRDefault="00DB1368" w:rsidP="00DB1368">
      <w:pPr>
        <w:pStyle w:val="ListParagraph"/>
        <w:numPr>
          <w:ilvl w:val="0"/>
          <w:numId w:val="2"/>
        </w:numPr>
        <w:jc w:val="both"/>
        <w:rPr>
          <w:lang w:val="en-SE"/>
        </w:rPr>
      </w:pPr>
      <w:r w:rsidRPr="00B07D33">
        <w:rPr>
          <w:lang w:val="en-SE"/>
        </w:rPr>
        <w:t>Bounding Box Definition: Initially, a bounding box was established around the complex three-dimensional shape of the selected secondary particle.</w:t>
      </w:r>
    </w:p>
    <w:p w14:paraId="3BE873A1" w14:textId="77777777" w:rsidR="00DB1368" w:rsidRPr="00B07D33" w:rsidRDefault="00DB1368" w:rsidP="00DB1368">
      <w:pPr>
        <w:pStyle w:val="ListParagraph"/>
        <w:numPr>
          <w:ilvl w:val="0"/>
          <w:numId w:val="2"/>
        </w:numPr>
        <w:jc w:val="both"/>
        <w:rPr>
          <w:lang w:val="en-SE"/>
        </w:rPr>
      </w:pPr>
      <w:r w:rsidRPr="00B07D33">
        <w:rPr>
          <w:lang w:val="en-SE"/>
        </w:rPr>
        <w:t xml:space="preserve">Sphere Packing: Spheres, with radii matching the desired size of the primary particles, were packed </w:t>
      </w:r>
      <w:r>
        <w:rPr>
          <w:lang w:val="en-SE"/>
        </w:rPr>
        <w:t xml:space="preserve">without overlap </w:t>
      </w:r>
      <w:r w:rsidRPr="00B07D33">
        <w:rPr>
          <w:lang w:val="en-SE"/>
        </w:rPr>
        <w:t>within this bounding box.</w:t>
      </w:r>
    </w:p>
    <w:p w14:paraId="5FA8B556" w14:textId="64B18D8A" w:rsidR="00DB1368" w:rsidRPr="00B07D33" w:rsidRDefault="00DB1368" w:rsidP="00DB1368">
      <w:pPr>
        <w:pStyle w:val="ListParagraph"/>
        <w:numPr>
          <w:ilvl w:val="0"/>
          <w:numId w:val="2"/>
        </w:numPr>
        <w:jc w:val="both"/>
        <w:rPr>
          <w:lang w:val="en-SE"/>
        </w:rPr>
      </w:pPr>
      <w:r w:rsidRPr="00B07D33">
        <w:rPr>
          <w:lang w:val="en-SE"/>
        </w:rPr>
        <w:t xml:space="preserve">Laguerre Tessellation: The </w:t>
      </w:r>
      <w:r>
        <w:rPr>
          <w:lang w:val="en-SE"/>
        </w:rPr>
        <w:t>centres</w:t>
      </w:r>
      <w:r w:rsidRPr="00B07D33">
        <w:rPr>
          <w:lang w:val="en-SE"/>
        </w:rPr>
        <w:t xml:space="preserve"> these packed spheres were then employed as seed points</w:t>
      </w:r>
      <w:r>
        <w:rPr>
          <w:lang w:val="en-SE"/>
        </w:rPr>
        <w:t xml:space="preserve"> (see </w:t>
      </w:r>
      <w:r w:rsidRPr="00D91F5B">
        <w:fldChar w:fldCharType="begin"/>
      </w:r>
      <w:r w:rsidRPr="00D91F5B">
        <w:instrText xml:space="preserve"> REF _Ref195541996 \h </w:instrText>
      </w:r>
      <w:r>
        <w:instrText xml:space="preserve"> \* MERGEFORMAT </w:instrText>
      </w:r>
      <w:r w:rsidRPr="00D91F5B">
        <w:fldChar w:fldCharType="separate"/>
      </w:r>
      <w:r w:rsidRPr="00D91F5B">
        <w:rPr>
          <w:lang w:val="en-US"/>
        </w:rPr>
        <w:t>Figure S1</w:t>
      </w:r>
      <w:r w:rsidRPr="00D91F5B">
        <w:fldChar w:fldCharType="end"/>
      </w:r>
      <w:r>
        <w:t>.b))</w:t>
      </w:r>
      <w:r w:rsidRPr="00B07D33">
        <w:rPr>
          <w:lang w:val="en-SE"/>
        </w:rPr>
        <w:t xml:space="preserve"> and </w:t>
      </w:r>
      <w:r>
        <w:rPr>
          <w:lang w:val="en-SE"/>
        </w:rPr>
        <w:t xml:space="preserve">weights were normalised based on the distance from the </w:t>
      </w:r>
      <w:r>
        <w:rPr>
          <w:lang w:val="en-SE"/>
        </w:rPr>
        <w:lastRenderedPageBreak/>
        <w:t>boundary of particle surface</w:t>
      </w:r>
      <w:r w:rsidRPr="00B07D33">
        <w:rPr>
          <w:lang w:val="en-SE"/>
        </w:rPr>
        <w:t>, to generate Laguerre tessellations</w:t>
      </w:r>
      <w:r w:rsidR="00B33D7A">
        <w:rPr>
          <w:lang w:val="en-SE"/>
        </w:rPr>
        <w:t xml:space="preserve"> </w:t>
      </w:r>
      <w:r w:rsidR="006968B5">
        <w:rPr>
          <w:lang w:val="en-SE"/>
        </w:rPr>
        <w:t>in</w:t>
      </w:r>
      <w:r w:rsidR="00B33D7A">
        <w:rPr>
          <w:lang w:val="en-SE"/>
        </w:rPr>
        <w:t xml:space="preserve"> Neper</w:t>
      </w:r>
      <w:r w:rsidR="006968B5">
        <w:rPr>
          <w:lang w:val="en-SE"/>
        </w:rPr>
        <w:t xml:space="preserve"> </w:t>
      </w:r>
      <w:r w:rsidR="006968B5">
        <w:rPr>
          <w:lang w:val="en-SE"/>
        </w:rPr>
        <w:fldChar w:fldCharType="begin"/>
      </w:r>
      <w:r w:rsidR="006968B5">
        <w:rPr>
          <w:lang w:val="en-SE"/>
        </w:rPr>
        <w:instrText xml:space="preserve"> ADDIN EN.CITE &lt;EndNote&gt;&lt;Cite&gt;&lt;Author&gt;Quey&lt;/Author&gt;&lt;Year&gt;2011&lt;/Year&gt;&lt;RecNum&gt;322&lt;/RecNum&gt;&lt;DisplayText&gt;[2]&lt;/DisplayText&gt;&lt;record&gt;&lt;rec-number&gt;322&lt;/rec-number&gt;&lt;foreign-keys&gt;&lt;key app="EN" db-id="e5vs5v928pef9beva9q59wsidxawastdww5x" timestamp="1744642787"&gt;322&lt;/key&gt;&lt;/foreign-keys&gt;&lt;ref-type name="Journal Article"&gt;17&lt;/ref-type&gt;&lt;contributors&gt;&lt;authors&gt;&lt;author&gt;Quey, Romain&lt;/author&gt;&lt;author&gt;Dawson, Paul R&lt;/author&gt;&lt;author&gt;Barbe, Fabrice&lt;/author&gt;&lt;/authors&gt;&lt;/contributors&gt;&lt;titles&gt;&lt;title&gt;Large-scale 3D random polycrystals for the finite element method: Generation, meshing and remeshing&lt;/title&gt;&lt;secondary-title&gt;Computer Methods in Applied Mechanics and Engineering&lt;/secondary-title&gt;&lt;/titles&gt;&lt;periodical&gt;&lt;full-title&gt;Computer Methods in Applied Mechanics and Engineering&lt;/full-title&gt;&lt;/periodical&gt;&lt;pages&gt;1729-1745&lt;/pages&gt;&lt;volume&gt;200&lt;/volume&gt;&lt;number&gt;17-20&lt;/number&gt;&lt;dates&gt;&lt;year&gt;2011&lt;/year&gt;&lt;/dates&gt;&lt;isbn&gt;0045-7825&lt;/isbn&gt;&lt;urls&gt;&lt;/urls&gt;&lt;/record&gt;&lt;/Cite&gt;&lt;/EndNote&gt;</w:instrText>
      </w:r>
      <w:r w:rsidR="006968B5">
        <w:rPr>
          <w:lang w:val="en-SE"/>
        </w:rPr>
        <w:fldChar w:fldCharType="separate"/>
      </w:r>
      <w:r w:rsidR="006968B5">
        <w:rPr>
          <w:noProof/>
          <w:lang w:val="en-SE"/>
        </w:rPr>
        <w:t>[2]</w:t>
      </w:r>
      <w:r w:rsidR="006968B5">
        <w:rPr>
          <w:lang w:val="en-SE"/>
        </w:rPr>
        <w:fldChar w:fldCharType="end"/>
      </w:r>
      <w:r w:rsidR="006968B5">
        <w:rPr>
          <w:lang w:val="en-SE"/>
        </w:rPr>
        <w:t>,</w:t>
      </w:r>
      <w:r w:rsidRPr="00B07D33">
        <w:rPr>
          <w:lang w:val="en-SE"/>
        </w:rPr>
        <w:t xml:space="preserve"> filling the bounding box</w:t>
      </w:r>
      <w:r>
        <w:rPr>
          <w:lang w:val="en-SE"/>
        </w:rPr>
        <w:t xml:space="preserve">, as illustrated in </w:t>
      </w:r>
      <w:r w:rsidRPr="00D91F5B">
        <w:fldChar w:fldCharType="begin"/>
      </w:r>
      <w:r w:rsidRPr="00D91F5B">
        <w:instrText xml:space="preserve"> REF _Ref195541996 \h </w:instrText>
      </w:r>
      <w:r>
        <w:instrText xml:space="preserve"> \* MERGEFORMAT </w:instrText>
      </w:r>
      <w:r w:rsidRPr="00D91F5B">
        <w:fldChar w:fldCharType="separate"/>
      </w:r>
      <w:r w:rsidRPr="00D91F5B">
        <w:rPr>
          <w:lang w:val="en-US"/>
        </w:rPr>
        <w:t>Figure S1</w:t>
      </w:r>
      <w:r w:rsidRPr="00D91F5B">
        <w:fldChar w:fldCharType="end"/>
      </w:r>
      <w:r>
        <w:t>.c)</w:t>
      </w:r>
      <w:r w:rsidRPr="00B07D33">
        <w:rPr>
          <w:lang w:val="en-SE"/>
        </w:rPr>
        <w:t>.</w:t>
      </w:r>
    </w:p>
    <w:p w14:paraId="51A3D25E" w14:textId="664199E1" w:rsidR="00DB1368" w:rsidRPr="00DB1368" w:rsidRDefault="00DB1368" w:rsidP="00DB1368">
      <w:pPr>
        <w:rPr>
          <w:lang w:val="en-US"/>
        </w:rPr>
      </w:pPr>
      <w:r w:rsidRPr="00B07D33">
        <w:rPr>
          <w:lang w:val="en-SE"/>
        </w:rPr>
        <w:t>Shape Conformation: Finally, the generated tessellations were precisely cropped to match the external geometry of the selected active particle, resulting in the final model of the polycrystalline secondary NMC particle</w:t>
      </w:r>
      <w:r>
        <w:rPr>
          <w:lang w:val="en-SE"/>
        </w:rPr>
        <w:t xml:space="preserve">, see </w:t>
      </w:r>
      <w:r w:rsidRPr="00D91F5B">
        <w:fldChar w:fldCharType="begin"/>
      </w:r>
      <w:r w:rsidRPr="00D91F5B">
        <w:instrText xml:space="preserve"> REF _Ref195541996 \h </w:instrText>
      </w:r>
      <w:r>
        <w:instrText xml:space="preserve"> \* MERGEFORMAT </w:instrText>
      </w:r>
      <w:r w:rsidRPr="00D91F5B">
        <w:fldChar w:fldCharType="separate"/>
      </w:r>
      <w:r w:rsidRPr="00D91F5B">
        <w:rPr>
          <w:lang w:val="en-US"/>
        </w:rPr>
        <w:t>Figure S1</w:t>
      </w:r>
      <w:r w:rsidRPr="00D91F5B">
        <w:fldChar w:fldCharType="end"/>
      </w:r>
      <w:r>
        <w:t>.d)</w:t>
      </w:r>
      <w:r w:rsidRPr="00B07D33">
        <w:rPr>
          <w:lang w:val="en-SE"/>
        </w:rPr>
        <w:t>.</w:t>
      </w:r>
    </w:p>
    <w:p w14:paraId="1CA4ABAF" w14:textId="15DDF5A1" w:rsidR="00931486" w:rsidRPr="00931486" w:rsidRDefault="00931486" w:rsidP="009D45A2">
      <w:pPr>
        <w:pStyle w:val="Heading3"/>
        <w:numPr>
          <w:ilvl w:val="0"/>
          <w:numId w:val="3"/>
        </w:numPr>
        <w:rPr>
          <w:color w:val="000000" w:themeColor="text1"/>
        </w:rPr>
      </w:pPr>
      <w:r w:rsidRPr="00931486">
        <w:rPr>
          <w:color w:val="000000" w:themeColor="text1"/>
        </w:rPr>
        <w:t>Solution scheme</w:t>
      </w:r>
    </w:p>
    <w:p w14:paraId="745B1B42" w14:textId="77777777" w:rsidR="00931486" w:rsidRDefault="00931486" w:rsidP="00931486">
      <w:pPr>
        <w:jc w:val="both"/>
        <w:rPr>
          <w:rFonts w:cs="Times New Roman"/>
          <w:szCs w:val="24"/>
        </w:rPr>
      </w:pPr>
      <w:r w:rsidRPr="006C6335">
        <w:rPr>
          <w:rFonts w:cs="Times New Roman"/>
          <w:szCs w:val="24"/>
        </w:rPr>
        <w:t>The order and shape of the test function for all the solution field variables are linear.</w:t>
      </w:r>
      <w:r>
        <w:rPr>
          <w:rFonts w:cs="Times New Roman"/>
          <w:szCs w:val="24"/>
        </w:rPr>
        <w:t xml:space="preserve"> </w:t>
      </w:r>
      <w:r w:rsidRPr="00872FF6">
        <w:rPr>
          <w:rFonts w:cs="Times New Roman"/>
          <w:szCs w:val="24"/>
        </w:rPr>
        <w:t xml:space="preserve">A segregated </w:t>
      </w:r>
      <w:r>
        <w:rPr>
          <w:rFonts w:cs="Times New Roman"/>
          <w:szCs w:val="24"/>
        </w:rPr>
        <w:t xml:space="preserve">solution </w:t>
      </w:r>
      <w:r w:rsidRPr="00872FF6">
        <w:rPr>
          <w:rFonts w:cs="Times New Roman"/>
          <w:szCs w:val="24"/>
        </w:rPr>
        <w:t xml:space="preserve">approach </w:t>
      </w:r>
      <w:r>
        <w:rPr>
          <w:rFonts w:cs="Times New Roman"/>
          <w:szCs w:val="24"/>
        </w:rPr>
        <w:t>is employed to solve the coupled field equations. This approach sequentially and iteratively solves each field variable, simplifying the handling of complex equations</w:t>
      </w:r>
      <w:r w:rsidRPr="00872FF6">
        <w:rPr>
          <w:rFonts w:cs="Times New Roman"/>
          <w:szCs w:val="24"/>
        </w:rPr>
        <w:t>.</w:t>
      </w:r>
      <w:r w:rsidRPr="006C633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With</w:t>
      </w:r>
      <w:r w:rsidRPr="00AA5734">
        <w:rPr>
          <w:rFonts w:cs="Times New Roman"/>
          <w:szCs w:val="24"/>
        </w:rPr>
        <w:t>in each segregated step</w:t>
      </w:r>
      <w:r>
        <w:rPr>
          <w:rFonts w:cs="Times New Roman"/>
          <w:szCs w:val="24"/>
        </w:rPr>
        <w:t>, t</w:t>
      </w:r>
      <w:r w:rsidRPr="00AA5734">
        <w:rPr>
          <w:rFonts w:cs="Times New Roman"/>
          <w:szCs w:val="24"/>
        </w:rPr>
        <w:t xml:space="preserve">he </w:t>
      </w:r>
      <w:r>
        <w:rPr>
          <w:rFonts w:cs="Times New Roman"/>
          <w:szCs w:val="24"/>
        </w:rPr>
        <w:t xml:space="preserve">PARADISO ("PARallel Direct Solver") solver in COMSOL is used to solve the linearised system of algebraic </w:t>
      </w:r>
      <w:r w:rsidRPr="00AA5734">
        <w:rPr>
          <w:rFonts w:cs="Times New Roman"/>
          <w:szCs w:val="24"/>
        </w:rPr>
        <w:t>equations</w:t>
      </w:r>
      <w:r>
        <w:rPr>
          <w:rFonts w:cs="Times New Roman"/>
          <w:szCs w:val="24"/>
        </w:rPr>
        <w:t>.</w:t>
      </w:r>
      <w:r w:rsidRPr="00AA5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After each iteration, the convergence of the complete system of equations is evaluated. </w:t>
      </w:r>
      <w:r w:rsidRPr="006C6335">
        <w:rPr>
          <w:rFonts w:cs="Times New Roman"/>
          <w:szCs w:val="24"/>
        </w:rPr>
        <w:t xml:space="preserve">Furthermore, the </w:t>
      </w:r>
      <w:r>
        <w:rPr>
          <w:rFonts w:cs="Times New Roman"/>
          <w:szCs w:val="24"/>
        </w:rPr>
        <w:t xml:space="preserve">time stepping was handled using </w:t>
      </w:r>
      <w:r w:rsidRPr="006C6335">
        <w:rPr>
          <w:rFonts w:cs="Times New Roman"/>
          <w:szCs w:val="24"/>
        </w:rPr>
        <w:t>a backwards Euler method for time integration.</w:t>
      </w:r>
    </w:p>
    <w:p w14:paraId="15ABB9CC" w14:textId="77777777" w:rsidR="00A468E4" w:rsidRPr="006C6335" w:rsidRDefault="00A468E4" w:rsidP="00931486">
      <w:pPr>
        <w:jc w:val="both"/>
        <w:rPr>
          <w:rFonts w:cs="Times New Roman"/>
          <w:szCs w:val="24"/>
        </w:rPr>
      </w:pPr>
    </w:p>
    <w:p w14:paraId="3979D30B" w14:textId="77777777" w:rsidR="00A468E4" w:rsidRDefault="00A468E4">
      <w:pPr>
        <w:rPr>
          <w:rFonts w:eastAsiaTheme="majorEastAsia" w:cstheme="majorBidi"/>
          <w:color w:val="000000" w:themeColor="text1"/>
          <w:sz w:val="28"/>
          <w:szCs w:val="28"/>
        </w:rPr>
      </w:pPr>
      <w:r>
        <w:rPr>
          <w:color w:val="000000" w:themeColor="text1"/>
        </w:rPr>
        <w:br w:type="page"/>
      </w:r>
    </w:p>
    <w:p w14:paraId="2C57B8A4" w14:textId="357AB10C" w:rsidR="00E51039" w:rsidRPr="00FB12CD" w:rsidRDefault="00B92B2C" w:rsidP="00FB12CD">
      <w:pPr>
        <w:pStyle w:val="Heading3"/>
        <w:numPr>
          <w:ilvl w:val="0"/>
          <w:numId w:val="3"/>
        </w:numPr>
        <w:rPr>
          <w:color w:val="000000" w:themeColor="text1"/>
        </w:rPr>
      </w:pPr>
      <w:r w:rsidRPr="00A468E4">
        <w:rPr>
          <w:color w:val="000000" w:themeColor="text1"/>
        </w:rPr>
        <w:lastRenderedPageBreak/>
        <w:t>References</w:t>
      </w:r>
    </w:p>
    <w:p w14:paraId="04913867" w14:textId="77777777" w:rsidR="006968B5" w:rsidRPr="006968B5" w:rsidRDefault="00E51039" w:rsidP="006968B5">
      <w:pPr>
        <w:pStyle w:val="EndNoteBibliography"/>
        <w:spacing w:after="0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6968B5" w:rsidRPr="006968B5">
        <w:t>1.</w:t>
      </w:r>
      <w:r w:rsidR="006968B5" w:rsidRPr="006968B5">
        <w:tab/>
        <w:t xml:space="preserve">Nagda, V., A. Kulachenko, and S.B. Lindström, </w:t>
      </w:r>
      <w:r w:rsidR="006968B5" w:rsidRPr="006968B5">
        <w:rPr>
          <w:i/>
        </w:rPr>
        <w:t>Image-based 3D characterization and reconstruction of heterogeneous battery electrode microstructure.</w:t>
      </w:r>
      <w:r w:rsidR="006968B5" w:rsidRPr="006968B5">
        <w:t xml:space="preserve"> Computational materials science, 2023. </w:t>
      </w:r>
      <w:r w:rsidR="006968B5" w:rsidRPr="006968B5">
        <w:rPr>
          <w:b/>
        </w:rPr>
        <w:t>223</w:t>
      </w:r>
      <w:r w:rsidR="006968B5" w:rsidRPr="006968B5">
        <w:t>: p. 112139.</w:t>
      </w:r>
    </w:p>
    <w:p w14:paraId="1739379D" w14:textId="77777777" w:rsidR="006968B5" w:rsidRPr="006968B5" w:rsidRDefault="006968B5" w:rsidP="006968B5">
      <w:pPr>
        <w:pStyle w:val="EndNoteBibliography"/>
        <w:ind w:left="720" w:hanging="720"/>
      </w:pPr>
      <w:r w:rsidRPr="006968B5">
        <w:t>2.</w:t>
      </w:r>
      <w:r w:rsidRPr="006968B5">
        <w:tab/>
        <w:t xml:space="preserve">Quey, R., P.R. Dawson, and F. Barbe, </w:t>
      </w:r>
      <w:r w:rsidRPr="006968B5">
        <w:rPr>
          <w:i/>
        </w:rPr>
        <w:t>Large-scale 3D random polycrystals for the finite element method: Generation, meshing and remeshing.</w:t>
      </w:r>
      <w:r w:rsidRPr="006968B5">
        <w:t xml:space="preserve"> Computer Methods in Applied Mechanics and Engineering, 2011. </w:t>
      </w:r>
      <w:r w:rsidRPr="006968B5">
        <w:rPr>
          <w:b/>
        </w:rPr>
        <w:t>200</w:t>
      </w:r>
      <w:r w:rsidRPr="006968B5">
        <w:t>(17-20): p. 1729-1745.</w:t>
      </w:r>
    </w:p>
    <w:p w14:paraId="6349E5C8" w14:textId="3568F985" w:rsidR="00B92B2C" w:rsidRDefault="00E51039">
      <w:r>
        <w:fldChar w:fldCharType="end"/>
      </w:r>
    </w:p>
    <w:sectPr w:rsidR="00B92B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D586F"/>
    <w:multiLevelType w:val="hybridMultilevel"/>
    <w:tmpl w:val="C99E4DEE"/>
    <w:lvl w:ilvl="0" w:tplc="6C267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31565F"/>
    <w:multiLevelType w:val="hybridMultilevel"/>
    <w:tmpl w:val="887EE90A"/>
    <w:lvl w:ilvl="0" w:tplc="E8A482E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70CB4"/>
    <w:multiLevelType w:val="hybridMultilevel"/>
    <w:tmpl w:val="C7CA2BAE"/>
    <w:lvl w:ilvl="0" w:tplc="29C822EE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186625">
    <w:abstractNumId w:val="1"/>
  </w:num>
  <w:num w:numId="2" w16cid:durableId="256720060">
    <w:abstractNumId w:val="2"/>
  </w:num>
  <w:num w:numId="3" w16cid:durableId="1838879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5vs5v928pef9beva9q59wsidxawastdww5x&quot;&gt;My EndNote Library&lt;record-ids&gt;&lt;item&gt;321&lt;/item&gt;&lt;item&gt;322&lt;/item&gt;&lt;/record-ids&gt;&lt;/item&gt;&lt;/Libraries&gt;"/>
  </w:docVars>
  <w:rsids>
    <w:rsidRoot w:val="0002044E"/>
    <w:rsid w:val="0002044E"/>
    <w:rsid w:val="000B3881"/>
    <w:rsid w:val="000D3962"/>
    <w:rsid w:val="000D637A"/>
    <w:rsid w:val="000E1DC8"/>
    <w:rsid w:val="00127ADC"/>
    <w:rsid w:val="00132613"/>
    <w:rsid w:val="001D7453"/>
    <w:rsid w:val="00287AE2"/>
    <w:rsid w:val="002F2A5E"/>
    <w:rsid w:val="002F33EE"/>
    <w:rsid w:val="00315E81"/>
    <w:rsid w:val="00322D27"/>
    <w:rsid w:val="00346440"/>
    <w:rsid w:val="0039288B"/>
    <w:rsid w:val="003D0ECE"/>
    <w:rsid w:val="004050A4"/>
    <w:rsid w:val="0054368A"/>
    <w:rsid w:val="00581B85"/>
    <w:rsid w:val="00581C9D"/>
    <w:rsid w:val="00644B88"/>
    <w:rsid w:val="0065705A"/>
    <w:rsid w:val="006968B5"/>
    <w:rsid w:val="006A1B62"/>
    <w:rsid w:val="006D6052"/>
    <w:rsid w:val="006E2D10"/>
    <w:rsid w:val="007952F2"/>
    <w:rsid w:val="007C0407"/>
    <w:rsid w:val="00825889"/>
    <w:rsid w:val="008332C8"/>
    <w:rsid w:val="00843E17"/>
    <w:rsid w:val="00856E2D"/>
    <w:rsid w:val="00874B6C"/>
    <w:rsid w:val="00881798"/>
    <w:rsid w:val="00931486"/>
    <w:rsid w:val="0097080A"/>
    <w:rsid w:val="009854A9"/>
    <w:rsid w:val="009A68C7"/>
    <w:rsid w:val="009D45A2"/>
    <w:rsid w:val="00A468E4"/>
    <w:rsid w:val="00A92E4D"/>
    <w:rsid w:val="00A94D51"/>
    <w:rsid w:val="00AB4FF7"/>
    <w:rsid w:val="00AD2195"/>
    <w:rsid w:val="00AF2EE4"/>
    <w:rsid w:val="00B07D33"/>
    <w:rsid w:val="00B22789"/>
    <w:rsid w:val="00B33355"/>
    <w:rsid w:val="00B33D7A"/>
    <w:rsid w:val="00B64038"/>
    <w:rsid w:val="00B832F4"/>
    <w:rsid w:val="00B92B2C"/>
    <w:rsid w:val="00BE6335"/>
    <w:rsid w:val="00CC5C0F"/>
    <w:rsid w:val="00D1085B"/>
    <w:rsid w:val="00D74365"/>
    <w:rsid w:val="00D91F5B"/>
    <w:rsid w:val="00DB1368"/>
    <w:rsid w:val="00E25850"/>
    <w:rsid w:val="00E47768"/>
    <w:rsid w:val="00E51039"/>
    <w:rsid w:val="00EA4E35"/>
    <w:rsid w:val="00F11C31"/>
    <w:rsid w:val="00F7000A"/>
    <w:rsid w:val="00F95AB5"/>
    <w:rsid w:val="00FB12CD"/>
    <w:rsid w:val="00FE3720"/>
    <w:rsid w:val="00FE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DE8068"/>
  <w15:chartTrackingRefBased/>
  <w15:docId w15:val="{2217AC6E-A38D-450D-965F-E092E7D7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44E"/>
    <w:rPr>
      <w:rFonts w:ascii="Times New Roman" w:hAnsi="Times New Roman"/>
      <w:kern w:val="0"/>
      <w:sz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0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0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04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0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4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4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4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204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4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4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4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4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4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4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4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4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4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4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4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44E"/>
    <w:rPr>
      <w:b/>
      <w:bCs/>
      <w:smallCaps/>
      <w:color w:val="0F4761" w:themeColor="accent1" w:themeShade="BF"/>
      <w:spacing w:val="5"/>
    </w:rPr>
  </w:style>
  <w:style w:type="paragraph" w:customStyle="1" w:styleId="LiteWCCM">
    <w:name w:val="Lite WCCM"/>
    <w:basedOn w:val="Normal"/>
    <w:rsid w:val="0002044E"/>
    <w:pPr>
      <w:widowControl w:val="0"/>
      <w:tabs>
        <w:tab w:val="left" w:pos="142"/>
      </w:tabs>
      <w:autoSpaceDE w:val="0"/>
      <w:autoSpaceDN w:val="0"/>
      <w:spacing w:after="0" w:line="240" w:lineRule="auto"/>
      <w:jc w:val="center"/>
    </w:pPr>
    <w:rPr>
      <w:rFonts w:eastAsia="Times New Roman" w:cs="Times New Roman"/>
      <w:lang w:eastAsia="es-ES"/>
    </w:rPr>
  </w:style>
  <w:style w:type="paragraph" w:customStyle="1" w:styleId="EndNoteBibliographyTitle">
    <w:name w:val="EndNote Bibliography Title"/>
    <w:basedOn w:val="Normal"/>
    <w:link w:val="EndNoteBibliographyTitleChar"/>
    <w:rsid w:val="00E51039"/>
    <w:pPr>
      <w:spacing w:after="0"/>
      <w:jc w:val="center"/>
    </w:pPr>
    <w:rPr>
      <w:rFonts w:cs="Times New Roman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51039"/>
    <w:rPr>
      <w:rFonts w:ascii="Times New Roman" w:hAnsi="Times New Roman" w:cs="Times New Roman"/>
      <w:noProof/>
      <w:kern w:val="0"/>
      <w:sz w:val="24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E51039"/>
    <w:pPr>
      <w:spacing w:line="240" w:lineRule="auto"/>
    </w:pPr>
    <w:rPr>
      <w:rFonts w:cs="Times New Roman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E51039"/>
    <w:rPr>
      <w:rFonts w:ascii="Times New Roman" w:hAnsi="Times New Roman" w:cs="Times New Roman"/>
      <w:noProof/>
      <w:kern w:val="0"/>
      <w:sz w:val="24"/>
      <w:lang w:val="en-US"/>
      <w14:ligatures w14:val="none"/>
    </w:rPr>
  </w:style>
  <w:style w:type="table" w:styleId="TableGrid">
    <w:name w:val="Table Grid"/>
    <w:basedOn w:val="TableNormal"/>
    <w:uiPriority w:val="39"/>
    <w:rsid w:val="00B33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22D27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3CFD9-6BEF-4781-82E9-0D86EB414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Vinit Nagda</dc:creator>
  <cp:keywords/>
  <dc:description/>
  <cp:lastModifiedBy>Vinit Nagda</cp:lastModifiedBy>
  <cp:revision>44</cp:revision>
  <dcterms:created xsi:type="dcterms:W3CDTF">2025-04-09T12:54:00Z</dcterms:created>
  <dcterms:modified xsi:type="dcterms:W3CDTF">2025-04-17T09:37:00Z</dcterms:modified>
</cp:coreProperties>
</file>