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6AF3" w:rsidRPr="007820E2" w14:paraId="60ECA8A1" w14:textId="77777777" w:rsidTr="00AE6AF3">
        <w:tc>
          <w:tcPr>
            <w:tcW w:w="9628" w:type="dxa"/>
          </w:tcPr>
          <w:p w14:paraId="389255A7" w14:textId="27CFCBE6" w:rsidR="00AE6AF3" w:rsidRPr="00AE6AF3" w:rsidRDefault="00AE6AF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Supplementary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Figure 9</w:t>
            </w:r>
            <w:r w:rsidR="00FA47E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Myocardial</w:t>
            </w:r>
            <w:proofErr w:type="spellEnd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infarction</w:t>
            </w:r>
            <w:proofErr w:type="spellEnd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adapted</w:t>
            </w:r>
            <w:proofErr w:type="spellEnd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from</w:t>
            </w:r>
            <w:proofErr w:type="spellEnd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the </w:t>
            </w:r>
            <w:proofErr w:type="spellStart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definitions</w:t>
            </w:r>
            <w:proofErr w:type="spellEnd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provided</w:t>
            </w:r>
            <w:proofErr w:type="spellEnd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by the </w:t>
            </w:r>
            <w:proofErr w:type="spellStart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>fourth</w:t>
            </w:r>
            <w:proofErr w:type="spellEnd"/>
            <w:r w:rsidRPr="00AE6AF3">
              <w:rPr>
                <w:rFonts w:ascii="Times New Roman" w:hAnsi="Times New Roman" w:cs="Times New Roman"/>
                <w:b/>
                <w:bCs/>
                <w:sz w:val="22"/>
                <w:szCs w:val="22"/>
                <w:lang w:val="fr-FR"/>
              </w:rPr>
              <w:t xml:space="preserve"> Universal, SCAI and ARC-2)</w:t>
            </w:r>
          </w:p>
        </w:tc>
      </w:tr>
      <w:tr w:rsidR="00AE6AF3" w:rsidRPr="00AE6AF3" w14:paraId="2142223F" w14:textId="77777777" w:rsidTr="00AE6AF3">
        <w:tc>
          <w:tcPr>
            <w:tcW w:w="9628" w:type="dxa"/>
          </w:tcPr>
          <w:p w14:paraId="6B62BD37" w14:textId="41F27D57" w:rsidR="00AE6AF3" w:rsidRDefault="00AE6AF3" w:rsidP="00AE6AF3">
            <w:pPr>
              <w:pStyle w:val="Paragrafoelenco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Type 1. 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Definition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 :  occurrence of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spontaneous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with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a minimum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delay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forty-eight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hours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following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the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primary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procedure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(index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procedure</w:t>
            </w:r>
            <w:proofErr w:type="spellEnd"/>
            <w:r w:rsidR="007E3188"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).</w:t>
            </w:r>
            <w:r w:rsidR="007E3188" w:rsidRPr="000A09A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fr-FR"/>
              </w:rPr>
              <w:t xml:space="preserve"> †</w:t>
            </w:r>
          </w:p>
          <w:p w14:paraId="0EED1A4D" w14:textId="77777777" w:rsidR="000A09AE" w:rsidRDefault="000A09AE" w:rsidP="000A09AE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24F5E920" w14:textId="15E50B3F" w:rsidR="00AE6AF3" w:rsidRDefault="00AE6AF3" w:rsidP="00AE6AF3">
            <w:pPr>
              <w:pStyle w:val="Paragrafoelenco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Identification of an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increase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and/or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decrease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in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cTn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values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at least one value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above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the 99th percentile URL,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accompanied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by at least one of the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following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criteria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  <w:proofErr w:type="gramEnd"/>
          </w:p>
          <w:p w14:paraId="25DD4461" w14:textId="1D6B7547" w:rsidR="00AE6AF3" w:rsidRPr="000A09AE" w:rsidRDefault="000A09AE" w:rsidP="000A09AE">
            <w:pPr>
              <w:pStyle w:val="Paragrafoelenco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0A09AE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</w:t>
            </w:r>
            <w:r w:rsidR="00AE6AF3" w:rsidRPr="000A09AE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ymptoms</w:t>
            </w:r>
            <w:proofErr w:type="spellEnd"/>
            <w:r w:rsidR="00AE6AF3" w:rsidRPr="000A09AE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acute </w:t>
            </w:r>
            <w:proofErr w:type="spellStart"/>
            <w:r w:rsidR="00AE6AF3" w:rsidRPr="000A09AE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ischaemia</w:t>
            </w:r>
            <w:proofErr w:type="spellEnd"/>
          </w:p>
          <w:p w14:paraId="34950851" w14:textId="16129FFE" w:rsidR="00AE6AF3" w:rsidRPr="00AE6AF3" w:rsidRDefault="00AE6AF3" w:rsidP="00AE6A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ischaemic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ECG changes,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manifesting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as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either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new ST-segment or T-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wave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changes, or new LBBB,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observed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546CE56A" w14:textId="6744554A" w:rsidR="00AE6AF3" w:rsidRPr="00AE6AF3" w:rsidRDefault="00AE6AF3" w:rsidP="00AE6A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pathologic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Q-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waves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been detected in</w:t>
            </w:r>
            <w:r w:rsid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&gt;/=</w:t>
            </w:r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two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contiguous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leads.</w:t>
            </w:r>
          </w:p>
          <w:p w14:paraId="70A9F31D" w14:textId="77777777" w:rsidR="00AE6AF3" w:rsidRPr="00AE6AF3" w:rsidRDefault="00AE6AF3" w:rsidP="00AE6A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imaging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indicative of a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recent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loss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viable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myocardium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the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emergence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wall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motion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abnormalities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observed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 </w:t>
            </w:r>
            <w:proofErr w:type="gram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</w:t>
            </w:r>
            <w:proofErr w:type="gram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pattern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consistent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an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ischaemic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aetiology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7C256CF7" w14:textId="77777777" w:rsidR="00AE6AF3" w:rsidRDefault="00AE6AF3" w:rsidP="00AE6AF3">
            <w:pPr>
              <w:pStyle w:val="Paragrafoelenco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identification of a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coronary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thrombus can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be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achieved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through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utilisation of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angiography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</w:t>
            </w:r>
            <w:proofErr w:type="spellStart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autopsy</w:t>
            </w:r>
            <w:proofErr w:type="spellEnd"/>
            <w:r w:rsidRPr="00AE6AF3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353BED20" w14:textId="77777777" w:rsidR="000A09AE" w:rsidRDefault="000A09AE" w:rsidP="000A09AE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5A3A1812" w14:textId="3916A81B" w:rsidR="000914EA" w:rsidRDefault="000914EA" w:rsidP="000914EA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 post-mortem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visualization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an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atherothrombus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 the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infarcted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myocardium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a large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necrotic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area </w:t>
            </w:r>
          </w:p>
          <w:p w14:paraId="720E14D5" w14:textId="51D760FB" w:rsidR="000914EA" w:rsidRPr="000914EA" w:rsidRDefault="000914EA" w:rsidP="000914EA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accompanied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by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intramyocardial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haemorrhage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irrespective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cTn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values,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fulfils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</w:t>
            </w:r>
            <w:proofErr w:type="spellStart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criteria</w:t>
            </w:r>
            <w:proofErr w:type="spellEnd"/>
            <w:r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for a type 1 MI.</w:t>
            </w:r>
          </w:p>
        </w:tc>
      </w:tr>
      <w:tr w:rsidR="00AE6AF3" w:rsidRPr="007820E2" w14:paraId="0C252933" w14:textId="77777777" w:rsidTr="00AE6AF3">
        <w:tc>
          <w:tcPr>
            <w:tcW w:w="9628" w:type="dxa"/>
          </w:tcPr>
          <w:p w14:paraId="4377A6AD" w14:textId="4145B724" w:rsidR="00AE6AF3" w:rsidRDefault="000914EA" w:rsidP="000914EA">
            <w:pPr>
              <w:pStyle w:val="Paragrafoelenco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Type 2.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Definition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 :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imbalance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between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the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supply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and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demand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oxygen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in the </w:t>
            </w:r>
            <w:proofErr w:type="spellStart"/>
            <w:r w:rsidR="007E3188"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heart</w:t>
            </w:r>
            <w:proofErr w:type="spellEnd"/>
            <w:r w:rsidR="007E3188" w:rsidRPr="000914E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  <w:r w:rsidR="007E3188" w:rsidRPr="000A09AE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fr-FR"/>
              </w:rPr>
              <w:t xml:space="preserve"> †</w:t>
            </w:r>
          </w:p>
          <w:p w14:paraId="7560B939" w14:textId="77777777" w:rsidR="000A09AE" w:rsidRDefault="000A09AE" w:rsidP="000A09AE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2A349DDA" w14:textId="72139C51" w:rsidR="000914EA" w:rsidRPr="000A09AE" w:rsidRDefault="000914EA" w:rsidP="000914EA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Detection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of changes in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cTn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values,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at least one value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above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the 99th percentile URL, and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evidence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of a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discrepancy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between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oxygen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delivery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and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demand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, not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related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coronary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thrombosis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requiring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at least one of the </w:t>
            </w:r>
            <w:proofErr w:type="spellStart"/>
            <w:proofErr w:type="gram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following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:</w:t>
            </w:r>
            <w:proofErr w:type="gramEnd"/>
          </w:p>
          <w:p w14:paraId="5C9A243D" w14:textId="353A36D1" w:rsidR="0020129D" w:rsidRPr="0020129D" w:rsidRDefault="0020129D" w:rsidP="0020129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Symptoms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indicative of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ischaemia</w:t>
            </w:r>
            <w:proofErr w:type="spellEnd"/>
          </w:p>
          <w:p w14:paraId="206D1E97" w14:textId="09DAED7E" w:rsidR="0020129D" w:rsidRPr="0020129D" w:rsidRDefault="0020129D" w:rsidP="0020129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Electrocardiogram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(ECG)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alterations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indicative of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recent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ischaemia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encompassing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novel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ST-segment or T-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wave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modifications, or the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emergence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LBBB.</w:t>
            </w:r>
          </w:p>
          <w:p w14:paraId="153B45F3" w14:textId="6C31F000" w:rsidR="0020129D" w:rsidRPr="0020129D" w:rsidRDefault="0020129D" w:rsidP="0020129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pathologic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Q-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waves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been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identified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 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&gt;/=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two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contiguous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leads.</w:t>
            </w:r>
          </w:p>
          <w:p w14:paraId="01288FE6" w14:textId="1DF72C82" w:rsidR="0020129D" w:rsidRPr="0020129D" w:rsidRDefault="0020129D" w:rsidP="0020129D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imaging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evidence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indicative of new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loss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viable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myocardium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new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wall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motion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abnormality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indicated</w:t>
            </w:r>
            <w:proofErr w:type="spellEnd"/>
            <w:r w:rsidRPr="0020129D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</w:tc>
      </w:tr>
      <w:tr w:rsidR="00AE6AF3" w:rsidRPr="007820E2" w14:paraId="0518B65F" w14:textId="77777777" w:rsidTr="00AE6AF3">
        <w:tc>
          <w:tcPr>
            <w:tcW w:w="9628" w:type="dxa"/>
          </w:tcPr>
          <w:p w14:paraId="001C820B" w14:textId="2574AC62" w:rsidR="00AE6AF3" w:rsidRPr="004B0D5C" w:rsidRDefault="0020129D" w:rsidP="0020129D">
            <w:pPr>
              <w:pStyle w:val="Paragrafoelenco"/>
              <w:numPr>
                <w:ilvl w:val="0"/>
                <w:numId w:val="9"/>
              </w:numPr>
              <w:rPr>
                <w:b/>
                <w:bCs/>
                <w:lang w:val="fr-FR"/>
              </w:rPr>
            </w:pPr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Type 3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Definition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 : 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presence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of MI in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conjunction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with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sudden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cardiac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death</w:t>
            </w:r>
            <w:proofErr w:type="spellEnd"/>
            <w:r w:rsidRPr="004B0D5C">
              <w:rPr>
                <w:b/>
                <w:bCs/>
                <w:sz w:val="21"/>
                <w:szCs w:val="21"/>
                <w:lang w:val="fr-FR"/>
              </w:rPr>
              <w:t>.</w:t>
            </w:r>
            <w:r w:rsidR="000A09AE" w:rsidRPr="000A09A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fr-FR"/>
              </w:rPr>
              <w:t>†</w:t>
            </w:r>
            <w:proofErr w:type="gramEnd"/>
          </w:p>
          <w:p w14:paraId="3A02C20D" w14:textId="77777777" w:rsidR="000A09AE" w:rsidRDefault="000A09AE" w:rsidP="000A09AE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15145D54" w14:textId="1AAEABD5" w:rsidR="00FA47E4" w:rsidRPr="000A09AE" w:rsidRDefault="00FA47E4" w:rsidP="00FA47E4">
            <w:pPr>
              <w:pStyle w:val="Paragrafoelenco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Patients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who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experience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cardiac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death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and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present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symptoms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indicating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myocardial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ischemia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, in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conjunction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alleged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new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ischemic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ECG changes or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ventricular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fibrillation can cause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death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before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blood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samples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can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taken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, or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before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increases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in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cardiac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biomarkers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can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identified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, or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before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an MI can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detected by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autopsy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</w:p>
          <w:p w14:paraId="08AA3750" w14:textId="37E8DB94" w:rsidR="00FA47E4" w:rsidRPr="00FA47E4" w:rsidRDefault="00FA47E4" w:rsidP="00FA47E4">
            <w:pPr>
              <w:rPr>
                <w:lang w:val="fr-FR"/>
              </w:rPr>
            </w:pPr>
          </w:p>
        </w:tc>
      </w:tr>
      <w:tr w:rsidR="00AE6AF3" w:rsidRPr="004B0D5C" w14:paraId="798CE36C" w14:textId="77777777" w:rsidTr="00AE6AF3">
        <w:tc>
          <w:tcPr>
            <w:tcW w:w="9628" w:type="dxa"/>
          </w:tcPr>
          <w:p w14:paraId="243672B7" w14:textId="728CD358" w:rsidR="00AE6AF3" w:rsidRPr="004B0D5C" w:rsidRDefault="004B0D5C" w:rsidP="004B0D5C">
            <w:pPr>
              <w:pStyle w:val="Paragrafoelenco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Type 4 A.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Definition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 :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outlined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in the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established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criteria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for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Percutaneous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Coronary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Intervention-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related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Myocardial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Infarction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categorises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instances in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which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&lt;/= 48 has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elapsed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following</w:t>
            </w:r>
            <w:proofErr w:type="spellEnd"/>
            <w:r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the initial </w:t>
            </w:r>
            <w:proofErr w:type="spellStart"/>
            <w:r w:rsidR="000A09AE"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procedure</w:t>
            </w:r>
            <w:proofErr w:type="spellEnd"/>
            <w:r w:rsidR="000A09AE" w:rsidRPr="004B0D5C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.</w:t>
            </w:r>
            <w:r w:rsidR="000A09AE" w:rsidRPr="000A09A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fr-FR"/>
              </w:rPr>
              <w:t xml:space="preserve"> *</w:t>
            </w:r>
          </w:p>
          <w:p w14:paraId="6FE2DE7C" w14:textId="77777777" w:rsidR="000A09AE" w:rsidRDefault="000A09AE" w:rsidP="000A09AE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444A876F" w14:textId="2DFD779F" w:rsidR="004B0D5C" w:rsidRPr="000A09AE" w:rsidRDefault="004B0D5C" w:rsidP="004B0D5C">
            <w:pPr>
              <w:pStyle w:val="Paragrafoelenco"/>
              <w:numPr>
                <w:ilvl w:val="0"/>
                <w:numId w:val="12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In patients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normal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baseline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CK-MB, the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peak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CK-MB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measurement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taken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within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48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hours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of the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procedure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considered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&gt; /= 10 ULN. The local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laboratory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ULN or CK-MB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considered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 &gt; /= 10 to 5 ULN if one or more of the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following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criteria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are </w:t>
            </w:r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met :</w:t>
            </w:r>
          </w:p>
          <w:p w14:paraId="3C4DD1CA" w14:textId="090B581F" w:rsidR="004B0D5C" w:rsidRPr="004B0D5C" w:rsidRDefault="004B0D5C" w:rsidP="004B0D5C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pathologic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Q-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waves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been detected in</w:t>
            </w:r>
            <w:r w:rsidR="00D8001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&gt;/=</w:t>
            </w:r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two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contiguous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leads.</w:t>
            </w:r>
          </w:p>
          <w:p w14:paraId="107600FC" w14:textId="49DB96BC" w:rsidR="004B0D5C" w:rsidRPr="004B0D5C" w:rsidRDefault="004B0D5C" w:rsidP="004B0D5C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persistent LBBB</w:t>
            </w:r>
            <w:r w:rsidR="00D8001F" w:rsidRPr="00D8001F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fr-FR"/>
              </w:rPr>
              <w:t>#</w:t>
            </w:r>
            <w:r w:rsidRPr="00D8001F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indicated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1A108BC8" w14:textId="77777777" w:rsidR="004B0D5C" w:rsidRPr="004B0D5C" w:rsidRDefault="004B0D5C" w:rsidP="004B0D5C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The occurrence of flow-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limiting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angiographic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complications in a major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epicardial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vessel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a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branch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diameter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greater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than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1.5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mm.</w:t>
            </w:r>
            <w:proofErr w:type="spellEnd"/>
          </w:p>
          <w:p w14:paraId="1142394B" w14:textId="77777777" w:rsidR="004B0D5C" w:rsidRDefault="004B0D5C" w:rsidP="004B0D5C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substantial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new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loss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viable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myocardium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on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imaging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the </w:t>
            </w:r>
            <w:proofErr w:type="spellStart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procedure</w:t>
            </w:r>
            <w:proofErr w:type="spellEnd"/>
            <w:r w:rsidRPr="004B0D5C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74F276B3" w14:textId="77777777" w:rsidR="000A09AE" w:rsidRDefault="000A09AE" w:rsidP="000A09AE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0EA3D413" w14:textId="77777777" w:rsidR="004B0D5C" w:rsidRDefault="004B0D5C" w:rsidP="004B0D5C">
            <w:pPr>
              <w:pStyle w:val="Paragrafoelenco"/>
              <w:numPr>
                <w:ilvl w:val="0"/>
                <w:numId w:val="14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In patients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elevated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baseline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CK-MB (or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cTn</w:t>
            </w:r>
            <w:proofErr w:type="spellEnd"/>
            <w:proofErr w:type="gramStart"/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):</w:t>
            </w:r>
            <w:proofErr w:type="gramEnd"/>
            <w:r w:rsidR="000A09AE" w:rsidRPr="000A09AE">
              <w:rPr>
                <w:b/>
                <w:bCs/>
                <w:i/>
                <w:iCs/>
                <w:lang w:val="fr-FR"/>
              </w:rPr>
              <w:t xml:space="preserve"> </w:t>
            </w:r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The CK-MB (or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cTn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)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demonstrates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an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increase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in value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that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equivalent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to the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absolute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increment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recommended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above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. This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increase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represents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the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difference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between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the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level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measured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at the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most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recent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pre-procedure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evaluation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and new ECG modifications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that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have been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described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in the </w:t>
            </w:r>
            <w:proofErr w:type="spellStart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following</w:t>
            </w:r>
            <w:proofErr w:type="spellEnd"/>
            <w:r w:rsidR="000A09AE"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section</w:t>
            </w:r>
            <w:r w:rsidRPr="000A09AE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</w:p>
          <w:p w14:paraId="69A84323" w14:textId="77777777" w:rsidR="000A09AE" w:rsidRDefault="000A09AE" w:rsidP="000A09AE">
            <w:p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</w:p>
          <w:p w14:paraId="2018FC1F" w14:textId="56502DEB" w:rsidR="000A09AE" w:rsidRPr="000A09AE" w:rsidRDefault="000A09AE" w:rsidP="000A09AE">
            <w:pPr>
              <w:pStyle w:val="Paragrafoelenco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Type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 xml:space="preserve"> 4B (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Stent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 xml:space="preserve"> </w:t>
            </w:r>
            <w:proofErr w:type="spellStart"/>
            <w:r w:rsidRPr="000A09AE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thrombosis</w:t>
            </w:r>
            <w:proofErr w:type="spellEnd"/>
            <w:r w:rsidRPr="000A09AE">
              <w:rPr>
                <w:rFonts w:ascii="Times New Roman" w:hAnsi="Times New Roman" w:cs="Times New Roman"/>
                <w:b/>
                <w:bCs/>
                <w:kern w:val="0"/>
                <w:sz w:val="21"/>
                <w:szCs w:val="21"/>
              </w:rPr>
              <w:t>)</w:t>
            </w:r>
            <w:r w:rsidR="00101D6A" w:rsidRPr="00101D6A">
              <w:rPr>
                <w:rFonts w:ascii="Times New Roman" w:hAnsi="Times New Roman" w:cs="Times New Roman"/>
                <w:b/>
                <w:bCs/>
                <w:kern w:val="0"/>
                <w:sz w:val="22"/>
                <w:szCs w:val="22"/>
                <w:vertAlign w:val="superscript"/>
              </w:rPr>
              <w:t>†</w:t>
            </w:r>
          </w:p>
        </w:tc>
      </w:tr>
      <w:tr w:rsidR="00AE6AF3" w:rsidRPr="007820E2" w14:paraId="1A867126" w14:textId="77777777" w:rsidTr="00AE6AF3">
        <w:tc>
          <w:tcPr>
            <w:tcW w:w="9628" w:type="dxa"/>
          </w:tcPr>
          <w:p w14:paraId="17BABDF6" w14:textId="46937859" w:rsidR="00F5283F" w:rsidRPr="007820E2" w:rsidRDefault="00F5283F" w:rsidP="00F5283F">
            <w:pPr>
              <w:pStyle w:val="Paragrafoelenco"/>
              <w:numPr>
                <w:ilvl w:val="0"/>
                <w:numId w:val="19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</w:pPr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lastRenderedPageBreak/>
              <w:t xml:space="preserve">The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presence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of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stent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thrombosis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should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be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documented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by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angiography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or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autopsy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,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employing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the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same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criteria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that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are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utilised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for the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diagnosis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of </w:t>
            </w:r>
            <w:proofErr w:type="spellStart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type</w:t>
            </w:r>
            <w:proofErr w:type="spellEnd"/>
            <w:r w:rsidRPr="007820E2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 xml:space="preserve"> 1 MI.</w:t>
            </w:r>
          </w:p>
          <w:p w14:paraId="72163FD6" w14:textId="5C47263B" w:rsidR="00F5283F" w:rsidRPr="00F5283F" w:rsidRDefault="00F5283F" w:rsidP="00F5283F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Acute : The time frame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under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consideration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from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0 to 24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hours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37FF02BB" w14:textId="3092892A" w:rsidR="00AE6AF3" w:rsidRPr="00F5283F" w:rsidRDefault="00F5283F" w:rsidP="00F5283F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Subacute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: The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timeframe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extends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from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24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hours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30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days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747EAABE" w14:textId="54ED1437" w:rsidR="00F5283F" w:rsidRPr="00F5283F" w:rsidRDefault="00F5283F" w:rsidP="00F5283F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Late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 : The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timeframe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extends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from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30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days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1 year.</w:t>
            </w:r>
          </w:p>
          <w:p w14:paraId="76BB3D7C" w14:textId="77777777" w:rsidR="00F5283F" w:rsidRDefault="00F5283F" w:rsidP="00F5283F">
            <w:pPr>
              <w:pStyle w:val="Paragrafoelenco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Very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late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 : The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timeframe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elapsed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one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year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after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implantation of the stent</w:t>
            </w:r>
          </w:p>
          <w:p w14:paraId="52A3115E" w14:textId="77777777" w:rsidR="00F5283F" w:rsidRDefault="00F5283F" w:rsidP="00F5283F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5F85AC9C" w14:textId="111662D4" w:rsidR="00F5283F" w:rsidRDefault="00F5283F" w:rsidP="00F5283F">
            <w:pPr>
              <w:pStyle w:val="Paragrafoelenco"/>
              <w:numPr>
                <w:ilvl w:val="0"/>
                <w:numId w:val="20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Type 4C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 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Definition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.</w:t>
            </w:r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</w:t>
            </w:r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oronary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stent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restenosis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is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a condition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characterised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by the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recurrence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symptoms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associated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with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blocked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arteries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,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typically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following</w:t>
            </w:r>
            <w:proofErr w:type="spellEnd"/>
            <w:r w:rsidRPr="00F5283F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PCI.</w:t>
            </w:r>
          </w:p>
          <w:p w14:paraId="3B809764" w14:textId="77777777" w:rsidR="00F5283F" w:rsidRDefault="00F5283F" w:rsidP="00F5283F">
            <w:pPr>
              <w:pStyle w:val="Paragrafoelenco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focal or diffuse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restenosis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or a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complex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lesion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associated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rise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and/or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fall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cTn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values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above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99th percentile URL,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determined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using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same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criteria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This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employed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in the </w:t>
            </w:r>
            <w:proofErr w:type="spellStart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context</w:t>
            </w:r>
            <w:proofErr w:type="spellEnd"/>
            <w:r w:rsidRPr="00F5283F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type 1 MI.</w:t>
            </w:r>
          </w:p>
          <w:p w14:paraId="61C802EC" w14:textId="77777777" w:rsidR="00101D6A" w:rsidRDefault="00101D6A" w:rsidP="00101D6A">
            <w:p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1A31B1FE" w14:textId="054E5501" w:rsidR="00101D6A" w:rsidRPr="00101D6A" w:rsidRDefault="007218E1" w:rsidP="00101D6A">
            <w:pPr>
              <w:pStyle w:val="Paragrafoelenco"/>
              <w:numPr>
                <w:ilvl w:val="0"/>
                <w:numId w:val="22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Type 5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periprocedural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myocardial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infarction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(PM) (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following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SAVR, TAVR or CABG)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is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reported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occur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at a time point of ≤ 48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hours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after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the index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procedure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. The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following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point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requires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further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consideration</w:t>
            </w:r>
            <w:proofErr w:type="spellEnd"/>
            <w:r w:rsidR="00101D6A" w:rsidRPr="00101D6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.</w:t>
            </w:r>
            <w:r w:rsidR="00101D6A" w:rsidRPr="000A09AE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  <w:lang w:val="fr-FR"/>
              </w:rPr>
              <w:t xml:space="preserve"> *</w:t>
            </w:r>
          </w:p>
          <w:p w14:paraId="0205B141" w14:textId="77777777" w:rsidR="00101D6A" w:rsidRDefault="00101D6A" w:rsidP="00101D6A">
            <w:pPr>
              <w:pStyle w:val="Paragrafoelenco"/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</w:p>
          <w:p w14:paraId="5EA4F99D" w14:textId="77777777" w:rsidR="00101D6A" w:rsidRDefault="00101D6A" w:rsidP="00101D6A">
            <w:pPr>
              <w:pStyle w:val="Paragrafoelenco"/>
              <w:numPr>
                <w:ilvl w:val="0"/>
                <w:numId w:val="23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In patients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exhibiting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normal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baseline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CK-MB, the maximum CK-MB value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ascertained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within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48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hours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following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the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procedure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considered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be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r w:rsidRPr="00101D6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 xml:space="preserve">&gt;/= </w:t>
            </w:r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10 ULN, as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established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by the local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laboratory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.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Alternatively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, the ULN or CK-MB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defined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as </w:t>
            </w:r>
            <w:r w:rsidRPr="00101D6A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&gt;/=</w:t>
            </w:r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5 ULN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when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accompanied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by one or more of the </w:t>
            </w:r>
            <w:proofErr w:type="spellStart"/>
            <w:proofErr w:type="gramStart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following</w:t>
            </w:r>
            <w:proofErr w:type="spellEnd"/>
            <w:r w:rsidRPr="00101D6A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:</w:t>
            </w:r>
            <w:proofErr w:type="gramEnd"/>
          </w:p>
          <w:p w14:paraId="6EF617D0" w14:textId="008341C2" w:rsidR="00101D6A" w:rsidRPr="00942A08" w:rsidRDefault="00101D6A" w:rsidP="00942A08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pathologic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Q-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waves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been detected in </w:t>
            </w:r>
            <w:r w:rsidRPr="00942A0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  <w:t>&gt;/=</w:t>
            </w:r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two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contiguous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leads.</w:t>
            </w:r>
          </w:p>
          <w:p w14:paraId="71FC6D49" w14:textId="1CF64EB7" w:rsidR="00101D6A" w:rsidRPr="00942A08" w:rsidRDefault="00101D6A" w:rsidP="00942A08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persistent LBBB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proofErr w:type="gram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indicated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  <w:r w:rsidR="00D8001F" w:rsidRPr="00D8001F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fr-FR"/>
              </w:rPr>
              <w:t>#</w:t>
            </w:r>
            <w:proofErr w:type="gramEnd"/>
          </w:p>
          <w:p w14:paraId="7BF98AEB" w14:textId="77777777" w:rsidR="00101D6A" w:rsidRPr="00942A08" w:rsidRDefault="00101D6A" w:rsidP="00942A08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occurrence of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angiographic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complications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limit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flow in a major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epicardial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vessel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a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branch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diameter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greater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than</w:t>
            </w:r>
            <w:proofErr w:type="spellEnd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1.5 </w:t>
            </w:r>
            <w:proofErr w:type="spellStart"/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mm.</w:t>
            </w:r>
            <w:proofErr w:type="spellEnd"/>
          </w:p>
          <w:p w14:paraId="2F534DE3" w14:textId="7A6D86FD" w:rsidR="00101D6A" w:rsidRPr="00942A08" w:rsidRDefault="00942A08" w:rsidP="00942A08">
            <w:pPr>
              <w:pStyle w:val="Paragrafoelenco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</w:t>
            </w:r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maging </w:t>
            </w:r>
            <w:proofErr w:type="spellStart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results</w:t>
            </w:r>
            <w:proofErr w:type="spellEnd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been a </w:t>
            </w:r>
            <w:proofErr w:type="spellStart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considerable</w:t>
            </w:r>
            <w:proofErr w:type="spellEnd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loss</w:t>
            </w:r>
            <w:proofErr w:type="spellEnd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viable </w:t>
            </w:r>
            <w:proofErr w:type="spellStart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myocardium</w:t>
            </w:r>
            <w:proofErr w:type="spellEnd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following</w:t>
            </w:r>
            <w:proofErr w:type="spellEnd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the </w:t>
            </w:r>
            <w:proofErr w:type="spellStart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procedure</w:t>
            </w:r>
            <w:proofErr w:type="spellEnd"/>
            <w:r w:rsidR="00101D6A"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777732D6" w14:textId="77777777" w:rsidR="00942A08" w:rsidRPr="00942A08" w:rsidRDefault="00942A08" w:rsidP="00942A08">
            <w:pPr>
              <w:pStyle w:val="Paragrafoelenco"/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</w:p>
          <w:p w14:paraId="082EC139" w14:textId="6A612903" w:rsidR="00101D6A" w:rsidRPr="00942A08" w:rsidRDefault="00101D6A" w:rsidP="00942A08">
            <w:pPr>
              <w:pStyle w:val="Paragrafoelenco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In the absence of CK-MB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measurements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and a normal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baseline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cTn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, the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measurement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of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cTn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(I or T)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within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48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hours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of the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procedure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elevated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to </w:t>
            </w:r>
            <w:r w:rsidR="00942A08"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&gt;/= </w:t>
            </w:r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70.</w:t>
            </w:r>
            <w:r w:rsidR="00942A08"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laboratory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ULN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is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available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for the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sum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of </w:t>
            </w:r>
            <w:r w:rsidR="00942A08"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&gt;/= </w:t>
            </w:r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35 ULN,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provided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that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one or more of the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following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criteria</w:t>
            </w:r>
            <w:proofErr w:type="spellEnd"/>
            <w:r w:rsidRP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are met</w:t>
            </w:r>
            <w:r w:rsidR="00942A08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r w:rsidRPr="00942A08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:</w:t>
            </w:r>
          </w:p>
          <w:p w14:paraId="04B75DBC" w14:textId="77777777" w:rsidR="00101D6A" w:rsidRPr="00101D6A" w:rsidRDefault="00101D6A" w:rsidP="00942A08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pathologic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Q-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waves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been detected in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two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contiguous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leads.</w:t>
            </w:r>
          </w:p>
          <w:p w14:paraId="0993A75A" w14:textId="55452E68" w:rsidR="00101D6A" w:rsidRPr="00101D6A" w:rsidRDefault="00101D6A" w:rsidP="00942A08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presence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of new persistent LBBB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="00D8001F"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indicated</w:t>
            </w:r>
            <w:proofErr w:type="spellEnd"/>
            <w:r w:rsidR="00D8001F"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  <w:r w:rsidR="00D8001F" w:rsidRPr="00D8001F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fr-FR"/>
              </w:rPr>
              <w:t xml:space="preserve"> #</w:t>
            </w:r>
          </w:p>
          <w:p w14:paraId="0087E810" w14:textId="77777777" w:rsidR="00101D6A" w:rsidRPr="00101D6A" w:rsidRDefault="00101D6A" w:rsidP="00942A08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1"/>
                <w:szCs w:val="21"/>
                <w:lang w:val="fr-FR"/>
              </w:rPr>
            </w:pPr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The occurrence of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angiographic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complications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that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limit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flow in a major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epicardial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vessel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or a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branch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with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a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diameter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greater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than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1.5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mm.</w:t>
            </w:r>
            <w:proofErr w:type="spellEnd"/>
          </w:p>
          <w:p w14:paraId="1EF8E753" w14:textId="77777777" w:rsidR="00101D6A" w:rsidRPr="00942A08" w:rsidRDefault="00101D6A" w:rsidP="00942A08">
            <w:pPr>
              <w:pStyle w:val="Paragrafoelenco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Myocardial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tissue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deemed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be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functional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on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pre-operative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imaging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has been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determined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be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non-viable in a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substantial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new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loss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, and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is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thus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related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to the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aforementioned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surgical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procedure</w:t>
            </w:r>
            <w:proofErr w:type="spellEnd"/>
            <w:r w:rsidRPr="00101D6A">
              <w:rPr>
                <w:rFonts w:ascii="Times New Roman" w:hAnsi="Times New Roman" w:cs="Times New Roman"/>
                <w:sz w:val="21"/>
                <w:szCs w:val="21"/>
                <w:lang w:val="fr-FR"/>
              </w:rPr>
              <w:t>.</w:t>
            </w:r>
          </w:p>
          <w:p w14:paraId="0CFB0978" w14:textId="77777777" w:rsidR="00942A08" w:rsidRDefault="00942A08" w:rsidP="00942A08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  <w:lang w:val="fr-FR"/>
              </w:rPr>
            </w:pPr>
          </w:p>
          <w:p w14:paraId="2CFDAA99" w14:textId="1189DA9D" w:rsidR="00942A08" w:rsidRPr="007218E1" w:rsidRDefault="00942A08" w:rsidP="007218E1">
            <w:pPr>
              <w:pStyle w:val="Paragrafoelenco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</w:pPr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In patients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with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elevated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baseline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CK-MB (or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cTn</w:t>
            </w:r>
            <w:proofErr w:type="spellEnd"/>
            <w:r w:rsidR="007E3188"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) :</w:t>
            </w:r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The CK-MB (or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cTn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)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level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increases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by an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absolute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increment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equal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to the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aforementioned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recommended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levels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. The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most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recent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pre-procedure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ECG and new ECG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findings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are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described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 xml:space="preserve"> </w:t>
            </w:r>
            <w:proofErr w:type="spellStart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herein</w:t>
            </w:r>
            <w:proofErr w:type="spellEnd"/>
            <w:r w:rsidRPr="007218E1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lang w:val="fr-FR"/>
              </w:rPr>
              <w:t>.</w:t>
            </w:r>
          </w:p>
        </w:tc>
      </w:tr>
    </w:tbl>
    <w:p w14:paraId="08AC8B0C" w14:textId="3E774F90" w:rsidR="00AE6AF3" w:rsidRDefault="007218E1" w:rsidP="007E3188">
      <w:pPr>
        <w:jc w:val="both"/>
        <w:rPr>
          <w:rFonts w:ascii="Times New Roman" w:hAnsi="Times New Roman" w:cs="Times New Roman"/>
          <w:sz w:val="20"/>
          <w:szCs w:val="20"/>
        </w:rPr>
      </w:pPr>
      <w:r w:rsidRPr="007218E1">
        <w:rPr>
          <w:rFonts w:ascii="Times New Roman" w:hAnsi="Times New Roman" w:cs="Times New Roman"/>
          <w:sz w:val="20"/>
          <w:szCs w:val="20"/>
          <w:lang w:val="fr-FR"/>
        </w:rPr>
        <w:t>The utilisation of high-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sensitivity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(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hs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>)-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troponins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is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advocated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for the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diagnosis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of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spontaneous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myocardial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infarction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(MI),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yet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its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efficacy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for the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assessment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of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periprocedural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MI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remains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to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be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elucidated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through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further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  <w:lang w:val="fr-FR"/>
        </w:rPr>
        <w:t>research</w:t>
      </w:r>
      <w:proofErr w:type="spellEnd"/>
      <w:r w:rsidRPr="007218E1">
        <w:rPr>
          <w:rFonts w:ascii="Times New Roman" w:hAnsi="Times New Roman" w:cs="Times New Roman"/>
          <w:sz w:val="20"/>
          <w:szCs w:val="20"/>
          <w:lang w:val="fr-FR"/>
        </w:rPr>
        <w:t xml:space="preserve">.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Consequently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, standard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troponin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assays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are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recommended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for the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evaluation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periprocedural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MI.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218E1">
        <w:rPr>
          <w:rFonts w:ascii="Times New Roman" w:hAnsi="Times New Roman" w:cs="Times New Roman"/>
          <w:sz w:val="20"/>
          <w:szCs w:val="20"/>
        </w:rPr>
        <w:t xml:space="preserve">In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instances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where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periprocedural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biomarker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elevation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exceeds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the upper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limit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normal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(ULN),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yet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does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meet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the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for a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myocardial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infarction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(MI), the appropriate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categorisation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should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be '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myocardial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injury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not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meeting MI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>'.</w:t>
      </w:r>
    </w:p>
    <w:p w14:paraId="4D6CE536" w14:textId="168C52A6" w:rsidR="00D8001F" w:rsidRPr="00D8001F" w:rsidRDefault="00D8001F" w:rsidP="007E3188">
      <w:pPr>
        <w:jc w:val="both"/>
        <w:rPr>
          <w:rFonts w:ascii="Times New Roman" w:hAnsi="Times New Roman" w:cs="Times New Roman"/>
          <w:sz w:val="20"/>
          <w:szCs w:val="20"/>
        </w:rPr>
      </w:pPr>
      <w:r w:rsidRPr="00D8001F">
        <w:rPr>
          <w:rFonts w:ascii="Times New Roman" w:hAnsi="Times New Roman" w:cs="Times New Roman"/>
          <w:b/>
          <w:bCs/>
          <w:sz w:val="22"/>
          <w:szCs w:val="22"/>
          <w:vertAlign w:val="superscript"/>
        </w:rPr>
        <w:t xml:space="preserve">†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Thygesen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et al</w:t>
      </w:r>
      <w:r w:rsidR="007820E2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7820E2">
        <w:rPr>
          <w:rFonts w:ascii="Times New Roman" w:hAnsi="Times New Roman" w:cs="Times New Roman"/>
          <w:sz w:val="22"/>
          <w:szCs w:val="22"/>
        </w:rPr>
        <w:t>s</w:t>
      </w:r>
      <w:r w:rsidR="007820E2" w:rsidRPr="007820E2">
        <w:rPr>
          <w:rFonts w:ascii="Times New Roman" w:hAnsi="Times New Roman" w:cs="Times New Roman"/>
          <w:sz w:val="22"/>
          <w:szCs w:val="22"/>
        </w:rPr>
        <w:t>uppl</w:t>
      </w:r>
      <w:proofErr w:type="spellEnd"/>
      <w:r w:rsidR="007820E2" w:rsidRPr="007820E2">
        <w:rPr>
          <w:rFonts w:ascii="Times New Roman" w:hAnsi="Times New Roman" w:cs="Times New Roman"/>
          <w:sz w:val="22"/>
          <w:szCs w:val="22"/>
        </w:rPr>
        <w:t xml:space="preserve"> </w:t>
      </w:r>
      <w:r w:rsidR="007820E2" w:rsidRPr="007820E2">
        <w:rPr>
          <w:rFonts w:ascii="Times New Roman" w:hAnsi="Times New Roman" w:cs="Times New Roman"/>
          <w:sz w:val="20"/>
          <w:szCs w:val="20"/>
        </w:rPr>
        <w:t>Ref  92</w:t>
      </w:r>
      <w:r w:rsidR="007820E2">
        <w:rPr>
          <w:rFonts w:ascii="Times New Roman" w:hAnsi="Times New Roman" w:cs="Times New Roman"/>
          <w:sz w:val="20"/>
          <w:szCs w:val="20"/>
        </w:rPr>
        <w:t>)</w:t>
      </w:r>
      <w:r w:rsidRPr="00D8001F">
        <w:rPr>
          <w:rFonts w:ascii="Times New Roman" w:hAnsi="Times New Roman" w:cs="Times New Roman"/>
          <w:sz w:val="20"/>
          <w:szCs w:val="20"/>
        </w:rPr>
        <w:t xml:space="preserve">; </w:t>
      </w:r>
      <w:r w:rsidRPr="00D8001F">
        <w:rPr>
          <w:rFonts w:ascii="Times New Roman" w:hAnsi="Times New Roman" w:cs="Times New Roman"/>
          <w:sz w:val="21"/>
          <w:szCs w:val="21"/>
          <w:vertAlign w:val="superscript"/>
        </w:rPr>
        <w:t xml:space="preserve">* </w:t>
      </w:r>
      <w:r w:rsidRPr="00D8001F">
        <w:rPr>
          <w:rFonts w:ascii="Times New Roman" w:hAnsi="Times New Roman" w:cs="Times New Roman"/>
          <w:sz w:val="21"/>
          <w:szCs w:val="21"/>
        </w:rPr>
        <w:t>Moussa et al</w:t>
      </w:r>
      <w:r w:rsidR="007820E2">
        <w:rPr>
          <w:rFonts w:ascii="Times New Roman" w:hAnsi="Times New Roman" w:cs="Times New Roman"/>
          <w:sz w:val="21"/>
          <w:szCs w:val="21"/>
        </w:rPr>
        <w:t xml:space="preserve"> </w:t>
      </w:r>
      <w:r w:rsidR="007820E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7820E2">
        <w:rPr>
          <w:rFonts w:ascii="Times New Roman" w:hAnsi="Times New Roman" w:cs="Times New Roman"/>
          <w:sz w:val="22"/>
          <w:szCs w:val="22"/>
        </w:rPr>
        <w:t>s</w:t>
      </w:r>
      <w:r w:rsidR="007820E2" w:rsidRPr="007820E2">
        <w:rPr>
          <w:rFonts w:ascii="Times New Roman" w:hAnsi="Times New Roman" w:cs="Times New Roman"/>
          <w:sz w:val="22"/>
          <w:szCs w:val="22"/>
        </w:rPr>
        <w:t>uppl</w:t>
      </w:r>
      <w:proofErr w:type="spellEnd"/>
      <w:r w:rsidR="007820E2" w:rsidRPr="007820E2">
        <w:rPr>
          <w:rFonts w:ascii="Times New Roman" w:hAnsi="Times New Roman" w:cs="Times New Roman"/>
          <w:sz w:val="22"/>
          <w:szCs w:val="22"/>
        </w:rPr>
        <w:t xml:space="preserve"> </w:t>
      </w:r>
      <w:r w:rsidR="007820E2" w:rsidRPr="007820E2">
        <w:rPr>
          <w:rFonts w:ascii="Times New Roman" w:hAnsi="Times New Roman" w:cs="Times New Roman"/>
          <w:sz w:val="20"/>
          <w:szCs w:val="20"/>
        </w:rPr>
        <w:t>Ref  9</w:t>
      </w:r>
      <w:r w:rsidR="007820E2">
        <w:rPr>
          <w:rFonts w:ascii="Times New Roman" w:hAnsi="Times New Roman" w:cs="Times New Roman"/>
          <w:sz w:val="20"/>
          <w:szCs w:val="20"/>
        </w:rPr>
        <w:t xml:space="preserve">0) </w:t>
      </w:r>
      <w:r w:rsidRPr="00D8001F">
        <w:rPr>
          <w:rFonts w:ascii="Times New Roman" w:hAnsi="Times New Roman" w:cs="Times New Roman"/>
          <w:sz w:val="21"/>
          <w:szCs w:val="21"/>
        </w:rPr>
        <w:t xml:space="preserve"> and Garcia-Garcia et al </w:t>
      </w:r>
      <w:r w:rsidR="007820E2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7820E2">
        <w:rPr>
          <w:rFonts w:ascii="Times New Roman" w:hAnsi="Times New Roman" w:cs="Times New Roman"/>
          <w:sz w:val="22"/>
          <w:szCs w:val="22"/>
        </w:rPr>
        <w:t>s</w:t>
      </w:r>
      <w:r w:rsidR="007820E2" w:rsidRPr="007820E2">
        <w:rPr>
          <w:rFonts w:ascii="Times New Roman" w:hAnsi="Times New Roman" w:cs="Times New Roman"/>
          <w:sz w:val="22"/>
          <w:szCs w:val="22"/>
        </w:rPr>
        <w:t>uppl</w:t>
      </w:r>
      <w:proofErr w:type="spellEnd"/>
      <w:r w:rsidR="007820E2" w:rsidRPr="007820E2">
        <w:rPr>
          <w:rFonts w:ascii="Times New Roman" w:hAnsi="Times New Roman" w:cs="Times New Roman"/>
          <w:sz w:val="22"/>
          <w:szCs w:val="22"/>
        </w:rPr>
        <w:t xml:space="preserve"> </w:t>
      </w:r>
      <w:r w:rsidR="007820E2" w:rsidRPr="007820E2">
        <w:rPr>
          <w:rFonts w:ascii="Times New Roman" w:hAnsi="Times New Roman" w:cs="Times New Roman"/>
          <w:sz w:val="20"/>
          <w:szCs w:val="20"/>
        </w:rPr>
        <w:t>Ref  9</w:t>
      </w:r>
      <w:r w:rsidR="007820E2">
        <w:rPr>
          <w:rFonts w:ascii="Times New Roman" w:hAnsi="Times New Roman" w:cs="Times New Roman"/>
          <w:sz w:val="20"/>
          <w:szCs w:val="20"/>
        </w:rPr>
        <w:t>1</w:t>
      </w:r>
      <w:r w:rsidR="007820E2">
        <w:rPr>
          <w:rFonts w:ascii="Times New Roman" w:hAnsi="Times New Roman" w:cs="Times New Roman"/>
          <w:sz w:val="20"/>
          <w:szCs w:val="20"/>
        </w:rPr>
        <w:t>)</w:t>
      </w:r>
      <w:r w:rsidRPr="00D8001F">
        <w:rPr>
          <w:rFonts w:ascii="Times New Roman" w:hAnsi="Times New Roman" w:cs="Times New Roman"/>
          <w:sz w:val="21"/>
          <w:szCs w:val="21"/>
        </w:rPr>
        <w:t xml:space="preserve">; </w:t>
      </w:r>
      <w:r w:rsidRPr="00D8001F">
        <w:rPr>
          <w:rFonts w:ascii="Times New Roman" w:hAnsi="Times New Roman" w:cs="Times New Roman"/>
          <w:sz w:val="22"/>
          <w:szCs w:val="22"/>
          <w:vertAlign w:val="superscript"/>
        </w:rPr>
        <w:t xml:space="preserve"># </w:t>
      </w:r>
      <w:r w:rsidRPr="00D8001F">
        <w:rPr>
          <w:rFonts w:ascii="Times New Roman" w:hAnsi="Times New Roman" w:cs="Times New Roman"/>
          <w:sz w:val="20"/>
          <w:szCs w:val="20"/>
        </w:rPr>
        <w:t xml:space="preserve">The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utilisation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of LBBB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criteria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is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recommended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with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prudence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in the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context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of TAVR or SAVR, in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view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of the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relatively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elevated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incidence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novel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LBBB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manifesting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subsequent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to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these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01F">
        <w:rPr>
          <w:rFonts w:ascii="Times New Roman" w:hAnsi="Times New Roman" w:cs="Times New Roman"/>
          <w:sz w:val="20"/>
          <w:szCs w:val="20"/>
        </w:rPr>
        <w:t>interventions</w:t>
      </w:r>
      <w:proofErr w:type="spellEnd"/>
      <w:r w:rsidRPr="00D8001F">
        <w:rPr>
          <w:rFonts w:ascii="Times New Roman" w:hAnsi="Times New Roman" w:cs="Times New Roman"/>
          <w:sz w:val="20"/>
          <w:szCs w:val="20"/>
        </w:rPr>
        <w:t>.</w:t>
      </w:r>
    </w:p>
    <w:p w14:paraId="22F47D58" w14:textId="71F50B45" w:rsidR="007218E1" w:rsidRPr="007218E1" w:rsidRDefault="007218E1" w:rsidP="007E3188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Abbreviations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r w:rsidRPr="007218E1">
        <w:t xml:space="preserve"> </w:t>
      </w:r>
      <w:r w:rsidR="00D8001F" w:rsidRPr="00D8001F">
        <w:rPr>
          <w:rFonts w:ascii="Times New Roman" w:hAnsi="Times New Roman" w:cs="Times New Roman"/>
          <w:sz w:val="20"/>
          <w:szCs w:val="20"/>
        </w:rPr>
        <w:t xml:space="preserve">CABG; </w:t>
      </w:r>
      <w:proofErr w:type="spellStart"/>
      <w:r w:rsidR="00D8001F" w:rsidRPr="00D8001F">
        <w:rPr>
          <w:rFonts w:ascii="Times New Roman" w:hAnsi="Times New Roman" w:cs="Times New Roman"/>
          <w:sz w:val="20"/>
          <w:szCs w:val="20"/>
        </w:rPr>
        <w:t>coronary</w:t>
      </w:r>
      <w:proofErr w:type="spellEnd"/>
      <w:r w:rsidR="00D8001F" w:rsidRPr="00D8001F">
        <w:rPr>
          <w:rFonts w:ascii="Times New Roman" w:hAnsi="Times New Roman" w:cs="Times New Roman"/>
          <w:sz w:val="20"/>
          <w:szCs w:val="20"/>
        </w:rPr>
        <w:t xml:space="preserve"> bypass </w:t>
      </w:r>
      <w:proofErr w:type="spellStart"/>
      <w:r w:rsidR="00D8001F" w:rsidRPr="00D8001F">
        <w:rPr>
          <w:rFonts w:ascii="Times New Roman" w:hAnsi="Times New Roman" w:cs="Times New Roman"/>
          <w:sz w:val="20"/>
          <w:szCs w:val="20"/>
        </w:rPr>
        <w:t>grafting</w:t>
      </w:r>
      <w:proofErr w:type="spellEnd"/>
      <w:r w:rsidR="00D8001F">
        <w:t xml:space="preserve">; </w:t>
      </w:r>
      <w:r w:rsidRPr="007218E1">
        <w:rPr>
          <w:rFonts w:ascii="Times New Roman" w:hAnsi="Times New Roman" w:cs="Times New Roman"/>
          <w:sz w:val="20"/>
          <w:szCs w:val="20"/>
        </w:rPr>
        <w:t>CK-MB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18E1">
        <w:rPr>
          <w:rFonts w:ascii="Times New Roman" w:hAnsi="Times New Roman" w:cs="Times New Roman"/>
          <w:sz w:val="20"/>
          <w:szCs w:val="20"/>
        </w:rPr>
        <w:t xml:space="preserve"> creatine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kinase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-MB;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cTn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cardiac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troponin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>; ECG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electrocardiogram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>; LBBB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left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bundle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branch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block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; MI,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myocardial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infarction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>;</w:t>
      </w:r>
      <w:r w:rsidR="00D8001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PCI;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percutaneous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coronary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intervention</w:t>
      </w:r>
      <w:proofErr w:type="spellEnd"/>
      <w:r>
        <w:rPr>
          <w:rFonts w:ascii="Times New Roman" w:hAnsi="Times New Roman" w:cs="Times New Roman"/>
          <w:sz w:val="20"/>
          <w:szCs w:val="20"/>
        </w:rPr>
        <w:t>;</w:t>
      </w:r>
      <w:r w:rsidRPr="007218E1">
        <w:rPr>
          <w:rFonts w:ascii="Times New Roman" w:hAnsi="Times New Roman" w:cs="Times New Roman"/>
          <w:sz w:val="20"/>
          <w:szCs w:val="20"/>
        </w:rPr>
        <w:t xml:space="preserve"> SAVR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surgical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aortic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valve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replacement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218E1">
        <w:rPr>
          <w:rFonts w:ascii="Times New Roman" w:hAnsi="Times New Roman" w:cs="Times New Roman"/>
          <w:sz w:val="20"/>
          <w:szCs w:val="20"/>
        </w:rPr>
        <w:t>TAVR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transcatheter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aortic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valve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replacement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>; ULN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18E1">
        <w:rPr>
          <w:rFonts w:ascii="Times New Roman" w:hAnsi="Times New Roman" w:cs="Times New Roman"/>
          <w:sz w:val="20"/>
          <w:szCs w:val="20"/>
        </w:rPr>
        <w:t xml:space="preserve"> upper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limit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normal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>; URL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7218E1">
        <w:rPr>
          <w:rFonts w:ascii="Times New Roman" w:hAnsi="Times New Roman" w:cs="Times New Roman"/>
          <w:sz w:val="20"/>
          <w:szCs w:val="20"/>
        </w:rPr>
        <w:t xml:space="preserve"> upper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reference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218E1">
        <w:rPr>
          <w:rFonts w:ascii="Times New Roman" w:hAnsi="Times New Roman" w:cs="Times New Roman"/>
          <w:sz w:val="20"/>
          <w:szCs w:val="20"/>
        </w:rPr>
        <w:t>limit</w:t>
      </w:r>
      <w:proofErr w:type="spellEnd"/>
      <w:r w:rsidRPr="007218E1">
        <w:rPr>
          <w:rFonts w:ascii="Times New Roman" w:hAnsi="Times New Roman" w:cs="Times New Roman"/>
          <w:sz w:val="20"/>
          <w:szCs w:val="20"/>
        </w:rPr>
        <w:t>.</w:t>
      </w:r>
    </w:p>
    <w:sectPr w:rsidR="007218E1" w:rsidRPr="00721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40B"/>
    <w:multiLevelType w:val="hybridMultilevel"/>
    <w:tmpl w:val="92C282B2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D624B"/>
    <w:multiLevelType w:val="hybridMultilevel"/>
    <w:tmpl w:val="522E22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36B68"/>
    <w:multiLevelType w:val="hybridMultilevel"/>
    <w:tmpl w:val="8FCE7330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34B35"/>
    <w:multiLevelType w:val="hybridMultilevel"/>
    <w:tmpl w:val="F7A2A1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20A87"/>
    <w:multiLevelType w:val="hybridMultilevel"/>
    <w:tmpl w:val="3D5EC95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E591E"/>
    <w:multiLevelType w:val="hybridMultilevel"/>
    <w:tmpl w:val="243EE3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75E88"/>
    <w:multiLevelType w:val="hybridMultilevel"/>
    <w:tmpl w:val="B9FEFD62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F1BBF"/>
    <w:multiLevelType w:val="hybridMultilevel"/>
    <w:tmpl w:val="5808AA9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77D36"/>
    <w:multiLevelType w:val="hybridMultilevel"/>
    <w:tmpl w:val="C4989A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166"/>
    <w:multiLevelType w:val="hybridMultilevel"/>
    <w:tmpl w:val="6928815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887C3D"/>
    <w:multiLevelType w:val="hybridMultilevel"/>
    <w:tmpl w:val="F85C8888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625FE"/>
    <w:multiLevelType w:val="hybridMultilevel"/>
    <w:tmpl w:val="855697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01CFB"/>
    <w:multiLevelType w:val="hybridMultilevel"/>
    <w:tmpl w:val="EE0CCD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756B2"/>
    <w:multiLevelType w:val="hybridMultilevel"/>
    <w:tmpl w:val="8A5A47C8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A030F"/>
    <w:multiLevelType w:val="hybridMultilevel"/>
    <w:tmpl w:val="F81014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83D9A"/>
    <w:multiLevelType w:val="hybridMultilevel"/>
    <w:tmpl w:val="06962B6C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8218D"/>
    <w:multiLevelType w:val="hybridMultilevel"/>
    <w:tmpl w:val="C7F206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F86907"/>
    <w:multiLevelType w:val="hybridMultilevel"/>
    <w:tmpl w:val="F260F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AC360F"/>
    <w:multiLevelType w:val="hybridMultilevel"/>
    <w:tmpl w:val="594419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E7FE5"/>
    <w:multiLevelType w:val="hybridMultilevel"/>
    <w:tmpl w:val="A33EFCD8"/>
    <w:lvl w:ilvl="0" w:tplc="04100003">
      <w:start w:val="1"/>
      <w:numFmt w:val="bullet"/>
      <w:lvlText w:val="o"/>
      <w:lvlJc w:val="left"/>
      <w:pPr>
        <w:ind w:left="881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20" w15:restartNumberingAfterBreak="0">
    <w:nsid w:val="4BA25BC0"/>
    <w:multiLevelType w:val="hybridMultilevel"/>
    <w:tmpl w:val="1A44F94E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60631"/>
    <w:multiLevelType w:val="hybridMultilevel"/>
    <w:tmpl w:val="8B500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C1700"/>
    <w:multiLevelType w:val="hybridMultilevel"/>
    <w:tmpl w:val="1B02657A"/>
    <w:lvl w:ilvl="0" w:tplc="01E0483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123EF"/>
    <w:multiLevelType w:val="hybridMultilevel"/>
    <w:tmpl w:val="6D4C7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850B50"/>
    <w:multiLevelType w:val="hybridMultilevel"/>
    <w:tmpl w:val="59ACB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70AC4"/>
    <w:multiLevelType w:val="hybridMultilevel"/>
    <w:tmpl w:val="50CAA3D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283F68"/>
    <w:multiLevelType w:val="hybridMultilevel"/>
    <w:tmpl w:val="9012A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FE1B34"/>
    <w:multiLevelType w:val="hybridMultilevel"/>
    <w:tmpl w:val="B394A3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B7304F"/>
    <w:multiLevelType w:val="hybridMultilevel"/>
    <w:tmpl w:val="4C002B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534146"/>
    <w:multiLevelType w:val="hybridMultilevel"/>
    <w:tmpl w:val="D00E3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0B6D2C"/>
    <w:multiLevelType w:val="hybridMultilevel"/>
    <w:tmpl w:val="EC924C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F05E13"/>
    <w:multiLevelType w:val="hybridMultilevel"/>
    <w:tmpl w:val="83AE2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208137">
    <w:abstractNumId w:val="22"/>
  </w:num>
  <w:num w:numId="2" w16cid:durableId="416513251">
    <w:abstractNumId w:val="25"/>
  </w:num>
  <w:num w:numId="3" w16cid:durableId="1574507686">
    <w:abstractNumId w:val="21"/>
  </w:num>
  <w:num w:numId="4" w16cid:durableId="1166213893">
    <w:abstractNumId w:val="5"/>
  </w:num>
  <w:num w:numId="5" w16cid:durableId="1150824933">
    <w:abstractNumId w:val="24"/>
  </w:num>
  <w:num w:numId="6" w16cid:durableId="646058902">
    <w:abstractNumId w:val="10"/>
  </w:num>
  <w:num w:numId="7" w16cid:durableId="1800764021">
    <w:abstractNumId w:val="17"/>
  </w:num>
  <w:num w:numId="8" w16cid:durableId="838696651">
    <w:abstractNumId w:val="1"/>
  </w:num>
  <w:num w:numId="9" w16cid:durableId="1240406829">
    <w:abstractNumId w:val="15"/>
  </w:num>
  <w:num w:numId="10" w16cid:durableId="1809200904">
    <w:abstractNumId w:val="27"/>
  </w:num>
  <w:num w:numId="11" w16cid:durableId="813761969">
    <w:abstractNumId w:val="0"/>
  </w:num>
  <w:num w:numId="12" w16cid:durableId="2060783916">
    <w:abstractNumId w:val="30"/>
  </w:num>
  <w:num w:numId="13" w16cid:durableId="327906816">
    <w:abstractNumId w:val="11"/>
  </w:num>
  <w:num w:numId="14" w16cid:durableId="328756053">
    <w:abstractNumId w:val="29"/>
  </w:num>
  <w:num w:numId="15" w16cid:durableId="1229149327">
    <w:abstractNumId w:val="19"/>
  </w:num>
  <w:num w:numId="16" w16cid:durableId="113259940">
    <w:abstractNumId w:val="7"/>
  </w:num>
  <w:num w:numId="17" w16cid:durableId="1378237181">
    <w:abstractNumId w:val="13"/>
  </w:num>
  <w:num w:numId="18" w16cid:durableId="1784226888">
    <w:abstractNumId w:val="3"/>
  </w:num>
  <w:num w:numId="19" w16cid:durableId="1481730579">
    <w:abstractNumId w:val="14"/>
  </w:num>
  <w:num w:numId="20" w16cid:durableId="555626302">
    <w:abstractNumId w:val="6"/>
  </w:num>
  <w:num w:numId="21" w16cid:durableId="2119790485">
    <w:abstractNumId w:val="31"/>
  </w:num>
  <w:num w:numId="22" w16cid:durableId="928197059">
    <w:abstractNumId w:val="20"/>
  </w:num>
  <w:num w:numId="23" w16cid:durableId="1581400869">
    <w:abstractNumId w:val="8"/>
  </w:num>
  <w:num w:numId="24" w16cid:durableId="770785635">
    <w:abstractNumId w:val="12"/>
  </w:num>
  <w:num w:numId="25" w16cid:durableId="1458716632">
    <w:abstractNumId w:val="4"/>
  </w:num>
  <w:num w:numId="26" w16cid:durableId="758909670">
    <w:abstractNumId w:val="23"/>
  </w:num>
  <w:num w:numId="27" w16cid:durableId="273447007">
    <w:abstractNumId w:val="9"/>
  </w:num>
  <w:num w:numId="28" w16cid:durableId="1452239975">
    <w:abstractNumId w:val="2"/>
  </w:num>
  <w:num w:numId="29" w16cid:durableId="423914891">
    <w:abstractNumId w:val="16"/>
  </w:num>
  <w:num w:numId="30" w16cid:durableId="59983787">
    <w:abstractNumId w:val="28"/>
  </w:num>
  <w:num w:numId="31" w16cid:durableId="1621494875">
    <w:abstractNumId w:val="18"/>
  </w:num>
  <w:num w:numId="32" w16cid:durableId="10269106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F3"/>
    <w:rsid w:val="000914EA"/>
    <w:rsid w:val="000A09AE"/>
    <w:rsid w:val="00101D6A"/>
    <w:rsid w:val="0020129D"/>
    <w:rsid w:val="004B0D5C"/>
    <w:rsid w:val="007218E1"/>
    <w:rsid w:val="007820E2"/>
    <w:rsid w:val="00786C80"/>
    <w:rsid w:val="007E3188"/>
    <w:rsid w:val="00942A08"/>
    <w:rsid w:val="00AE6AF3"/>
    <w:rsid w:val="00D8001F"/>
    <w:rsid w:val="00F5283F"/>
    <w:rsid w:val="00FA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D903F"/>
  <w15:chartTrackingRefBased/>
  <w15:docId w15:val="{BAF55036-5F35-5D4D-BDD2-3BE88BA07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E6A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E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E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E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E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E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E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E6A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6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6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E6AF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E6AF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E6AF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E6AF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E6AF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E6AF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E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E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E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E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E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E6AF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E6AF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E6AF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E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E6AF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E6AF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E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1121</Words>
  <Characters>6391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Nappi</dc:creator>
  <cp:keywords/>
  <dc:description/>
  <cp:lastModifiedBy>Francesco Nappi</cp:lastModifiedBy>
  <cp:revision>3</cp:revision>
  <dcterms:created xsi:type="dcterms:W3CDTF">2025-05-02T16:14:00Z</dcterms:created>
  <dcterms:modified xsi:type="dcterms:W3CDTF">2025-05-03T04:16:00Z</dcterms:modified>
</cp:coreProperties>
</file>