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1555"/>
        <w:gridCol w:w="8073"/>
      </w:tblGrid>
      <w:tr w:rsidR="003D3C44" w:rsidRPr="004C12DE" w14:paraId="1620C49B" w14:textId="77777777" w:rsidTr="00572B00">
        <w:tc>
          <w:tcPr>
            <w:tcW w:w="9628" w:type="dxa"/>
            <w:gridSpan w:val="2"/>
          </w:tcPr>
          <w:p w14:paraId="5070E57D" w14:textId="77777777" w:rsidR="003D3C44" w:rsidRPr="00D4316B" w:rsidRDefault="003D3C44" w:rsidP="00572B00">
            <w:pPr>
              <w:rPr>
                <w:sz w:val="21"/>
                <w:szCs w:val="21"/>
                <w:lang w:val="en-US"/>
              </w:rPr>
            </w:pPr>
            <w:r w:rsidRPr="00D4316B">
              <w:rPr>
                <w:b/>
                <w:bCs/>
                <w:sz w:val="21"/>
                <w:szCs w:val="21"/>
                <w:lang w:val="en-US"/>
              </w:rPr>
              <w:t>Table 1</w:t>
            </w:r>
            <w:r>
              <w:rPr>
                <w:sz w:val="21"/>
                <w:szCs w:val="21"/>
                <w:lang w:val="en-US"/>
              </w:rPr>
              <w:t xml:space="preserve"> </w:t>
            </w:r>
            <w:r w:rsidRPr="00D4316B">
              <w:rPr>
                <w:sz w:val="21"/>
                <w:szCs w:val="21"/>
                <w:lang w:val="en-US"/>
              </w:rPr>
              <w:t>Advice for patients who are suitable for SAVR or TAV</w:t>
            </w:r>
            <w:r>
              <w:rPr>
                <w:sz w:val="21"/>
                <w:szCs w:val="21"/>
                <w:lang w:val="en-US"/>
              </w:rPr>
              <w:t>R</w:t>
            </w:r>
            <w:r w:rsidRPr="00353183">
              <w:rPr>
                <w:sz w:val="21"/>
                <w:szCs w:val="21"/>
                <w:vertAlign w:val="superscript"/>
                <w:lang w:val="en-US"/>
              </w:rPr>
              <w:t>*†</w:t>
            </w:r>
          </w:p>
        </w:tc>
      </w:tr>
      <w:tr w:rsidR="003D3C44" w:rsidRPr="00D4316B" w14:paraId="17A05B88" w14:textId="77777777" w:rsidTr="00572B00">
        <w:tc>
          <w:tcPr>
            <w:tcW w:w="9628" w:type="dxa"/>
            <w:gridSpan w:val="2"/>
          </w:tcPr>
          <w:p w14:paraId="022319C5" w14:textId="77777777" w:rsidR="003D3C44" w:rsidRPr="00D4316B" w:rsidRDefault="003D3C44" w:rsidP="00572B00">
            <w:pPr>
              <w:rPr>
                <w:b/>
                <w:bCs/>
                <w:sz w:val="21"/>
                <w:szCs w:val="21"/>
                <w:lang w:val="en-US"/>
              </w:rPr>
            </w:pPr>
            <w:r w:rsidRPr="00D4316B">
              <w:rPr>
                <w:b/>
                <w:bCs/>
                <w:sz w:val="21"/>
                <w:szCs w:val="21"/>
                <w:lang w:val="en-US"/>
              </w:rPr>
              <w:t xml:space="preserve">ACC/AHA </w:t>
            </w:r>
            <w:r w:rsidRPr="00D4316B">
              <w:rPr>
                <w:b/>
                <w:bCs/>
                <w:sz w:val="21"/>
                <w:szCs w:val="21"/>
              </w:rPr>
              <w:t>RECOMMENDATIONS</w:t>
            </w:r>
          </w:p>
        </w:tc>
      </w:tr>
      <w:tr w:rsidR="003D3C44" w:rsidRPr="004C12DE" w14:paraId="3573369C" w14:textId="77777777" w:rsidTr="00572B00">
        <w:tc>
          <w:tcPr>
            <w:tcW w:w="1555" w:type="dxa"/>
          </w:tcPr>
          <w:p w14:paraId="7DE43663" w14:textId="77777777" w:rsidR="003D3C44" w:rsidRPr="00D4316B" w:rsidRDefault="003D3C44" w:rsidP="00572B00">
            <w:pPr>
              <w:rPr>
                <w:b/>
                <w:bCs/>
                <w:sz w:val="21"/>
                <w:szCs w:val="21"/>
                <w:lang w:val="en-US"/>
              </w:rPr>
            </w:pPr>
            <w:r w:rsidRPr="00D4316B">
              <w:rPr>
                <w:b/>
                <w:bCs/>
                <w:sz w:val="21"/>
                <w:szCs w:val="21"/>
                <w:lang w:val="en-US"/>
              </w:rPr>
              <w:t>COR 1 LOE A</w:t>
            </w:r>
          </w:p>
        </w:tc>
        <w:tc>
          <w:tcPr>
            <w:tcW w:w="8073" w:type="dxa"/>
          </w:tcPr>
          <w:p w14:paraId="37077DD5" w14:textId="77777777" w:rsidR="003D3C44" w:rsidRPr="00D4316B" w:rsidRDefault="003D3C44" w:rsidP="00572B00">
            <w:pPr>
              <w:rPr>
                <w:sz w:val="21"/>
                <w:szCs w:val="21"/>
                <w:lang w:val="en-US"/>
              </w:rPr>
            </w:pPr>
            <w:r w:rsidRPr="00D4316B">
              <w:rPr>
                <w:sz w:val="21"/>
                <w:szCs w:val="21"/>
                <w:lang w:val="en-US"/>
              </w:rPr>
              <w:t>In the case of patients suffering from severe AS, both symptomatic and asymptomatic, who are below the age of 65, or for whom the life expectancy is above 20 years, and for whom there is an indication for aortic AVR, this is recommended.</w:t>
            </w:r>
          </w:p>
        </w:tc>
      </w:tr>
      <w:tr w:rsidR="003D3C44" w:rsidRPr="004C12DE" w14:paraId="0713F968" w14:textId="77777777" w:rsidTr="00572B00">
        <w:tc>
          <w:tcPr>
            <w:tcW w:w="1555" w:type="dxa"/>
          </w:tcPr>
          <w:p w14:paraId="2002DD89" w14:textId="77777777" w:rsidR="003D3C44" w:rsidRPr="00D4316B" w:rsidRDefault="003D3C44" w:rsidP="00572B00">
            <w:pPr>
              <w:rPr>
                <w:b/>
                <w:bCs/>
                <w:sz w:val="21"/>
                <w:szCs w:val="21"/>
                <w:lang w:val="en-US"/>
              </w:rPr>
            </w:pPr>
            <w:r w:rsidRPr="00D4316B">
              <w:rPr>
                <w:b/>
                <w:bCs/>
                <w:sz w:val="21"/>
                <w:szCs w:val="21"/>
                <w:lang w:val="en-US"/>
              </w:rPr>
              <w:t>COR 1 LOE A</w:t>
            </w:r>
          </w:p>
        </w:tc>
        <w:tc>
          <w:tcPr>
            <w:tcW w:w="8073" w:type="dxa"/>
          </w:tcPr>
          <w:p w14:paraId="28F98299" w14:textId="77777777" w:rsidR="003D3C44" w:rsidRPr="00D4316B" w:rsidRDefault="003D3C44" w:rsidP="00572B00">
            <w:pPr>
              <w:jc w:val="both"/>
              <w:rPr>
                <w:sz w:val="21"/>
                <w:szCs w:val="21"/>
                <w:lang w:val="en-US"/>
              </w:rPr>
            </w:pPr>
            <w:r w:rsidRPr="00D4316B">
              <w:rPr>
                <w:sz w:val="21"/>
                <w:szCs w:val="21"/>
                <w:lang w:val="en-US"/>
              </w:rPr>
              <w:t>For patients aged 65-80 with severe aortic stenosis who meet the criteria for TAV</w:t>
            </w:r>
            <w:r>
              <w:rPr>
                <w:sz w:val="21"/>
                <w:szCs w:val="21"/>
                <w:lang w:val="en-US"/>
              </w:rPr>
              <w:t>R</w:t>
            </w:r>
            <w:r w:rsidRPr="00D4316B">
              <w:rPr>
                <w:sz w:val="21"/>
                <w:szCs w:val="21"/>
                <w:lang w:val="en-US"/>
              </w:rPr>
              <w:t>, TAV</w:t>
            </w:r>
            <w:r>
              <w:rPr>
                <w:sz w:val="21"/>
                <w:szCs w:val="21"/>
                <w:lang w:val="en-US"/>
              </w:rPr>
              <w:t>R</w:t>
            </w:r>
            <w:r w:rsidRPr="00D4316B">
              <w:rPr>
                <w:sz w:val="21"/>
                <w:szCs w:val="21"/>
                <w:lang w:val="en-US"/>
              </w:rPr>
              <w:t>, SAVR or surgery is recommended. This decision is made after shared decision-making about longevity and durability.</w:t>
            </w:r>
          </w:p>
        </w:tc>
      </w:tr>
      <w:tr w:rsidR="003D3C44" w:rsidRPr="004C12DE" w14:paraId="75CC1D03" w14:textId="77777777" w:rsidTr="00572B00">
        <w:tc>
          <w:tcPr>
            <w:tcW w:w="1555" w:type="dxa"/>
          </w:tcPr>
          <w:p w14:paraId="2453CBBF" w14:textId="77777777" w:rsidR="003D3C44" w:rsidRPr="00D4316B" w:rsidRDefault="003D3C44" w:rsidP="00572B00">
            <w:pPr>
              <w:rPr>
                <w:b/>
                <w:bCs/>
                <w:sz w:val="21"/>
                <w:szCs w:val="21"/>
                <w:lang w:val="en-US"/>
              </w:rPr>
            </w:pPr>
            <w:r w:rsidRPr="00D4316B">
              <w:rPr>
                <w:b/>
                <w:bCs/>
                <w:sz w:val="21"/>
                <w:szCs w:val="21"/>
                <w:lang w:val="en-US"/>
              </w:rPr>
              <w:t>COR 1 LOE A</w:t>
            </w:r>
          </w:p>
        </w:tc>
        <w:tc>
          <w:tcPr>
            <w:tcW w:w="8073" w:type="dxa"/>
          </w:tcPr>
          <w:p w14:paraId="3DBC245F" w14:textId="77777777" w:rsidR="003D3C44" w:rsidRPr="001F4162" w:rsidRDefault="003D3C44" w:rsidP="00572B00">
            <w:pPr>
              <w:rPr>
                <w:sz w:val="21"/>
                <w:szCs w:val="21"/>
                <w:lang w:val="en-US"/>
              </w:rPr>
            </w:pPr>
            <w:r w:rsidRPr="001F4162">
              <w:rPr>
                <w:sz w:val="21"/>
                <w:szCs w:val="21"/>
                <w:lang w:val="en-US"/>
              </w:rPr>
              <w:t>For patients over 80 with severe aortic stenosis or those with less than 10 years to live and no anatomical contraindications, transfemoral TAVI is recommended over SAVR.</w:t>
            </w:r>
          </w:p>
        </w:tc>
      </w:tr>
      <w:tr w:rsidR="003D3C44" w:rsidRPr="004C12DE" w14:paraId="795E9B43" w14:textId="77777777" w:rsidTr="00572B00">
        <w:tc>
          <w:tcPr>
            <w:tcW w:w="1555" w:type="dxa"/>
          </w:tcPr>
          <w:p w14:paraId="3281E763" w14:textId="77777777" w:rsidR="003D3C44" w:rsidRPr="00D4316B" w:rsidRDefault="003D3C44" w:rsidP="00572B00">
            <w:pPr>
              <w:rPr>
                <w:sz w:val="21"/>
                <w:szCs w:val="21"/>
                <w:lang w:val="en-US"/>
              </w:rPr>
            </w:pPr>
            <w:r w:rsidRPr="00D4316B">
              <w:rPr>
                <w:b/>
                <w:bCs/>
                <w:sz w:val="21"/>
                <w:szCs w:val="21"/>
                <w:lang w:val="en-US"/>
              </w:rPr>
              <w:t>COR 1 LOE A</w:t>
            </w:r>
          </w:p>
        </w:tc>
        <w:tc>
          <w:tcPr>
            <w:tcW w:w="8073" w:type="dxa"/>
          </w:tcPr>
          <w:p w14:paraId="3C969F00" w14:textId="77777777" w:rsidR="003D3C44" w:rsidRPr="001F4162" w:rsidRDefault="003D3C44" w:rsidP="00572B00">
            <w:pPr>
              <w:rPr>
                <w:sz w:val="21"/>
                <w:szCs w:val="21"/>
                <w:lang w:val="en-US"/>
              </w:rPr>
            </w:pPr>
            <w:r w:rsidRPr="001F4162">
              <w:rPr>
                <w:sz w:val="21"/>
                <w:szCs w:val="21"/>
                <w:lang w:val="en-US"/>
              </w:rPr>
              <w:t>For patients with an indication for AVR for whom a bioprosthetic valve is preferred, but for whom transfemoral TAVI is not suitable, SAVR is recommended.</w:t>
            </w:r>
          </w:p>
        </w:tc>
      </w:tr>
      <w:tr w:rsidR="003D3C44" w:rsidRPr="004C12DE" w14:paraId="33838F6A" w14:textId="77777777" w:rsidTr="00572B00">
        <w:tc>
          <w:tcPr>
            <w:tcW w:w="1555" w:type="dxa"/>
          </w:tcPr>
          <w:p w14:paraId="3D77587E" w14:textId="77777777" w:rsidR="003D3C44" w:rsidRPr="00D4316B" w:rsidRDefault="003D3C44" w:rsidP="00572B00">
            <w:pPr>
              <w:rPr>
                <w:sz w:val="21"/>
                <w:szCs w:val="21"/>
                <w:lang w:val="en-US"/>
              </w:rPr>
            </w:pPr>
            <w:r w:rsidRPr="00D4316B">
              <w:rPr>
                <w:b/>
                <w:bCs/>
                <w:sz w:val="21"/>
                <w:szCs w:val="21"/>
                <w:lang w:val="en-US"/>
              </w:rPr>
              <w:t>COR 1 LOE A</w:t>
            </w:r>
          </w:p>
        </w:tc>
        <w:tc>
          <w:tcPr>
            <w:tcW w:w="8073" w:type="dxa"/>
          </w:tcPr>
          <w:p w14:paraId="268ABD0E" w14:textId="77777777" w:rsidR="003D3C44" w:rsidRPr="001F4162" w:rsidRDefault="003D3C44" w:rsidP="00572B00">
            <w:pPr>
              <w:rPr>
                <w:sz w:val="21"/>
                <w:szCs w:val="21"/>
                <w:lang w:val="en-US"/>
              </w:rPr>
            </w:pPr>
            <w:r w:rsidRPr="001F4162">
              <w:rPr>
                <w:sz w:val="21"/>
                <w:szCs w:val="21"/>
                <w:lang w:val="en-US"/>
              </w:rPr>
              <w:t>For patients of all ages with A</w:t>
            </w:r>
            <w:r>
              <w:rPr>
                <w:sz w:val="21"/>
                <w:szCs w:val="21"/>
                <w:lang w:val="en-US"/>
              </w:rPr>
              <w:t>V</w:t>
            </w:r>
            <w:r w:rsidRPr="001F4162">
              <w:rPr>
                <w:sz w:val="21"/>
                <w:szCs w:val="21"/>
                <w:lang w:val="en-US"/>
              </w:rPr>
              <w:t>S</w:t>
            </w:r>
            <w:r>
              <w:rPr>
                <w:sz w:val="21"/>
                <w:szCs w:val="21"/>
                <w:lang w:val="en-US"/>
              </w:rPr>
              <w:t xml:space="preserve"> </w:t>
            </w:r>
            <w:r w:rsidRPr="001F4162">
              <w:rPr>
                <w:sz w:val="21"/>
                <w:szCs w:val="21"/>
                <w:lang w:val="en-US"/>
              </w:rPr>
              <w:t>where surgery is high risk, TA</w:t>
            </w:r>
            <w:r>
              <w:rPr>
                <w:sz w:val="21"/>
                <w:szCs w:val="21"/>
                <w:lang w:val="en-US"/>
              </w:rPr>
              <w:t>VR</w:t>
            </w:r>
            <w:r w:rsidRPr="001F4162">
              <w:rPr>
                <w:sz w:val="21"/>
                <w:szCs w:val="21"/>
                <w:lang w:val="en-US"/>
              </w:rPr>
              <w:t xml:space="preserve"> is recommended if the survival post-TAV</w:t>
            </w:r>
            <w:r>
              <w:rPr>
                <w:sz w:val="21"/>
                <w:szCs w:val="21"/>
                <w:lang w:val="en-US"/>
              </w:rPr>
              <w:t>R</w:t>
            </w:r>
            <w:r w:rsidRPr="001F4162">
              <w:rPr>
                <w:sz w:val="21"/>
                <w:szCs w:val="21"/>
                <w:lang w:val="en-US"/>
              </w:rPr>
              <w:t xml:space="preserve"> is &gt;12 months and the quality of life is expected to be good.</w:t>
            </w:r>
          </w:p>
        </w:tc>
      </w:tr>
      <w:tr w:rsidR="003D3C44" w:rsidRPr="00D4316B" w14:paraId="792BDF36" w14:textId="77777777" w:rsidTr="00572B00">
        <w:tc>
          <w:tcPr>
            <w:tcW w:w="9628" w:type="dxa"/>
            <w:gridSpan w:val="2"/>
          </w:tcPr>
          <w:p w14:paraId="59219A5E" w14:textId="77777777" w:rsidR="003D3C44" w:rsidRPr="001F4162" w:rsidRDefault="003D3C44" w:rsidP="00572B00">
            <w:pPr>
              <w:rPr>
                <w:b/>
                <w:bCs/>
                <w:sz w:val="21"/>
                <w:szCs w:val="21"/>
                <w:lang w:val="en-US"/>
              </w:rPr>
            </w:pPr>
            <w:r w:rsidRPr="001F4162">
              <w:rPr>
                <w:b/>
                <w:bCs/>
                <w:sz w:val="21"/>
                <w:szCs w:val="21"/>
                <w:lang w:val="en-US"/>
              </w:rPr>
              <w:t xml:space="preserve">ESC </w:t>
            </w:r>
            <w:r w:rsidRPr="001F4162">
              <w:rPr>
                <w:b/>
                <w:bCs/>
                <w:sz w:val="21"/>
                <w:szCs w:val="21"/>
              </w:rPr>
              <w:t>RECOMMENDATIONS</w:t>
            </w:r>
          </w:p>
        </w:tc>
      </w:tr>
      <w:tr w:rsidR="003D3C44" w:rsidRPr="004C12DE" w14:paraId="221895E9" w14:textId="77777777" w:rsidTr="00572B00">
        <w:tc>
          <w:tcPr>
            <w:tcW w:w="1555" w:type="dxa"/>
          </w:tcPr>
          <w:p w14:paraId="231F1D5F" w14:textId="77777777" w:rsidR="003D3C44" w:rsidRPr="001F4162" w:rsidRDefault="003D3C44" w:rsidP="00572B00">
            <w:pPr>
              <w:rPr>
                <w:b/>
                <w:bCs/>
                <w:sz w:val="21"/>
                <w:szCs w:val="21"/>
                <w:lang w:val="en-US"/>
              </w:rPr>
            </w:pPr>
            <w:r w:rsidRPr="00D4316B">
              <w:rPr>
                <w:b/>
                <w:bCs/>
                <w:sz w:val="21"/>
                <w:szCs w:val="21"/>
                <w:lang w:val="en-US"/>
              </w:rPr>
              <w:t>COR 1 LOE A</w:t>
            </w:r>
          </w:p>
        </w:tc>
        <w:tc>
          <w:tcPr>
            <w:tcW w:w="8073" w:type="dxa"/>
          </w:tcPr>
          <w:p w14:paraId="7BB677A3" w14:textId="77777777" w:rsidR="003D3C44" w:rsidRPr="001F4162" w:rsidRDefault="003D3C44" w:rsidP="00572B00">
            <w:pPr>
              <w:rPr>
                <w:b/>
                <w:bCs/>
                <w:sz w:val="21"/>
                <w:szCs w:val="21"/>
                <w:lang w:val="en-US"/>
              </w:rPr>
            </w:pPr>
            <w:r w:rsidRPr="001F4162">
              <w:rPr>
                <w:sz w:val="21"/>
                <w:szCs w:val="21"/>
                <w:lang w:val="en-US"/>
              </w:rPr>
              <w:t>TAV</w:t>
            </w:r>
            <w:r>
              <w:rPr>
                <w:sz w:val="21"/>
                <w:szCs w:val="21"/>
                <w:lang w:val="en-US"/>
              </w:rPr>
              <w:t>R</w:t>
            </w:r>
            <w:r w:rsidRPr="001F4162">
              <w:rPr>
                <w:sz w:val="21"/>
                <w:szCs w:val="21"/>
                <w:lang w:val="en-US"/>
              </w:rPr>
              <w:t xml:space="preserve"> is recommended for older patients (aged &gt;75 years) or those considered to be high risk (STS-PROM/</w:t>
            </w:r>
            <w:proofErr w:type="spellStart"/>
            <w:r w:rsidRPr="001F4162">
              <w:rPr>
                <w:sz w:val="21"/>
                <w:szCs w:val="21"/>
                <w:lang w:val="en-US"/>
              </w:rPr>
              <w:t>EuroSCORE</w:t>
            </w:r>
            <w:proofErr w:type="spellEnd"/>
            <w:r w:rsidRPr="001F4162">
              <w:rPr>
                <w:sz w:val="21"/>
                <w:szCs w:val="21"/>
                <w:lang w:val="en-US"/>
              </w:rPr>
              <w:t xml:space="preserve"> </w:t>
            </w:r>
            <w:proofErr w:type="spellStart"/>
            <w:r w:rsidRPr="001F4162">
              <w:rPr>
                <w:sz w:val="21"/>
                <w:szCs w:val="21"/>
                <w:lang w:val="en-US"/>
              </w:rPr>
              <w:t>IIf</w:t>
            </w:r>
            <w:proofErr w:type="spellEnd"/>
            <w:r w:rsidRPr="001F4162">
              <w:rPr>
                <w:sz w:val="21"/>
                <w:szCs w:val="21"/>
                <w:lang w:val="en-US"/>
              </w:rPr>
              <w:t xml:space="preserve"> &gt;8%) or for patients deemed unsuitable for surgery</w:t>
            </w:r>
            <w:r w:rsidRPr="001F4162">
              <w:rPr>
                <w:b/>
                <w:bCs/>
                <w:sz w:val="21"/>
                <w:szCs w:val="21"/>
                <w:lang w:val="en-US"/>
              </w:rPr>
              <w:t>.</w:t>
            </w:r>
          </w:p>
        </w:tc>
      </w:tr>
    </w:tbl>
    <w:p w14:paraId="6A9B0F34" w14:textId="77777777" w:rsidR="003D3C44" w:rsidRPr="00353183" w:rsidRDefault="003D3C44" w:rsidP="003D3C44">
      <w:pPr>
        <w:jc w:val="both"/>
        <w:rPr>
          <w:sz w:val="21"/>
          <w:szCs w:val="21"/>
          <w:lang w:val="en-US"/>
        </w:rPr>
      </w:pPr>
      <w:r w:rsidRPr="00353183">
        <w:rPr>
          <w:sz w:val="21"/>
          <w:szCs w:val="21"/>
          <w:vertAlign w:val="superscript"/>
          <w:lang w:val="fr-FR"/>
        </w:rPr>
        <w:t>*</w:t>
      </w:r>
      <w:r w:rsidRPr="00353183">
        <w:rPr>
          <w:sz w:val="21"/>
          <w:szCs w:val="21"/>
          <w:lang w:val="en-US"/>
        </w:rPr>
        <w:t>The recommendations under discussion are supported by Class of Recommendation (COR) I and Level of Evidence (LOE) A. The latter is the highest level of recommendation available, and implies both substantial safety and efficacy of the procedure.</w:t>
      </w:r>
      <w:r w:rsidRPr="00353183">
        <w:rPr>
          <w:sz w:val="21"/>
          <w:szCs w:val="21"/>
          <w:vertAlign w:val="superscript"/>
          <w:lang w:val="en-US"/>
        </w:rPr>
        <w:t xml:space="preserve">2,3  </w:t>
      </w:r>
      <w:r>
        <w:rPr>
          <w:sz w:val="21"/>
          <w:szCs w:val="21"/>
          <w:vertAlign w:val="superscript"/>
          <w:lang w:val="en-US"/>
        </w:rPr>
        <w:t>†</w:t>
      </w:r>
      <w:r w:rsidRPr="00353183">
        <w:rPr>
          <w:sz w:val="21"/>
          <w:szCs w:val="21"/>
          <w:lang w:val="fr-FR"/>
        </w:rPr>
        <w:t xml:space="preserve">As </w:t>
      </w:r>
      <w:proofErr w:type="spellStart"/>
      <w:r w:rsidRPr="00353183">
        <w:rPr>
          <w:sz w:val="21"/>
          <w:szCs w:val="21"/>
          <w:lang w:val="fr-FR"/>
        </w:rPr>
        <w:t>delineated</w:t>
      </w:r>
      <w:proofErr w:type="spellEnd"/>
      <w:r w:rsidRPr="00353183">
        <w:rPr>
          <w:sz w:val="21"/>
          <w:szCs w:val="21"/>
          <w:lang w:val="fr-FR"/>
        </w:rPr>
        <w:t xml:space="preserve"> in </w:t>
      </w:r>
      <w:proofErr w:type="spellStart"/>
      <w:r w:rsidRPr="00353183">
        <w:rPr>
          <w:b/>
          <w:bCs/>
          <w:sz w:val="21"/>
          <w:szCs w:val="21"/>
          <w:lang w:val="fr-FR"/>
        </w:rPr>
        <w:t>Supplementary</w:t>
      </w:r>
      <w:proofErr w:type="spellEnd"/>
      <w:r w:rsidRPr="00353183">
        <w:rPr>
          <w:b/>
          <w:bCs/>
          <w:sz w:val="21"/>
          <w:szCs w:val="21"/>
          <w:lang w:val="fr-FR"/>
        </w:rPr>
        <w:t xml:space="preserve"> Table 1</w:t>
      </w:r>
      <w:r w:rsidRPr="00353183">
        <w:rPr>
          <w:sz w:val="21"/>
          <w:szCs w:val="21"/>
          <w:lang w:val="fr-FR"/>
        </w:rPr>
        <w:t xml:space="preserve">, the 2020 </w:t>
      </w:r>
      <w:proofErr w:type="spellStart"/>
      <w:r w:rsidRPr="00353183">
        <w:rPr>
          <w:sz w:val="21"/>
          <w:szCs w:val="21"/>
          <w:lang w:val="fr-FR"/>
        </w:rPr>
        <w:t>published</w:t>
      </w:r>
      <w:proofErr w:type="spellEnd"/>
      <w:r w:rsidRPr="00353183">
        <w:rPr>
          <w:sz w:val="21"/>
          <w:szCs w:val="21"/>
          <w:lang w:val="fr-FR"/>
        </w:rPr>
        <w:t xml:space="preserve"> practice guidelines of the joint ACC/AHA </w:t>
      </w:r>
      <w:proofErr w:type="spellStart"/>
      <w:r w:rsidRPr="00353183">
        <w:rPr>
          <w:sz w:val="21"/>
          <w:szCs w:val="21"/>
          <w:lang w:val="fr-FR"/>
        </w:rPr>
        <w:t>Task</w:t>
      </w:r>
      <w:proofErr w:type="spellEnd"/>
      <w:r w:rsidRPr="00353183">
        <w:rPr>
          <w:sz w:val="21"/>
          <w:szCs w:val="21"/>
          <w:lang w:val="fr-FR"/>
        </w:rPr>
        <w:t xml:space="preserve"> Force </w:t>
      </w:r>
      <w:proofErr w:type="spellStart"/>
      <w:r w:rsidRPr="00353183">
        <w:rPr>
          <w:sz w:val="21"/>
          <w:szCs w:val="21"/>
          <w:lang w:val="fr-FR"/>
        </w:rPr>
        <w:t>define</w:t>
      </w:r>
      <w:proofErr w:type="spellEnd"/>
      <w:r w:rsidRPr="00353183">
        <w:rPr>
          <w:sz w:val="21"/>
          <w:szCs w:val="21"/>
          <w:lang w:val="fr-FR"/>
        </w:rPr>
        <w:t xml:space="preserve"> the </w:t>
      </w:r>
      <w:proofErr w:type="spellStart"/>
      <w:r w:rsidRPr="00353183">
        <w:rPr>
          <w:sz w:val="21"/>
          <w:szCs w:val="21"/>
          <w:lang w:val="fr-FR"/>
        </w:rPr>
        <w:t>criteria</w:t>
      </w:r>
      <w:proofErr w:type="spellEnd"/>
      <w:r w:rsidRPr="00353183">
        <w:rPr>
          <w:sz w:val="21"/>
          <w:szCs w:val="21"/>
          <w:lang w:val="fr-FR"/>
        </w:rPr>
        <w:t xml:space="preserve"> for </w:t>
      </w:r>
      <w:proofErr w:type="spellStart"/>
      <w:r w:rsidRPr="00353183">
        <w:rPr>
          <w:sz w:val="21"/>
          <w:szCs w:val="21"/>
          <w:lang w:val="fr-FR"/>
        </w:rPr>
        <w:t>determining</w:t>
      </w:r>
      <w:proofErr w:type="spellEnd"/>
      <w:r w:rsidRPr="00353183">
        <w:rPr>
          <w:sz w:val="21"/>
          <w:szCs w:val="21"/>
          <w:lang w:val="fr-FR"/>
        </w:rPr>
        <w:t xml:space="preserve"> the </w:t>
      </w:r>
      <w:proofErr w:type="spellStart"/>
      <w:r w:rsidRPr="00353183">
        <w:rPr>
          <w:sz w:val="21"/>
          <w:szCs w:val="21"/>
          <w:lang w:val="fr-FR"/>
        </w:rPr>
        <w:t>severity</w:t>
      </w:r>
      <w:proofErr w:type="spellEnd"/>
      <w:r w:rsidRPr="00353183">
        <w:rPr>
          <w:sz w:val="21"/>
          <w:szCs w:val="21"/>
          <w:lang w:val="fr-FR"/>
        </w:rPr>
        <w:t xml:space="preserve"> of AS</w:t>
      </w:r>
    </w:p>
    <w:p w14:paraId="59A33673" w14:textId="77777777" w:rsidR="003D3C44" w:rsidRPr="00B57D81" w:rsidRDefault="003D3C44" w:rsidP="003D3C44">
      <w:pPr>
        <w:jc w:val="both"/>
        <w:rPr>
          <w:sz w:val="21"/>
          <w:szCs w:val="21"/>
          <w:lang w:val="en-US"/>
        </w:rPr>
      </w:pPr>
      <w:r w:rsidRPr="00B57D81">
        <w:rPr>
          <w:sz w:val="21"/>
          <w:szCs w:val="21"/>
          <w:lang w:val="en-US"/>
        </w:rPr>
        <w:t>Abbreviations ;</w:t>
      </w:r>
      <w:r>
        <w:rPr>
          <w:sz w:val="21"/>
          <w:szCs w:val="21"/>
          <w:lang w:val="en-US"/>
        </w:rPr>
        <w:t xml:space="preserve"> see text </w:t>
      </w:r>
    </w:p>
    <w:p w14:paraId="656CBD94" w14:textId="77777777" w:rsidR="003D3C44" w:rsidRPr="00C2017C" w:rsidRDefault="003D3C44" w:rsidP="003D3C44">
      <w:pPr>
        <w:spacing w:line="480" w:lineRule="auto"/>
        <w:ind w:firstLine="708"/>
        <w:jc w:val="both"/>
        <w:rPr>
          <w:sz w:val="22"/>
          <w:szCs w:val="22"/>
          <w:lang w:val="en-US"/>
        </w:rPr>
      </w:pPr>
    </w:p>
    <w:p w14:paraId="24680EB0" w14:textId="760610A9" w:rsidR="00D4316B" w:rsidRPr="003D3C44" w:rsidRDefault="00D4316B">
      <w:pPr>
        <w:rPr>
          <w:sz w:val="21"/>
          <w:szCs w:val="21"/>
          <w:lang w:val="fr-FR"/>
        </w:rPr>
      </w:pPr>
    </w:p>
    <w:sectPr w:rsidR="00D4316B" w:rsidRPr="003D3C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6B"/>
    <w:rsid w:val="001343F8"/>
    <w:rsid w:val="001F4162"/>
    <w:rsid w:val="002A096A"/>
    <w:rsid w:val="003D3C44"/>
    <w:rsid w:val="00586A75"/>
    <w:rsid w:val="00B15088"/>
    <w:rsid w:val="00B57D81"/>
    <w:rsid w:val="00B7168A"/>
    <w:rsid w:val="00D431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54FAB7C"/>
  <w15:chartTrackingRefBased/>
  <w15:docId w15:val="{0E1A1806-B6B6-D741-B015-63495E6F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3C44"/>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D431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D431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D431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D4316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D4316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D4316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D4316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D4316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D4316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31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31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31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31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31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31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31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31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31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316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D431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31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D431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316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D4316B"/>
    <w:rPr>
      <w:i/>
      <w:iCs/>
      <w:color w:val="404040" w:themeColor="text1" w:themeTint="BF"/>
    </w:rPr>
  </w:style>
  <w:style w:type="paragraph" w:styleId="Paragrafoelenco">
    <w:name w:val="List Paragraph"/>
    <w:basedOn w:val="Normale"/>
    <w:uiPriority w:val="34"/>
    <w:qFormat/>
    <w:rsid w:val="00D4316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D4316B"/>
    <w:rPr>
      <w:i/>
      <w:iCs/>
      <w:color w:val="0F4761" w:themeColor="accent1" w:themeShade="BF"/>
    </w:rPr>
  </w:style>
  <w:style w:type="paragraph" w:styleId="Citazioneintensa">
    <w:name w:val="Intense Quote"/>
    <w:basedOn w:val="Normale"/>
    <w:next w:val="Normale"/>
    <w:link w:val="CitazioneintensaCarattere"/>
    <w:uiPriority w:val="30"/>
    <w:qFormat/>
    <w:rsid w:val="00D431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D4316B"/>
    <w:rPr>
      <w:i/>
      <w:iCs/>
      <w:color w:val="0F4761" w:themeColor="accent1" w:themeShade="BF"/>
    </w:rPr>
  </w:style>
  <w:style w:type="character" w:styleId="Riferimentointenso">
    <w:name w:val="Intense Reference"/>
    <w:basedOn w:val="Carpredefinitoparagrafo"/>
    <w:uiPriority w:val="32"/>
    <w:qFormat/>
    <w:rsid w:val="00D4316B"/>
    <w:rPr>
      <w:b/>
      <w:bCs/>
      <w:smallCaps/>
      <w:color w:val="0F4761" w:themeColor="accent1" w:themeShade="BF"/>
      <w:spacing w:val="5"/>
    </w:rPr>
  </w:style>
  <w:style w:type="table" w:styleId="Grigliatabella">
    <w:name w:val="Table Grid"/>
    <w:basedOn w:val="Tabellanormale"/>
    <w:uiPriority w:val="39"/>
    <w:rsid w:val="00D4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3</cp:revision>
  <dcterms:created xsi:type="dcterms:W3CDTF">2025-04-22T11:05:00Z</dcterms:created>
  <dcterms:modified xsi:type="dcterms:W3CDTF">2025-04-27T09:10:00Z</dcterms:modified>
</cp:coreProperties>
</file>