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2B4F" w:rsidRPr="00662B4F" w14:paraId="27A80DEF" w14:textId="77777777" w:rsidTr="00662B4F">
        <w:tc>
          <w:tcPr>
            <w:tcW w:w="9628" w:type="dxa"/>
          </w:tcPr>
          <w:p w14:paraId="35D42BFB" w14:textId="21DABD81" w:rsidR="00662B4F" w:rsidRPr="00662B4F" w:rsidRDefault="00662B4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>Supplementary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 xml:space="preserve"> Table 7.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>Hospitalization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 xml:space="preserve"> (or re-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>hospitalization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>)</w:t>
            </w:r>
          </w:p>
        </w:tc>
      </w:tr>
      <w:tr w:rsidR="00662B4F" w:rsidRPr="00662B4F" w14:paraId="17D59965" w14:textId="77777777" w:rsidTr="00662B4F">
        <w:tc>
          <w:tcPr>
            <w:tcW w:w="9628" w:type="dxa"/>
          </w:tcPr>
          <w:p w14:paraId="752B43D1" w14:textId="63FFA091" w:rsidR="00662B4F" w:rsidRPr="00662B4F" w:rsidRDefault="00662B4F" w:rsidP="00662B4F">
            <w:pPr>
              <w:rPr>
                <w:rFonts w:ascii="Times New Roman" w:hAnsi="Times New Roman" w:cs="Times New Roman"/>
                <w:kern w:val="0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>Definition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>:</w:t>
            </w:r>
            <w:proofErr w:type="gramEnd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fr-FR"/>
              </w:rPr>
              <w:t xml:space="preserve"> </w:t>
            </w:r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Admissions to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inpatient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units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hospital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wards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after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the index admission or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enrolment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in the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study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are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subject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to a </w:t>
            </w:r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&gt;/= </w:t>
            </w:r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24 charge,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including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emergency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department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visits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.</w:t>
            </w:r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Planned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hospital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admissions for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pre-existing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conditions are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excluded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unless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the condition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worsens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.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Visits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to urgent care centres or emergency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departments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within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24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hours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may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also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be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included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if the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therapy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is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intensified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(e.g.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heart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failure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episodes</w:t>
            </w:r>
            <w:proofErr w:type="spellEnd"/>
            <w:r w:rsidRPr="00662B4F">
              <w:rPr>
                <w:rFonts w:ascii="Times New Roman" w:hAnsi="Times New Roman" w:cs="Times New Roman"/>
                <w:kern w:val="0"/>
                <w:sz w:val="21"/>
                <w:szCs w:val="21"/>
                <w:lang w:val="fr-FR"/>
              </w:rPr>
              <w:t>).</w:t>
            </w:r>
          </w:p>
        </w:tc>
      </w:tr>
      <w:tr w:rsidR="00662B4F" w:rsidRPr="009F130D" w14:paraId="2952B79E" w14:textId="77777777" w:rsidTr="00662B4F">
        <w:tc>
          <w:tcPr>
            <w:tcW w:w="9628" w:type="dxa"/>
          </w:tcPr>
          <w:p w14:paraId="27C45212" w14:textId="77777777" w:rsidR="00662B4F" w:rsidRDefault="00662B4F">
            <w:pP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Categories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of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hospitalization</w:t>
            </w:r>
            <w:proofErr w:type="spellEnd"/>
          </w:p>
          <w:p w14:paraId="10B4386A" w14:textId="77777777" w:rsidR="00662B4F" w:rsidRDefault="00662B4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323832D" w14:textId="77777777" w:rsidR="00662B4F" w:rsidRDefault="00662B4F" w:rsidP="00662B4F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Cardiovascular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hospitalization</w:t>
            </w:r>
            <w:proofErr w:type="spellEnd"/>
          </w:p>
          <w:p w14:paraId="02065A01" w14:textId="5E39FB33" w:rsidR="00662B4F" w:rsidRPr="009F130D" w:rsidRDefault="00662B4F" w:rsidP="009F130D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Procedure-</w:t>
            </w:r>
            <w:proofErr w:type="spellStart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related</w:t>
            </w:r>
            <w:proofErr w:type="spellEnd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or valve-</w:t>
            </w:r>
            <w:proofErr w:type="spellStart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related</w:t>
            </w:r>
            <w:proofErr w:type="spellEnd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hospitalization</w:t>
            </w:r>
            <w:proofErr w:type="spellEnd"/>
          </w:p>
          <w:p w14:paraId="3A7CBB02" w14:textId="77777777" w:rsidR="00662B4F" w:rsidRPr="00662B4F" w:rsidRDefault="00662B4F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BED2B3E" w14:textId="77777777" w:rsidR="00662B4F" w:rsidRPr="00662B4F" w:rsidRDefault="00662B4F" w:rsidP="00662B4F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Hospitalisation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for new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complications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including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but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not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limited to: stroke,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bleeding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(e.g.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haemothorax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retroperitoneal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haematoma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),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pericardial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effusion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vascular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or access site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complication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(e.g. The following are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considered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to be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potential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complications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  <w:p w14:paraId="54A0D379" w14:textId="3545145F" w:rsidR="00662B4F" w:rsidRPr="00662B4F" w:rsidRDefault="00662B4F" w:rsidP="00662B4F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limb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ischaemia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wound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infection</w:t>
            </w:r>
            <w:proofErr w:type="spellEnd"/>
          </w:p>
          <w:p w14:paraId="38DD9CA7" w14:textId="4AAA1F22" w:rsidR="00662B4F" w:rsidRPr="00662B4F" w:rsidRDefault="00662B4F" w:rsidP="00662B4F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662B4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new conduction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disturbance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arrhythmia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(e.g.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atrioventricular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block, atrial fibrillation)</w:t>
            </w:r>
          </w:p>
          <w:p w14:paraId="28CF8863" w14:textId="5410DEDE" w:rsidR="00662B4F" w:rsidRPr="00662B4F" w:rsidRDefault="00662B4F" w:rsidP="00662B4F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acute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kidney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injury</w:t>
            </w:r>
            <w:proofErr w:type="spellEnd"/>
          </w:p>
          <w:p w14:paraId="1EF385C4" w14:textId="55D79459" w:rsidR="00662B4F" w:rsidRDefault="00662B4F" w:rsidP="00662B4F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any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procedure-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related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new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complication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including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periprocedural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valve-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related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heart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(e.g.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paravalvular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leak,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worsening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LV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function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worsening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sub-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valvular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obstruction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75A48E47" w14:textId="3B001BF2" w:rsidR="009F130D" w:rsidRDefault="009F130D" w:rsidP="009F130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The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aggravation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worsening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any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previously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occurring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in-hospital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complications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during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periprocedural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care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is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to be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documented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(for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instance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ventilator-induced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pneumonia,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pericardial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pleural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effusion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recurrent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haemothorax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, valve-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related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heart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14:paraId="646FC572" w14:textId="1F17E2B7" w:rsidR="009F130D" w:rsidRDefault="009F130D" w:rsidP="009F130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Bioprosthetic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valve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dysfunction</w:t>
            </w:r>
            <w:proofErr w:type="spellEnd"/>
            <w:r w:rsidRPr="00760D87">
              <w:rPr>
                <w:rFonts w:ascii="Times New Roman" w:hAnsi="Times New Roman" w:cs="Times New Roman"/>
                <w:vertAlign w:val="superscript"/>
                <w:lang w:val="fr-FR"/>
              </w:rPr>
              <w:t>†</w:t>
            </w:r>
            <w:r w:rsidRPr="009F130D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includes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valve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thrombosis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endocarditis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structural valve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deterioration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and non-structural valve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dysfunction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7E56B288" w14:textId="11CCA125" w:rsidR="009F130D" w:rsidRDefault="009F130D" w:rsidP="009F130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Untreated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native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aortic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valve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disease</w:t>
            </w:r>
            <w:proofErr w:type="spellEnd"/>
            <w:r w:rsidRPr="00760D87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fr-FR"/>
              </w:rPr>
              <w:t>‡</w:t>
            </w:r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its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consequences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must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diagnosed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.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These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include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heart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syncope,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angina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, new-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onset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arrhythmia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endocarditis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any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other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consequences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the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untreated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native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aortic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valve.</w:t>
            </w:r>
          </w:p>
          <w:p w14:paraId="692576DD" w14:textId="178CAED0" w:rsidR="00760D87" w:rsidRDefault="00760D87" w:rsidP="009F130D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Bleeding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complications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oral anticoagulation or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antiplatelet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therapy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for valve-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thromboembolic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prevention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atrial fibrillation</w:t>
            </w:r>
          </w:p>
          <w:p w14:paraId="2C334D94" w14:textId="6DE6B529" w:rsidR="00760D87" w:rsidRPr="00760D87" w:rsidRDefault="00760D87" w:rsidP="00760D87">
            <w:pPr>
              <w:pStyle w:val="Paragrafoelenco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Heart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failure-related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hospitalizations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‡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requiring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new or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worsening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heart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be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predominant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reason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for a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hospital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stay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&gt;/= </w:t>
            </w:r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24 h on the basis of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and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signs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heart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confirmation by diagnostic tests and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necessitating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treatment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using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intravenous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mechanical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heart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therapies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.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Includes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primary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cardiac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) and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secondary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(non-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cardiac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760D87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)</w:t>
            </w:r>
          </w:p>
          <w:p w14:paraId="51FD6D52" w14:textId="77777777" w:rsidR="00662B4F" w:rsidRPr="009F130D" w:rsidRDefault="00662B4F" w:rsidP="00662B4F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671F329B" w14:textId="233CDF0F" w:rsidR="00662B4F" w:rsidRPr="00662B4F" w:rsidRDefault="00662B4F" w:rsidP="00662B4F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Other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cardiovascular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hospitalization</w:t>
            </w:r>
            <w:proofErr w:type="spellEnd"/>
          </w:p>
          <w:p w14:paraId="444D1707" w14:textId="77777777" w:rsidR="00662B4F" w:rsidRDefault="00662B4F" w:rsidP="00662B4F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Cardiovascular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hospitalization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not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directly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related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to the index procedure or the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untreated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native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aortic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valve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</w:p>
          <w:p w14:paraId="5A9D7A80" w14:textId="77777777" w:rsidR="00662B4F" w:rsidRDefault="00662B4F" w:rsidP="00662B4F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</w:rPr>
            </w:pPr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The following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conditions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are to be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considered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: acute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myocardial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infarction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or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chronic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coronary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artery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disease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hypertension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arrhythmia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excluding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those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related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to the procedure or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aortic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valve), and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heart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failure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from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specific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and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proven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aetiologies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(e.g.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cardiomyopathies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concomitant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untreated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non-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aortic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valvular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disease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, severe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right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ventricular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dysfunction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), and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peripheral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vascular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disease</w:t>
            </w:r>
            <w:proofErr w:type="spellEnd"/>
            <w:r w:rsidRPr="00662B4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292744CD" w14:textId="77777777" w:rsidR="00662B4F" w:rsidRDefault="00662B4F" w:rsidP="00662B4F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700883" w14:textId="77777777" w:rsidR="00662B4F" w:rsidRDefault="00662B4F" w:rsidP="00662B4F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62B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Non-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cardiovascular</w:t>
            </w:r>
            <w:proofErr w:type="spellEnd"/>
            <w:r w:rsidRPr="00662B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B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hospitalization</w:t>
            </w:r>
            <w:proofErr w:type="spellEnd"/>
          </w:p>
          <w:p w14:paraId="5F90179E" w14:textId="77777777" w:rsidR="009F130D" w:rsidRDefault="009F130D" w:rsidP="009F130D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This </w:t>
            </w:r>
            <w:proofErr w:type="spellStart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refers</w:t>
            </w:r>
            <w:proofErr w:type="spellEnd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to cases of hospitalisation for </w:t>
            </w:r>
            <w:proofErr w:type="spellStart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reasons</w:t>
            </w:r>
            <w:proofErr w:type="spellEnd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not </w:t>
            </w:r>
            <w:proofErr w:type="spellStart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pertaining</w:t>
            </w:r>
            <w:proofErr w:type="spellEnd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cardiovascular</w:t>
            </w:r>
            <w:proofErr w:type="spellEnd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diseases.</w:t>
            </w:r>
            <w:proofErr w:type="spellEnd"/>
          </w:p>
          <w:p w14:paraId="786A83E4" w14:textId="4DA8CB67" w:rsidR="009F130D" w:rsidRPr="009F130D" w:rsidRDefault="009F130D" w:rsidP="009F130D">
            <w:pPr>
              <w:pStyle w:val="Paragrafoelenco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following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are </w:t>
            </w:r>
            <w:proofErr w:type="spellStart"/>
            <w:proofErr w:type="gram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included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  <w:proofErr w:type="gram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non-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cardiovascular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infection and sepsis (e.g.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urosepsis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),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respiratory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not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heart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(e.g.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pneumonia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),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renal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liver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failure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delirium or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dementia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cancer, trauma, or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psychiatric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illness</w:t>
            </w:r>
            <w:proofErr w:type="spellEnd"/>
            <w:r w:rsidRPr="009F130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</w:tc>
      </w:tr>
    </w:tbl>
    <w:p w14:paraId="550E5BEA" w14:textId="5C3CA8D2" w:rsidR="00EC50B9" w:rsidRPr="00760D87" w:rsidRDefault="00760D87">
      <w:pPr>
        <w:rPr>
          <w:sz w:val="20"/>
          <w:szCs w:val="20"/>
          <w:lang w:val="fr-FR"/>
        </w:rPr>
      </w:pPr>
      <w:r w:rsidRPr="00760D87">
        <w:rPr>
          <w:rFonts w:ascii="Times New Roman" w:hAnsi="Times New Roman" w:cs="Times New Roman"/>
          <w:vertAlign w:val="superscript"/>
          <w:lang w:val="fr-FR"/>
        </w:rPr>
        <w:t>†</w:t>
      </w:r>
      <w:r>
        <w:rPr>
          <w:rFonts w:ascii="Times New Roman" w:hAnsi="Times New Roman" w:cs="Times New Roman"/>
          <w:vertAlign w:val="superscript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see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Pr="00760D87">
        <w:rPr>
          <w:rFonts w:ascii="Times New Roman" w:hAnsi="Times New Roman" w:cs="Times New Roman"/>
          <w:b/>
          <w:bCs/>
          <w:sz w:val="20"/>
          <w:szCs w:val="20"/>
          <w:lang w:val="fr-FR"/>
        </w:rPr>
        <w:t>table 6</w:t>
      </w:r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and </w:t>
      </w:r>
      <w:r w:rsidRPr="00760D87">
        <w:rPr>
          <w:rFonts w:ascii="Times New Roman" w:hAnsi="Times New Roman" w:cs="Times New Roman"/>
          <w:b/>
          <w:bCs/>
          <w:sz w:val="20"/>
          <w:szCs w:val="20"/>
          <w:lang w:val="fr-FR"/>
        </w:rPr>
        <w:t>7 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; </w:t>
      </w:r>
      <w:r w:rsidRPr="00760D87">
        <w:rPr>
          <w:rFonts w:ascii="Times New Roman" w:hAnsi="Times New Roman" w:cs="Times New Roman"/>
          <w:sz w:val="21"/>
          <w:szCs w:val="21"/>
          <w:vertAlign w:val="superscript"/>
          <w:lang w:val="fr-FR"/>
        </w:rPr>
        <w:t>‡</w:t>
      </w:r>
      <w:r>
        <w:rPr>
          <w:rFonts w:ascii="Times New Roman" w:hAnsi="Times New Roman" w:cs="Times New Roman"/>
          <w:sz w:val="21"/>
          <w:szCs w:val="21"/>
          <w:vertAlign w:val="superscript"/>
          <w:lang w:val="fr-FR"/>
        </w:rPr>
        <w:t xml:space="preserve"> </w:t>
      </w:r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In the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context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of an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ongoing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strategy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trial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that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aims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to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establish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a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comparison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between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transcatheter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or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surgical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aortic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valve replacement and the provision of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clinical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surveillance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with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medical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therapy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, the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presence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of a native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aortic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valve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that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is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diseased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and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untreated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should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be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60D87">
        <w:rPr>
          <w:rFonts w:ascii="Times New Roman" w:hAnsi="Times New Roman" w:cs="Times New Roman"/>
          <w:sz w:val="20"/>
          <w:szCs w:val="20"/>
          <w:lang w:val="fr-FR"/>
        </w:rPr>
        <w:t>noted</w:t>
      </w:r>
      <w:proofErr w:type="spellEnd"/>
      <w:r w:rsidRPr="00760D87">
        <w:rPr>
          <w:rFonts w:ascii="Times New Roman" w:hAnsi="Times New Roman" w:cs="Times New Roman"/>
          <w:sz w:val="20"/>
          <w:szCs w:val="20"/>
          <w:lang w:val="fr-FR"/>
        </w:rPr>
        <w:t>.</w:t>
      </w:r>
    </w:p>
    <w:sectPr w:rsidR="00EC50B9" w:rsidRPr="00760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E95"/>
    <w:multiLevelType w:val="hybridMultilevel"/>
    <w:tmpl w:val="E4204D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28B7"/>
    <w:multiLevelType w:val="hybridMultilevel"/>
    <w:tmpl w:val="01A21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3A36"/>
    <w:multiLevelType w:val="hybridMultilevel"/>
    <w:tmpl w:val="F00A6266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7FC2"/>
    <w:multiLevelType w:val="hybridMultilevel"/>
    <w:tmpl w:val="F320C4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E83"/>
    <w:multiLevelType w:val="hybridMultilevel"/>
    <w:tmpl w:val="2916AA2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A0672B"/>
    <w:multiLevelType w:val="hybridMultilevel"/>
    <w:tmpl w:val="76A04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B67C8"/>
    <w:multiLevelType w:val="hybridMultilevel"/>
    <w:tmpl w:val="6D003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35957"/>
    <w:multiLevelType w:val="hybridMultilevel"/>
    <w:tmpl w:val="596AA0B4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E6895"/>
    <w:multiLevelType w:val="hybridMultilevel"/>
    <w:tmpl w:val="CAF815EA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80AEE"/>
    <w:multiLevelType w:val="hybridMultilevel"/>
    <w:tmpl w:val="DD408270"/>
    <w:lvl w:ilvl="0" w:tplc="6A826B0A">
      <w:numFmt w:val="bullet"/>
      <w:lvlText w:val="-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B1429"/>
    <w:multiLevelType w:val="hybridMultilevel"/>
    <w:tmpl w:val="3DECC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E6117"/>
    <w:multiLevelType w:val="hybridMultilevel"/>
    <w:tmpl w:val="CB88A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A131D"/>
    <w:multiLevelType w:val="hybridMultilevel"/>
    <w:tmpl w:val="E140F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F26A2"/>
    <w:multiLevelType w:val="hybridMultilevel"/>
    <w:tmpl w:val="B1128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46AEA"/>
    <w:multiLevelType w:val="hybridMultilevel"/>
    <w:tmpl w:val="DA0EC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51250">
    <w:abstractNumId w:val="7"/>
  </w:num>
  <w:num w:numId="2" w16cid:durableId="1112163275">
    <w:abstractNumId w:val="10"/>
  </w:num>
  <w:num w:numId="3" w16cid:durableId="1884631540">
    <w:abstractNumId w:val="3"/>
  </w:num>
  <w:num w:numId="4" w16cid:durableId="612639999">
    <w:abstractNumId w:val="0"/>
  </w:num>
  <w:num w:numId="5" w16cid:durableId="258686036">
    <w:abstractNumId w:val="9"/>
  </w:num>
  <w:num w:numId="6" w16cid:durableId="1661689195">
    <w:abstractNumId w:val="4"/>
  </w:num>
  <w:num w:numId="7" w16cid:durableId="1791389236">
    <w:abstractNumId w:val="2"/>
  </w:num>
  <w:num w:numId="8" w16cid:durableId="1794329534">
    <w:abstractNumId w:val="12"/>
  </w:num>
  <w:num w:numId="9" w16cid:durableId="1435898413">
    <w:abstractNumId w:val="8"/>
  </w:num>
  <w:num w:numId="10" w16cid:durableId="1894346154">
    <w:abstractNumId w:val="11"/>
  </w:num>
  <w:num w:numId="11" w16cid:durableId="675033164">
    <w:abstractNumId w:val="1"/>
  </w:num>
  <w:num w:numId="12" w16cid:durableId="975182432">
    <w:abstractNumId w:val="13"/>
  </w:num>
  <w:num w:numId="13" w16cid:durableId="308829163">
    <w:abstractNumId w:val="14"/>
  </w:num>
  <w:num w:numId="14" w16cid:durableId="322781699">
    <w:abstractNumId w:val="5"/>
  </w:num>
  <w:num w:numId="15" w16cid:durableId="1793478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9"/>
    <w:rsid w:val="00662B4F"/>
    <w:rsid w:val="00760D87"/>
    <w:rsid w:val="009F130D"/>
    <w:rsid w:val="00B15088"/>
    <w:rsid w:val="00E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0AE9BD"/>
  <w15:chartTrackingRefBased/>
  <w15:docId w15:val="{A3CC1217-5BF4-1049-A0C8-4AC9B9B9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5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5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5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5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5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5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5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5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5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50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50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50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50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50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50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50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50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50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5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50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50B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6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2</cp:revision>
  <dcterms:created xsi:type="dcterms:W3CDTF">2025-04-29T10:10:00Z</dcterms:created>
  <dcterms:modified xsi:type="dcterms:W3CDTF">2025-04-29T10:10:00Z</dcterms:modified>
</cp:coreProperties>
</file>