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5327E" w14:textId="77777777" w:rsidR="0073133F" w:rsidRPr="0073133F" w:rsidRDefault="0073133F" w:rsidP="00CA4B40">
      <w:pPr>
        <w:widowControl/>
        <w:spacing w:beforeLines="50" w:before="156" w:afterLines="50" w:after="156" w:line="360" w:lineRule="auto"/>
        <w:jc w:val="center"/>
        <w:rPr>
          <w:rFonts w:ascii="Times New Roman" w:hAnsi="Times New Roman" w:cs="Times New Roman"/>
          <w:color w:val="000000" w:themeColor="text1"/>
          <w:sz w:val="22"/>
        </w:rPr>
      </w:pPr>
      <w:r w:rsidRPr="0073133F">
        <w:rPr>
          <w:rFonts w:ascii="Times New Roman" w:hAnsi="Times New Roman" w:cs="Times New Roman"/>
          <w:noProof/>
          <w:color w:val="000000" w:themeColor="text1"/>
          <w:sz w:val="22"/>
        </w:rPr>
        <w:drawing>
          <wp:inline distT="0" distB="0" distL="0" distR="0" wp14:anchorId="4C576086" wp14:editId="4F1EC42E">
            <wp:extent cx="5509816" cy="7251700"/>
            <wp:effectExtent l="0" t="0" r="0" b="6350"/>
            <wp:docPr id="33" name="图片 33" descr="E:\实验成果\文章\RsdA致病\20241008文章分离\致病\20250414 nature\Extened data\extend fig1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实验成果\文章\RsdA致病\20241008文章分离\致病\20250414 nature\Extened data\extend fig1_画板 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13709" cy="7256824"/>
                    </a:xfrm>
                    <a:prstGeom prst="rect">
                      <a:avLst/>
                    </a:prstGeom>
                    <a:noFill/>
                    <a:ln>
                      <a:noFill/>
                    </a:ln>
                  </pic:spPr>
                </pic:pic>
              </a:graphicData>
            </a:graphic>
          </wp:inline>
        </w:drawing>
      </w:r>
    </w:p>
    <w:p w14:paraId="774EFCE9" w14:textId="77777777" w:rsidR="0073133F" w:rsidRPr="0073133F" w:rsidRDefault="0073133F" w:rsidP="000C42C5">
      <w:pPr>
        <w:pStyle w:val="Heading1"/>
        <w:spacing w:before="0" w:after="0" w:line="240" w:lineRule="auto"/>
        <w:rPr>
          <w:rFonts w:ascii="Times New Roman" w:hAnsi="Times New Roman" w:cs="Times New Roman"/>
          <w:color w:val="000000" w:themeColor="text1"/>
          <w:kern w:val="0"/>
          <w:sz w:val="22"/>
        </w:rPr>
      </w:pPr>
      <w:bookmarkStart w:id="0" w:name="OLE_LINK49"/>
      <w:r w:rsidRPr="0073133F">
        <w:rPr>
          <w:rFonts w:ascii="Times New Roman" w:hAnsi="Times New Roman" w:cs="Times New Roman"/>
          <w:color w:val="000000" w:themeColor="text1"/>
          <w:sz w:val="22"/>
          <w:szCs w:val="22"/>
        </w:rPr>
        <w:t>Extended Data Fig. 1:</w:t>
      </w:r>
      <w:bookmarkEnd w:id="0"/>
      <w:r w:rsidRPr="0073133F">
        <w:rPr>
          <w:rFonts w:ascii="Times New Roman" w:hAnsi="Times New Roman" w:cs="Times New Roman"/>
          <w:color w:val="000000" w:themeColor="text1"/>
          <w:sz w:val="22"/>
          <w:szCs w:val="22"/>
        </w:rPr>
        <w:t xml:space="preserve"> Metabolomics analysis of clinical and environmental </w:t>
      </w:r>
      <w:r w:rsidRPr="0073133F">
        <w:rPr>
          <w:rFonts w:ascii="Times New Roman" w:hAnsi="Times New Roman" w:cs="Times New Roman"/>
          <w:i/>
          <w:color w:val="000000" w:themeColor="text1"/>
          <w:sz w:val="22"/>
          <w:szCs w:val="22"/>
        </w:rPr>
        <w:t>A. fumigatus</w:t>
      </w:r>
      <w:r w:rsidRPr="0073133F">
        <w:rPr>
          <w:rFonts w:ascii="Times New Roman" w:hAnsi="Times New Roman" w:cs="Times New Roman"/>
          <w:color w:val="000000" w:themeColor="text1"/>
          <w:sz w:val="22"/>
          <w:szCs w:val="22"/>
        </w:rPr>
        <w:t>. a</w:t>
      </w:r>
      <w:r w:rsidRPr="0073133F">
        <w:rPr>
          <w:rFonts w:ascii="Times New Roman" w:hAnsi="Times New Roman" w:cs="Times New Roman"/>
          <w:b w:val="0"/>
          <w:bCs w:val="0"/>
          <w:color w:val="000000" w:themeColor="text1"/>
          <w:sz w:val="22"/>
          <w:szCs w:val="22"/>
        </w:rPr>
        <w:t xml:space="preserve">, Workflow of clinical and environmental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metabolome analysis based on LC-MS. </w:t>
      </w:r>
      <w:r w:rsidRPr="0073133F">
        <w:rPr>
          <w:rFonts w:ascii="Times New Roman" w:hAnsi="Times New Roman" w:cs="Times New Roman"/>
          <w:color w:val="000000" w:themeColor="text1"/>
          <w:sz w:val="22"/>
          <w:szCs w:val="22"/>
        </w:rPr>
        <w:t>b</w:t>
      </w:r>
      <w:r w:rsidRPr="0073133F">
        <w:rPr>
          <w:rFonts w:ascii="Times New Roman" w:hAnsi="Times New Roman" w:cs="Times New Roman"/>
          <w:b w:val="0"/>
          <w:bCs w:val="0"/>
          <w:color w:val="000000" w:themeColor="text1"/>
          <w:sz w:val="22"/>
          <w:szCs w:val="22"/>
        </w:rPr>
        <w:t xml:space="preserve">, Differences in metabolites of clinical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compared with an environmental strain 34</w:t>
      </w:r>
      <w:r w:rsidRPr="0073133F">
        <w:rPr>
          <w:rFonts w:ascii="Times New Roman" w:eastAsia="DengXian" w:hAnsi="Times New Roman" w:cs="Times New Roman"/>
          <w:b w:val="0"/>
          <w:bCs w:val="0"/>
          <w:color w:val="000000" w:themeColor="text1"/>
          <w:kern w:val="24"/>
          <w:sz w:val="22"/>
          <w:szCs w:val="22"/>
        </w:rPr>
        <w:t>.</w:t>
      </w:r>
    </w:p>
    <w:p w14:paraId="2C49817D" w14:textId="77777777" w:rsidR="0073133F" w:rsidRPr="0073133F" w:rsidRDefault="0073133F" w:rsidP="00A10F5C">
      <w:pPr>
        <w:widowControl/>
        <w:jc w:val="center"/>
        <w:rPr>
          <w:rFonts w:ascii="Times New Roman" w:hAnsi="Times New Roman" w:cs="Times New Roman"/>
          <w:b/>
          <w:bCs/>
          <w:color w:val="000000" w:themeColor="text1"/>
          <w:sz w:val="22"/>
        </w:rPr>
      </w:pPr>
    </w:p>
    <w:p w14:paraId="1AF96238" w14:textId="77777777" w:rsidR="0073133F" w:rsidRPr="0073133F" w:rsidRDefault="0073133F" w:rsidP="00A10F5C">
      <w:pPr>
        <w:widowControl/>
        <w:jc w:val="center"/>
        <w:rPr>
          <w:rFonts w:ascii="Times New Roman" w:hAnsi="Times New Roman" w:cs="Times New Roman"/>
          <w:b/>
          <w:bCs/>
          <w:color w:val="000000" w:themeColor="text1"/>
          <w:sz w:val="22"/>
        </w:rPr>
      </w:pPr>
      <w:r w:rsidRPr="0073133F">
        <w:rPr>
          <w:rFonts w:ascii="Times New Roman" w:hAnsi="Times New Roman" w:cs="Times New Roman"/>
          <w:b/>
          <w:bCs/>
          <w:noProof/>
          <w:color w:val="000000" w:themeColor="text1"/>
          <w:sz w:val="22"/>
        </w:rPr>
        <w:lastRenderedPageBreak/>
        <w:drawing>
          <wp:inline distT="0" distB="0" distL="0" distR="0" wp14:anchorId="6A58E7D5" wp14:editId="6FC2CF63">
            <wp:extent cx="5971540" cy="4023296"/>
            <wp:effectExtent l="0" t="0" r="0" b="0"/>
            <wp:docPr id="35" name="图片 35" descr="E:\实验成果\文章\RsdA致病\20241008文章分离\致病\20250414 nature\Extened data\extend fig2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实验成果\文章\RsdA致病\20241008文章分离\致病\20250414 nature\Extened data\extend fig2_画板 1.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71540" cy="4023296"/>
                    </a:xfrm>
                    <a:prstGeom prst="rect">
                      <a:avLst/>
                    </a:prstGeom>
                    <a:noFill/>
                    <a:ln>
                      <a:noFill/>
                    </a:ln>
                  </pic:spPr>
                </pic:pic>
              </a:graphicData>
            </a:graphic>
          </wp:inline>
        </w:drawing>
      </w:r>
    </w:p>
    <w:p w14:paraId="6C39AE98" w14:textId="77777777" w:rsidR="0073133F" w:rsidRPr="0073133F" w:rsidRDefault="0073133F" w:rsidP="00A10F5C">
      <w:pPr>
        <w:pStyle w:val="Heading1"/>
        <w:spacing w:before="0" w:after="0" w:line="240" w:lineRule="auto"/>
        <w:rPr>
          <w:rFonts w:ascii="Times New Roman" w:hAnsi="Times New Roman" w:cs="Times New Roman"/>
          <w:sz w:val="22"/>
          <w:szCs w:val="22"/>
        </w:rPr>
      </w:pPr>
      <w:r w:rsidRPr="0073133F">
        <w:rPr>
          <w:rFonts w:ascii="Times New Roman" w:hAnsi="Times New Roman" w:cs="Times New Roman"/>
          <w:sz w:val="22"/>
          <w:szCs w:val="22"/>
        </w:rPr>
        <w:t>Extended Data Fig. 2: Subcellular localization and in vitro interaction of CsdA and LaeB.</w:t>
      </w:r>
      <w:r w:rsidRPr="0073133F">
        <w:rPr>
          <w:rFonts w:ascii="Times New Roman" w:hAnsi="Times New Roman" w:cs="Times New Roman"/>
          <w:b w:val="0"/>
          <w:bCs w:val="0"/>
          <w:sz w:val="22"/>
          <w:szCs w:val="22"/>
        </w:rPr>
        <w:t xml:space="preserve"> </w:t>
      </w:r>
      <w:r w:rsidRPr="0073133F">
        <w:rPr>
          <w:rFonts w:ascii="Times New Roman" w:hAnsi="Times New Roman" w:cs="Times New Roman"/>
          <w:sz w:val="22"/>
          <w:szCs w:val="22"/>
        </w:rPr>
        <w:t>a</w:t>
      </w:r>
      <w:r w:rsidRPr="0073133F">
        <w:rPr>
          <w:rFonts w:ascii="Times New Roman" w:hAnsi="Times New Roman" w:cs="Times New Roman"/>
          <w:b w:val="0"/>
          <w:bCs w:val="0"/>
          <w:sz w:val="22"/>
          <w:szCs w:val="22"/>
        </w:rPr>
        <w:t xml:space="preserve">, Subcellular localization of LaeB and CsdA in </w:t>
      </w:r>
      <w:r w:rsidRPr="0073133F">
        <w:rPr>
          <w:rFonts w:ascii="Times New Roman" w:hAnsi="Times New Roman" w:cs="Times New Roman"/>
          <w:b w:val="0"/>
          <w:bCs w:val="0"/>
          <w:i/>
          <w:iCs/>
          <w:sz w:val="22"/>
          <w:szCs w:val="22"/>
        </w:rPr>
        <w:t>A. fumigatus</w:t>
      </w:r>
      <w:r w:rsidRPr="0073133F">
        <w:rPr>
          <w:rFonts w:ascii="Times New Roman" w:hAnsi="Times New Roman" w:cs="Times New Roman"/>
          <w:b w:val="0"/>
          <w:bCs w:val="0"/>
          <w:sz w:val="22"/>
          <w:szCs w:val="22"/>
        </w:rPr>
        <w:t xml:space="preserve">. LaeB-sfGFP and CsdA-mCherry localize in the nucleus and superimpose with DAPI signals. Nuclei in hyphae were stained with 4’, 6-diamidino-2-phenylindole (DAPI). BF, bright-field. Scale bars, 5 μm. </w:t>
      </w:r>
      <w:r w:rsidRPr="0073133F">
        <w:rPr>
          <w:rFonts w:ascii="Times New Roman" w:hAnsi="Times New Roman" w:cs="Times New Roman"/>
          <w:sz w:val="22"/>
          <w:szCs w:val="22"/>
        </w:rPr>
        <w:t>b</w:t>
      </w:r>
      <w:r w:rsidRPr="0073133F">
        <w:rPr>
          <w:rFonts w:ascii="Times New Roman" w:hAnsi="Times New Roman" w:cs="Times New Roman"/>
          <w:b w:val="0"/>
          <w:bCs w:val="0"/>
          <w:sz w:val="22"/>
          <w:szCs w:val="22"/>
        </w:rPr>
        <w:t xml:space="preserve">, Brilliant blue G-stained 12% SDS-PAGE gel of LaeB and CsdA protein. M: marker. </w:t>
      </w:r>
      <w:r w:rsidRPr="0073133F">
        <w:rPr>
          <w:rFonts w:ascii="Times New Roman" w:hAnsi="Times New Roman" w:cs="Times New Roman"/>
          <w:sz w:val="22"/>
          <w:szCs w:val="22"/>
        </w:rPr>
        <w:t>c</w:t>
      </w:r>
      <w:r w:rsidRPr="0073133F">
        <w:rPr>
          <w:rFonts w:ascii="Times New Roman" w:hAnsi="Times New Roman" w:cs="Times New Roman"/>
          <w:b w:val="0"/>
          <w:bCs w:val="0"/>
          <w:sz w:val="22"/>
          <w:szCs w:val="22"/>
        </w:rPr>
        <w:t xml:space="preserve">, Schematic of CsdA and LaeB </w:t>
      </w:r>
      <w:r w:rsidRPr="0073133F">
        <w:rPr>
          <w:rFonts w:ascii="Times New Roman" w:hAnsi="Times New Roman" w:cs="Times New Roman"/>
          <w:b w:val="0"/>
          <w:bCs w:val="0"/>
          <w:i/>
          <w:sz w:val="22"/>
          <w:szCs w:val="22"/>
        </w:rPr>
        <w:t>in vitro</w:t>
      </w:r>
      <w:r w:rsidRPr="0073133F">
        <w:rPr>
          <w:rFonts w:ascii="Times New Roman" w:hAnsi="Times New Roman" w:cs="Times New Roman"/>
          <w:b w:val="0"/>
          <w:bCs w:val="0"/>
          <w:sz w:val="22"/>
          <w:szCs w:val="22"/>
        </w:rPr>
        <w:t xml:space="preserve"> pull-down. </w:t>
      </w:r>
      <w:r w:rsidRPr="0073133F">
        <w:rPr>
          <w:rFonts w:ascii="Times New Roman" w:hAnsi="Times New Roman" w:cs="Times New Roman"/>
          <w:sz w:val="22"/>
          <w:szCs w:val="22"/>
        </w:rPr>
        <w:t>d</w:t>
      </w:r>
      <w:r w:rsidRPr="0073133F">
        <w:rPr>
          <w:rFonts w:ascii="Times New Roman" w:hAnsi="Times New Roman" w:cs="Times New Roman"/>
          <w:b w:val="0"/>
          <w:bCs w:val="0"/>
          <w:sz w:val="22"/>
          <w:szCs w:val="22"/>
        </w:rPr>
        <w:t xml:space="preserve">, The interaction between CsdA and LaeB was studied by </w:t>
      </w:r>
      <w:r w:rsidRPr="0073133F">
        <w:rPr>
          <w:rFonts w:ascii="Times New Roman" w:hAnsi="Times New Roman" w:cs="Times New Roman"/>
          <w:b w:val="0"/>
          <w:bCs w:val="0"/>
          <w:i/>
          <w:sz w:val="22"/>
          <w:szCs w:val="22"/>
        </w:rPr>
        <w:t>in vitro</w:t>
      </w:r>
      <w:r w:rsidRPr="0073133F">
        <w:rPr>
          <w:rFonts w:ascii="Times New Roman" w:hAnsi="Times New Roman" w:cs="Times New Roman"/>
          <w:b w:val="0"/>
          <w:bCs w:val="0"/>
          <w:sz w:val="22"/>
          <w:szCs w:val="22"/>
        </w:rPr>
        <w:t xml:space="preserve"> pull-down assay.</w:t>
      </w:r>
    </w:p>
    <w:p w14:paraId="7BEBFC85" w14:textId="77777777" w:rsidR="0073133F" w:rsidRPr="0073133F" w:rsidRDefault="0073133F" w:rsidP="000C42C5">
      <w:pPr>
        <w:widowControl/>
        <w:jc w:val="left"/>
        <w:rPr>
          <w:rStyle w:val="Heading1Char"/>
          <w:rFonts w:ascii="Times New Roman" w:hAnsi="Times New Roman" w:cs="Times New Roman"/>
          <w:color w:val="000000" w:themeColor="text1"/>
          <w:sz w:val="22"/>
        </w:rPr>
      </w:pPr>
      <w:r w:rsidRPr="0073133F">
        <w:rPr>
          <w:rFonts w:ascii="Times New Roman" w:hAnsi="Times New Roman" w:cs="Times New Roman"/>
          <w:b/>
          <w:bCs/>
          <w:color w:val="000000" w:themeColor="text1"/>
          <w:sz w:val="22"/>
        </w:rPr>
        <w:br w:type="page"/>
      </w:r>
    </w:p>
    <w:p w14:paraId="27436B89" w14:textId="77777777" w:rsidR="0073133F" w:rsidRPr="0073133F" w:rsidRDefault="0073133F" w:rsidP="00CA4B40">
      <w:pPr>
        <w:widowControl/>
        <w:jc w:val="center"/>
        <w:rPr>
          <w:rStyle w:val="Heading1Char"/>
          <w:rFonts w:ascii="Times New Roman" w:hAnsi="Times New Roman" w:cs="Times New Roman"/>
          <w:color w:val="000000" w:themeColor="text1"/>
          <w:sz w:val="22"/>
        </w:rPr>
      </w:pPr>
      <w:r w:rsidRPr="0073133F">
        <w:rPr>
          <w:rStyle w:val="Heading1Char"/>
          <w:rFonts w:ascii="Times New Roman" w:hAnsi="Times New Roman" w:cs="Times New Roman"/>
          <w:noProof/>
          <w:color w:val="000000" w:themeColor="text1"/>
          <w:sz w:val="22"/>
        </w:rPr>
        <w:lastRenderedPageBreak/>
        <w:drawing>
          <wp:inline distT="0" distB="0" distL="0" distR="0" wp14:anchorId="1F9AF038" wp14:editId="15FE5383">
            <wp:extent cx="5971540" cy="6323111"/>
            <wp:effectExtent l="0" t="0" r="0" b="1905"/>
            <wp:docPr id="36" name="图片 36" descr="E:\实验成果\文章\RsdA致病\20241008文章分离\致病\20250414 nature\Extened data\extend fig3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实验成果\文章\RsdA致病\20241008文章分离\致病\20250414 nature\Extened data\extend fig3_画板 1.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71540" cy="6323111"/>
                    </a:xfrm>
                    <a:prstGeom prst="rect">
                      <a:avLst/>
                    </a:prstGeom>
                    <a:noFill/>
                    <a:ln>
                      <a:noFill/>
                    </a:ln>
                  </pic:spPr>
                </pic:pic>
              </a:graphicData>
            </a:graphic>
          </wp:inline>
        </w:drawing>
      </w:r>
    </w:p>
    <w:p w14:paraId="60812BED" w14:textId="77777777" w:rsidR="0073133F" w:rsidRPr="0073133F" w:rsidRDefault="0073133F" w:rsidP="00AD2728">
      <w:pPr>
        <w:pStyle w:val="Heading1"/>
        <w:spacing w:before="0" w:after="0" w:line="240" w:lineRule="auto"/>
        <w:rPr>
          <w:rFonts w:ascii="Times New Roman" w:hAnsi="Times New Roman" w:cs="Times New Roman"/>
          <w:b w:val="0"/>
          <w:bCs w:val="0"/>
          <w:sz w:val="22"/>
          <w:szCs w:val="22"/>
        </w:rPr>
      </w:pPr>
      <w:r w:rsidRPr="0073133F">
        <w:rPr>
          <w:rStyle w:val="Heading1Char"/>
          <w:rFonts w:ascii="Times New Roman" w:hAnsi="Times New Roman" w:cs="Times New Roman"/>
          <w:b/>
          <w:bCs/>
          <w:sz w:val="22"/>
          <w:szCs w:val="22"/>
        </w:rPr>
        <w:lastRenderedPageBreak/>
        <w:t xml:space="preserve">Extended Data Fig. 3: Regulatory network of the BGC genes regulated by CsdA and LaeB in </w:t>
      </w:r>
      <w:r w:rsidRPr="0073133F">
        <w:rPr>
          <w:rStyle w:val="Heading1Char"/>
          <w:rFonts w:ascii="Times New Roman" w:hAnsi="Times New Roman" w:cs="Times New Roman"/>
          <w:b/>
          <w:bCs/>
          <w:i/>
          <w:sz w:val="22"/>
          <w:szCs w:val="22"/>
        </w:rPr>
        <w:t>A. fumigatus</w:t>
      </w:r>
      <w:r w:rsidRPr="0073133F">
        <w:rPr>
          <w:rStyle w:val="Heading1Char"/>
          <w:rFonts w:ascii="Times New Roman" w:hAnsi="Times New Roman" w:cs="Times New Roman"/>
          <w:b/>
          <w:bCs/>
          <w:sz w:val="22"/>
          <w:szCs w:val="22"/>
        </w:rPr>
        <w:t>.</w:t>
      </w:r>
      <w:r w:rsidRPr="0073133F">
        <w:rPr>
          <w:rFonts w:ascii="Times New Roman" w:hAnsi="Times New Roman" w:cs="Times New Roman"/>
          <w:b w:val="0"/>
          <w:bCs w:val="0"/>
          <w:sz w:val="22"/>
          <w:szCs w:val="22"/>
        </w:rPr>
        <w:t xml:space="preserve"> </w:t>
      </w:r>
      <w:r w:rsidRPr="0073133F">
        <w:rPr>
          <w:rFonts w:ascii="Times New Roman" w:hAnsi="Times New Roman" w:cs="Times New Roman"/>
          <w:sz w:val="22"/>
          <w:szCs w:val="22"/>
        </w:rPr>
        <w:t>a</w:t>
      </w:r>
      <w:r w:rsidRPr="0073133F">
        <w:rPr>
          <w:rFonts w:ascii="Times New Roman" w:hAnsi="Times New Roman" w:cs="Times New Roman"/>
          <w:b w:val="0"/>
          <w:sz w:val="22"/>
          <w:szCs w:val="22"/>
        </w:rPr>
        <w:t>,</w:t>
      </w:r>
      <w:r w:rsidRPr="0073133F">
        <w:rPr>
          <w:rFonts w:ascii="Times New Roman" w:hAnsi="Times New Roman" w:cs="Times New Roman"/>
          <w:b w:val="0"/>
          <w:bCs w:val="0"/>
          <w:sz w:val="22"/>
          <w:szCs w:val="22"/>
        </w:rPr>
        <w:t xml:space="preserve"> Regulatory network of global secondary metabolism mediated by CsdA and LaeB in </w:t>
      </w:r>
      <w:r w:rsidRPr="0073133F">
        <w:rPr>
          <w:rFonts w:ascii="Times New Roman" w:hAnsi="Times New Roman" w:cs="Times New Roman"/>
          <w:b w:val="0"/>
          <w:bCs w:val="0"/>
          <w:i/>
          <w:sz w:val="22"/>
          <w:szCs w:val="22"/>
        </w:rPr>
        <w:t>A. fumigatus</w:t>
      </w:r>
      <w:r w:rsidRPr="0073133F">
        <w:rPr>
          <w:rFonts w:ascii="Times New Roman" w:hAnsi="Times New Roman" w:cs="Times New Roman"/>
          <w:b w:val="0"/>
          <w:bCs w:val="0"/>
          <w:sz w:val="22"/>
          <w:szCs w:val="22"/>
        </w:rPr>
        <w:t>.</w:t>
      </w:r>
      <w:r w:rsidRPr="0073133F">
        <w:rPr>
          <w:rFonts w:ascii="Times New Roman" w:hAnsi="Times New Roman" w:cs="Times New Roman"/>
          <w:b w:val="0"/>
          <w:bCs w:val="0"/>
          <w:kern w:val="0"/>
          <w:sz w:val="24"/>
          <w:szCs w:val="20"/>
        </w:rPr>
        <w:t xml:space="preserve"> </w:t>
      </w:r>
      <w:r w:rsidRPr="0073133F">
        <w:rPr>
          <w:rFonts w:ascii="Times New Roman" w:hAnsi="Times New Roman" w:cs="Times New Roman"/>
          <w:b w:val="0"/>
          <w:bCs w:val="0"/>
          <w:sz w:val="22"/>
          <w:szCs w:val="22"/>
        </w:rPr>
        <w:t xml:space="preserve">The gene expression levels of 39 BGC genes regulated by CsdA or LaeB in </w:t>
      </w:r>
      <w:r w:rsidRPr="0073133F">
        <w:rPr>
          <w:rFonts w:ascii="Times New Roman" w:hAnsi="Times New Roman" w:cs="Times New Roman"/>
          <w:b w:val="0"/>
          <w:bCs w:val="0"/>
          <w:i/>
          <w:sz w:val="22"/>
          <w:szCs w:val="22"/>
        </w:rPr>
        <w:t>A. fumigatus</w:t>
      </w:r>
      <w:r w:rsidRPr="0073133F">
        <w:rPr>
          <w:rFonts w:ascii="Times New Roman" w:hAnsi="Times New Roman" w:cs="Times New Roman"/>
          <w:b w:val="0"/>
          <w:bCs w:val="0"/>
          <w:sz w:val="22"/>
          <w:szCs w:val="22"/>
        </w:rPr>
        <w:t xml:space="preserve">. Red and blue dots indicate the genes that are significantly up-regulated and down-regulated by LaeB, respectively. The size of the dots represents the genes that are regulated by CsdA. </w:t>
      </w:r>
      <w:r w:rsidRPr="0073133F">
        <w:rPr>
          <w:rFonts w:ascii="Times New Roman" w:hAnsi="Times New Roman" w:cs="Times New Roman"/>
          <w:sz w:val="22"/>
          <w:szCs w:val="22"/>
        </w:rPr>
        <w:t>b-c</w:t>
      </w:r>
      <w:r w:rsidRPr="0073133F">
        <w:rPr>
          <w:rFonts w:ascii="Times New Roman" w:hAnsi="Times New Roman" w:cs="Times New Roman"/>
          <w:b w:val="0"/>
          <w:sz w:val="22"/>
          <w:szCs w:val="22"/>
        </w:rPr>
        <w:t>,</w:t>
      </w:r>
      <w:r w:rsidRPr="0073133F">
        <w:rPr>
          <w:rFonts w:ascii="Times New Roman" w:hAnsi="Times New Roman" w:cs="Times New Roman"/>
          <w:b w:val="0"/>
          <w:bCs w:val="0"/>
          <w:sz w:val="22"/>
          <w:szCs w:val="22"/>
        </w:rPr>
        <w:t xml:space="preserve"> The BGC backbone genes significantly regulated by CsdA or LaeB in </w:t>
      </w:r>
      <w:r w:rsidRPr="0073133F">
        <w:rPr>
          <w:rFonts w:ascii="Times New Roman" w:hAnsi="Times New Roman" w:cs="Times New Roman"/>
          <w:b w:val="0"/>
          <w:bCs w:val="0"/>
          <w:i/>
          <w:sz w:val="22"/>
          <w:szCs w:val="22"/>
        </w:rPr>
        <w:t>A. fumigatus</w:t>
      </w:r>
      <w:r w:rsidRPr="0073133F">
        <w:rPr>
          <w:rFonts w:ascii="Times New Roman" w:hAnsi="Times New Roman" w:cs="Times New Roman"/>
          <w:b w:val="0"/>
          <w:bCs w:val="0"/>
          <w:sz w:val="22"/>
          <w:szCs w:val="22"/>
        </w:rPr>
        <w:t xml:space="preserve">. </w:t>
      </w:r>
      <w:r w:rsidRPr="0073133F">
        <w:rPr>
          <w:rFonts w:ascii="Times New Roman" w:hAnsi="Times New Roman" w:cs="Times New Roman"/>
          <w:sz w:val="22"/>
          <w:szCs w:val="22"/>
        </w:rPr>
        <w:t>d</w:t>
      </w:r>
      <w:r w:rsidRPr="0073133F">
        <w:rPr>
          <w:rFonts w:ascii="Times New Roman" w:hAnsi="Times New Roman" w:cs="Times New Roman"/>
          <w:b w:val="0"/>
          <w:sz w:val="22"/>
          <w:szCs w:val="22"/>
        </w:rPr>
        <w:t>,</w:t>
      </w:r>
      <w:r w:rsidRPr="0073133F">
        <w:rPr>
          <w:rFonts w:ascii="Times New Roman" w:hAnsi="Times New Roman" w:cs="Times New Roman"/>
          <w:b w:val="0"/>
          <w:bCs w:val="0"/>
          <w:sz w:val="22"/>
          <w:szCs w:val="22"/>
        </w:rPr>
        <w:t xml:space="preserve"> The BGC backbone genes significantly co-regulated by CsdA and LaeB in </w:t>
      </w:r>
      <w:r w:rsidRPr="0073133F">
        <w:rPr>
          <w:rFonts w:ascii="Times New Roman" w:hAnsi="Times New Roman" w:cs="Times New Roman"/>
          <w:b w:val="0"/>
          <w:bCs w:val="0"/>
          <w:i/>
          <w:sz w:val="22"/>
          <w:szCs w:val="22"/>
        </w:rPr>
        <w:t>A. fumigatus</w:t>
      </w:r>
      <w:r w:rsidRPr="0073133F">
        <w:rPr>
          <w:rFonts w:ascii="Times New Roman" w:hAnsi="Times New Roman" w:cs="Times New Roman"/>
          <w:b w:val="0"/>
          <w:bCs w:val="0"/>
          <w:sz w:val="22"/>
          <w:szCs w:val="22"/>
        </w:rPr>
        <w:t xml:space="preserve">. </w:t>
      </w:r>
      <w:r w:rsidRPr="0073133F">
        <w:rPr>
          <w:rFonts w:ascii="Times New Roman" w:hAnsi="Times New Roman" w:cs="Times New Roman"/>
          <w:sz w:val="22"/>
          <w:szCs w:val="22"/>
        </w:rPr>
        <w:t>e</w:t>
      </w:r>
      <w:r w:rsidRPr="0073133F">
        <w:rPr>
          <w:rFonts w:ascii="Times New Roman" w:hAnsi="Times New Roman" w:cs="Times New Roman"/>
          <w:b w:val="0"/>
          <w:sz w:val="22"/>
          <w:szCs w:val="22"/>
        </w:rPr>
        <w:t>,</w:t>
      </w:r>
      <w:r w:rsidRPr="0073133F">
        <w:rPr>
          <w:rFonts w:ascii="Times New Roman" w:hAnsi="Times New Roman" w:cs="Times New Roman"/>
          <w:b w:val="0"/>
          <w:bCs w:val="0"/>
          <w:sz w:val="22"/>
          <w:szCs w:val="22"/>
        </w:rPr>
        <w:t xml:space="preserve"> The </w:t>
      </w:r>
      <w:r w:rsidRPr="0073133F">
        <w:rPr>
          <w:rFonts w:ascii="Times New Roman" w:hAnsi="Times New Roman" w:cs="Times New Roman"/>
          <w:b w:val="0"/>
          <w:bCs w:val="0"/>
          <w:i/>
          <w:sz w:val="22"/>
          <w:szCs w:val="22"/>
        </w:rPr>
        <w:t>enc</w:t>
      </w:r>
      <w:r w:rsidRPr="0073133F">
        <w:rPr>
          <w:rFonts w:ascii="Times New Roman" w:hAnsi="Times New Roman" w:cs="Times New Roman"/>
          <w:b w:val="0"/>
          <w:bCs w:val="0"/>
          <w:sz w:val="22"/>
          <w:szCs w:val="22"/>
        </w:rPr>
        <w:t xml:space="preserve"> cluster gene expression in Δ</w:t>
      </w:r>
      <w:r w:rsidRPr="0073133F">
        <w:rPr>
          <w:rFonts w:ascii="Times New Roman" w:hAnsi="Times New Roman" w:cs="Times New Roman"/>
          <w:b w:val="0"/>
          <w:bCs w:val="0"/>
          <w:i/>
          <w:sz w:val="22"/>
          <w:szCs w:val="22"/>
        </w:rPr>
        <w:t>csdA</w:t>
      </w:r>
      <w:r w:rsidRPr="0073133F">
        <w:rPr>
          <w:rFonts w:ascii="Times New Roman" w:hAnsi="Times New Roman" w:cs="Times New Roman"/>
          <w:b w:val="0"/>
          <w:bCs w:val="0"/>
          <w:sz w:val="22"/>
          <w:szCs w:val="22"/>
        </w:rPr>
        <w:t xml:space="preserve"> and Δ</w:t>
      </w:r>
      <w:r w:rsidRPr="0073133F">
        <w:rPr>
          <w:rFonts w:ascii="Times New Roman" w:hAnsi="Times New Roman" w:cs="Times New Roman"/>
          <w:b w:val="0"/>
          <w:bCs w:val="0"/>
          <w:i/>
          <w:sz w:val="22"/>
          <w:szCs w:val="22"/>
        </w:rPr>
        <w:t>laeB</w:t>
      </w:r>
      <w:r w:rsidRPr="0073133F">
        <w:rPr>
          <w:rFonts w:ascii="Times New Roman" w:hAnsi="Times New Roman" w:cs="Times New Roman"/>
          <w:b w:val="0"/>
          <w:bCs w:val="0"/>
          <w:sz w:val="22"/>
          <w:szCs w:val="22"/>
        </w:rPr>
        <w:t xml:space="preserve"> mutants compared with control. The </w:t>
      </w:r>
      <w:r w:rsidRPr="0073133F">
        <w:rPr>
          <w:rFonts w:ascii="Times New Roman" w:hAnsi="Times New Roman" w:cs="Times New Roman"/>
          <w:b w:val="0"/>
          <w:bCs w:val="0"/>
          <w:i/>
          <w:sz w:val="22"/>
          <w:szCs w:val="22"/>
        </w:rPr>
        <w:t>enc</w:t>
      </w:r>
      <w:r w:rsidRPr="0073133F">
        <w:rPr>
          <w:rFonts w:ascii="Times New Roman" w:hAnsi="Times New Roman" w:cs="Times New Roman"/>
          <w:b w:val="0"/>
          <w:bCs w:val="0"/>
          <w:sz w:val="22"/>
          <w:szCs w:val="22"/>
        </w:rPr>
        <w:t xml:space="preserve"> A-D genes are required for endocrocin biosynthesis. </w:t>
      </w:r>
      <w:r w:rsidRPr="0073133F">
        <w:rPr>
          <w:rFonts w:ascii="Times New Roman" w:hAnsi="Times New Roman" w:cs="Times New Roman"/>
          <w:sz w:val="22"/>
          <w:szCs w:val="22"/>
        </w:rPr>
        <w:t>f</w:t>
      </w:r>
      <w:r w:rsidRPr="0073133F">
        <w:rPr>
          <w:rFonts w:ascii="Times New Roman" w:hAnsi="Times New Roman" w:cs="Times New Roman"/>
          <w:b w:val="0"/>
          <w:sz w:val="22"/>
          <w:szCs w:val="22"/>
        </w:rPr>
        <w:t>,</w:t>
      </w:r>
      <w:r w:rsidRPr="0073133F">
        <w:rPr>
          <w:rFonts w:ascii="Times New Roman" w:hAnsi="Times New Roman" w:cs="Times New Roman"/>
          <w:b w:val="0"/>
          <w:bCs w:val="0"/>
          <w:sz w:val="22"/>
          <w:szCs w:val="22"/>
        </w:rPr>
        <w:t xml:space="preserve"> The </w:t>
      </w:r>
      <w:r w:rsidRPr="0073133F">
        <w:rPr>
          <w:rFonts w:ascii="Times New Roman" w:hAnsi="Times New Roman" w:cs="Times New Roman"/>
          <w:b w:val="0"/>
          <w:bCs w:val="0"/>
          <w:i/>
          <w:sz w:val="22"/>
          <w:szCs w:val="22"/>
        </w:rPr>
        <w:t>nsc</w:t>
      </w:r>
      <w:r w:rsidRPr="0073133F">
        <w:rPr>
          <w:rFonts w:ascii="Times New Roman" w:hAnsi="Times New Roman" w:cs="Times New Roman"/>
          <w:b w:val="0"/>
          <w:bCs w:val="0"/>
          <w:sz w:val="22"/>
          <w:szCs w:val="22"/>
        </w:rPr>
        <w:t xml:space="preserve"> cluster gene expression in Δ</w:t>
      </w:r>
      <w:r w:rsidRPr="0073133F">
        <w:rPr>
          <w:rFonts w:ascii="Times New Roman" w:hAnsi="Times New Roman" w:cs="Times New Roman"/>
          <w:b w:val="0"/>
          <w:bCs w:val="0"/>
          <w:i/>
          <w:sz w:val="22"/>
          <w:szCs w:val="22"/>
        </w:rPr>
        <w:t>csdA</w:t>
      </w:r>
      <w:r w:rsidRPr="0073133F">
        <w:rPr>
          <w:rFonts w:ascii="Times New Roman" w:hAnsi="Times New Roman" w:cs="Times New Roman"/>
          <w:b w:val="0"/>
          <w:bCs w:val="0"/>
          <w:sz w:val="22"/>
          <w:szCs w:val="22"/>
        </w:rPr>
        <w:t xml:space="preserve"> and Δ</w:t>
      </w:r>
      <w:r w:rsidRPr="0073133F">
        <w:rPr>
          <w:rFonts w:ascii="Times New Roman" w:hAnsi="Times New Roman" w:cs="Times New Roman"/>
          <w:b w:val="0"/>
          <w:bCs w:val="0"/>
          <w:i/>
          <w:sz w:val="22"/>
          <w:szCs w:val="22"/>
        </w:rPr>
        <w:t>laeB</w:t>
      </w:r>
      <w:r w:rsidRPr="0073133F">
        <w:rPr>
          <w:rFonts w:ascii="Times New Roman" w:hAnsi="Times New Roman" w:cs="Times New Roman"/>
          <w:b w:val="0"/>
          <w:bCs w:val="0"/>
          <w:sz w:val="22"/>
          <w:szCs w:val="22"/>
        </w:rPr>
        <w:t xml:space="preserve"> mutants compared with control. The </w:t>
      </w:r>
      <w:r w:rsidRPr="0073133F">
        <w:rPr>
          <w:rFonts w:ascii="Times New Roman" w:hAnsi="Times New Roman" w:cs="Times New Roman"/>
          <w:b w:val="0"/>
          <w:bCs w:val="0"/>
          <w:i/>
          <w:sz w:val="22"/>
          <w:szCs w:val="22"/>
        </w:rPr>
        <w:t>nsc</w:t>
      </w:r>
      <w:r w:rsidRPr="0073133F">
        <w:rPr>
          <w:rFonts w:ascii="Times New Roman" w:hAnsi="Times New Roman" w:cs="Times New Roman"/>
          <w:b w:val="0"/>
          <w:bCs w:val="0"/>
          <w:sz w:val="22"/>
          <w:szCs w:val="22"/>
        </w:rPr>
        <w:t xml:space="preserve"> A-E, R genes are required for neosartoricin biosynthesis. </w:t>
      </w:r>
      <w:r w:rsidRPr="0073133F">
        <w:rPr>
          <w:rFonts w:ascii="Times New Roman" w:hAnsi="Times New Roman" w:cs="Times New Roman"/>
          <w:sz w:val="22"/>
          <w:szCs w:val="22"/>
        </w:rPr>
        <w:t>g</w:t>
      </w:r>
      <w:r w:rsidRPr="0073133F">
        <w:rPr>
          <w:rFonts w:ascii="Times New Roman" w:hAnsi="Times New Roman" w:cs="Times New Roman"/>
          <w:b w:val="0"/>
          <w:sz w:val="22"/>
          <w:szCs w:val="22"/>
        </w:rPr>
        <w:t>,</w:t>
      </w:r>
      <w:r w:rsidRPr="0073133F">
        <w:rPr>
          <w:rFonts w:ascii="Times New Roman" w:hAnsi="Times New Roman" w:cs="Times New Roman"/>
          <w:b w:val="0"/>
          <w:bCs w:val="0"/>
          <w:sz w:val="22"/>
          <w:szCs w:val="22"/>
        </w:rPr>
        <w:t xml:space="preserve"> The </w:t>
      </w:r>
      <w:r w:rsidRPr="0073133F">
        <w:rPr>
          <w:rFonts w:ascii="Times New Roman" w:hAnsi="Times New Roman" w:cs="Times New Roman"/>
          <w:b w:val="0"/>
          <w:bCs w:val="0"/>
          <w:i/>
          <w:sz w:val="22"/>
          <w:szCs w:val="22"/>
        </w:rPr>
        <w:t>afum</w:t>
      </w:r>
      <w:r w:rsidRPr="0073133F">
        <w:rPr>
          <w:rFonts w:ascii="Times New Roman" w:hAnsi="Times New Roman" w:cs="Times New Roman"/>
          <w:b w:val="0"/>
          <w:bCs w:val="0"/>
          <w:sz w:val="22"/>
          <w:szCs w:val="22"/>
        </w:rPr>
        <w:t xml:space="preserve"> cluster gene expression in Δ</w:t>
      </w:r>
      <w:r w:rsidRPr="0073133F">
        <w:rPr>
          <w:rFonts w:ascii="Times New Roman" w:hAnsi="Times New Roman" w:cs="Times New Roman"/>
          <w:b w:val="0"/>
          <w:bCs w:val="0"/>
          <w:i/>
          <w:sz w:val="22"/>
          <w:szCs w:val="22"/>
        </w:rPr>
        <w:t>csdA</w:t>
      </w:r>
      <w:r w:rsidRPr="0073133F">
        <w:rPr>
          <w:rFonts w:ascii="Times New Roman" w:hAnsi="Times New Roman" w:cs="Times New Roman"/>
          <w:b w:val="0"/>
          <w:bCs w:val="0"/>
          <w:sz w:val="22"/>
          <w:szCs w:val="22"/>
        </w:rPr>
        <w:t xml:space="preserve"> and Δ</w:t>
      </w:r>
      <w:r w:rsidRPr="0073133F">
        <w:rPr>
          <w:rFonts w:ascii="Times New Roman" w:hAnsi="Times New Roman" w:cs="Times New Roman"/>
          <w:b w:val="0"/>
          <w:bCs w:val="0"/>
          <w:i/>
          <w:sz w:val="22"/>
          <w:szCs w:val="22"/>
        </w:rPr>
        <w:t>laeB</w:t>
      </w:r>
      <w:r w:rsidRPr="0073133F">
        <w:rPr>
          <w:rFonts w:ascii="Times New Roman" w:hAnsi="Times New Roman" w:cs="Times New Roman"/>
          <w:b w:val="0"/>
          <w:bCs w:val="0"/>
          <w:sz w:val="22"/>
          <w:szCs w:val="22"/>
        </w:rPr>
        <w:t xml:space="preserve"> mutants compared with control. The </w:t>
      </w:r>
      <w:r w:rsidRPr="0073133F">
        <w:rPr>
          <w:rFonts w:ascii="Times New Roman" w:hAnsi="Times New Roman" w:cs="Times New Roman"/>
          <w:b w:val="0"/>
          <w:bCs w:val="0"/>
          <w:i/>
          <w:sz w:val="22"/>
          <w:szCs w:val="22"/>
        </w:rPr>
        <w:t>afum</w:t>
      </w:r>
      <w:r w:rsidRPr="0073133F">
        <w:rPr>
          <w:rFonts w:ascii="Times New Roman" w:hAnsi="Times New Roman" w:cs="Times New Roman"/>
          <w:b w:val="0"/>
          <w:bCs w:val="0"/>
          <w:sz w:val="22"/>
          <w:szCs w:val="22"/>
        </w:rPr>
        <w:t xml:space="preserve"> A-D genes are required for fumihopaside biosynthesis</w:t>
      </w:r>
      <w:r w:rsidRPr="0073133F">
        <w:rPr>
          <w:rFonts w:ascii="Times New Roman" w:hAnsi="Times New Roman" w:cs="Times New Roman" w:hint="eastAsia"/>
          <w:b w:val="0"/>
          <w:bCs w:val="0"/>
          <w:sz w:val="22"/>
          <w:szCs w:val="22"/>
        </w:rPr>
        <w:t>.</w:t>
      </w:r>
      <w:r w:rsidRPr="0073133F">
        <w:rPr>
          <w:rFonts w:ascii="Times New Roman" w:hAnsi="Times New Roman" w:cs="Times New Roman"/>
          <w:b w:val="0"/>
          <w:bCs w:val="0"/>
          <w:sz w:val="22"/>
          <w:szCs w:val="22"/>
        </w:rPr>
        <w:t xml:space="preserve"> Differentially expressed genes: </w:t>
      </w:r>
      <w:r w:rsidRPr="0073133F">
        <w:rPr>
          <w:rFonts w:ascii="Times New Roman" w:hAnsi="Times New Roman" w:cs="Times New Roman"/>
          <w:b w:val="0"/>
          <w:bCs w:val="0"/>
          <w:i/>
          <w:iCs/>
          <w:sz w:val="22"/>
          <w:szCs w:val="22"/>
        </w:rPr>
        <w:t>p</w:t>
      </w:r>
      <w:r w:rsidRPr="0073133F">
        <w:rPr>
          <w:rFonts w:ascii="Times New Roman" w:hAnsi="Times New Roman" w:cs="Times New Roman"/>
          <w:b w:val="0"/>
          <w:bCs w:val="0"/>
          <w:sz w:val="22"/>
          <w:szCs w:val="22"/>
        </w:rPr>
        <w:t>&lt;0.05, |Log</w:t>
      </w:r>
      <w:r w:rsidRPr="0073133F">
        <w:rPr>
          <w:rFonts w:ascii="Times New Roman" w:hAnsi="Times New Roman" w:cs="Times New Roman"/>
          <w:b w:val="0"/>
          <w:bCs w:val="0"/>
          <w:sz w:val="22"/>
          <w:szCs w:val="22"/>
          <w:vertAlign w:val="subscript"/>
        </w:rPr>
        <w:t>2</w:t>
      </w:r>
      <w:r w:rsidRPr="0073133F">
        <w:rPr>
          <w:rFonts w:ascii="Times New Roman" w:hAnsi="Times New Roman" w:cs="Times New Roman"/>
          <w:b w:val="0"/>
          <w:bCs w:val="0"/>
          <w:sz w:val="22"/>
          <w:szCs w:val="22"/>
        </w:rPr>
        <w:t>foldchange|&gt;1. All error bars are expressed as mean±SD. Statistical analysis was performed by using Two-way ANOVA (Significant at *</w:t>
      </w:r>
      <w:r w:rsidRPr="0073133F">
        <w:rPr>
          <w:rFonts w:ascii="Times New Roman" w:hAnsi="Times New Roman" w:cs="Times New Roman"/>
          <w:b w:val="0"/>
          <w:bCs w:val="0"/>
          <w:i/>
          <w:iCs/>
          <w:sz w:val="22"/>
          <w:szCs w:val="22"/>
        </w:rPr>
        <w:t>p</w:t>
      </w:r>
      <w:r w:rsidRPr="0073133F">
        <w:rPr>
          <w:rFonts w:ascii="Times New Roman" w:hAnsi="Times New Roman" w:cs="Times New Roman"/>
          <w:b w:val="0"/>
          <w:bCs w:val="0"/>
          <w:sz w:val="22"/>
          <w:szCs w:val="22"/>
        </w:rPr>
        <w:t xml:space="preserve"> &lt; 0.05, **</w:t>
      </w:r>
      <w:r w:rsidRPr="0073133F">
        <w:rPr>
          <w:rFonts w:ascii="Times New Roman" w:hAnsi="Times New Roman" w:cs="Times New Roman"/>
          <w:b w:val="0"/>
          <w:bCs w:val="0"/>
          <w:i/>
          <w:iCs/>
          <w:sz w:val="22"/>
          <w:szCs w:val="22"/>
        </w:rPr>
        <w:t>p</w:t>
      </w:r>
      <w:r w:rsidRPr="0073133F">
        <w:rPr>
          <w:rFonts w:ascii="Times New Roman" w:hAnsi="Times New Roman" w:cs="Times New Roman"/>
          <w:b w:val="0"/>
          <w:bCs w:val="0"/>
          <w:sz w:val="22"/>
          <w:szCs w:val="22"/>
        </w:rPr>
        <w:t xml:space="preserve"> &lt; 0.01, ***</w:t>
      </w:r>
      <w:r w:rsidRPr="0073133F">
        <w:rPr>
          <w:rFonts w:ascii="Times New Roman" w:hAnsi="Times New Roman" w:cs="Times New Roman"/>
          <w:b w:val="0"/>
          <w:bCs w:val="0"/>
          <w:i/>
          <w:iCs/>
          <w:sz w:val="22"/>
          <w:szCs w:val="22"/>
        </w:rPr>
        <w:t>p</w:t>
      </w:r>
      <w:r w:rsidRPr="0073133F">
        <w:rPr>
          <w:rFonts w:ascii="Times New Roman" w:hAnsi="Times New Roman" w:cs="Times New Roman"/>
          <w:b w:val="0"/>
          <w:bCs w:val="0"/>
          <w:sz w:val="22"/>
          <w:szCs w:val="22"/>
        </w:rPr>
        <w:t xml:space="preserve"> &lt; 0.001, ****</w:t>
      </w:r>
      <w:r w:rsidRPr="0073133F">
        <w:rPr>
          <w:rFonts w:ascii="Times New Roman" w:hAnsi="Times New Roman" w:cs="Times New Roman"/>
          <w:b w:val="0"/>
          <w:bCs w:val="0"/>
          <w:i/>
          <w:iCs/>
          <w:sz w:val="22"/>
          <w:szCs w:val="22"/>
        </w:rPr>
        <w:t>p</w:t>
      </w:r>
      <w:r w:rsidRPr="0073133F">
        <w:rPr>
          <w:rFonts w:ascii="Times New Roman" w:hAnsi="Times New Roman" w:cs="Times New Roman"/>
          <w:b w:val="0"/>
          <w:bCs w:val="0"/>
          <w:sz w:val="22"/>
          <w:szCs w:val="22"/>
        </w:rPr>
        <w:t xml:space="preserve"> &lt; 0.0001).</w:t>
      </w:r>
    </w:p>
    <w:p w14:paraId="567F1609" w14:textId="77777777" w:rsidR="0073133F" w:rsidRPr="0073133F" w:rsidRDefault="0073133F" w:rsidP="008229D7">
      <w:r w:rsidRPr="0073133F">
        <w:br w:type="page"/>
      </w:r>
    </w:p>
    <w:p w14:paraId="647D4989" w14:textId="77777777" w:rsidR="0073133F" w:rsidRPr="0073133F" w:rsidRDefault="0073133F" w:rsidP="00CA4B40">
      <w:pPr>
        <w:widowControl/>
        <w:jc w:val="center"/>
        <w:rPr>
          <w:rFonts w:ascii="Times New Roman" w:hAnsi="Times New Roman" w:cs="Times New Roman"/>
          <w:b/>
          <w:bCs/>
          <w:color w:val="000000" w:themeColor="text1"/>
          <w:sz w:val="22"/>
        </w:rPr>
      </w:pPr>
      <w:r w:rsidRPr="0073133F">
        <w:rPr>
          <w:rFonts w:ascii="Times New Roman" w:hAnsi="Times New Roman" w:cs="Times New Roman"/>
          <w:b/>
          <w:bCs/>
          <w:noProof/>
          <w:color w:val="000000" w:themeColor="text1"/>
          <w:sz w:val="22"/>
        </w:rPr>
        <w:lastRenderedPageBreak/>
        <w:drawing>
          <wp:inline distT="0" distB="0" distL="0" distR="0" wp14:anchorId="58D680C9" wp14:editId="2F660B44">
            <wp:extent cx="5473700" cy="7704399"/>
            <wp:effectExtent l="0" t="0" r="0" b="0"/>
            <wp:docPr id="37" name="图片 37" descr="E:\实验成果\文章\RsdA致病\20241008文章分离\致病\20250414 nature\Extened data\extend fig4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实验成果\文章\RsdA致病\20241008文章分离\致病\20250414 nature\Extened data\extend fig4_画板 1.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77847" cy="7710236"/>
                    </a:xfrm>
                    <a:prstGeom prst="rect">
                      <a:avLst/>
                    </a:prstGeom>
                    <a:noFill/>
                    <a:ln>
                      <a:noFill/>
                    </a:ln>
                  </pic:spPr>
                </pic:pic>
              </a:graphicData>
            </a:graphic>
          </wp:inline>
        </w:drawing>
      </w:r>
    </w:p>
    <w:p w14:paraId="357AE6AF" w14:textId="77777777" w:rsidR="0073133F" w:rsidRPr="0073133F" w:rsidRDefault="0073133F" w:rsidP="008378BC">
      <w:pPr>
        <w:pStyle w:val="Heading1"/>
        <w:spacing w:before="0" w:after="0" w:line="240" w:lineRule="auto"/>
        <w:rPr>
          <w:rFonts w:ascii="Times New Roman" w:hAnsi="Times New Roman" w:cs="Times New Roman"/>
          <w:color w:val="000000" w:themeColor="text1"/>
          <w:sz w:val="22"/>
          <w:szCs w:val="22"/>
        </w:rPr>
      </w:pPr>
      <w:bookmarkStart w:id="1" w:name="_Hlk146748875"/>
      <w:r w:rsidRPr="0073133F">
        <w:rPr>
          <w:rFonts w:ascii="Times New Roman" w:hAnsi="Times New Roman" w:cs="Times New Roman"/>
          <w:color w:val="000000" w:themeColor="text1"/>
          <w:sz w:val="22"/>
          <w:szCs w:val="22"/>
        </w:rPr>
        <w:t xml:space="preserve">Extended Data Fig. 4: The fumiquinazoline C abundance in clinical </w:t>
      </w:r>
      <w:r w:rsidRPr="0073133F">
        <w:rPr>
          <w:rFonts w:ascii="Times New Roman" w:hAnsi="Times New Roman" w:cs="Times New Roman"/>
          <w:i/>
          <w:color w:val="000000" w:themeColor="text1"/>
          <w:sz w:val="22"/>
          <w:szCs w:val="22"/>
        </w:rPr>
        <w:t>A. fumigatus</w:t>
      </w:r>
      <w:r w:rsidRPr="0073133F">
        <w:rPr>
          <w:rFonts w:ascii="Times New Roman" w:hAnsi="Times New Roman" w:cs="Times New Roman"/>
          <w:color w:val="000000" w:themeColor="text1"/>
          <w:sz w:val="22"/>
          <w:szCs w:val="22"/>
        </w:rPr>
        <w:t xml:space="preserve"> cultured in lung plates. </w:t>
      </w:r>
      <w:bookmarkEnd w:id="1"/>
      <w:r w:rsidRPr="0073133F">
        <w:rPr>
          <w:rFonts w:ascii="Times New Roman" w:hAnsi="Times New Roman" w:cs="Times New Roman"/>
          <w:color w:val="000000" w:themeColor="text1"/>
          <w:sz w:val="22"/>
          <w:szCs w:val="22"/>
        </w:rPr>
        <w:t>a</w:t>
      </w:r>
      <w:r w:rsidRPr="0073133F">
        <w:rPr>
          <w:rFonts w:ascii="Times New Roman" w:hAnsi="Times New Roman" w:cs="Times New Roman"/>
          <w:b w:val="0"/>
          <w:bCs w:val="0"/>
          <w:color w:val="000000" w:themeColor="text1"/>
          <w:kern w:val="0"/>
          <w:sz w:val="22"/>
        </w:rPr>
        <w:t xml:space="preserve">, Schematic diagram of metabolites analysis of clinical strains cultured in lung plates. Mouse lungs were homogenized in MOPS buffer and supplemented with agar. </w:t>
      </w:r>
      <w:r w:rsidRPr="0073133F">
        <w:rPr>
          <w:rFonts w:ascii="Times New Roman" w:hAnsi="Times New Roman" w:cs="Times New Roman"/>
          <w:color w:val="000000" w:themeColor="text1"/>
          <w:sz w:val="22"/>
          <w:szCs w:val="22"/>
        </w:rPr>
        <w:t>b</w:t>
      </w:r>
      <w:r w:rsidRPr="0073133F">
        <w:rPr>
          <w:rFonts w:ascii="Times New Roman" w:hAnsi="Times New Roman" w:cs="Times New Roman"/>
          <w:b w:val="0"/>
          <w:bCs w:val="0"/>
          <w:color w:val="000000" w:themeColor="text1"/>
          <w:kern w:val="0"/>
          <w:sz w:val="22"/>
        </w:rPr>
        <w:t>, Metabolic profiles of clinical strains cultured in lung plates. The red line represents the peak of fumiquinazoline C.</w:t>
      </w:r>
    </w:p>
    <w:p w14:paraId="46F0A037" w14:textId="77777777" w:rsidR="0073133F" w:rsidRPr="0073133F" w:rsidRDefault="0073133F" w:rsidP="00946363">
      <w:pPr>
        <w:widowControl/>
        <w:jc w:val="left"/>
        <w:rPr>
          <w:rFonts w:ascii="Times New Roman" w:hAnsi="Times New Roman" w:cs="Times New Roman"/>
          <w:b/>
          <w:bCs/>
          <w:color w:val="000000" w:themeColor="text1"/>
          <w:sz w:val="22"/>
        </w:rPr>
      </w:pPr>
      <w:r w:rsidRPr="0073133F">
        <w:rPr>
          <w:rFonts w:ascii="Times New Roman" w:hAnsi="Times New Roman" w:cs="Times New Roman"/>
          <w:b/>
          <w:bCs/>
          <w:color w:val="000000" w:themeColor="text1"/>
          <w:sz w:val="22"/>
        </w:rPr>
        <w:br w:type="page"/>
      </w:r>
    </w:p>
    <w:p w14:paraId="183F3340" w14:textId="77777777" w:rsidR="0073133F" w:rsidRPr="0073133F" w:rsidRDefault="0073133F" w:rsidP="00CE2BA6">
      <w:pPr>
        <w:widowControl/>
        <w:jc w:val="center"/>
        <w:rPr>
          <w:rFonts w:ascii="Times New Roman" w:eastAsia="DengXian" w:hAnsi="Times New Roman" w:cs="Times New Roman"/>
          <w:color w:val="000000" w:themeColor="text1"/>
          <w:kern w:val="24"/>
          <w:sz w:val="22"/>
        </w:rPr>
      </w:pPr>
      <w:r w:rsidRPr="0073133F">
        <w:rPr>
          <w:rFonts w:ascii="Times New Roman" w:eastAsia="DengXian" w:hAnsi="Times New Roman" w:cs="Times New Roman"/>
          <w:noProof/>
          <w:color w:val="000000" w:themeColor="text1"/>
          <w:kern w:val="24"/>
          <w:sz w:val="22"/>
        </w:rPr>
        <w:lastRenderedPageBreak/>
        <w:drawing>
          <wp:inline distT="0" distB="0" distL="0" distR="0" wp14:anchorId="78D79255" wp14:editId="0115ACB6">
            <wp:extent cx="5971540" cy="5143702"/>
            <wp:effectExtent l="0" t="0" r="0" b="0"/>
            <wp:docPr id="38" name="图片 38" descr="E:\实验成果\文章\RsdA致病\20241008文章分离\致病\20250414 nature\Extened data\extend fig5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实验成果\文章\RsdA致病\20241008文章分离\致病\20250414 nature\Extened data\extend fig5_画板 1.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71540" cy="5143702"/>
                    </a:xfrm>
                    <a:prstGeom prst="rect">
                      <a:avLst/>
                    </a:prstGeom>
                    <a:noFill/>
                    <a:ln>
                      <a:noFill/>
                    </a:ln>
                  </pic:spPr>
                </pic:pic>
              </a:graphicData>
            </a:graphic>
          </wp:inline>
        </w:drawing>
      </w:r>
    </w:p>
    <w:p w14:paraId="4B9DECD9" w14:textId="77777777" w:rsidR="0073133F" w:rsidRPr="0073133F" w:rsidRDefault="0073133F" w:rsidP="00CE2BA6">
      <w:pPr>
        <w:pStyle w:val="Heading1"/>
        <w:spacing w:before="0" w:after="0" w:line="240" w:lineRule="auto"/>
        <w:rPr>
          <w:rFonts w:ascii="Times New Roman" w:hAnsi="Times New Roman" w:cs="Times New Roman"/>
          <w:b w:val="0"/>
          <w:bCs w:val="0"/>
          <w:color w:val="000000" w:themeColor="text1"/>
          <w:sz w:val="22"/>
        </w:rPr>
      </w:pPr>
      <w:r w:rsidRPr="0073133F">
        <w:rPr>
          <w:rFonts w:ascii="Times New Roman" w:hAnsi="Times New Roman" w:cs="Times New Roman"/>
          <w:color w:val="000000" w:themeColor="text1"/>
          <w:sz w:val="22"/>
          <w:szCs w:val="22"/>
        </w:rPr>
        <w:t>Extended Data Fig. 5: Construction and metabolite analysis of backbone gene mutants related to fumiquinazoline C biosynthesis.</w:t>
      </w:r>
      <w:r w:rsidRPr="0073133F">
        <w:rPr>
          <w:rFonts w:ascii="Times New Roman" w:hAnsi="Times New Roman" w:cs="Times New Roman"/>
          <w:b w:val="0"/>
          <w:bCs w:val="0"/>
          <w:color w:val="000000" w:themeColor="text1"/>
          <w:sz w:val="22"/>
          <w:szCs w:val="22"/>
        </w:rPr>
        <w:t xml:space="preserve"> </w:t>
      </w:r>
      <w:r w:rsidRPr="0073133F">
        <w:rPr>
          <w:rFonts w:ascii="Times New Roman" w:hAnsi="Times New Roman" w:cs="Times New Roman"/>
          <w:color w:val="000000" w:themeColor="text1"/>
          <w:sz w:val="22"/>
          <w:szCs w:val="22"/>
        </w:rPr>
        <w:t>a</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Biosynthetic pathway of fumiquinazoline C. NRPS: non-ribosomal peptide synthase. The </w:t>
      </w:r>
      <w:r w:rsidRPr="0073133F">
        <w:rPr>
          <w:rFonts w:ascii="Times New Roman" w:hAnsi="Times New Roman" w:cs="Times New Roman"/>
          <w:b w:val="0"/>
          <w:bCs w:val="0"/>
          <w:i/>
          <w:color w:val="000000" w:themeColor="text1"/>
          <w:sz w:val="22"/>
          <w:szCs w:val="22"/>
        </w:rPr>
        <w:t>fmqA</w:t>
      </w:r>
      <w:r w:rsidRPr="0073133F">
        <w:rPr>
          <w:rFonts w:ascii="Times New Roman" w:hAnsi="Times New Roman" w:cs="Times New Roman"/>
          <w:b w:val="0"/>
          <w:bCs w:val="0"/>
          <w:color w:val="000000" w:themeColor="text1"/>
          <w:sz w:val="22"/>
          <w:szCs w:val="22"/>
        </w:rPr>
        <w:t xml:space="preserve"> and </w:t>
      </w:r>
      <w:r w:rsidRPr="0073133F">
        <w:rPr>
          <w:rFonts w:ascii="Times New Roman" w:hAnsi="Times New Roman" w:cs="Times New Roman"/>
          <w:b w:val="0"/>
          <w:bCs w:val="0"/>
          <w:i/>
          <w:color w:val="000000" w:themeColor="text1"/>
          <w:sz w:val="22"/>
          <w:szCs w:val="22"/>
        </w:rPr>
        <w:t>fmqC</w:t>
      </w:r>
      <w:r w:rsidRPr="0073133F">
        <w:rPr>
          <w:rFonts w:ascii="Times New Roman" w:hAnsi="Times New Roman" w:cs="Times New Roman"/>
          <w:b w:val="0"/>
          <w:bCs w:val="0"/>
          <w:color w:val="000000" w:themeColor="text1"/>
          <w:sz w:val="22"/>
          <w:szCs w:val="22"/>
        </w:rPr>
        <w:t xml:space="preserve"> are the backbone genes in the biosynthetic pathway of fumiquinazoline C. </w:t>
      </w:r>
      <w:r w:rsidRPr="0073133F">
        <w:rPr>
          <w:rFonts w:ascii="Times New Roman" w:hAnsi="Times New Roman" w:cs="Times New Roman"/>
          <w:color w:val="000000" w:themeColor="text1"/>
          <w:sz w:val="22"/>
          <w:szCs w:val="22"/>
        </w:rPr>
        <w:t>b</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Construction of the Δ</w:t>
      </w:r>
      <w:r w:rsidRPr="0073133F">
        <w:rPr>
          <w:rFonts w:ascii="Times New Roman" w:hAnsi="Times New Roman" w:cs="Times New Roman"/>
          <w:b w:val="0"/>
          <w:bCs w:val="0"/>
          <w:i/>
          <w:color w:val="000000" w:themeColor="text1"/>
          <w:sz w:val="22"/>
          <w:szCs w:val="22"/>
        </w:rPr>
        <w:t xml:space="preserve">fmqC </w:t>
      </w:r>
      <w:r w:rsidRPr="0073133F">
        <w:rPr>
          <w:rFonts w:ascii="Times New Roman" w:hAnsi="Times New Roman" w:cs="Times New Roman"/>
          <w:b w:val="0"/>
          <w:bCs w:val="0"/>
          <w:color w:val="000000" w:themeColor="text1"/>
          <w:sz w:val="22"/>
          <w:szCs w:val="22"/>
        </w:rPr>
        <w:t>single mutant or Δ</w:t>
      </w:r>
      <w:r w:rsidRPr="0073133F">
        <w:rPr>
          <w:rFonts w:ascii="Times New Roman" w:hAnsi="Times New Roman" w:cs="Times New Roman"/>
          <w:b w:val="0"/>
          <w:bCs w:val="0"/>
          <w:i/>
          <w:color w:val="000000" w:themeColor="text1"/>
          <w:sz w:val="22"/>
          <w:szCs w:val="22"/>
        </w:rPr>
        <w:t>csdA</w:t>
      </w:r>
      <w:r w:rsidRPr="0073133F">
        <w:rPr>
          <w:rFonts w:ascii="Times New Roman" w:hAnsi="Times New Roman" w:cs="Times New Roman"/>
          <w:b w:val="0"/>
          <w:bCs w:val="0"/>
          <w:color w:val="000000" w:themeColor="text1"/>
          <w:sz w:val="22"/>
          <w:szCs w:val="22"/>
        </w:rPr>
        <w:t>Δ</w:t>
      </w:r>
      <w:r w:rsidRPr="0073133F">
        <w:rPr>
          <w:rFonts w:ascii="Times New Roman" w:hAnsi="Times New Roman" w:cs="Times New Roman"/>
          <w:b w:val="0"/>
          <w:bCs w:val="0"/>
          <w:i/>
          <w:color w:val="000000" w:themeColor="text1"/>
          <w:sz w:val="22"/>
          <w:szCs w:val="22"/>
        </w:rPr>
        <w:t>fmqC</w:t>
      </w:r>
      <w:r w:rsidRPr="0073133F">
        <w:rPr>
          <w:rFonts w:ascii="Times New Roman" w:hAnsi="Times New Roman" w:cs="Times New Roman"/>
          <w:b w:val="0"/>
          <w:bCs w:val="0"/>
          <w:color w:val="000000" w:themeColor="text1"/>
          <w:sz w:val="22"/>
          <w:szCs w:val="22"/>
        </w:rPr>
        <w:t xml:space="preserve"> and Δ</w:t>
      </w:r>
      <w:r w:rsidRPr="0073133F">
        <w:rPr>
          <w:rFonts w:ascii="Times New Roman" w:hAnsi="Times New Roman" w:cs="Times New Roman"/>
          <w:b w:val="0"/>
          <w:bCs w:val="0"/>
          <w:i/>
          <w:color w:val="000000" w:themeColor="text1"/>
          <w:sz w:val="22"/>
          <w:szCs w:val="22"/>
        </w:rPr>
        <w:t>laeB</w:t>
      </w:r>
      <w:r w:rsidRPr="0073133F">
        <w:rPr>
          <w:rFonts w:ascii="Times New Roman" w:hAnsi="Times New Roman" w:cs="Times New Roman"/>
          <w:b w:val="0"/>
          <w:bCs w:val="0"/>
          <w:color w:val="000000" w:themeColor="text1"/>
          <w:sz w:val="22"/>
          <w:szCs w:val="22"/>
        </w:rPr>
        <w:t>Δ</w:t>
      </w:r>
      <w:r w:rsidRPr="0073133F">
        <w:rPr>
          <w:rFonts w:ascii="Times New Roman" w:hAnsi="Times New Roman" w:cs="Times New Roman"/>
          <w:b w:val="0"/>
          <w:bCs w:val="0"/>
          <w:i/>
          <w:color w:val="000000" w:themeColor="text1"/>
          <w:sz w:val="22"/>
          <w:szCs w:val="22"/>
        </w:rPr>
        <w:t>fmqC</w:t>
      </w:r>
      <w:r w:rsidRPr="0073133F">
        <w:rPr>
          <w:rFonts w:ascii="Times New Roman" w:hAnsi="Times New Roman" w:cs="Times New Roman"/>
          <w:b w:val="0"/>
          <w:bCs w:val="0"/>
          <w:color w:val="000000" w:themeColor="text1"/>
          <w:sz w:val="22"/>
          <w:szCs w:val="22"/>
        </w:rPr>
        <w:t xml:space="preserve"> double mutants by homologous recombination. The </w:t>
      </w:r>
      <w:r w:rsidRPr="0073133F">
        <w:rPr>
          <w:rFonts w:ascii="Times New Roman" w:hAnsi="Times New Roman" w:cs="Times New Roman"/>
          <w:b w:val="0"/>
          <w:bCs w:val="0"/>
          <w:i/>
          <w:color w:val="000000" w:themeColor="text1"/>
          <w:sz w:val="22"/>
          <w:szCs w:val="22"/>
        </w:rPr>
        <w:t xml:space="preserve">hph </w:t>
      </w:r>
      <w:r w:rsidRPr="0073133F">
        <w:rPr>
          <w:rFonts w:ascii="Times New Roman" w:hAnsi="Times New Roman" w:cs="Times New Roman"/>
          <w:b w:val="0"/>
          <w:bCs w:val="0"/>
          <w:color w:val="000000" w:themeColor="text1"/>
          <w:sz w:val="22"/>
          <w:szCs w:val="22"/>
        </w:rPr>
        <w:t xml:space="preserve">represents hygromycin resistance gene. P1 and P3 represent the primers for screening of the corresponding mutants. The specific bands (about 1.5 kb) were detected in mutants using the corresponding primers but not in control strain. The </w:t>
      </w:r>
      <w:r w:rsidRPr="0073133F">
        <w:rPr>
          <w:rFonts w:ascii="Times New Roman" w:hAnsi="Times New Roman" w:cs="Times New Roman"/>
          <w:b w:val="0"/>
          <w:bCs w:val="0"/>
          <w:i/>
          <w:color w:val="000000" w:themeColor="text1"/>
          <w:sz w:val="22"/>
          <w:szCs w:val="22"/>
        </w:rPr>
        <w:t>fmqC</w:t>
      </w:r>
      <w:r w:rsidRPr="0073133F">
        <w:rPr>
          <w:rFonts w:ascii="Times New Roman" w:hAnsi="Times New Roman" w:cs="Times New Roman"/>
          <w:b w:val="0"/>
          <w:bCs w:val="0"/>
          <w:color w:val="000000" w:themeColor="text1"/>
          <w:sz w:val="22"/>
          <w:szCs w:val="22"/>
        </w:rPr>
        <w:t xml:space="preserve"> gene was detected in control using P2 primers, but not in the mutant strains. </w:t>
      </w:r>
      <w:r w:rsidRPr="0073133F">
        <w:rPr>
          <w:rFonts w:ascii="Times New Roman" w:hAnsi="Times New Roman" w:cs="Times New Roman"/>
          <w:color w:val="000000" w:themeColor="text1"/>
          <w:sz w:val="22"/>
          <w:szCs w:val="22"/>
        </w:rPr>
        <w:t>c</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Metabolic profile of </w:t>
      </w:r>
      <w:r w:rsidRPr="0073133F">
        <w:rPr>
          <w:rFonts w:ascii="Times New Roman" w:hAnsi="Times New Roman" w:cs="Times New Roman"/>
          <w:b w:val="0"/>
          <w:bCs w:val="0"/>
          <w:i/>
          <w:color w:val="000000" w:themeColor="text1"/>
          <w:sz w:val="22"/>
          <w:szCs w:val="22"/>
        </w:rPr>
        <w:t>fmqC</w:t>
      </w:r>
      <w:r w:rsidRPr="0073133F">
        <w:rPr>
          <w:rFonts w:ascii="Times New Roman" w:hAnsi="Times New Roman" w:cs="Times New Roman"/>
          <w:b w:val="0"/>
          <w:bCs w:val="0"/>
          <w:color w:val="000000" w:themeColor="text1"/>
          <w:sz w:val="22"/>
          <w:szCs w:val="22"/>
        </w:rPr>
        <w:t xml:space="preserve">-related mutants. The red line represents the peak of fumiquinazoline C in the metabolic profile. </w:t>
      </w:r>
      <w:r w:rsidRPr="0073133F">
        <w:rPr>
          <w:rFonts w:ascii="Times New Roman" w:hAnsi="Times New Roman" w:cs="Times New Roman"/>
          <w:color w:val="000000" w:themeColor="text1"/>
          <w:sz w:val="22"/>
          <w:szCs w:val="22"/>
        </w:rPr>
        <w:t>d</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The molecular weight of fumiquinazoline C was analyzed by LC-MS. MW: molecular weight.</w:t>
      </w:r>
    </w:p>
    <w:p w14:paraId="04942F6E" w14:textId="77777777" w:rsidR="0073133F" w:rsidRPr="0073133F" w:rsidRDefault="0073133F" w:rsidP="00CE2BA6">
      <w:pPr>
        <w:widowControl/>
        <w:jc w:val="left"/>
        <w:rPr>
          <w:rFonts w:ascii="Times New Roman" w:eastAsia="DengXian" w:hAnsi="Times New Roman" w:cs="Times New Roman"/>
          <w:color w:val="000000" w:themeColor="text1"/>
          <w:kern w:val="24"/>
          <w:sz w:val="22"/>
        </w:rPr>
      </w:pPr>
      <w:r w:rsidRPr="0073133F">
        <w:rPr>
          <w:rFonts w:ascii="Times New Roman" w:eastAsia="DengXian" w:hAnsi="Times New Roman" w:cs="Times New Roman"/>
          <w:color w:val="000000" w:themeColor="text1"/>
          <w:kern w:val="24"/>
          <w:sz w:val="22"/>
        </w:rPr>
        <w:br w:type="page"/>
      </w:r>
    </w:p>
    <w:p w14:paraId="43EC4655" w14:textId="77777777" w:rsidR="0073133F" w:rsidRPr="0073133F" w:rsidRDefault="0073133F" w:rsidP="00EA77F8">
      <w:pPr>
        <w:widowControl/>
        <w:jc w:val="center"/>
        <w:rPr>
          <w:rFonts w:ascii="Times New Roman" w:eastAsia="DengXian" w:hAnsi="Times New Roman" w:cs="Times New Roman"/>
          <w:color w:val="000000" w:themeColor="text1"/>
          <w:kern w:val="24"/>
          <w:sz w:val="22"/>
        </w:rPr>
      </w:pPr>
      <w:r w:rsidRPr="0073133F">
        <w:rPr>
          <w:rFonts w:ascii="Times New Roman" w:eastAsia="DengXian" w:hAnsi="Times New Roman" w:cs="Times New Roman"/>
          <w:noProof/>
          <w:color w:val="000000" w:themeColor="text1"/>
          <w:kern w:val="24"/>
          <w:sz w:val="22"/>
        </w:rPr>
        <w:lastRenderedPageBreak/>
        <w:drawing>
          <wp:inline distT="0" distB="0" distL="0" distR="0" wp14:anchorId="378F6FE6" wp14:editId="14C4A3B9">
            <wp:extent cx="5971540" cy="5362791"/>
            <wp:effectExtent l="0" t="0" r="0" b="9525"/>
            <wp:docPr id="39" name="图片 39" descr="E:\实验成果\文章\RsdA致病\20241008文章分离\致病\20250414 nature\Extened data\extend fig6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实验成果\文章\RsdA致病\20241008文章分离\致病\20250414 nature\Extened data\extend fig6_画板 1.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71540" cy="5362791"/>
                    </a:xfrm>
                    <a:prstGeom prst="rect">
                      <a:avLst/>
                    </a:prstGeom>
                    <a:noFill/>
                    <a:ln>
                      <a:noFill/>
                    </a:ln>
                  </pic:spPr>
                </pic:pic>
              </a:graphicData>
            </a:graphic>
          </wp:inline>
        </w:drawing>
      </w:r>
    </w:p>
    <w:p w14:paraId="5A530DA2" w14:textId="77777777" w:rsidR="0073133F" w:rsidRPr="0073133F" w:rsidRDefault="0073133F" w:rsidP="00260AF3">
      <w:pPr>
        <w:pStyle w:val="Heading1"/>
        <w:spacing w:before="0" w:after="0" w:line="240" w:lineRule="auto"/>
        <w:rPr>
          <w:rFonts w:ascii="Times New Roman" w:hAnsi="Times New Roman" w:cs="Times New Roman"/>
          <w:color w:val="000000" w:themeColor="text1"/>
          <w:sz w:val="22"/>
          <w:szCs w:val="22"/>
        </w:rPr>
      </w:pPr>
      <w:r w:rsidRPr="0073133F">
        <w:rPr>
          <w:rFonts w:ascii="Times New Roman" w:hAnsi="Times New Roman" w:cs="Times New Roman"/>
          <w:color w:val="000000" w:themeColor="text1"/>
          <w:sz w:val="22"/>
          <w:szCs w:val="22"/>
        </w:rPr>
        <w:t>Extended Data Fig. 6:</w:t>
      </w:r>
      <w:bookmarkStart w:id="2" w:name="OLE_LINK1"/>
      <w:bookmarkStart w:id="3" w:name="_Hlk116985365"/>
      <w:r w:rsidRPr="0073133F">
        <w:rPr>
          <w:rFonts w:ascii="Times New Roman" w:hAnsi="Times New Roman" w:cs="Times New Roman"/>
          <w:color w:val="000000" w:themeColor="text1"/>
          <w:sz w:val="22"/>
          <w:szCs w:val="22"/>
        </w:rPr>
        <w:t xml:space="preserve"> </w:t>
      </w:r>
      <w:bookmarkEnd w:id="2"/>
      <w:bookmarkEnd w:id="3"/>
      <w:r w:rsidRPr="0073133F">
        <w:rPr>
          <w:rFonts w:ascii="Times New Roman" w:hAnsi="Times New Roman" w:cs="Times New Roman"/>
          <w:color w:val="000000" w:themeColor="text1"/>
          <w:sz w:val="22"/>
          <w:szCs w:val="22"/>
        </w:rPr>
        <w:t xml:space="preserve">Confirmation of candidate drug targets in </w:t>
      </w:r>
      <w:r w:rsidRPr="0073133F">
        <w:rPr>
          <w:rFonts w:ascii="Times New Roman" w:hAnsi="Times New Roman" w:cs="Times New Roman"/>
          <w:i/>
          <w:color w:val="000000" w:themeColor="text1"/>
          <w:sz w:val="22"/>
          <w:szCs w:val="22"/>
        </w:rPr>
        <w:t>A</w:t>
      </w:r>
      <w:r w:rsidRPr="0073133F">
        <w:rPr>
          <w:rFonts w:ascii="Times New Roman" w:hAnsi="Times New Roman" w:cs="Times New Roman" w:hint="eastAsia"/>
          <w:i/>
          <w:color w:val="000000" w:themeColor="text1"/>
          <w:sz w:val="22"/>
          <w:szCs w:val="22"/>
        </w:rPr>
        <w:t>.</w:t>
      </w:r>
      <w:r w:rsidRPr="0073133F">
        <w:rPr>
          <w:rFonts w:ascii="Times New Roman" w:hAnsi="Times New Roman" w:cs="Times New Roman"/>
          <w:i/>
          <w:color w:val="000000" w:themeColor="text1"/>
          <w:sz w:val="22"/>
          <w:szCs w:val="22"/>
        </w:rPr>
        <w:t xml:space="preserve"> fumigatus</w:t>
      </w:r>
      <w:r w:rsidRPr="0073133F">
        <w:rPr>
          <w:rFonts w:ascii="Times New Roman" w:hAnsi="Times New Roman" w:cs="Times New Roman"/>
          <w:color w:val="000000" w:themeColor="text1"/>
          <w:sz w:val="22"/>
          <w:szCs w:val="22"/>
        </w:rPr>
        <w:t>.</w:t>
      </w:r>
      <w:r w:rsidRPr="0073133F">
        <w:rPr>
          <w:rFonts w:ascii="Times New Roman" w:hAnsi="Times New Roman" w:cs="Times New Roman"/>
          <w:b w:val="0"/>
          <w:bCs w:val="0"/>
          <w:color w:val="000000" w:themeColor="text1"/>
          <w:sz w:val="22"/>
          <w:szCs w:val="22"/>
        </w:rPr>
        <w:t xml:space="preserve"> </w:t>
      </w:r>
      <w:r w:rsidRPr="0073133F">
        <w:rPr>
          <w:rFonts w:ascii="Times New Roman" w:hAnsi="Times New Roman" w:cs="Times New Roman"/>
          <w:color w:val="000000" w:themeColor="text1"/>
          <w:sz w:val="22"/>
          <w:szCs w:val="22"/>
        </w:rPr>
        <w:t>a</w:t>
      </w:r>
      <w:r w:rsidRPr="0073133F">
        <w:rPr>
          <w:rFonts w:ascii="Times New Roman" w:hAnsi="Times New Roman" w:cs="Times New Roman"/>
          <w:b w:val="0"/>
          <w:bCs w:val="0"/>
          <w:color w:val="000000" w:themeColor="text1"/>
          <w:sz w:val="22"/>
          <w:szCs w:val="22"/>
        </w:rPr>
        <w:t xml:space="preserve">, </w:t>
      </w:r>
      <w:bookmarkStart w:id="4" w:name="_Hlk147396277"/>
      <w:r w:rsidRPr="0073133F">
        <w:rPr>
          <w:rFonts w:ascii="Times New Roman" w:hAnsi="Times New Roman" w:cs="Times New Roman"/>
          <w:b w:val="0"/>
          <w:bCs w:val="0"/>
          <w:color w:val="000000" w:themeColor="text1"/>
          <w:sz w:val="22"/>
          <w:szCs w:val="22"/>
        </w:rPr>
        <w:t>Target of drug candidates in the biosynthetic pathway of fumiquinazoline C.</w:t>
      </w:r>
      <w:bookmarkEnd w:id="4"/>
      <w:r w:rsidRPr="0073133F">
        <w:rPr>
          <w:rFonts w:ascii="Times New Roman" w:hAnsi="Times New Roman" w:cs="Times New Roman"/>
          <w:b w:val="0"/>
          <w:bCs w:val="0"/>
          <w:kern w:val="0"/>
          <w:sz w:val="24"/>
          <w:szCs w:val="20"/>
        </w:rPr>
        <w:t xml:space="preserve"> </w:t>
      </w:r>
      <w:r w:rsidRPr="0073133F">
        <w:rPr>
          <w:rFonts w:ascii="Times New Roman" w:hAnsi="Times New Roman" w:cs="Times New Roman"/>
          <w:b w:val="0"/>
          <w:bCs w:val="0"/>
          <w:color w:val="000000" w:themeColor="text1"/>
          <w:sz w:val="22"/>
          <w:szCs w:val="22"/>
        </w:rPr>
        <w:t>The biosynthesis of fumiquinazoline C depends on the Sf</w:t>
      </w:r>
      <w:r w:rsidRPr="0073133F">
        <w:rPr>
          <w:rFonts w:ascii="Times New Roman" w:hAnsi="Times New Roman" w:cs="Times New Roman" w:hint="eastAsia"/>
          <w:b w:val="0"/>
          <w:bCs w:val="0"/>
          <w:color w:val="000000" w:themeColor="text1"/>
          <w:sz w:val="22"/>
          <w:szCs w:val="22"/>
        </w:rPr>
        <w:t>p</w:t>
      </w:r>
      <w:r w:rsidRPr="0073133F">
        <w:rPr>
          <w:rFonts w:ascii="Times New Roman" w:hAnsi="Times New Roman" w:cs="Times New Roman"/>
          <w:b w:val="0"/>
          <w:bCs w:val="0"/>
          <w:color w:val="000000" w:themeColor="text1"/>
          <w:sz w:val="22"/>
          <w:szCs w:val="22"/>
        </w:rPr>
        <w:t>-</w:t>
      </w:r>
      <w:r w:rsidRPr="0073133F">
        <w:rPr>
          <w:rFonts w:ascii="Times New Roman" w:hAnsi="Times New Roman" w:cs="Times New Roman" w:hint="eastAsia"/>
          <w:b w:val="0"/>
          <w:bCs w:val="0"/>
          <w:color w:val="000000" w:themeColor="text1"/>
          <w:sz w:val="22"/>
          <w:szCs w:val="22"/>
        </w:rPr>
        <w:t>type</w:t>
      </w:r>
      <w:r w:rsidRPr="0073133F">
        <w:rPr>
          <w:rFonts w:ascii="Times New Roman" w:hAnsi="Times New Roman" w:cs="Times New Roman"/>
          <w:b w:val="0"/>
          <w:bCs w:val="0"/>
          <w:color w:val="000000" w:themeColor="text1"/>
          <w:sz w:val="22"/>
          <w:szCs w:val="22"/>
        </w:rPr>
        <w:t xml:space="preserve"> 4’-phosphopantetheinyl transferases (PPTases) PptA-catalyzed transfer of phosphopantetheine group from coenzyme A (CoA) to the conserved serine residue of carrier protein, which changes the carrier protein from inactive </w:t>
      </w:r>
      <w:r w:rsidRPr="0073133F">
        <w:rPr>
          <w:rFonts w:ascii="Times New Roman" w:hAnsi="Times New Roman" w:cs="Times New Roman"/>
          <w:b w:val="0"/>
          <w:bCs w:val="0"/>
          <w:i/>
          <w:color w:val="000000" w:themeColor="text1"/>
          <w:sz w:val="22"/>
          <w:szCs w:val="22"/>
        </w:rPr>
        <w:t>apo</w:t>
      </w:r>
      <w:r w:rsidRPr="0073133F">
        <w:rPr>
          <w:rFonts w:ascii="Times New Roman" w:hAnsi="Times New Roman" w:cs="Times New Roman"/>
          <w:b w:val="0"/>
          <w:bCs w:val="0"/>
          <w:color w:val="000000" w:themeColor="text1"/>
          <w:sz w:val="22"/>
          <w:szCs w:val="22"/>
          <w:vertAlign w:val="superscript"/>
        </w:rPr>
        <w:t>-</w:t>
      </w:r>
      <w:r w:rsidRPr="0073133F">
        <w:rPr>
          <w:rFonts w:ascii="Times New Roman" w:hAnsi="Times New Roman" w:cs="Times New Roman"/>
          <w:b w:val="0"/>
          <w:bCs w:val="0"/>
          <w:color w:val="000000" w:themeColor="text1"/>
          <w:sz w:val="22"/>
          <w:szCs w:val="22"/>
        </w:rPr>
        <w:t xml:space="preserve"> form to active </w:t>
      </w:r>
      <w:r w:rsidRPr="0073133F">
        <w:rPr>
          <w:rFonts w:ascii="Times New Roman" w:hAnsi="Times New Roman" w:cs="Times New Roman"/>
          <w:b w:val="0"/>
          <w:bCs w:val="0"/>
          <w:i/>
          <w:color w:val="000000" w:themeColor="text1"/>
          <w:sz w:val="22"/>
          <w:szCs w:val="22"/>
        </w:rPr>
        <w:t>holo</w:t>
      </w:r>
      <w:r w:rsidRPr="0073133F">
        <w:rPr>
          <w:rFonts w:ascii="Times New Roman" w:hAnsi="Times New Roman" w:cs="Times New Roman"/>
          <w:b w:val="0"/>
          <w:bCs w:val="0"/>
          <w:color w:val="000000" w:themeColor="text1"/>
          <w:sz w:val="22"/>
          <w:szCs w:val="22"/>
          <w:vertAlign w:val="superscript"/>
        </w:rPr>
        <w:t>-</w:t>
      </w:r>
      <w:r w:rsidRPr="0073133F">
        <w:rPr>
          <w:rFonts w:ascii="Times New Roman" w:hAnsi="Times New Roman" w:cs="Times New Roman"/>
          <w:b w:val="0"/>
          <w:bCs w:val="0"/>
          <w:color w:val="000000" w:themeColor="text1"/>
          <w:sz w:val="22"/>
          <w:szCs w:val="22"/>
        </w:rPr>
        <w:t xml:space="preserve"> form.</w:t>
      </w:r>
      <w:r w:rsidRPr="0073133F">
        <w:rPr>
          <w:rFonts w:ascii="Times New Roman" w:hAnsi="Times New Roman" w:cs="Times New Roman"/>
          <w:color w:val="000000" w:themeColor="text1"/>
          <w:sz w:val="22"/>
          <w:szCs w:val="22"/>
        </w:rPr>
        <w:t xml:space="preserve"> b</w:t>
      </w:r>
      <w:r w:rsidRPr="0073133F">
        <w:rPr>
          <w:rFonts w:ascii="Times New Roman" w:hAnsi="Times New Roman" w:cs="Times New Roman"/>
          <w:b w:val="0"/>
          <w:bCs w:val="0"/>
          <w:color w:val="000000" w:themeColor="text1"/>
          <w:sz w:val="22"/>
          <w:szCs w:val="22"/>
        </w:rPr>
        <w:t>, Measurement of radial growth in the Δ</w:t>
      </w:r>
      <w:r w:rsidRPr="0073133F">
        <w:rPr>
          <w:rFonts w:ascii="Times New Roman" w:hAnsi="Times New Roman" w:cs="Times New Roman"/>
          <w:b w:val="0"/>
          <w:bCs w:val="0"/>
          <w:i/>
          <w:color w:val="000000" w:themeColor="text1"/>
          <w:sz w:val="22"/>
          <w:szCs w:val="22"/>
        </w:rPr>
        <w:t>pptA</w:t>
      </w:r>
      <w:r w:rsidRPr="0073133F">
        <w:rPr>
          <w:rFonts w:ascii="Times New Roman" w:hAnsi="Times New Roman" w:cs="Times New Roman"/>
          <w:b w:val="0"/>
          <w:bCs w:val="0"/>
          <w:color w:val="000000" w:themeColor="text1"/>
          <w:sz w:val="22"/>
          <w:szCs w:val="22"/>
        </w:rPr>
        <w:t xml:space="preserve"> mutant and control strains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w:t>
      </w:r>
      <w:r w:rsidRPr="0073133F">
        <w:rPr>
          <w:rFonts w:ascii="Times New Roman" w:hAnsi="Times New Roman" w:cs="Times New Roman"/>
          <w:color w:val="000000" w:themeColor="text1"/>
          <w:sz w:val="22"/>
          <w:szCs w:val="22"/>
        </w:rPr>
        <w:t xml:space="preserve"> c-d</w:t>
      </w:r>
      <w:r w:rsidRPr="0073133F">
        <w:rPr>
          <w:rFonts w:ascii="Times New Roman" w:hAnsi="Times New Roman" w:cs="Times New Roman"/>
          <w:b w:val="0"/>
          <w:bCs w:val="0"/>
          <w:color w:val="000000" w:themeColor="text1"/>
          <w:sz w:val="22"/>
          <w:szCs w:val="22"/>
        </w:rPr>
        <w:t xml:space="preserve">, </w:t>
      </w:r>
      <w:bookmarkStart w:id="5" w:name="_Hlk147396395"/>
      <w:r w:rsidRPr="0073133F">
        <w:rPr>
          <w:rFonts w:ascii="Times New Roman" w:hAnsi="Times New Roman" w:cs="Times New Roman"/>
          <w:b w:val="0"/>
          <w:bCs w:val="0"/>
          <w:color w:val="000000" w:themeColor="text1"/>
          <w:sz w:val="22"/>
          <w:szCs w:val="22"/>
        </w:rPr>
        <w:t>Conidial production (</w:t>
      </w:r>
      <w:r w:rsidRPr="0073133F">
        <w:rPr>
          <w:rFonts w:ascii="Times New Roman" w:hAnsi="Times New Roman" w:cs="Times New Roman"/>
          <w:bCs w:val="0"/>
          <w:color w:val="000000" w:themeColor="text1"/>
          <w:sz w:val="22"/>
          <w:szCs w:val="22"/>
        </w:rPr>
        <w:t>c</w:t>
      </w:r>
      <w:r w:rsidRPr="0073133F">
        <w:rPr>
          <w:rFonts w:ascii="Times New Roman" w:hAnsi="Times New Roman" w:cs="Times New Roman"/>
          <w:b w:val="0"/>
          <w:bCs w:val="0"/>
          <w:color w:val="000000" w:themeColor="text1"/>
          <w:sz w:val="22"/>
          <w:szCs w:val="22"/>
        </w:rPr>
        <w:t>), colony morphology and metabolic profiles (</w:t>
      </w:r>
      <w:r w:rsidRPr="0073133F">
        <w:rPr>
          <w:rFonts w:ascii="Times New Roman" w:hAnsi="Times New Roman" w:cs="Times New Roman"/>
          <w:bCs w:val="0"/>
          <w:color w:val="000000" w:themeColor="text1"/>
          <w:sz w:val="22"/>
          <w:szCs w:val="22"/>
        </w:rPr>
        <w:t>d</w:t>
      </w:r>
      <w:r w:rsidRPr="0073133F">
        <w:rPr>
          <w:rFonts w:ascii="Times New Roman" w:hAnsi="Times New Roman" w:cs="Times New Roman"/>
          <w:b w:val="0"/>
          <w:bCs w:val="0"/>
          <w:color w:val="000000" w:themeColor="text1"/>
          <w:sz w:val="22"/>
          <w:szCs w:val="22"/>
        </w:rPr>
        <w:t xml:space="preserve">) in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and its mutant cultured at 37 °C for 4 days.</w:t>
      </w:r>
      <w:bookmarkEnd w:id="5"/>
      <w:r w:rsidRPr="0073133F">
        <w:rPr>
          <w:rFonts w:ascii="Times New Roman" w:hAnsi="Times New Roman" w:cs="Times New Roman"/>
          <w:color w:val="000000" w:themeColor="text1"/>
          <w:sz w:val="22"/>
          <w:szCs w:val="22"/>
        </w:rPr>
        <w:t xml:space="preserve"> e</w:t>
      </w:r>
      <w:r w:rsidRPr="0073133F">
        <w:rPr>
          <w:rFonts w:ascii="Times New Roman" w:hAnsi="Times New Roman" w:cs="Times New Roman"/>
          <w:b w:val="0"/>
          <w:bCs w:val="0"/>
          <w:color w:val="000000" w:themeColor="text1"/>
          <w:sz w:val="22"/>
          <w:szCs w:val="22"/>
        </w:rPr>
        <w:t>, The key amino acid residues in binding pocket of the PptA.</w:t>
      </w:r>
      <w:r w:rsidRPr="0073133F">
        <w:rPr>
          <w:rFonts w:ascii="Times New Roman" w:hAnsi="Times New Roman" w:cs="Times New Roman"/>
          <w:b w:val="0"/>
          <w:bCs w:val="0"/>
          <w:kern w:val="0"/>
          <w:sz w:val="24"/>
          <w:szCs w:val="20"/>
        </w:rPr>
        <w:t xml:space="preserve"> </w:t>
      </w:r>
      <w:r w:rsidRPr="0073133F">
        <w:rPr>
          <w:rFonts w:ascii="Times New Roman" w:hAnsi="Times New Roman" w:cs="Times New Roman"/>
          <w:b w:val="0"/>
          <w:bCs w:val="0"/>
          <w:color w:val="000000" w:themeColor="text1"/>
          <w:sz w:val="22"/>
          <w:szCs w:val="22"/>
        </w:rPr>
        <w:t>All error bars are expressed as mean±SD. Statistical analysis was performed by using Two-way ANOVA (Significant at ****</w:t>
      </w:r>
      <w:r w:rsidRPr="0073133F">
        <w:rPr>
          <w:rFonts w:ascii="Times New Roman" w:hAnsi="Times New Roman" w:cs="Times New Roman"/>
          <w:b w:val="0"/>
          <w:bCs w:val="0"/>
          <w:i/>
          <w:iCs/>
          <w:color w:val="000000" w:themeColor="text1"/>
          <w:sz w:val="22"/>
          <w:szCs w:val="22"/>
        </w:rPr>
        <w:t>p</w:t>
      </w:r>
      <w:r w:rsidRPr="0073133F">
        <w:rPr>
          <w:rFonts w:ascii="Times New Roman" w:hAnsi="Times New Roman" w:cs="Times New Roman"/>
          <w:b w:val="0"/>
          <w:bCs w:val="0"/>
          <w:color w:val="000000" w:themeColor="text1"/>
          <w:sz w:val="22"/>
          <w:szCs w:val="22"/>
        </w:rPr>
        <w:t xml:space="preserve"> &lt; 0.0001).</w:t>
      </w:r>
    </w:p>
    <w:p w14:paraId="3F3EE920" w14:textId="77777777" w:rsidR="0073133F" w:rsidRPr="0073133F" w:rsidRDefault="0073133F">
      <w:pPr>
        <w:widowControl/>
        <w:jc w:val="left"/>
        <w:rPr>
          <w:rFonts w:ascii="Times New Roman" w:eastAsia="DengXian" w:hAnsi="Times New Roman" w:cs="Times New Roman"/>
          <w:color w:val="000000"/>
          <w:kern w:val="24"/>
          <w:sz w:val="22"/>
        </w:rPr>
      </w:pPr>
      <w:r w:rsidRPr="0073133F">
        <w:rPr>
          <w:rFonts w:ascii="Times New Roman" w:eastAsia="DengXian" w:hAnsi="Times New Roman" w:cs="Times New Roman"/>
          <w:color w:val="000000"/>
          <w:kern w:val="24"/>
          <w:sz w:val="22"/>
        </w:rPr>
        <w:br w:type="page"/>
      </w:r>
    </w:p>
    <w:p w14:paraId="6B825254" w14:textId="77777777" w:rsidR="0073133F" w:rsidRPr="0073133F" w:rsidRDefault="0073133F" w:rsidP="00EA77F8">
      <w:pPr>
        <w:widowControl/>
        <w:jc w:val="center"/>
        <w:rPr>
          <w:rFonts w:ascii="Times New Roman" w:eastAsia="DengXian" w:hAnsi="Times New Roman" w:cs="Times New Roman"/>
          <w:color w:val="000000"/>
          <w:kern w:val="24"/>
          <w:sz w:val="22"/>
        </w:rPr>
      </w:pPr>
      <w:r w:rsidRPr="0073133F">
        <w:rPr>
          <w:rFonts w:ascii="Times New Roman" w:eastAsia="DengXian" w:hAnsi="Times New Roman" w:cs="Times New Roman"/>
          <w:noProof/>
          <w:color w:val="000000"/>
          <w:kern w:val="24"/>
          <w:sz w:val="22"/>
        </w:rPr>
        <w:lastRenderedPageBreak/>
        <w:drawing>
          <wp:inline distT="0" distB="0" distL="0" distR="0" wp14:anchorId="56C9B4FD" wp14:editId="13314460">
            <wp:extent cx="5784850" cy="7315493"/>
            <wp:effectExtent l="0" t="0" r="6350" b="0"/>
            <wp:docPr id="40" name="图片 40" descr="E:\实验成果\文章\RsdA致病\20241008文章分离\致病\20250414 nature\Extened data\extend fig7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实验成果\文章\RsdA致病\20241008文章分离\致病\20250414 nature\Extened data\extend fig7_画板 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87729" cy="7319133"/>
                    </a:xfrm>
                    <a:prstGeom prst="rect">
                      <a:avLst/>
                    </a:prstGeom>
                    <a:noFill/>
                    <a:ln>
                      <a:noFill/>
                    </a:ln>
                  </pic:spPr>
                </pic:pic>
              </a:graphicData>
            </a:graphic>
          </wp:inline>
        </w:drawing>
      </w:r>
    </w:p>
    <w:p w14:paraId="019D5B54" w14:textId="77777777" w:rsidR="0073133F" w:rsidRPr="0073133F" w:rsidRDefault="0073133F" w:rsidP="00EA77F8">
      <w:pPr>
        <w:pStyle w:val="Heading1"/>
        <w:spacing w:before="0" w:after="0" w:line="240" w:lineRule="auto"/>
        <w:rPr>
          <w:rFonts w:ascii="Times New Roman" w:hAnsi="Times New Roman" w:cs="Times New Roman"/>
          <w:b w:val="0"/>
          <w:bCs w:val="0"/>
          <w:color w:val="000000" w:themeColor="text1"/>
          <w:kern w:val="0"/>
          <w:sz w:val="22"/>
        </w:rPr>
      </w:pPr>
      <w:r w:rsidRPr="0073133F">
        <w:rPr>
          <w:rFonts w:ascii="Times New Roman" w:hAnsi="Times New Roman" w:cs="Times New Roman"/>
          <w:color w:val="000000" w:themeColor="text1"/>
          <w:sz w:val="22"/>
          <w:szCs w:val="22"/>
        </w:rPr>
        <w:t xml:space="preserve">Extended Data Fig. 7: Phenotype and metabolite analysis of </w:t>
      </w:r>
      <w:r w:rsidRPr="0073133F">
        <w:rPr>
          <w:rFonts w:ascii="Times New Roman" w:hAnsi="Times New Roman" w:cs="Times New Roman"/>
          <w:i/>
          <w:color w:val="000000" w:themeColor="text1"/>
          <w:sz w:val="22"/>
          <w:szCs w:val="22"/>
        </w:rPr>
        <w:t>A. fumigatus</w:t>
      </w:r>
      <w:r w:rsidRPr="0073133F">
        <w:rPr>
          <w:rFonts w:ascii="Times New Roman" w:hAnsi="Times New Roman" w:cs="Times New Roman"/>
          <w:color w:val="000000" w:themeColor="text1"/>
          <w:sz w:val="22"/>
          <w:szCs w:val="22"/>
        </w:rPr>
        <w:t xml:space="preserve"> CEA17 treated with the top 8 drugs.</w:t>
      </w:r>
      <w:r w:rsidRPr="0073133F">
        <w:rPr>
          <w:rFonts w:ascii="Times New Roman" w:hAnsi="Times New Roman" w:cs="Times New Roman"/>
          <w:b w:val="0"/>
          <w:bCs w:val="0"/>
          <w:color w:val="000000" w:themeColor="text1"/>
          <w:sz w:val="22"/>
          <w:szCs w:val="22"/>
        </w:rPr>
        <w:t xml:space="preserve"> </w:t>
      </w:r>
      <w:bookmarkStart w:id="6" w:name="_Hlk147397080"/>
      <w:r w:rsidRPr="0073133F">
        <w:rPr>
          <w:rFonts w:ascii="Times New Roman" w:hAnsi="Times New Roman" w:cs="Times New Roman"/>
          <w:b w:val="0"/>
          <w:bCs w:val="0"/>
          <w:color w:val="000000" w:themeColor="text1"/>
          <w:sz w:val="22"/>
          <w:szCs w:val="22"/>
        </w:rPr>
        <w:t xml:space="preserve">The phenotype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CEA17 cultured for 3 days and the metabolic profile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CEA17</w:t>
      </w:r>
      <w:r w:rsidRPr="0073133F">
        <w:rPr>
          <w:rFonts w:ascii="Times New Roman" w:hAnsi="Times New Roman" w:cs="Times New Roman" w:hint="eastAsia"/>
          <w:b w:val="0"/>
          <w:bCs w:val="0"/>
          <w:color w:val="000000" w:themeColor="text1"/>
          <w:sz w:val="22"/>
          <w:szCs w:val="22"/>
        </w:rPr>
        <w:t xml:space="preserve"> cultured</w:t>
      </w:r>
      <w:r w:rsidRPr="0073133F">
        <w:rPr>
          <w:rFonts w:ascii="Times New Roman" w:hAnsi="Times New Roman" w:cs="Times New Roman"/>
          <w:b w:val="0"/>
          <w:bCs w:val="0"/>
          <w:color w:val="000000" w:themeColor="text1"/>
          <w:sz w:val="22"/>
          <w:szCs w:val="22"/>
        </w:rPr>
        <w:t xml:space="preserve"> for 4 days treated with 200 μM drugs</w:t>
      </w:r>
      <w:r w:rsidRPr="0073133F">
        <w:rPr>
          <w:rFonts w:ascii="Times New Roman" w:hAnsi="Times New Roman" w:cs="Times New Roman"/>
          <w:b w:val="0"/>
          <w:bCs w:val="0"/>
          <w:color w:val="000000" w:themeColor="text1"/>
          <w:kern w:val="0"/>
          <w:sz w:val="22"/>
        </w:rPr>
        <w:t>.</w:t>
      </w:r>
      <w:bookmarkEnd w:id="6"/>
    </w:p>
    <w:p w14:paraId="0CC54DE8" w14:textId="77777777" w:rsidR="0073133F" w:rsidRPr="0073133F" w:rsidRDefault="0073133F">
      <w:pPr>
        <w:widowControl/>
        <w:jc w:val="left"/>
        <w:rPr>
          <w:rFonts w:ascii="Times New Roman" w:hAnsi="Times New Roman" w:cs="Times New Roman"/>
          <w:color w:val="000000" w:themeColor="text1"/>
          <w:kern w:val="0"/>
          <w:sz w:val="22"/>
          <w:szCs w:val="44"/>
        </w:rPr>
      </w:pPr>
      <w:r w:rsidRPr="0073133F">
        <w:rPr>
          <w:rFonts w:ascii="Times New Roman" w:hAnsi="Times New Roman" w:cs="Times New Roman"/>
          <w:b/>
          <w:bCs/>
          <w:color w:val="000000" w:themeColor="text1"/>
          <w:kern w:val="0"/>
          <w:sz w:val="22"/>
        </w:rPr>
        <w:br w:type="page"/>
      </w:r>
    </w:p>
    <w:p w14:paraId="084A6D17" w14:textId="77777777" w:rsidR="0073133F" w:rsidRPr="0073133F" w:rsidRDefault="0073133F" w:rsidP="00AC6E40">
      <w:pPr>
        <w:widowControl/>
        <w:jc w:val="center"/>
        <w:rPr>
          <w:rFonts w:ascii="Times New Roman" w:eastAsia="DengXian" w:hAnsi="Times New Roman" w:cs="Times New Roman"/>
          <w:color w:val="000000"/>
          <w:kern w:val="24"/>
          <w:sz w:val="22"/>
        </w:rPr>
      </w:pPr>
      <w:r w:rsidRPr="0073133F">
        <w:rPr>
          <w:rFonts w:ascii="Times New Roman" w:eastAsia="DengXian" w:hAnsi="Times New Roman" w:cs="Times New Roman"/>
          <w:noProof/>
          <w:color w:val="000000"/>
          <w:kern w:val="24"/>
          <w:sz w:val="22"/>
        </w:rPr>
        <w:lastRenderedPageBreak/>
        <w:drawing>
          <wp:inline distT="0" distB="0" distL="0" distR="0" wp14:anchorId="6418D104" wp14:editId="271784DC">
            <wp:extent cx="5971540" cy="7464425"/>
            <wp:effectExtent l="0" t="0" r="0" b="3175"/>
            <wp:docPr id="41" name="图片 41" descr="E:\实验成果\文章\RsdA致病\20241008文章分离\致病\20250414 nature\Extened data\extend fig8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实验成果\文章\RsdA致病\20241008文章分离\致病\20250414 nature\Extened data\extend fig8_画板 1.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71540" cy="7464425"/>
                    </a:xfrm>
                    <a:prstGeom prst="rect">
                      <a:avLst/>
                    </a:prstGeom>
                    <a:noFill/>
                    <a:ln>
                      <a:noFill/>
                    </a:ln>
                  </pic:spPr>
                </pic:pic>
              </a:graphicData>
            </a:graphic>
          </wp:inline>
        </w:drawing>
      </w:r>
    </w:p>
    <w:p w14:paraId="2A47C5FD" w14:textId="77777777" w:rsidR="0073133F" w:rsidRPr="0073133F" w:rsidRDefault="0073133F" w:rsidP="00AC6E40">
      <w:pPr>
        <w:pStyle w:val="Heading1"/>
        <w:spacing w:before="0" w:after="0" w:line="240" w:lineRule="auto"/>
        <w:rPr>
          <w:rFonts w:ascii="Times New Roman" w:hAnsi="Times New Roman" w:cs="Times New Roman"/>
          <w:color w:val="000000" w:themeColor="text1"/>
          <w:sz w:val="22"/>
          <w:szCs w:val="22"/>
        </w:rPr>
      </w:pPr>
      <w:r w:rsidRPr="0073133F">
        <w:rPr>
          <w:rFonts w:ascii="Times New Roman" w:hAnsi="Times New Roman" w:cs="Times New Roman"/>
          <w:color w:val="000000" w:themeColor="text1"/>
          <w:sz w:val="22"/>
          <w:szCs w:val="22"/>
        </w:rPr>
        <w:t>Extended Data Fig. 8: Binding sites analysis of 3 drug candidates with antifungal activity in PptA.</w:t>
      </w:r>
      <w:r w:rsidRPr="0073133F">
        <w:rPr>
          <w:rFonts w:ascii="Times New Roman" w:hAnsi="Times New Roman" w:cs="Times New Roman"/>
          <w:b w:val="0"/>
          <w:bCs w:val="0"/>
          <w:color w:val="000000" w:themeColor="text1"/>
          <w:sz w:val="22"/>
          <w:szCs w:val="22"/>
        </w:rPr>
        <w:t xml:space="preserve"> </w:t>
      </w:r>
      <w:r w:rsidRPr="0073133F">
        <w:rPr>
          <w:rFonts w:ascii="Times New Roman" w:hAnsi="Times New Roman" w:cs="Times New Roman"/>
          <w:color w:val="000000" w:themeColor="text1"/>
          <w:sz w:val="22"/>
          <w:szCs w:val="22"/>
        </w:rPr>
        <w:t>a-c</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Binding sites and interaction forces of tepotinib (</w:t>
      </w:r>
      <w:r w:rsidRPr="0073133F">
        <w:rPr>
          <w:rFonts w:ascii="Times New Roman" w:hAnsi="Times New Roman" w:cs="Times New Roman"/>
          <w:bCs w:val="0"/>
          <w:color w:val="000000" w:themeColor="text1"/>
          <w:sz w:val="22"/>
          <w:szCs w:val="22"/>
        </w:rPr>
        <w:t>a</w:t>
      </w:r>
      <w:r w:rsidRPr="0073133F">
        <w:rPr>
          <w:rFonts w:ascii="Times New Roman" w:hAnsi="Times New Roman" w:cs="Times New Roman"/>
          <w:b w:val="0"/>
          <w:bCs w:val="0"/>
          <w:color w:val="000000" w:themeColor="text1"/>
          <w:sz w:val="22"/>
          <w:szCs w:val="22"/>
        </w:rPr>
        <w:t>), ibrutinib (</w:t>
      </w:r>
      <w:r w:rsidRPr="0073133F">
        <w:rPr>
          <w:rFonts w:ascii="Times New Roman" w:hAnsi="Times New Roman" w:cs="Times New Roman"/>
          <w:bCs w:val="0"/>
          <w:color w:val="000000" w:themeColor="text1"/>
          <w:sz w:val="22"/>
          <w:szCs w:val="22"/>
        </w:rPr>
        <w:t>b</w:t>
      </w:r>
      <w:r w:rsidRPr="0073133F">
        <w:rPr>
          <w:rFonts w:ascii="Times New Roman" w:hAnsi="Times New Roman" w:cs="Times New Roman"/>
          <w:b w:val="0"/>
          <w:bCs w:val="0"/>
          <w:color w:val="000000" w:themeColor="text1"/>
          <w:sz w:val="22"/>
          <w:szCs w:val="22"/>
        </w:rPr>
        <w:t>) and eltrombopag (</w:t>
      </w:r>
      <w:r w:rsidRPr="0073133F">
        <w:rPr>
          <w:rFonts w:ascii="Times New Roman" w:hAnsi="Times New Roman" w:cs="Times New Roman"/>
          <w:bCs w:val="0"/>
          <w:color w:val="000000" w:themeColor="text1"/>
          <w:sz w:val="22"/>
          <w:szCs w:val="22"/>
        </w:rPr>
        <w:t>c</w:t>
      </w:r>
      <w:r w:rsidRPr="0073133F">
        <w:rPr>
          <w:rFonts w:ascii="Times New Roman" w:hAnsi="Times New Roman" w:cs="Times New Roman"/>
          <w:b w:val="0"/>
          <w:bCs w:val="0"/>
          <w:color w:val="000000" w:themeColor="text1"/>
          <w:sz w:val="22"/>
          <w:szCs w:val="22"/>
        </w:rPr>
        <w:t>) in PptA</w:t>
      </w:r>
      <w:r w:rsidRPr="0073133F">
        <w:rPr>
          <w:rFonts w:ascii="Times New Roman" w:eastAsia="DengXian" w:hAnsi="Times New Roman" w:cs="Times New Roman"/>
          <w:b w:val="0"/>
          <w:bCs w:val="0"/>
          <w:color w:val="000000" w:themeColor="text1"/>
          <w:kern w:val="24"/>
          <w:sz w:val="22"/>
          <w:szCs w:val="22"/>
        </w:rPr>
        <w:t>.</w:t>
      </w:r>
    </w:p>
    <w:p w14:paraId="1E8346B4" w14:textId="77777777" w:rsidR="0073133F" w:rsidRPr="0073133F" w:rsidRDefault="0073133F" w:rsidP="00AC6E40">
      <w:pPr>
        <w:widowControl/>
        <w:jc w:val="left"/>
        <w:rPr>
          <w:rFonts w:ascii="Times New Roman" w:eastAsia="DengXian" w:hAnsi="Times New Roman" w:cs="Times New Roman"/>
          <w:color w:val="000000"/>
          <w:kern w:val="24"/>
          <w:sz w:val="22"/>
        </w:rPr>
      </w:pPr>
      <w:r w:rsidRPr="0073133F">
        <w:rPr>
          <w:rFonts w:ascii="Times New Roman" w:eastAsia="DengXian" w:hAnsi="Times New Roman" w:cs="Times New Roman"/>
          <w:color w:val="000000"/>
          <w:kern w:val="24"/>
          <w:sz w:val="22"/>
        </w:rPr>
        <w:br w:type="page"/>
      </w:r>
    </w:p>
    <w:p w14:paraId="2D3C23AC" w14:textId="77777777" w:rsidR="0073133F" w:rsidRPr="0073133F" w:rsidRDefault="0073133F" w:rsidP="00AC6E40">
      <w:pPr>
        <w:widowControl/>
        <w:jc w:val="center"/>
        <w:rPr>
          <w:rFonts w:ascii="Times New Roman" w:eastAsia="DengXian" w:hAnsi="Times New Roman" w:cs="Times New Roman"/>
          <w:color w:val="000000"/>
          <w:kern w:val="24"/>
          <w:sz w:val="22"/>
        </w:rPr>
      </w:pPr>
      <w:r w:rsidRPr="0073133F">
        <w:rPr>
          <w:rFonts w:ascii="Times New Roman" w:eastAsia="DengXian" w:hAnsi="Times New Roman" w:cs="Times New Roman"/>
          <w:noProof/>
          <w:color w:val="000000"/>
          <w:kern w:val="24"/>
          <w:sz w:val="22"/>
        </w:rPr>
        <w:lastRenderedPageBreak/>
        <w:drawing>
          <wp:inline distT="0" distB="0" distL="0" distR="0" wp14:anchorId="4C50AFCE" wp14:editId="4E756167">
            <wp:extent cx="4723004" cy="7277100"/>
            <wp:effectExtent l="0" t="0" r="1905" b="0"/>
            <wp:docPr id="42" name="图片 42" descr="E:\实验成果\文章\RsdA致病\20241008文章分离\致病\20250414 nature\Extened data\extend fig9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实验成果\文章\RsdA致病\20241008文章分离\致病\20250414 nature\Extened data\extend fig9_画板 1.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30539" cy="7288709"/>
                    </a:xfrm>
                    <a:prstGeom prst="rect">
                      <a:avLst/>
                    </a:prstGeom>
                    <a:noFill/>
                    <a:ln>
                      <a:noFill/>
                    </a:ln>
                  </pic:spPr>
                </pic:pic>
              </a:graphicData>
            </a:graphic>
          </wp:inline>
        </w:drawing>
      </w:r>
    </w:p>
    <w:p w14:paraId="7731491F" w14:textId="77777777" w:rsidR="0073133F" w:rsidRPr="0073133F" w:rsidRDefault="0073133F" w:rsidP="00AC6E40">
      <w:pPr>
        <w:pStyle w:val="Heading1"/>
        <w:spacing w:before="0" w:after="0" w:line="240" w:lineRule="auto"/>
        <w:rPr>
          <w:rFonts w:ascii="Times New Roman" w:hAnsi="Times New Roman" w:cs="Times New Roman"/>
          <w:color w:val="000000" w:themeColor="text1"/>
          <w:sz w:val="22"/>
          <w:szCs w:val="22"/>
        </w:rPr>
      </w:pPr>
      <w:r w:rsidRPr="0073133F">
        <w:rPr>
          <w:rFonts w:ascii="Times New Roman" w:hAnsi="Times New Roman" w:cs="Times New Roman"/>
          <w:color w:val="000000" w:themeColor="text1"/>
          <w:sz w:val="22"/>
          <w:szCs w:val="22"/>
        </w:rPr>
        <w:t>Extended Data Fig. 9: Phenotype and inhibition ratio analysis of clinical strains treated with 3 drug candidates.</w:t>
      </w:r>
      <w:r w:rsidRPr="0073133F">
        <w:rPr>
          <w:rFonts w:ascii="Times New Roman" w:hAnsi="Times New Roman" w:cs="Times New Roman"/>
          <w:b w:val="0"/>
          <w:bCs w:val="0"/>
          <w:color w:val="000000" w:themeColor="text1"/>
          <w:sz w:val="22"/>
          <w:szCs w:val="22"/>
        </w:rPr>
        <w:t xml:space="preserve"> The phenotype and inhibition ratio of clinical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w:t>
      </w:r>
      <w:r w:rsidRPr="0073133F">
        <w:rPr>
          <w:rFonts w:ascii="Times New Roman" w:hAnsi="Times New Roman" w:cs="Times New Roman" w:hint="eastAsia"/>
          <w:b w:val="0"/>
          <w:bCs w:val="0"/>
          <w:color w:val="000000" w:themeColor="text1"/>
          <w:sz w:val="22"/>
          <w:szCs w:val="22"/>
        </w:rPr>
        <w:t>cultured</w:t>
      </w:r>
      <w:r w:rsidRPr="0073133F">
        <w:rPr>
          <w:rFonts w:ascii="Times New Roman" w:hAnsi="Times New Roman" w:cs="Times New Roman"/>
          <w:b w:val="0"/>
          <w:bCs w:val="0"/>
          <w:color w:val="000000" w:themeColor="text1"/>
          <w:sz w:val="22"/>
          <w:szCs w:val="22"/>
        </w:rPr>
        <w:t xml:space="preserve"> for 3 days treated with 200 μM tepotinib, ibrutinib or eltrombopag, respectively</w:t>
      </w:r>
      <w:r w:rsidRPr="0073133F">
        <w:rPr>
          <w:rFonts w:ascii="Times New Roman" w:eastAsia="DengXian" w:hAnsi="Times New Roman" w:cs="Times New Roman"/>
          <w:b w:val="0"/>
          <w:bCs w:val="0"/>
          <w:color w:val="000000" w:themeColor="text1"/>
          <w:kern w:val="24"/>
          <w:sz w:val="22"/>
          <w:szCs w:val="22"/>
        </w:rPr>
        <w:t>.</w:t>
      </w:r>
    </w:p>
    <w:p w14:paraId="38CF2555" w14:textId="77777777" w:rsidR="0073133F" w:rsidRPr="0073133F" w:rsidRDefault="0073133F" w:rsidP="00AC6E40">
      <w:pPr>
        <w:widowControl/>
        <w:jc w:val="left"/>
        <w:rPr>
          <w:rFonts w:ascii="Times New Roman" w:eastAsia="DengXian" w:hAnsi="Times New Roman" w:cs="Times New Roman"/>
          <w:color w:val="000000"/>
          <w:kern w:val="24"/>
          <w:sz w:val="22"/>
        </w:rPr>
      </w:pPr>
      <w:r w:rsidRPr="0073133F">
        <w:rPr>
          <w:rFonts w:ascii="Times New Roman" w:eastAsia="DengXian" w:hAnsi="Times New Roman" w:cs="Times New Roman"/>
          <w:color w:val="000000"/>
          <w:kern w:val="24"/>
          <w:sz w:val="22"/>
        </w:rPr>
        <w:br w:type="page"/>
      </w:r>
    </w:p>
    <w:p w14:paraId="7DD801DF" w14:textId="77777777" w:rsidR="0073133F" w:rsidRPr="0073133F" w:rsidRDefault="0073133F" w:rsidP="00AC6E40">
      <w:pPr>
        <w:widowControl/>
        <w:jc w:val="center"/>
        <w:rPr>
          <w:rFonts w:ascii="Times New Roman" w:eastAsia="DengXian" w:hAnsi="Times New Roman" w:cs="Times New Roman"/>
          <w:color w:val="000000"/>
          <w:kern w:val="24"/>
          <w:sz w:val="22"/>
        </w:rPr>
      </w:pPr>
      <w:r w:rsidRPr="0073133F">
        <w:rPr>
          <w:rFonts w:ascii="Times New Roman" w:eastAsia="DengXian" w:hAnsi="Times New Roman" w:cs="Times New Roman"/>
          <w:noProof/>
          <w:color w:val="000000"/>
          <w:kern w:val="24"/>
          <w:sz w:val="22"/>
        </w:rPr>
        <w:lastRenderedPageBreak/>
        <w:drawing>
          <wp:inline distT="0" distB="0" distL="0" distR="0" wp14:anchorId="08269805" wp14:editId="4BA2A4FF">
            <wp:extent cx="5971540" cy="5738277"/>
            <wp:effectExtent l="0" t="0" r="0" b="0"/>
            <wp:docPr id="43" name="图片 43" descr="E:\实验成果\文章\RsdA致病\20241008文章分离\致病\20250414 nature\Extened data\extend fig10_画板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实验成果\文章\RsdA致病\20241008文章分离\致病\20250414 nature\Extened data\extend fig10_画板 1.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71540" cy="5738277"/>
                    </a:xfrm>
                    <a:prstGeom prst="rect">
                      <a:avLst/>
                    </a:prstGeom>
                    <a:noFill/>
                    <a:ln>
                      <a:noFill/>
                    </a:ln>
                  </pic:spPr>
                </pic:pic>
              </a:graphicData>
            </a:graphic>
          </wp:inline>
        </w:drawing>
      </w:r>
    </w:p>
    <w:p w14:paraId="62CCB99A" w14:textId="77777777" w:rsidR="0073133F" w:rsidRPr="005E2D83" w:rsidRDefault="0073133F" w:rsidP="00AC6E40">
      <w:pPr>
        <w:pStyle w:val="Heading1"/>
        <w:spacing w:before="0" w:after="0" w:line="240" w:lineRule="auto"/>
        <w:rPr>
          <w:rFonts w:ascii="Times New Roman" w:hAnsi="Times New Roman" w:cs="Times New Roman"/>
          <w:color w:val="000000" w:themeColor="text1"/>
          <w:sz w:val="22"/>
          <w:szCs w:val="22"/>
        </w:rPr>
      </w:pPr>
      <w:r w:rsidRPr="0073133F">
        <w:rPr>
          <w:rFonts w:ascii="Times New Roman" w:hAnsi="Times New Roman" w:cs="Times New Roman"/>
          <w:color w:val="000000" w:themeColor="text1"/>
          <w:sz w:val="22"/>
          <w:szCs w:val="22"/>
        </w:rPr>
        <w:t xml:space="preserve">Extended Data Fig. 10: Antifungal activity evaluation of 3 candidate drugs combined with amphotericin B against </w:t>
      </w:r>
      <w:r w:rsidRPr="0073133F">
        <w:rPr>
          <w:rFonts w:ascii="Times New Roman" w:hAnsi="Times New Roman" w:cs="Times New Roman"/>
          <w:i/>
          <w:color w:val="000000" w:themeColor="text1"/>
          <w:sz w:val="22"/>
          <w:szCs w:val="22"/>
        </w:rPr>
        <w:t>A. fumigatus</w:t>
      </w:r>
      <w:r w:rsidRPr="0073133F">
        <w:rPr>
          <w:rFonts w:ascii="Times New Roman" w:hAnsi="Times New Roman" w:cs="Times New Roman"/>
          <w:color w:val="000000" w:themeColor="text1"/>
          <w:sz w:val="22"/>
          <w:szCs w:val="22"/>
        </w:rPr>
        <w:t xml:space="preserve"> CEA17.</w:t>
      </w:r>
      <w:r w:rsidRPr="0073133F">
        <w:rPr>
          <w:rFonts w:ascii="Times New Roman" w:hAnsi="Times New Roman" w:cs="Times New Roman"/>
          <w:b w:val="0"/>
          <w:bCs w:val="0"/>
          <w:color w:val="000000" w:themeColor="text1"/>
          <w:sz w:val="22"/>
          <w:szCs w:val="22"/>
        </w:rPr>
        <w:t xml:space="preserve"> </w:t>
      </w:r>
      <w:r w:rsidRPr="0073133F">
        <w:rPr>
          <w:rFonts w:ascii="Times New Roman" w:hAnsi="Times New Roman" w:cs="Times New Roman"/>
          <w:color w:val="000000" w:themeColor="text1"/>
          <w:sz w:val="22"/>
          <w:szCs w:val="22"/>
        </w:rPr>
        <w:t>a-c</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Effects of amphotericin B on phenotype (</w:t>
      </w:r>
      <w:r w:rsidRPr="0073133F">
        <w:rPr>
          <w:rFonts w:ascii="Times New Roman" w:hAnsi="Times New Roman" w:cs="Times New Roman"/>
          <w:bCs w:val="0"/>
          <w:color w:val="000000" w:themeColor="text1"/>
          <w:sz w:val="22"/>
          <w:szCs w:val="22"/>
        </w:rPr>
        <w:t>a</w:t>
      </w:r>
      <w:r w:rsidRPr="0073133F">
        <w:rPr>
          <w:rFonts w:ascii="Times New Roman" w:hAnsi="Times New Roman" w:cs="Times New Roman"/>
          <w:b w:val="0"/>
          <w:bCs w:val="0"/>
          <w:color w:val="000000" w:themeColor="text1"/>
          <w:sz w:val="22"/>
          <w:szCs w:val="22"/>
        </w:rPr>
        <w:t>), growth (</w:t>
      </w:r>
      <w:r w:rsidRPr="0073133F">
        <w:rPr>
          <w:rFonts w:ascii="Times New Roman" w:hAnsi="Times New Roman" w:cs="Times New Roman"/>
          <w:bCs w:val="0"/>
          <w:color w:val="000000" w:themeColor="text1"/>
          <w:sz w:val="22"/>
          <w:szCs w:val="22"/>
        </w:rPr>
        <w:t>b</w:t>
      </w:r>
      <w:r w:rsidRPr="0073133F">
        <w:rPr>
          <w:rFonts w:ascii="Times New Roman" w:hAnsi="Times New Roman" w:cs="Times New Roman"/>
          <w:b w:val="0"/>
          <w:bCs w:val="0"/>
          <w:color w:val="000000" w:themeColor="text1"/>
          <w:sz w:val="22"/>
          <w:szCs w:val="22"/>
        </w:rPr>
        <w:t>) and inhibition ratio (</w:t>
      </w:r>
      <w:r w:rsidRPr="0073133F">
        <w:rPr>
          <w:rFonts w:ascii="Times New Roman" w:hAnsi="Times New Roman" w:cs="Times New Roman"/>
          <w:bCs w:val="0"/>
          <w:color w:val="000000" w:themeColor="text1"/>
          <w:sz w:val="22"/>
          <w:szCs w:val="22"/>
        </w:rPr>
        <w:t>c</w:t>
      </w:r>
      <w:r w:rsidRPr="0073133F">
        <w:rPr>
          <w:rFonts w:ascii="Times New Roman" w:hAnsi="Times New Roman" w:cs="Times New Roman"/>
          <w:b w:val="0"/>
          <w:bCs w:val="0"/>
          <w:color w:val="000000" w:themeColor="text1"/>
          <w:sz w:val="22"/>
          <w:szCs w:val="22"/>
        </w:rPr>
        <w:t xml:space="preserve">)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CEA17. </w:t>
      </w:r>
      <w:r w:rsidRPr="0073133F">
        <w:rPr>
          <w:rFonts w:ascii="Times New Roman" w:hAnsi="Times New Roman" w:cs="Times New Roman"/>
          <w:color w:val="000000" w:themeColor="text1"/>
          <w:sz w:val="22"/>
          <w:szCs w:val="22"/>
        </w:rPr>
        <w:t>d-e</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Effects of tepotinib combined with amphotericin B on the growth (</w:t>
      </w:r>
      <w:r w:rsidRPr="0073133F">
        <w:rPr>
          <w:rFonts w:ascii="Times New Roman" w:hAnsi="Times New Roman" w:cs="Times New Roman"/>
          <w:bCs w:val="0"/>
          <w:color w:val="000000" w:themeColor="text1"/>
          <w:sz w:val="22"/>
          <w:szCs w:val="22"/>
        </w:rPr>
        <w:t>d</w:t>
      </w:r>
      <w:r w:rsidRPr="0073133F">
        <w:rPr>
          <w:rFonts w:ascii="Times New Roman" w:hAnsi="Times New Roman" w:cs="Times New Roman"/>
          <w:b w:val="0"/>
          <w:bCs w:val="0"/>
          <w:color w:val="000000" w:themeColor="text1"/>
          <w:sz w:val="22"/>
          <w:szCs w:val="22"/>
        </w:rPr>
        <w:t>) and metabolism (</w:t>
      </w:r>
      <w:r w:rsidRPr="0073133F">
        <w:rPr>
          <w:rFonts w:ascii="Times New Roman" w:hAnsi="Times New Roman" w:cs="Times New Roman"/>
          <w:bCs w:val="0"/>
          <w:color w:val="000000" w:themeColor="text1"/>
          <w:sz w:val="22"/>
          <w:szCs w:val="22"/>
        </w:rPr>
        <w:t>e</w:t>
      </w:r>
      <w:r w:rsidRPr="0073133F">
        <w:rPr>
          <w:rFonts w:ascii="Times New Roman" w:hAnsi="Times New Roman" w:cs="Times New Roman"/>
          <w:b w:val="0"/>
          <w:bCs w:val="0"/>
          <w:color w:val="000000" w:themeColor="text1"/>
          <w:sz w:val="22"/>
          <w:szCs w:val="22"/>
        </w:rPr>
        <w:t xml:space="preserve">)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CEA17. </w:t>
      </w:r>
      <w:r w:rsidRPr="0073133F">
        <w:rPr>
          <w:rFonts w:ascii="Times New Roman" w:hAnsi="Times New Roman" w:cs="Times New Roman"/>
          <w:color w:val="000000" w:themeColor="text1"/>
          <w:sz w:val="22"/>
          <w:szCs w:val="22"/>
        </w:rPr>
        <w:t>f-g</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Effects of ibrutinib combined with amphotericin B on the growth (</w:t>
      </w:r>
      <w:r w:rsidRPr="0073133F">
        <w:rPr>
          <w:rFonts w:ascii="Times New Roman" w:hAnsi="Times New Roman" w:cs="Times New Roman"/>
          <w:bCs w:val="0"/>
          <w:color w:val="000000" w:themeColor="text1"/>
          <w:sz w:val="22"/>
          <w:szCs w:val="22"/>
        </w:rPr>
        <w:t>f</w:t>
      </w:r>
      <w:r w:rsidRPr="0073133F">
        <w:rPr>
          <w:rFonts w:ascii="Times New Roman" w:hAnsi="Times New Roman" w:cs="Times New Roman"/>
          <w:b w:val="0"/>
          <w:bCs w:val="0"/>
          <w:color w:val="000000" w:themeColor="text1"/>
          <w:sz w:val="22"/>
          <w:szCs w:val="22"/>
        </w:rPr>
        <w:t>) and metabolism (</w:t>
      </w:r>
      <w:r w:rsidRPr="0073133F">
        <w:rPr>
          <w:rFonts w:ascii="Times New Roman" w:hAnsi="Times New Roman" w:cs="Times New Roman"/>
          <w:bCs w:val="0"/>
          <w:color w:val="000000" w:themeColor="text1"/>
          <w:sz w:val="22"/>
          <w:szCs w:val="22"/>
        </w:rPr>
        <w:t>g</w:t>
      </w:r>
      <w:r w:rsidRPr="0073133F">
        <w:rPr>
          <w:rFonts w:ascii="Times New Roman" w:hAnsi="Times New Roman" w:cs="Times New Roman"/>
          <w:b w:val="0"/>
          <w:bCs w:val="0"/>
          <w:color w:val="000000" w:themeColor="text1"/>
          <w:sz w:val="22"/>
          <w:szCs w:val="22"/>
        </w:rPr>
        <w:t xml:space="preserve">)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CEA17.</w:t>
      </w:r>
      <w:r w:rsidRPr="0073133F">
        <w:rPr>
          <w:rFonts w:ascii="Times New Roman" w:hAnsi="Times New Roman" w:cs="Times New Roman"/>
          <w:color w:val="000000" w:themeColor="text1"/>
          <w:sz w:val="22"/>
          <w:szCs w:val="22"/>
        </w:rPr>
        <w:t xml:space="preserve"> h-i</w:t>
      </w:r>
      <w:r w:rsidRPr="0073133F">
        <w:rPr>
          <w:rFonts w:ascii="Times New Roman" w:hAnsi="Times New Roman" w:cs="Times New Roman"/>
          <w:b w:val="0"/>
          <w:color w:val="000000" w:themeColor="text1"/>
          <w:sz w:val="22"/>
          <w:szCs w:val="22"/>
        </w:rPr>
        <w:t>,</w:t>
      </w:r>
      <w:r w:rsidRPr="0073133F">
        <w:rPr>
          <w:rFonts w:ascii="Times New Roman" w:hAnsi="Times New Roman" w:cs="Times New Roman"/>
          <w:b w:val="0"/>
          <w:bCs w:val="0"/>
          <w:color w:val="000000" w:themeColor="text1"/>
          <w:sz w:val="22"/>
          <w:szCs w:val="22"/>
        </w:rPr>
        <w:t xml:space="preserve"> Effects of eltrombopag combined with amphotericin B on the growth (</w:t>
      </w:r>
      <w:r w:rsidRPr="0073133F">
        <w:rPr>
          <w:rFonts w:ascii="Times New Roman" w:hAnsi="Times New Roman" w:cs="Times New Roman"/>
          <w:bCs w:val="0"/>
          <w:color w:val="000000" w:themeColor="text1"/>
          <w:sz w:val="22"/>
          <w:szCs w:val="22"/>
        </w:rPr>
        <w:t>h</w:t>
      </w:r>
      <w:r w:rsidRPr="0073133F">
        <w:rPr>
          <w:rFonts w:ascii="Times New Roman" w:hAnsi="Times New Roman" w:cs="Times New Roman"/>
          <w:b w:val="0"/>
          <w:bCs w:val="0"/>
          <w:color w:val="000000" w:themeColor="text1"/>
          <w:sz w:val="22"/>
          <w:szCs w:val="22"/>
        </w:rPr>
        <w:t>) and metabolism (</w:t>
      </w:r>
      <w:r w:rsidRPr="0073133F">
        <w:rPr>
          <w:rFonts w:ascii="Times New Roman" w:hAnsi="Times New Roman" w:cs="Times New Roman"/>
          <w:bCs w:val="0"/>
          <w:color w:val="000000" w:themeColor="text1"/>
          <w:sz w:val="22"/>
          <w:szCs w:val="22"/>
        </w:rPr>
        <w:t>i</w:t>
      </w:r>
      <w:r w:rsidRPr="0073133F">
        <w:rPr>
          <w:rFonts w:ascii="Times New Roman" w:hAnsi="Times New Roman" w:cs="Times New Roman"/>
          <w:b w:val="0"/>
          <w:bCs w:val="0"/>
          <w:color w:val="000000" w:themeColor="text1"/>
          <w:sz w:val="22"/>
          <w:szCs w:val="22"/>
        </w:rPr>
        <w:t xml:space="preserve">) of </w:t>
      </w:r>
      <w:r w:rsidRPr="0073133F">
        <w:rPr>
          <w:rFonts w:ascii="Times New Roman" w:hAnsi="Times New Roman" w:cs="Times New Roman"/>
          <w:b w:val="0"/>
          <w:bCs w:val="0"/>
          <w:i/>
          <w:color w:val="000000" w:themeColor="text1"/>
          <w:sz w:val="22"/>
          <w:szCs w:val="22"/>
        </w:rPr>
        <w:t>A. fumigatus</w:t>
      </w:r>
      <w:r w:rsidRPr="0073133F">
        <w:rPr>
          <w:rFonts w:ascii="Times New Roman" w:hAnsi="Times New Roman" w:cs="Times New Roman"/>
          <w:b w:val="0"/>
          <w:bCs w:val="0"/>
          <w:color w:val="000000" w:themeColor="text1"/>
          <w:sz w:val="22"/>
          <w:szCs w:val="22"/>
        </w:rPr>
        <w:t xml:space="preserve"> CEA17. All error bars are expressed as ±SD. Statistical analysis was performed by using Two-way ANOVA (Significant at ****</w:t>
      </w:r>
      <w:r w:rsidRPr="0073133F">
        <w:rPr>
          <w:rFonts w:ascii="Times New Roman" w:hAnsi="Times New Roman" w:cs="Times New Roman"/>
          <w:b w:val="0"/>
          <w:bCs w:val="0"/>
          <w:i/>
          <w:color w:val="000000" w:themeColor="text1"/>
          <w:sz w:val="22"/>
          <w:szCs w:val="22"/>
        </w:rPr>
        <w:t>p</w:t>
      </w:r>
      <w:r w:rsidRPr="0073133F">
        <w:rPr>
          <w:rFonts w:ascii="Times New Roman" w:hAnsi="Times New Roman" w:cs="Times New Roman"/>
          <w:b w:val="0"/>
          <w:bCs w:val="0"/>
          <w:color w:val="000000" w:themeColor="text1"/>
          <w:sz w:val="22"/>
          <w:szCs w:val="22"/>
        </w:rPr>
        <w:t xml:space="preserve"> &lt; 0.0001).</w:t>
      </w:r>
    </w:p>
    <w:p w14:paraId="62F930DE" w14:textId="77777777" w:rsidR="0073133F" w:rsidRPr="00AC6E40" w:rsidRDefault="0073133F" w:rsidP="00AC6E40"/>
    <w:p w14:paraId="0CD4B262" w14:textId="77777777" w:rsidR="00000000" w:rsidRDefault="00000000"/>
    <w:sectPr w:rsidR="004325A1" w:rsidSect="0073133F">
      <w:footerReference w:type="default" r:id="rId18"/>
      <w:pgSz w:w="12242" w:h="16840" w:code="9"/>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F5693" w14:textId="77777777" w:rsidR="004179EF" w:rsidRDefault="004179EF">
      <w:r>
        <w:separator/>
      </w:r>
    </w:p>
  </w:endnote>
  <w:endnote w:type="continuationSeparator" w:id="0">
    <w:p w14:paraId="714D1DE6" w14:textId="77777777" w:rsidR="004179EF" w:rsidRDefault="00417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HGB1_CNKI">
    <w:altName w:val="Microsoft YaHei"/>
    <w:charset w:val="86"/>
    <w:family w:val="auto"/>
    <w:pitch w:val="variable"/>
    <w:sig w:usb0="80000027" w:usb1="180F0000" w:usb2="00000010" w:usb3="00000000" w:csb0="00040003"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9586413"/>
      <w:docPartObj>
        <w:docPartGallery w:val="Page Numbers (Bottom of Page)"/>
        <w:docPartUnique/>
      </w:docPartObj>
    </w:sdtPr>
    <w:sdtContent>
      <w:p w14:paraId="3FA28915" w14:textId="77777777" w:rsidR="00000000" w:rsidRDefault="0073133F">
        <w:pPr>
          <w:pStyle w:val="Footer"/>
          <w:jc w:val="center"/>
        </w:pPr>
        <w:r>
          <w:fldChar w:fldCharType="begin"/>
        </w:r>
        <w:r>
          <w:instrText>PAGE   \* MERGEFORMAT</w:instrText>
        </w:r>
        <w:r>
          <w:fldChar w:fldCharType="separate"/>
        </w:r>
        <w:r w:rsidR="003E33EB" w:rsidRPr="003E33EB">
          <w:rPr>
            <w:noProof/>
            <w:lang w:val="zh-CN"/>
          </w:rPr>
          <w:t>1</w:t>
        </w:r>
        <w:r>
          <w:fldChar w:fldCharType="end"/>
        </w:r>
      </w:p>
    </w:sdtContent>
  </w:sdt>
  <w:p w14:paraId="5971C79D"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D254D" w14:textId="77777777" w:rsidR="004179EF" w:rsidRDefault="004179EF">
      <w:r>
        <w:separator/>
      </w:r>
    </w:p>
  </w:footnote>
  <w:footnote w:type="continuationSeparator" w:id="0">
    <w:p w14:paraId="1D9286D0" w14:textId="77777777" w:rsidR="004179EF" w:rsidRDefault="004179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63E69"/>
    <w:multiLevelType w:val="hybridMultilevel"/>
    <w:tmpl w:val="D450B016"/>
    <w:lvl w:ilvl="0" w:tplc="DE76E5FE">
      <w:start w:val="1"/>
      <w:numFmt w:val="decimal"/>
      <w:lvlText w:val="%1."/>
      <w:lvlJc w:val="left"/>
      <w:pPr>
        <w:ind w:left="360" w:hanging="360"/>
      </w:pPr>
      <w:rPr>
        <w:rFonts w:ascii="Arial" w:hAnsi="Arial" w:cs="Arial" w:hint="default"/>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A0746E"/>
    <w:multiLevelType w:val="hybridMultilevel"/>
    <w:tmpl w:val="FF16804C"/>
    <w:lvl w:ilvl="0" w:tplc="739497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0365EB"/>
    <w:multiLevelType w:val="hybridMultilevel"/>
    <w:tmpl w:val="895885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47146DF"/>
    <w:multiLevelType w:val="hybridMultilevel"/>
    <w:tmpl w:val="8AE2697A"/>
    <w:lvl w:ilvl="0" w:tplc="C68C9F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124607F"/>
    <w:multiLevelType w:val="hybridMultilevel"/>
    <w:tmpl w:val="28FA82EE"/>
    <w:lvl w:ilvl="0" w:tplc="16EA845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36EF4079"/>
    <w:multiLevelType w:val="hybridMultilevel"/>
    <w:tmpl w:val="36D62998"/>
    <w:lvl w:ilvl="0" w:tplc="04090001">
      <w:start w:val="1"/>
      <w:numFmt w:val="bullet"/>
      <w:lvlText w:val=""/>
      <w:lvlJc w:val="left"/>
      <w:pPr>
        <w:ind w:left="8000" w:hanging="420"/>
      </w:pPr>
      <w:rPr>
        <w:rFonts w:ascii="Wingdings" w:hAnsi="Wingdings" w:hint="default"/>
      </w:rPr>
    </w:lvl>
    <w:lvl w:ilvl="1" w:tplc="04090003" w:tentative="1">
      <w:start w:val="1"/>
      <w:numFmt w:val="bullet"/>
      <w:lvlText w:val=""/>
      <w:lvlJc w:val="left"/>
      <w:pPr>
        <w:ind w:left="8420" w:hanging="420"/>
      </w:pPr>
      <w:rPr>
        <w:rFonts w:ascii="Wingdings" w:hAnsi="Wingdings" w:hint="default"/>
      </w:rPr>
    </w:lvl>
    <w:lvl w:ilvl="2" w:tplc="04090005" w:tentative="1">
      <w:start w:val="1"/>
      <w:numFmt w:val="bullet"/>
      <w:lvlText w:val=""/>
      <w:lvlJc w:val="left"/>
      <w:pPr>
        <w:ind w:left="8840" w:hanging="420"/>
      </w:pPr>
      <w:rPr>
        <w:rFonts w:ascii="Wingdings" w:hAnsi="Wingdings" w:hint="default"/>
      </w:rPr>
    </w:lvl>
    <w:lvl w:ilvl="3" w:tplc="04090001" w:tentative="1">
      <w:start w:val="1"/>
      <w:numFmt w:val="bullet"/>
      <w:lvlText w:val=""/>
      <w:lvlJc w:val="left"/>
      <w:pPr>
        <w:ind w:left="9260" w:hanging="420"/>
      </w:pPr>
      <w:rPr>
        <w:rFonts w:ascii="Wingdings" w:hAnsi="Wingdings" w:hint="default"/>
      </w:rPr>
    </w:lvl>
    <w:lvl w:ilvl="4" w:tplc="04090003" w:tentative="1">
      <w:start w:val="1"/>
      <w:numFmt w:val="bullet"/>
      <w:lvlText w:val=""/>
      <w:lvlJc w:val="left"/>
      <w:pPr>
        <w:ind w:left="9680" w:hanging="420"/>
      </w:pPr>
      <w:rPr>
        <w:rFonts w:ascii="Wingdings" w:hAnsi="Wingdings" w:hint="default"/>
      </w:rPr>
    </w:lvl>
    <w:lvl w:ilvl="5" w:tplc="04090005" w:tentative="1">
      <w:start w:val="1"/>
      <w:numFmt w:val="bullet"/>
      <w:lvlText w:val=""/>
      <w:lvlJc w:val="left"/>
      <w:pPr>
        <w:ind w:left="10100" w:hanging="420"/>
      </w:pPr>
      <w:rPr>
        <w:rFonts w:ascii="Wingdings" w:hAnsi="Wingdings" w:hint="default"/>
      </w:rPr>
    </w:lvl>
    <w:lvl w:ilvl="6" w:tplc="04090001" w:tentative="1">
      <w:start w:val="1"/>
      <w:numFmt w:val="bullet"/>
      <w:lvlText w:val=""/>
      <w:lvlJc w:val="left"/>
      <w:pPr>
        <w:ind w:left="10520" w:hanging="420"/>
      </w:pPr>
      <w:rPr>
        <w:rFonts w:ascii="Wingdings" w:hAnsi="Wingdings" w:hint="default"/>
      </w:rPr>
    </w:lvl>
    <w:lvl w:ilvl="7" w:tplc="04090003" w:tentative="1">
      <w:start w:val="1"/>
      <w:numFmt w:val="bullet"/>
      <w:lvlText w:val=""/>
      <w:lvlJc w:val="left"/>
      <w:pPr>
        <w:ind w:left="10940" w:hanging="420"/>
      </w:pPr>
      <w:rPr>
        <w:rFonts w:ascii="Wingdings" w:hAnsi="Wingdings" w:hint="default"/>
      </w:rPr>
    </w:lvl>
    <w:lvl w:ilvl="8" w:tplc="04090005" w:tentative="1">
      <w:start w:val="1"/>
      <w:numFmt w:val="bullet"/>
      <w:lvlText w:val=""/>
      <w:lvlJc w:val="left"/>
      <w:pPr>
        <w:ind w:left="11360" w:hanging="420"/>
      </w:pPr>
      <w:rPr>
        <w:rFonts w:ascii="Wingdings" w:hAnsi="Wingdings" w:hint="default"/>
      </w:rPr>
    </w:lvl>
  </w:abstractNum>
  <w:abstractNum w:abstractNumId="6" w15:restartNumberingAfterBreak="0">
    <w:nsid w:val="38F549CA"/>
    <w:multiLevelType w:val="hybridMultilevel"/>
    <w:tmpl w:val="29CE22CC"/>
    <w:lvl w:ilvl="0" w:tplc="50BCB9AA">
      <w:start w:val="1"/>
      <w:numFmt w:val="upperLetter"/>
      <w:lvlText w:val="%1."/>
      <w:lvlJc w:val="left"/>
      <w:pPr>
        <w:ind w:left="360" w:hanging="360"/>
      </w:pPr>
      <w:rPr>
        <w:rFonts w:hint="default"/>
        <w:i/>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3EE75AEF"/>
    <w:multiLevelType w:val="hybridMultilevel"/>
    <w:tmpl w:val="AE16192A"/>
    <w:lvl w:ilvl="0" w:tplc="16EA845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B8C6D76"/>
    <w:multiLevelType w:val="hybridMultilevel"/>
    <w:tmpl w:val="088AFAC6"/>
    <w:lvl w:ilvl="0" w:tplc="16EA845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D9F0955"/>
    <w:multiLevelType w:val="hybridMultilevel"/>
    <w:tmpl w:val="FD647160"/>
    <w:lvl w:ilvl="0" w:tplc="434C24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40631A8"/>
    <w:multiLevelType w:val="hybridMultilevel"/>
    <w:tmpl w:val="F74E317A"/>
    <w:lvl w:ilvl="0" w:tplc="13C23B50">
      <w:start w:val="1"/>
      <w:numFmt w:val="decimal"/>
      <w:lvlText w:val="%1."/>
      <w:lvlJc w:val="left"/>
      <w:pPr>
        <w:ind w:left="360" w:hanging="360"/>
      </w:pPr>
      <w:rPr>
        <w:rFonts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ECC65F9"/>
    <w:multiLevelType w:val="hybridMultilevel"/>
    <w:tmpl w:val="B420AC4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119647859">
    <w:abstractNumId w:val="11"/>
  </w:num>
  <w:num w:numId="2" w16cid:durableId="1160391889">
    <w:abstractNumId w:val="3"/>
  </w:num>
  <w:num w:numId="3" w16cid:durableId="1012684553">
    <w:abstractNumId w:val="0"/>
  </w:num>
  <w:num w:numId="4" w16cid:durableId="545534022">
    <w:abstractNumId w:val="2"/>
  </w:num>
  <w:num w:numId="5" w16cid:durableId="90245239">
    <w:abstractNumId w:val="8"/>
  </w:num>
  <w:num w:numId="6" w16cid:durableId="773786778">
    <w:abstractNumId w:val="1"/>
  </w:num>
  <w:num w:numId="7" w16cid:durableId="324405430">
    <w:abstractNumId w:val="9"/>
  </w:num>
  <w:num w:numId="8" w16cid:durableId="721904287">
    <w:abstractNumId w:val="10"/>
  </w:num>
  <w:num w:numId="9" w16cid:durableId="1464806402">
    <w:abstractNumId w:val="7"/>
  </w:num>
  <w:num w:numId="10" w16cid:durableId="854803649">
    <w:abstractNumId w:val="4"/>
  </w:num>
  <w:num w:numId="11" w16cid:durableId="903685167">
    <w:abstractNumId w:val="5"/>
  </w:num>
  <w:num w:numId="12" w16cid:durableId="7910917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73133F"/>
    <w:rsid w:val="00097181"/>
    <w:rsid w:val="00167FAD"/>
    <w:rsid w:val="00227C22"/>
    <w:rsid w:val="003B1BD0"/>
    <w:rsid w:val="003E33EB"/>
    <w:rsid w:val="004179EF"/>
    <w:rsid w:val="00463389"/>
    <w:rsid w:val="00513A56"/>
    <w:rsid w:val="005D1342"/>
    <w:rsid w:val="00716B64"/>
    <w:rsid w:val="0073133F"/>
    <w:rsid w:val="007A7771"/>
    <w:rsid w:val="00980108"/>
    <w:rsid w:val="00A65BB6"/>
    <w:rsid w:val="00C63EC6"/>
    <w:rsid w:val="00D2485E"/>
    <w:rsid w:val="00E340E0"/>
    <w:rsid w:val="00E56EFA"/>
    <w:rsid w:val="00E61B41"/>
    <w:rsid w:val="00EC55C3"/>
    <w:rsid w:val="00FF4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8320A"/>
  <w15:chartTrackingRefBased/>
  <w15:docId w15:val="{7CBFC04D-AEA2-48A2-BC37-86DC7F9A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33F"/>
    <w:pPr>
      <w:widowControl w:val="0"/>
      <w:jc w:val="both"/>
    </w:pPr>
  </w:style>
  <w:style w:type="paragraph" w:styleId="Heading1">
    <w:name w:val="heading 1"/>
    <w:basedOn w:val="Normal"/>
    <w:next w:val="Normal"/>
    <w:link w:val="Heading1Char"/>
    <w:uiPriority w:val="9"/>
    <w:qFormat/>
    <w:rsid w:val="0073133F"/>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rsid w:val="0073133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unhideWhenUsed/>
    <w:qFormat/>
    <w:rsid w:val="0073133F"/>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rsid w:val="0073133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133F"/>
    <w:rPr>
      <w:b/>
      <w:bCs/>
      <w:kern w:val="44"/>
      <w:sz w:val="44"/>
      <w:szCs w:val="44"/>
    </w:rPr>
  </w:style>
  <w:style w:type="character" w:customStyle="1" w:styleId="Heading2Char">
    <w:name w:val="Heading 2 Char"/>
    <w:basedOn w:val="DefaultParagraphFont"/>
    <w:link w:val="Heading2"/>
    <w:uiPriority w:val="9"/>
    <w:rsid w:val="0073133F"/>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rsid w:val="0073133F"/>
    <w:rPr>
      <w:b/>
      <w:bCs/>
      <w:sz w:val="32"/>
      <w:szCs w:val="32"/>
    </w:rPr>
  </w:style>
  <w:style w:type="character" w:customStyle="1" w:styleId="Heading4Char">
    <w:name w:val="Heading 4 Char"/>
    <w:basedOn w:val="DefaultParagraphFont"/>
    <w:link w:val="Heading4"/>
    <w:uiPriority w:val="9"/>
    <w:rsid w:val="0073133F"/>
    <w:rPr>
      <w:rFonts w:asciiTheme="majorHAnsi" w:eastAsiaTheme="majorEastAsia" w:hAnsiTheme="majorHAnsi" w:cstheme="majorBidi"/>
      <w:b/>
      <w:bCs/>
      <w:sz w:val="28"/>
      <w:szCs w:val="28"/>
    </w:rPr>
  </w:style>
  <w:style w:type="paragraph" w:styleId="ListParagraph">
    <w:name w:val="List Paragraph"/>
    <w:basedOn w:val="Normal"/>
    <w:uiPriority w:val="34"/>
    <w:qFormat/>
    <w:rsid w:val="0073133F"/>
    <w:pPr>
      <w:ind w:firstLineChars="200" w:firstLine="420"/>
    </w:pPr>
  </w:style>
  <w:style w:type="paragraph" w:styleId="Header">
    <w:name w:val="header"/>
    <w:basedOn w:val="Normal"/>
    <w:link w:val="HeaderChar"/>
    <w:uiPriority w:val="99"/>
    <w:unhideWhenUsed/>
    <w:rsid w:val="0073133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3133F"/>
    <w:rPr>
      <w:sz w:val="18"/>
      <w:szCs w:val="18"/>
    </w:rPr>
  </w:style>
  <w:style w:type="paragraph" w:styleId="Footer">
    <w:name w:val="footer"/>
    <w:basedOn w:val="Normal"/>
    <w:link w:val="FooterChar"/>
    <w:uiPriority w:val="99"/>
    <w:unhideWhenUsed/>
    <w:rsid w:val="0073133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3133F"/>
    <w:rPr>
      <w:sz w:val="18"/>
      <w:szCs w:val="18"/>
    </w:rPr>
  </w:style>
  <w:style w:type="paragraph" w:styleId="NormalWeb">
    <w:name w:val="Normal (Web)"/>
    <w:basedOn w:val="Normal"/>
    <w:uiPriority w:val="99"/>
    <w:unhideWhenUsed/>
    <w:rsid w:val="0073133F"/>
    <w:pPr>
      <w:widowControl/>
      <w:spacing w:before="100" w:beforeAutospacing="1" w:after="100" w:afterAutospacing="1"/>
      <w:jc w:val="left"/>
    </w:pPr>
    <w:rPr>
      <w:rFonts w:ascii="HGB1_CNKI" w:eastAsia="HGB1_CNKI" w:hAnsi="SimSun" w:cs="SimSun"/>
      <w:kern w:val="0"/>
      <w:sz w:val="24"/>
      <w:szCs w:val="24"/>
    </w:rPr>
  </w:style>
  <w:style w:type="character" w:styleId="CommentReference">
    <w:name w:val="annotation reference"/>
    <w:basedOn w:val="DefaultParagraphFont"/>
    <w:uiPriority w:val="99"/>
    <w:semiHidden/>
    <w:unhideWhenUsed/>
    <w:rsid w:val="0073133F"/>
    <w:rPr>
      <w:sz w:val="21"/>
      <w:szCs w:val="21"/>
    </w:rPr>
  </w:style>
  <w:style w:type="paragraph" w:styleId="CommentText">
    <w:name w:val="annotation text"/>
    <w:basedOn w:val="Normal"/>
    <w:link w:val="CommentTextChar"/>
    <w:uiPriority w:val="99"/>
    <w:semiHidden/>
    <w:unhideWhenUsed/>
    <w:rsid w:val="0073133F"/>
    <w:pPr>
      <w:jc w:val="left"/>
    </w:pPr>
  </w:style>
  <w:style w:type="character" w:customStyle="1" w:styleId="CommentTextChar">
    <w:name w:val="Comment Text Char"/>
    <w:basedOn w:val="DefaultParagraphFont"/>
    <w:link w:val="CommentText"/>
    <w:uiPriority w:val="99"/>
    <w:semiHidden/>
    <w:rsid w:val="0073133F"/>
  </w:style>
  <w:style w:type="paragraph" w:styleId="CommentSubject">
    <w:name w:val="annotation subject"/>
    <w:basedOn w:val="CommentText"/>
    <w:next w:val="CommentText"/>
    <w:link w:val="CommentSubjectChar"/>
    <w:uiPriority w:val="99"/>
    <w:semiHidden/>
    <w:unhideWhenUsed/>
    <w:rsid w:val="0073133F"/>
    <w:rPr>
      <w:b/>
      <w:bCs/>
    </w:rPr>
  </w:style>
  <w:style w:type="character" w:customStyle="1" w:styleId="CommentSubjectChar">
    <w:name w:val="Comment Subject Char"/>
    <w:basedOn w:val="CommentTextChar"/>
    <w:link w:val="CommentSubject"/>
    <w:uiPriority w:val="99"/>
    <w:semiHidden/>
    <w:rsid w:val="0073133F"/>
    <w:rPr>
      <w:b/>
      <w:bCs/>
    </w:rPr>
  </w:style>
  <w:style w:type="paragraph" w:styleId="Revision">
    <w:name w:val="Revision"/>
    <w:hidden/>
    <w:uiPriority w:val="99"/>
    <w:semiHidden/>
    <w:rsid w:val="0073133F"/>
  </w:style>
  <w:style w:type="paragraph" w:customStyle="1" w:styleId="EndNoteBibliographyTitle">
    <w:name w:val="EndNote Bibliography Title"/>
    <w:basedOn w:val="Normal"/>
    <w:link w:val="EndNoteBibliographyTitle0"/>
    <w:rsid w:val="0073133F"/>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73133F"/>
    <w:rPr>
      <w:rFonts w:ascii="DengXian" w:eastAsia="DengXian" w:hAnsi="DengXian"/>
      <w:noProof/>
      <w:sz w:val="20"/>
    </w:rPr>
  </w:style>
  <w:style w:type="paragraph" w:customStyle="1" w:styleId="EndNoteBibliography">
    <w:name w:val="EndNote Bibliography"/>
    <w:basedOn w:val="Normal"/>
    <w:link w:val="EndNoteBibliography0"/>
    <w:rsid w:val="0073133F"/>
    <w:rPr>
      <w:rFonts w:ascii="DengXian" w:eastAsia="DengXian" w:hAnsi="DengXian"/>
      <w:noProof/>
      <w:sz w:val="20"/>
    </w:rPr>
  </w:style>
  <w:style w:type="character" w:customStyle="1" w:styleId="EndNoteBibliography0">
    <w:name w:val="EndNote Bibliography 字符"/>
    <w:basedOn w:val="DefaultParagraphFont"/>
    <w:link w:val="EndNoteBibliography"/>
    <w:rsid w:val="0073133F"/>
    <w:rPr>
      <w:rFonts w:ascii="DengXian" w:eastAsia="DengXian" w:hAnsi="DengXian"/>
      <w:noProof/>
      <w:sz w:val="20"/>
    </w:rPr>
  </w:style>
  <w:style w:type="paragraph" w:styleId="BalloonText">
    <w:name w:val="Balloon Text"/>
    <w:basedOn w:val="Normal"/>
    <w:link w:val="BalloonTextChar"/>
    <w:uiPriority w:val="99"/>
    <w:semiHidden/>
    <w:unhideWhenUsed/>
    <w:rsid w:val="0073133F"/>
    <w:rPr>
      <w:sz w:val="18"/>
      <w:szCs w:val="18"/>
    </w:rPr>
  </w:style>
  <w:style w:type="character" w:customStyle="1" w:styleId="BalloonTextChar">
    <w:name w:val="Balloon Text Char"/>
    <w:basedOn w:val="DefaultParagraphFont"/>
    <w:link w:val="BalloonText"/>
    <w:uiPriority w:val="99"/>
    <w:semiHidden/>
    <w:rsid w:val="0073133F"/>
    <w:rPr>
      <w:sz w:val="18"/>
      <w:szCs w:val="18"/>
    </w:rPr>
  </w:style>
  <w:style w:type="character" w:styleId="LineNumber">
    <w:name w:val="line number"/>
    <w:basedOn w:val="DefaultParagraphFont"/>
    <w:uiPriority w:val="99"/>
    <w:semiHidden/>
    <w:unhideWhenUsed/>
    <w:rsid w:val="0073133F"/>
  </w:style>
  <w:style w:type="paragraph" w:styleId="FootnoteText">
    <w:name w:val="footnote text"/>
    <w:basedOn w:val="Normal"/>
    <w:link w:val="FootnoteTextChar"/>
    <w:uiPriority w:val="99"/>
    <w:semiHidden/>
    <w:unhideWhenUsed/>
    <w:rsid w:val="0073133F"/>
    <w:pPr>
      <w:snapToGrid w:val="0"/>
      <w:jc w:val="left"/>
    </w:pPr>
    <w:rPr>
      <w:sz w:val="18"/>
      <w:szCs w:val="18"/>
    </w:rPr>
  </w:style>
  <w:style w:type="character" w:customStyle="1" w:styleId="FootnoteTextChar">
    <w:name w:val="Footnote Text Char"/>
    <w:basedOn w:val="DefaultParagraphFont"/>
    <w:link w:val="FootnoteText"/>
    <w:uiPriority w:val="99"/>
    <w:semiHidden/>
    <w:rsid w:val="0073133F"/>
    <w:rPr>
      <w:sz w:val="18"/>
      <w:szCs w:val="18"/>
    </w:rPr>
  </w:style>
  <w:style w:type="character" w:styleId="FootnoteReference">
    <w:name w:val="footnote reference"/>
    <w:basedOn w:val="DefaultParagraphFont"/>
    <w:uiPriority w:val="99"/>
    <w:semiHidden/>
    <w:unhideWhenUsed/>
    <w:rsid w:val="0073133F"/>
    <w:rPr>
      <w:vertAlign w:val="superscript"/>
    </w:rPr>
  </w:style>
  <w:style w:type="character" w:styleId="Hyperlink">
    <w:name w:val="Hyperlink"/>
    <w:basedOn w:val="DefaultParagraphFont"/>
    <w:uiPriority w:val="99"/>
    <w:unhideWhenUsed/>
    <w:rsid w:val="0073133F"/>
    <w:rPr>
      <w:color w:val="0000FF"/>
      <w:u w:val="single"/>
    </w:rPr>
  </w:style>
  <w:style w:type="character" w:styleId="Strong">
    <w:name w:val="Strong"/>
    <w:basedOn w:val="DefaultParagraphFont"/>
    <w:uiPriority w:val="22"/>
    <w:qFormat/>
    <w:rsid w:val="0073133F"/>
    <w:rPr>
      <w:b/>
      <w:bCs/>
    </w:rPr>
  </w:style>
  <w:style w:type="table" w:styleId="TableGrid">
    <w:name w:val="Table Grid"/>
    <w:basedOn w:val="TableNormal"/>
    <w:uiPriority w:val="39"/>
    <w:rsid w:val="007313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TableNormal"/>
    <w:next w:val="TableGrid"/>
    <w:uiPriority w:val="59"/>
    <w:rsid w:val="0073133F"/>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未处理的提及1"/>
    <w:basedOn w:val="DefaultParagraphFont"/>
    <w:uiPriority w:val="99"/>
    <w:semiHidden/>
    <w:unhideWhenUsed/>
    <w:rsid w:val="0073133F"/>
    <w:rPr>
      <w:color w:val="605E5C"/>
      <w:shd w:val="clear" w:color="auto" w:fill="E1DFDD"/>
    </w:rPr>
  </w:style>
  <w:style w:type="character" w:customStyle="1" w:styleId="2">
    <w:name w:val="未处理的提及2"/>
    <w:basedOn w:val="DefaultParagraphFont"/>
    <w:uiPriority w:val="99"/>
    <w:semiHidden/>
    <w:unhideWhenUsed/>
    <w:rsid w:val="0073133F"/>
    <w:rPr>
      <w:color w:val="605E5C"/>
      <w:shd w:val="clear" w:color="auto" w:fill="E1DFDD"/>
    </w:rPr>
  </w:style>
  <w:style w:type="character" w:customStyle="1" w:styleId="UnresolvedMention1">
    <w:name w:val="Unresolved Mention1"/>
    <w:basedOn w:val="DefaultParagraphFont"/>
    <w:uiPriority w:val="99"/>
    <w:semiHidden/>
    <w:unhideWhenUsed/>
    <w:rsid w:val="0073133F"/>
    <w:rPr>
      <w:color w:val="605E5C"/>
      <w:shd w:val="clear" w:color="auto" w:fill="E1DFDD"/>
    </w:rPr>
  </w:style>
  <w:style w:type="character" w:styleId="FollowedHyperlink">
    <w:name w:val="FollowedHyperlink"/>
    <w:basedOn w:val="DefaultParagraphFont"/>
    <w:uiPriority w:val="99"/>
    <w:semiHidden/>
    <w:unhideWhenUsed/>
    <w:rsid w:val="0073133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tiff"/><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441843-70E2-4122-A575-39EE3A132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11</Pages>
  <Words>876</Words>
  <Characters>4999</Characters>
  <Application>Microsoft Office Word</Application>
  <DocSecurity>0</DocSecurity>
  <Lines>41</Lines>
  <Paragraphs>11</Paragraphs>
  <ScaleCrop>false</ScaleCrop>
  <Company/>
  <LinksUpToDate>false</LinksUpToDate>
  <CharactersWithSpaces>5864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Trupti Sudge</cp:lastModifiedBy>
  <cp:revision>2</cp:revision>
  <dcterms:created xsi:type="dcterms:W3CDTF">2025-06-12T05:27:00Z</dcterms:created>
  <dcterms:modified xsi:type="dcterms:W3CDTF">2025-06-12T05:27:00Z</dcterms:modified>
</cp:coreProperties>
</file>