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3F8A" w14:textId="024BF9CD" w:rsidR="000106F5" w:rsidRPr="000106F5" w:rsidRDefault="000106F5" w:rsidP="000106F5">
      <w:pPr>
        <w:jc w:val="both"/>
        <w:rPr>
          <w:rFonts w:ascii="Times New Roman" w:hAnsi="Times New Roman" w:cs="Times New Roman"/>
          <w:b/>
          <w:bCs/>
          <w:sz w:val="24"/>
          <w:szCs w:val="24"/>
        </w:rPr>
      </w:pPr>
      <w:r w:rsidRPr="000106F5">
        <w:rPr>
          <w:rFonts w:ascii="Times New Roman" w:hAnsi="Times New Roman" w:cs="Times New Roman"/>
          <w:b/>
          <w:bCs/>
          <w:sz w:val="24"/>
          <w:szCs w:val="24"/>
        </w:rPr>
        <w:t xml:space="preserve">Supplementary Material </w:t>
      </w:r>
      <w:r w:rsidR="0064570F">
        <w:rPr>
          <w:rFonts w:ascii="Times New Roman" w:hAnsi="Times New Roman" w:cs="Times New Roman"/>
          <w:b/>
          <w:bCs/>
          <w:sz w:val="24"/>
          <w:szCs w:val="24"/>
        </w:rPr>
        <w:t>2</w:t>
      </w:r>
      <w:r w:rsidRPr="000106F5">
        <w:rPr>
          <w:rFonts w:ascii="Times New Roman" w:hAnsi="Times New Roman" w:cs="Times New Roman"/>
          <w:b/>
          <w:bCs/>
          <w:sz w:val="24"/>
          <w:szCs w:val="24"/>
        </w:rPr>
        <w:t>. E-values and Interpretation for Logistic Regression and Mediation Analyses of the Association Between Workplace Discrimination and Depressive Symptoms</w:t>
      </w:r>
    </w:p>
    <w:p w14:paraId="7E129A1F" w14:textId="77777777" w:rsidR="00AB7130" w:rsidRPr="000106F5" w:rsidRDefault="00AB7130">
      <w:pPr>
        <w:rPr>
          <w:rFonts w:ascii="Times New Roman" w:hAnsi="Times New Roman" w:cs="Times New Roman"/>
        </w:rPr>
      </w:pPr>
    </w:p>
    <w:p w14:paraId="00A90BBA" w14:textId="77777777" w:rsidR="008C45CF" w:rsidRPr="000106F5" w:rsidRDefault="008C45CF" w:rsidP="008C45CF">
      <w:pPr>
        <w:rPr>
          <w:rFonts w:ascii="Times New Roman" w:hAnsi="Times New Roman" w:cs="Times New Roman"/>
          <w:b/>
          <w:bCs/>
          <w:sz w:val="24"/>
          <w:szCs w:val="24"/>
        </w:rPr>
      </w:pPr>
      <w:r w:rsidRPr="000106F5">
        <w:rPr>
          <w:rFonts w:ascii="Times New Roman" w:hAnsi="Times New Roman" w:cs="Times New Roman"/>
          <w:b/>
          <w:bCs/>
          <w:sz w:val="24"/>
          <w:szCs w:val="24"/>
        </w:rPr>
        <w:t>Logistic Regression Analysis</w:t>
      </w:r>
    </w:p>
    <w:p w14:paraId="703395DD" w14:textId="77777777"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The logistic regression results revealed strong and statistically significant associations between workplace discrimination, both perceived and observed, and the presence of moderate to severe depressive symptoms among mining workers. In the total sample, workers who reported perceived workplace discrimination (PWD) had 5.17 times higher odds of experiencing depressive symptoms (95% CI: 2.70–9.91). This association was accompanied by an E-value of 9.831, indicating that an unmeasured confounder would need to be associated with both the exposure and the outcome by a risk ratio of at least 9.8 to fully explain away the observed effect, thereby demonstrating the robustness of this finding.</w:t>
      </w:r>
    </w:p>
    <w:p w14:paraId="2C203856" w14:textId="77777777"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Among men, the association was even stronger (OR = 7.42; 95% CI: 3.27–16.79), with an E-value of 14.323 and an E-value of 6.013 for the lower limit of the confidence interval, indicating that only a very strong unmeasured confounder could nullify the observed association. In contrast, among women, although the association remained positive (OR = 2.57), it was not statistically significant (95% CI: 0.77–8.56), and the E-value for the lower confidence limit was 1.000, suggesting that even a relatively weak confounder could account for the association, potentially due to the smaller sample size in this subgroup.</w:t>
      </w:r>
    </w:p>
    <w:p w14:paraId="00499970" w14:textId="77777777"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Regarding observed workplace discrimination (OWD), statistically significant associations were also observed. In the total sample, workers who witnessed discrimination had an adjusted OR of 4.01 (95% CI: 2.20–7.31), with an E-value of 7.497 and a lower-bound E-value of 3.832, reinforcing the robustness of this association. Among men, the OR was 4.99 (95% CI: 2.38–10.47; E-value = 9.467; lower bound = 4.200), and among women, 3.55 (95% CI: 1.06–11.81; E-value = 6.566; lower bound = 1.340), suggesting that witnessing discrimination is also a significant predictor of depressive symptoms, especially among women where the association reached statistical significance despite the smaller subgroup.</w:t>
      </w:r>
    </w:p>
    <w:p w14:paraId="0801C684" w14:textId="77777777" w:rsidR="008C45CF" w:rsidRPr="000106F5" w:rsidRDefault="008C45CF" w:rsidP="008C45CF">
      <w:pPr>
        <w:jc w:val="both"/>
        <w:rPr>
          <w:rFonts w:ascii="Times New Roman" w:hAnsi="Times New Roman" w:cs="Times New Roman"/>
          <w:b/>
          <w:bCs/>
          <w:sz w:val="24"/>
          <w:szCs w:val="24"/>
        </w:rPr>
      </w:pPr>
      <w:r w:rsidRPr="000106F5">
        <w:rPr>
          <w:rFonts w:ascii="Times New Roman" w:hAnsi="Times New Roman" w:cs="Times New Roman"/>
          <w:b/>
          <w:bCs/>
          <w:sz w:val="24"/>
          <w:szCs w:val="24"/>
        </w:rPr>
        <w:t>Mediation Analysis</w:t>
      </w:r>
    </w:p>
    <w:p w14:paraId="472962C3" w14:textId="77777777"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The mediation models provide clear evidence that psychological distress is a key mechanism linking workplace discrimination to depressive symptoms. For perceived discrimination, the natural indirect effect (NIE) was statistically significant (OR = 3.03; 95% CI: 1.98–4.64), with an E-value of 5.526 and a lower-bound E-value of 3.389, indicating a strong and robust mediating effect. The natural direct effect (NDE), however, was not statistically significant (OR = 1.61; 95% CI: 0.87–2.98; E-value = 2.619; lower bound = 1.000), suggesting that most of the total effect (TE = 4.91; 95% CI: 2.73–8.84; E-value = 9.305; lower bound = 4.912) operates through increased psychological distress.</w:t>
      </w:r>
    </w:p>
    <w:p w14:paraId="40C5B9F9" w14:textId="77777777"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 xml:space="preserve">For observed discrimination, both the indirect (NIE = 2.04; 95% CI: 1.52–2.74; E-value = 3.515; lower bound = 2.430) and direct effects (NDE = 1.90; 95% CI: 1.04–3.45; E-value = </w:t>
      </w:r>
      <w:r w:rsidRPr="000106F5">
        <w:rPr>
          <w:rFonts w:ascii="Times New Roman" w:hAnsi="Times New Roman" w:cs="Times New Roman"/>
          <w:sz w:val="24"/>
          <w:szCs w:val="24"/>
        </w:rPr>
        <w:lastRenderedPageBreak/>
        <w:t>3.211; lower bound = 1.270) were statistically significant. This suggests that witnessing discrimination affects mental health not only through emotional distress but also via direct pathways, potentially related to perceptions of injustice, moral injury, or deterioration in the workplace climate. The total effect (TE = 3.89; 95% CI: 2.20–6.87; E-value = 7.257; lower bound = 3.841) further supports the relevance of both mediated and unmediated mechanisms.</w:t>
      </w:r>
    </w:p>
    <w:p w14:paraId="0D8497B3" w14:textId="4963C3A9" w:rsidR="008C45CF" w:rsidRPr="000106F5" w:rsidRDefault="008C45CF" w:rsidP="008C45CF">
      <w:pPr>
        <w:jc w:val="both"/>
        <w:rPr>
          <w:rFonts w:ascii="Times New Roman" w:hAnsi="Times New Roman" w:cs="Times New Roman"/>
          <w:sz w:val="24"/>
          <w:szCs w:val="24"/>
        </w:rPr>
      </w:pPr>
      <w:r w:rsidRPr="000106F5">
        <w:rPr>
          <w:rFonts w:ascii="Times New Roman" w:hAnsi="Times New Roman" w:cs="Times New Roman"/>
          <w:sz w:val="24"/>
          <w:szCs w:val="24"/>
        </w:rPr>
        <w:t>Together, these findings, supported by consistently high E-values, confirm that the associations between workplace discrimination and depressive symptoms are unlikely to be explained by unmeasured confounding. They underscore the need for comprehensive organizational interventions that target not only discriminatory practices but also the emotional and psychological consequences of working in high-stress, male-dominated environments such as the mining sector.</w:t>
      </w:r>
    </w:p>
    <w:p w14:paraId="69255A9C" w14:textId="127317F9" w:rsidR="000106F5" w:rsidRPr="000106F5" w:rsidRDefault="000106F5" w:rsidP="000106F5">
      <w:pPr>
        <w:rPr>
          <w:rFonts w:ascii="Times New Roman" w:hAnsi="Times New Roman" w:cs="Times New Roman"/>
          <w:b/>
          <w:bCs/>
          <w:sz w:val="24"/>
          <w:szCs w:val="24"/>
        </w:rPr>
      </w:pPr>
      <w:r w:rsidRPr="000106F5">
        <w:rPr>
          <w:rFonts w:ascii="Times New Roman" w:hAnsi="Times New Roman" w:cs="Times New Roman"/>
          <w:b/>
          <w:bCs/>
          <w:sz w:val="24"/>
          <w:szCs w:val="24"/>
        </w:rPr>
        <w:t>Table 1. E-values for logistic regression models and causal mediation analysis of the association between workplace discrimination and depressive symptoms</w:t>
      </w:r>
    </w:p>
    <w:tbl>
      <w:tblPr>
        <w:tblStyle w:val="Tablaconcuadrcula"/>
        <w:tblW w:w="8220" w:type="dxa"/>
        <w:tblLook w:val="04A0" w:firstRow="1" w:lastRow="0" w:firstColumn="1" w:lastColumn="0" w:noHBand="0" w:noVBand="1"/>
      </w:tblPr>
      <w:tblGrid>
        <w:gridCol w:w="1361"/>
        <w:gridCol w:w="3798"/>
        <w:gridCol w:w="1474"/>
        <w:gridCol w:w="680"/>
        <w:gridCol w:w="907"/>
      </w:tblGrid>
      <w:tr w:rsidR="008C45CF" w:rsidRPr="000106F5" w14:paraId="1E3C1F49" w14:textId="77777777" w:rsidTr="000106F5">
        <w:tc>
          <w:tcPr>
            <w:tcW w:w="1361" w:type="dxa"/>
          </w:tcPr>
          <w:p w14:paraId="1D7EF024" w14:textId="2A73705E" w:rsidR="004E7FC1" w:rsidRPr="000106F5" w:rsidRDefault="004E7FC1" w:rsidP="004E7FC1">
            <w:pPr>
              <w:jc w:val="both"/>
              <w:rPr>
                <w:rFonts w:ascii="Times New Roman" w:hAnsi="Times New Roman" w:cs="Times New Roman"/>
                <w:b/>
                <w:bCs/>
                <w:sz w:val="16"/>
                <w:szCs w:val="16"/>
              </w:rPr>
            </w:pPr>
            <w:r w:rsidRPr="000106F5">
              <w:rPr>
                <w:rFonts w:ascii="Times New Roman" w:hAnsi="Times New Roman" w:cs="Times New Roman"/>
                <w:b/>
                <w:bCs/>
                <w:sz w:val="16"/>
                <w:szCs w:val="16"/>
              </w:rPr>
              <w:t>Analysis Type</w:t>
            </w:r>
          </w:p>
        </w:tc>
        <w:tc>
          <w:tcPr>
            <w:tcW w:w="3798" w:type="dxa"/>
          </w:tcPr>
          <w:p w14:paraId="40F81B1F" w14:textId="10C00A7C" w:rsidR="004E7FC1" w:rsidRPr="000106F5" w:rsidRDefault="004E7FC1" w:rsidP="004E7FC1">
            <w:pPr>
              <w:jc w:val="both"/>
              <w:rPr>
                <w:rFonts w:ascii="Times New Roman" w:hAnsi="Times New Roman" w:cs="Times New Roman"/>
                <w:b/>
                <w:bCs/>
                <w:sz w:val="16"/>
                <w:szCs w:val="16"/>
              </w:rPr>
            </w:pPr>
            <w:r w:rsidRPr="000106F5">
              <w:rPr>
                <w:rFonts w:ascii="Times New Roman" w:hAnsi="Times New Roman" w:cs="Times New Roman"/>
                <w:b/>
                <w:bCs/>
                <w:sz w:val="16"/>
                <w:szCs w:val="16"/>
              </w:rPr>
              <w:t>Evaluated Association</w:t>
            </w:r>
          </w:p>
        </w:tc>
        <w:tc>
          <w:tcPr>
            <w:tcW w:w="1474" w:type="dxa"/>
          </w:tcPr>
          <w:p w14:paraId="29CF5957" w14:textId="7D9A30E2" w:rsidR="004E7FC1" w:rsidRPr="000106F5" w:rsidRDefault="004E7FC1" w:rsidP="008C45CF">
            <w:pPr>
              <w:jc w:val="center"/>
              <w:rPr>
                <w:rFonts w:ascii="Times New Roman" w:hAnsi="Times New Roman" w:cs="Times New Roman"/>
                <w:b/>
                <w:bCs/>
                <w:sz w:val="16"/>
                <w:szCs w:val="16"/>
              </w:rPr>
            </w:pPr>
            <w:r w:rsidRPr="000106F5">
              <w:rPr>
                <w:rFonts w:ascii="Times New Roman" w:hAnsi="Times New Roman" w:cs="Times New Roman"/>
                <w:b/>
                <w:bCs/>
                <w:sz w:val="16"/>
                <w:szCs w:val="16"/>
              </w:rPr>
              <w:t>Adjusted OR (95% CI)</w:t>
            </w:r>
          </w:p>
        </w:tc>
        <w:tc>
          <w:tcPr>
            <w:tcW w:w="680" w:type="dxa"/>
          </w:tcPr>
          <w:p w14:paraId="17B401E1" w14:textId="3405D2E9" w:rsidR="004E7FC1" w:rsidRPr="000106F5" w:rsidRDefault="004E7FC1" w:rsidP="008C45CF">
            <w:pPr>
              <w:jc w:val="center"/>
              <w:rPr>
                <w:rFonts w:ascii="Times New Roman" w:hAnsi="Times New Roman" w:cs="Times New Roman"/>
                <w:b/>
                <w:bCs/>
                <w:sz w:val="16"/>
                <w:szCs w:val="16"/>
              </w:rPr>
            </w:pPr>
            <w:r w:rsidRPr="000106F5">
              <w:rPr>
                <w:rFonts w:ascii="Times New Roman" w:hAnsi="Times New Roman" w:cs="Times New Roman"/>
                <w:b/>
                <w:bCs/>
                <w:sz w:val="16"/>
                <w:szCs w:val="16"/>
              </w:rPr>
              <w:t>E-value (OR)</w:t>
            </w:r>
          </w:p>
        </w:tc>
        <w:tc>
          <w:tcPr>
            <w:tcW w:w="907" w:type="dxa"/>
          </w:tcPr>
          <w:p w14:paraId="6FB8C3CA" w14:textId="6472A51F" w:rsidR="004E7FC1" w:rsidRPr="000106F5" w:rsidRDefault="004E7FC1" w:rsidP="008C45CF">
            <w:pPr>
              <w:jc w:val="center"/>
              <w:rPr>
                <w:rFonts w:ascii="Times New Roman" w:hAnsi="Times New Roman" w:cs="Times New Roman"/>
                <w:b/>
                <w:bCs/>
                <w:sz w:val="16"/>
                <w:szCs w:val="16"/>
              </w:rPr>
            </w:pPr>
            <w:r w:rsidRPr="000106F5">
              <w:rPr>
                <w:rFonts w:ascii="Times New Roman" w:hAnsi="Times New Roman" w:cs="Times New Roman"/>
                <w:b/>
                <w:bCs/>
                <w:sz w:val="16"/>
                <w:szCs w:val="16"/>
              </w:rPr>
              <w:t>E-value (Lower CI)</w:t>
            </w:r>
          </w:p>
        </w:tc>
      </w:tr>
      <w:tr w:rsidR="008C45CF" w:rsidRPr="000106F5" w14:paraId="702AFB5C" w14:textId="77777777" w:rsidTr="000106F5">
        <w:tc>
          <w:tcPr>
            <w:tcW w:w="1361" w:type="dxa"/>
          </w:tcPr>
          <w:p w14:paraId="0388F396" w14:textId="5759E3EB" w:rsidR="004E7FC1" w:rsidRPr="000106F5" w:rsidRDefault="004E7FC1" w:rsidP="004E7FC1">
            <w:pPr>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5E4C9E3E" w14:textId="7018504F"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(total sample)</w:t>
            </w:r>
          </w:p>
        </w:tc>
        <w:tc>
          <w:tcPr>
            <w:tcW w:w="1474" w:type="dxa"/>
          </w:tcPr>
          <w:p w14:paraId="37F58095" w14:textId="46CCF85C"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5.17 (2.70 – 9.91)</w:t>
            </w:r>
          </w:p>
        </w:tc>
        <w:tc>
          <w:tcPr>
            <w:tcW w:w="680" w:type="dxa"/>
          </w:tcPr>
          <w:p w14:paraId="5E9298A5" w14:textId="5B4A3C02"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9.831</w:t>
            </w:r>
          </w:p>
        </w:tc>
        <w:tc>
          <w:tcPr>
            <w:tcW w:w="907" w:type="dxa"/>
          </w:tcPr>
          <w:p w14:paraId="38F6D3E0" w14:textId="252A936E"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4.851</w:t>
            </w:r>
          </w:p>
        </w:tc>
      </w:tr>
      <w:tr w:rsidR="008C45CF" w:rsidRPr="000106F5" w14:paraId="4C4F67E0" w14:textId="77777777" w:rsidTr="000106F5">
        <w:tc>
          <w:tcPr>
            <w:tcW w:w="1361" w:type="dxa"/>
          </w:tcPr>
          <w:p w14:paraId="3BF9E119" w14:textId="194ED72F"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3BF2196D" w14:textId="5B4951B9"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(men)</w:t>
            </w:r>
          </w:p>
        </w:tc>
        <w:tc>
          <w:tcPr>
            <w:tcW w:w="1474" w:type="dxa"/>
          </w:tcPr>
          <w:p w14:paraId="7C3D4C7A" w14:textId="3BDBDF69"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7.42 (3.27 – 16.79)</w:t>
            </w:r>
          </w:p>
        </w:tc>
        <w:tc>
          <w:tcPr>
            <w:tcW w:w="680" w:type="dxa"/>
          </w:tcPr>
          <w:p w14:paraId="1AD820F3" w14:textId="638554EB"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14.323</w:t>
            </w:r>
          </w:p>
        </w:tc>
        <w:tc>
          <w:tcPr>
            <w:tcW w:w="907" w:type="dxa"/>
          </w:tcPr>
          <w:p w14:paraId="7074CFA9" w14:textId="6255CA24"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6.013</w:t>
            </w:r>
          </w:p>
        </w:tc>
      </w:tr>
      <w:tr w:rsidR="008C45CF" w:rsidRPr="000106F5" w14:paraId="3F9B00C4" w14:textId="77777777" w:rsidTr="000106F5">
        <w:tc>
          <w:tcPr>
            <w:tcW w:w="1361" w:type="dxa"/>
          </w:tcPr>
          <w:p w14:paraId="1D50E25B" w14:textId="6B92BA3A"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3EAC6951" w14:textId="349A61AB"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(women)</w:t>
            </w:r>
          </w:p>
        </w:tc>
        <w:tc>
          <w:tcPr>
            <w:tcW w:w="1474" w:type="dxa"/>
          </w:tcPr>
          <w:p w14:paraId="430878B4" w14:textId="51936875"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2.57 (0.77 – 8.56)</w:t>
            </w:r>
          </w:p>
        </w:tc>
        <w:tc>
          <w:tcPr>
            <w:tcW w:w="680" w:type="dxa"/>
          </w:tcPr>
          <w:p w14:paraId="49BC2386" w14:textId="6ED5936A"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4.598</w:t>
            </w:r>
          </w:p>
        </w:tc>
        <w:tc>
          <w:tcPr>
            <w:tcW w:w="907" w:type="dxa"/>
          </w:tcPr>
          <w:p w14:paraId="51AB9C60" w14:textId="1EF396A9"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1.000</w:t>
            </w:r>
          </w:p>
        </w:tc>
      </w:tr>
      <w:tr w:rsidR="008C45CF" w:rsidRPr="000106F5" w14:paraId="34EF3648" w14:textId="77777777" w:rsidTr="000106F5">
        <w:tc>
          <w:tcPr>
            <w:tcW w:w="1361" w:type="dxa"/>
          </w:tcPr>
          <w:p w14:paraId="2F32121F" w14:textId="29F54FC8"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2EEDF0D3" w14:textId="4E645461"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(total sample)</w:t>
            </w:r>
          </w:p>
        </w:tc>
        <w:tc>
          <w:tcPr>
            <w:tcW w:w="1474" w:type="dxa"/>
          </w:tcPr>
          <w:p w14:paraId="793CA604" w14:textId="4E148C3B"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4.01 (2.20 – 7.31)</w:t>
            </w:r>
          </w:p>
        </w:tc>
        <w:tc>
          <w:tcPr>
            <w:tcW w:w="680" w:type="dxa"/>
          </w:tcPr>
          <w:p w14:paraId="43C8377D" w14:textId="1ABEE572"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7.497</w:t>
            </w:r>
          </w:p>
        </w:tc>
        <w:tc>
          <w:tcPr>
            <w:tcW w:w="907" w:type="dxa"/>
          </w:tcPr>
          <w:p w14:paraId="73057F3D" w14:textId="2BC8A44F"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3.832</w:t>
            </w:r>
          </w:p>
        </w:tc>
      </w:tr>
      <w:tr w:rsidR="008C45CF" w:rsidRPr="000106F5" w14:paraId="7323F35B" w14:textId="77777777" w:rsidTr="000106F5">
        <w:tc>
          <w:tcPr>
            <w:tcW w:w="1361" w:type="dxa"/>
          </w:tcPr>
          <w:p w14:paraId="4FE73AA5" w14:textId="7B0431BB"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74C1B031" w14:textId="4EE1659D"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(men)</w:t>
            </w:r>
          </w:p>
        </w:tc>
        <w:tc>
          <w:tcPr>
            <w:tcW w:w="1474" w:type="dxa"/>
          </w:tcPr>
          <w:p w14:paraId="4591495A" w14:textId="112E3908"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4.99 (2.38 – 10.47)</w:t>
            </w:r>
          </w:p>
        </w:tc>
        <w:tc>
          <w:tcPr>
            <w:tcW w:w="680" w:type="dxa"/>
          </w:tcPr>
          <w:p w14:paraId="35C42490" w14:textId="22E85912"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9.467</w:t>
            </w:r>
          </w:p>
        </w:tc>
        <w:tc>
          <w:tcPr>
            <w:tcW w:w="907" w:type="dxa"/>
          </w:tcPr>
          <w:p w14:paraId="40BB7929" w14:textId="139B86BB"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4.200</w:t>
            </w:r>
          </w:p>
        </w:tc>
      </w:tr>
      <w:tr w:rsidR="008C45CF" w:rsidRPr="000106F5" w14:paraId="5E9701DF" w14:textId="77777777" w:rsidTr="000106F5">
        <w:tc>
          <w:tcPr>
            <w:tcW w:w="1361" w:type="dxa"/>
          </w:tcPr>
          <w:p w14:paraId="536177BC" w14:textId="34B00118"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Logistic Regression</w:t>
            </w:r>
          </w:p>
        </w:tc>
        <w:tc>
          <w:tcPr>
            <w:tcW w:w="3798" w:type="dxa"/>
          </w:tcPr>
          <w:p w14:paraId="5D3B4807" w14:textId="6E2C3BAC"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(women)</w:t>
            </w:r>
          </w:p>
        </w:tc>
        <w:tc>
          <w:tcPr>
            <w:tcW w:w="1474" w:type="dxa"/>
          </w:tcPr>
          <w:p w14:paraId="4647217D" w14:textId="64161346"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3.55 (1.06 – 11.81)</w:t>
            </w:r>
          </w:p>
        </w:tc>
        <w:tc>
          <w:tcPr>
            <w:tcW w:w="680" w:type="dxa"/>
          </w:tcPr>
          <w:p w14:paraId="767EABEF" w14:textId="79393ED4"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6.566</w:t>
            </w:r>
          </w:p>
        </w:tc>
        <w:tc>
          <w:tcPr>
            <w:tcW w:w="907" w:type="dxa"/>
          </w:tcPr>
          <w:p w14:paraId="7496F737" w14:textId="5103E3E3"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1.340</w:t>
            </w:r>
          </w:p>
        </w:tc>
      </w:tr>
      <w:tr w:rsidR="008C45CF" w:rsidRPr="000106F5" w14:paraId="66FF4F8C" w14:textId="77777777" w:rsidTr="000106F5">
        <w:tc>
          <w:tcPr>
            <w:tcW w:w="1361" w:type="dxa"/>
          </w:tcPr>
          <w:p w14:paraId="011B9EEF" w14:textId="49AE6C60"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1BACE56F" w14:textId="33BAA99C"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(Natural Indirect Effect - NIE)</w:t>
            </w:r>
          </w:p>
        </w:tc>
        <w:tc>
          <w:tcPr>
            <w:tcW w:w="1474" w:type="dxa"/>
          </w:tcPr>
          <w:p w14:paraId="52EA860D" w14:textId="58BDF2D7"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3.03 (1.98 – 4.64)</w:t>
            </w:r>
          </w:p>
        </w:tc>
        <w:tc>
          <w:tcPr>
            <w:tcW w:w="680" w:type="dxa"/>
          </w:tcPr>
          <w:p w14:paraId="5C69D609" w14:textId="26137459"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5.526</w:t>
            </w:r>
          </w:p>
        </w:tc>
        <w:tc>
          <w:tcPr>
            <w:tcW w:w="907" w:type="dxa"/>
          </w:tcPr>
          <w:p w14:paraId="6344F1DB" w14:textId="242B12F6"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3.389</w:t>
            </w:r>
          </w:p>
        </w:tc>
      </w:tr>
      <w:tr w:rsidR="008C45CF" w:rsidRPr="000106F5" w14:paraId="260E28DF" w14:textId="77777777" w:rsidTr="000106F5">
        <w:tc>
          <w:tcPr>
            <w:tcW w:w="1361" w:type="dxa"/>
          </w:tcPr>
          <w:p w14:paraId="7DE0CCE4" w14:textId="79EB6825"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34213BDE" w14:textId="4BA87AB9"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(Natural Direct Effect - NDE)</w:t>
            </w:r>
          </w:p>
        </w:tc>
        <w:tc>
          <w:tcPr>
            <w:tcW w:w="1474" w:type="dxa"/>
          </w:tcPr>
          <w:p w14:paraId="7A0282FF" w14:textId="5119CAF3"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1.61 (0.87 – 2.98)</w:t>
            </w:r>
          </w:p>
        </w:tc>
        <w:tc>
          <w:tcPr>
            <w:tcW w:w="680" w:type="dxa"/>
          </w:tcPr>
          <w:p w14:paraId="370C047A" w14:textId="398A7D68"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2.619</w:t>
            </w:r>
          </w:p>
        </w:tc>
        <w:tc>
          <w:tcPr>
            <w:tcW w:w="907" w:type="dxa"/>
          </w:tcPr>
          <w:p w14:paraId="63148A65" w14:textId="5C17BC02"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1.000</w:t>
            </w:r>
          </w:p>
        </w:tc>
      </w:tr>
      <w:tr w:rsidR="008C45CF" w:rsidRPr="000106F5" w14:paraId="0E7BAD61" w14:textId="77777777" w:rsidTr="000106F5">
        <w:tc>
          <w:tcPr>
            <w:tcW w:w="1361" w:type="dxa"/>
          </w:tcPr>
          <w:p w14:paraId="5175F9AB" w14:textId="7F9F20EF"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35F7F9AD" w14:textId="47352453"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PWD → Depressive symptoms (Total Effect - TE)</w:t>
            </w:r>
          </w:p>
        </w:tc>
        <w:tc>
          <w:tcPr>
            <w:tcW w:w="1474" w:type="dxa"/>
          </w:tcPr>
          <w:p w14:paraId="0532328D" w14:textId="35014563"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4.91 (2.73 – 8.84)</w:t>
            </w:r>
          </w:p>
        </w:tc>
        <w:tc>
          <w:tcPr>
            <w:tcW w:w="680" w:type="dxa"/>
          </w:tcPr>
          <w:p w14:paraId="71C9F062" w14:textId="1583FA48"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9.305</w:t>
            </w:r>
          </w:p>
        </w:tc>
        <w:tc>
          <w:tcPr>
            <w:tcW w:w="907" w:type="dxa"/>
          </w:tcPr>
          <w:p w14:paraId="6B17E366" w14:textId="4D5DBE21"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4.912</w:t>
            </w:r>
          </w:p>
        </w:tc>
      </w:tr>
      <w:tr w:rsidR="008C45CF" w:rsidRPr="000106F5" w14:paraId="45D52862" w14:textId="77777777" w:rsidTr="000106F5">
        <w:tc>
          <w:tcPr>
            <w:tcW w:w="1361" w:type="dxa"/>
          </w:tcPr>
          <w:p w14:paraId="16DC0990" w14:textId="4C4667F0"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12679136" w14:textId="72245E93"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(Natural Indirect Effect - NIE)</w:t>
            </w:r>
          </w:p>
        </w:tc>
        <w:tc>
          <w:tcPr>
            <w:tcW w:w="1474" w:type="dxa"/>
          </w:tcPr>
          <w:p w14:paraId="2A3A8B6D" w14:textId="3FF31210"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2.04 (1.52 – 2.74)</w:t>
            </w:r>
          </w:p>
        </w:tc>
        <w:tc>
          <w:tcPr>
            <w:tcW w:w="680" w:type="dxa"/>
          </w:tcPr>
          <w:p w14:paraId="2303A107" w14:textId="489D7AD3"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3.515</w:t>
            </w:r>
          </w:p>
        </w:tc>
        <w:tc>
          <w:tcPr>
            <w:tcW w:w="907" w:type="dxa"/>
          </w:tcPr>
          <w:p w14:paraId="5D454782" w14:textId="6396F55F"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2.430</w:t>
            </w:r>
          </w:p>
        </w:tc>
      </w:tr>
      <w:tr w:rsidR="008C45CF" w:rsidRPr="000106F5" w14:paraId="7591891D" w14:textId="77777777" w:rsidTr="000106F5">
        <w:tc>
          <w:tcPr>
            <w:tcW w:w="1361" w:type="dxa"/>
          </w:tcPr>
          <w:p w14:paraId="7A2470A0" w14:textId="6A9C5258"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6301B2F1" w14:textId="2139C474"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(Natural Direct Effect - NDE)</w:t>
            </w:r>
          </w:p>
        </w:tc>
        <w:tc>
          <w:tcPr>
            <w:tcW w:w="1474" w:type="dxa"/>
          </w:tcPr>
          <w:p w14:paraId="533ABB77" w14:textId="65EE30AB"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1.90 (1.04 – 3.45)</w:t>
            </w:r>
          </w:p>
        </w:tc>
        <w:tc>
          <w:tcPr>
            <w:tcW w:w="680" w:type="dxa"/>
          </w:tcPr>
          <w:p w14:paraId="0F369DFF" w14:textId="649D1A19"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3.211</w:t>
            </w:r>
          </w:p>
        </w:tc>
        <w:tc>
          <w:tcPr>
            <w:tcW w:w="907" w:type="dxa"/>
          </w:tcPr>
          <w:p w14:paraId="3D580A57" w14:textId="4D4F17FC"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1.270</w:t>
            </w:r>
          </w:p>
        </w:tc>
      </w:tr>
      <w:tr w:rsidR="008C45CF" w:rsidRPr="000106F5" w14:paraId="64A4BB12" w14:textId="77777777" w:rsidTr="000106F5">
        <w:tc>
          <w:tcPr>
            <w:tcW w:w="1361" w:type="dxa"/>
          </w:tcPr>
          <w:p w14:paraId="4A020456" w14:textId="4195ABFB" w:rsidR="004E7FC1" w:rsidRPr="000106F5" w:rsidRDefault="004E7FC1" w:rsidP="004E7FC1">
            <w:pPr>
              <w:jc w:val="both"/>
              <w:rPr>
                <w:rFonts w:ascii="Times New Roman" w:hAnsi="Times New Roman" w:cs="Times New Roman"/>
                <w:i/>
                <w:iCs/>
                <w:sz w:val="16"/>
                <w:szCs w:val="16"/>
              </w:rPr>
            </w:pPr>
            <w:r w:rsidRPr="000106F5">
              <w:rPr>
                <w:rFonts w:ascii="Times New Roman" w:hAnsi="Times New Roman" w:cs="Times New Roman"/>
                <w:i/>
                <w:iCs/>
                <w:sz w:val="16"/>
                <w:szCs w:val="16"/>
              </w:rPr>
              <w:t>Mediation Analysis</w:t>
            </w:r>
          </w:p>
        </w:tc>
        <w:tc>
          <w:tcPr>
            <w:tcW w:w="3798" w:type="dxa"/>
          </w:tcPr>
          <w:p w14:paraId="4A6D26BE" w14:textId="0AE0CC19" w:rsidR="004E7FC1" w:rsidRPr="000106F5" w:rsidRDefault="004E7FC1" w:rsidP="004E7FC1">
            <w:pPr>
              <w:jc w:val="both"/>
              <w:rPr>
                <w:rFonts w:ascii="Times New Roman" w:hAnsi="Times New Roman" w:cs="Times New Roman"/>
                <w:sz w:val="16"/>
                <w:szCs w:val="16"/>
              </w:rPr>
            </w:pPr>
            <w:r w:rsidRPr="000106F5">
              <w:rPr>
                <w:rFonts w:ascii="Times New Roman" w:hAnsi="Times New Roman" w:cs="Times New Roman"/>
                <w:sz w:val="16"/>
                <w:szCs w:val="16"/>
              </w:rPr>
              <w:t>OWD → Depressive symptoms (Total Effect - TE)</w:t>
            </w:r>
          </w:p>
        </w:tc>
        <w:tc>
          <w:tcPr>
            <w:tcW w:w="1474" w:type="dxa"/>
          </w:tcPr>
          <w:p w14:paraId="58741626" w14:textId="18CFF6D8"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3.89 (2.20 – 6.87)</w:t>
            </w:r>
          </w:p>
        </w:tc>
        <w:tc>
          <w:tcPr>
            <w:tcW w:w="680" w:type="dxa"/>
          </w:tcPr>
          <w:p w14:paraId="78828273" w14:textId="3B694CA7"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7.257</w:t>
            </w:r>
          </w:p>
        </w:tc>
        <w:tc>
          <w:tcPr>
            <w:tcW w:w="907" w:type="dxa"/>
          </w:tcPr>
          <w:p w14:paraId="41D35D07" w14:textId="2CB4E6DE" w:rsidR="004E7FC1" w:rsidRPr="000106F5" w:rsidRDefault="004E7FC1" w:rsidP="008C45CF">
            <w:pPr>
              <w:jc w:val="center"/>
              <w:rPr>
                <w:rFonts w:ascii="Times New Roman" w:hAnsi="Times New Roman" w:cs="Times New Roman"/>
                <w:sz w:val="16"/>
                <w:szCs w:val="16"/>
              </w:rPr>
            </w:pPr>
            <w:r w:rsidRPr="000106F5">
              <w:rPr>
                <w:rFonts w:ascii="Times New Roman" w:hAnsi="Times New Roman" w:cs="Times New Roman"/>
                <w:sz w:val="16"/>
                <w:szCs w:val="16"/>
              </w:rPr>
              <w:t>3.841</w:t>
            </w:r>
          </w:p>
        </w:tc>
      </w:tr>
    </w:tbl>
    <w:p w14:paraId="623F67A5" w14:textId="79BB123B" w:rsidR="00AB7130" w:rsidRPr="00D021CE" w:rsidRDefault="00D021CE" w:rsidP="00D021CE">
      <w:pPr>
        <w:jc w:val="both"/>
        <w:rPr>
          <w:rFonts w:ascii="Times New Roman" w:hAnsi="Times New Roman" w:cs="Times New Roman"/>
          <w:sz w:val="16"/>
          <w:szCs w:val="16"/>
        </w:rPr>
      </w:pPr>
      <w:r w:rsidRPr="00D021CE">
        <w:rPr>
          <w:rFonts w:ascii="Times New Roman" w:hAnsi="Times New Roman" w:cs="Times New Roman"/>
          <w:b/>
          <w:bCs/>
          <w:sz w:val="16"/>
          <w:szCs w:val="16"/>
        </w:rPr>
        <w:t>Note</w:t>
      </w:r>
      <w:r w:rsidRPr="00D021CE">
        <w:rPr>
          <w:rFonts w:ascii="Times New Roman" w:hAnsi="Times New Roman" w:cs="Times New Roman"/>
          <w:sz w:val="16"/>
          <w:szCs w:val="16"/>
        </w:rPr>
        <w:t>:</w:t>
      </w:r>
      <w:r>
        <w:rPr>
          <w:rFonts w:ascii="Times New Roman" w:hAnsi="Times New Roman" w:cs="Times New Roman"/>
          <w:sz w:val="16"/>
          <w:szCs w:val="16"/>
        </w:rPr>
        <w:t xml:space="preserve"> </w:t>
      </w:r>
      <w:r w:rsidRPr="00D021CE">
        <w:rPr>
          <w:rFonts w:ascii="Times New Roman" w:hAnsi="Times New Roman" w:cs="Times New Roman"/>
          <w:sz w:val="16"/>
          <w:szCs w:val="16"/>
        </w:rPr>
        <w:t>PWD = Perceived Workplace Discrimination; OWD = Observed Workplace Discrimination; OR = Odds Ratio; CI = Confidence Interval; NIE = Natural Indirect Effect; NDE = Natural Direct Effect; TE = Total Effect.</w:t>
      </w:r>
      <w:r>
        <w:rPr>
          <w:rFonts w:ascii="Times New Roman" w:hAnsi="Times New Roman" w:cs="Times New Roman"/>
          <w:sz w:val="16"/>
          <w:szCs w:val="16"/>
        </w:rPr>
        <w:t xml:space="preserve"> </w:t>
      </w:r>
      <w:r w:rsidRPr="00D021CE">
        <w:rPr>
          <w:rFonts w:ascii="Times New Roman" w:hAnsi="Times New Roman" w:cs="Times New Roman"/>
          <w:sz w:val="16"/>
          <w:szCs w:val="16"/>
        </w:rPr>
        <w:t>E-values represent the minimum strength of association that an unmeasured confounder would need to have with both the exposure and the outcome, conditional on the measured covariates, to fully explain away the observed association. Higher E-values indicate greater robustness to potential unmeasured confounding. E-values are reported for the adjusted odds ratios and for the lower bound of their 95% confidence intervals.</w:t>
      </w:r>
    </w:p>
    <w:sectPr w:rsidR="00AB7130" w:rsidRPr="00D02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30"/>
    <w:rsid w:val="000106F5"/>
    <w:rsid w:val="00054116"/>
    <w:rsid w:val="000D77D8"/>
    <w:rsid w:val="000E1738"/>
    <w:rsid w:val="00170285"/>
    <w:rsid w:val="0017410F"/>
    <w:rsid w:val="00415890"/>
    <w:rsid w:val="0045525A"/>
    <w:rsid w:val="004E7FC1"/>
    <w:rsid w:val="0064570F"/>
    <w:rsid w:val="007A35FB"/>
    <w:rsid w:val="007B6071"/>
    <w:rsid w:val="008C45CF"/>
    <w:rsid w:val="009370E0"/>
    <w:rsid w:val="00AB7130"/>
    <w:rsid w:val="00BE57B4"/>
    <w:rsid w:val="00D021CE"/>
    <w:rsid w:val="00E80434"/>
    <w:rsid w:val="00EF74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E3ED"/>
  <w15:chartTrackingRefBased/>
  <w15:docId w15:val="{8B2C9BD8-72AD-4A97-99F7-8080F51B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AB7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7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71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71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71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71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71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71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71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71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71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71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71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71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71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71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71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7130"/>
    <w:rPr>
      <w:rFonts w:eastAsiaTheme="majorEastAsia" w:cstheme="majorBidi"/>
      <w:color w:val="272727" w:themeColor="text1" w:themeTint="D8"/>
    </w:rPr>
  </w:style>
  <w:style w:type="paragraph" w:styleId="Ttulo">
    <w:name w:val="Title"/>
    <w:basedOn w:val="Normal"/>
    <w:next w:val="Normal"/>
    <w:link w:val="TtuloCar"/>
    <w:uiPriority w:val="10"/>
    <w:qFormat/>
    <w:rsid w:val="00AB7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71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71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71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7130"/>
    <w:pPr>
      <w:spacing w:before="160"/>
      <w:jc w:val="center"/>
    </w:pPr>
    <w:rPr>
      <w:i/>
      <w:iCs/>
      <w:color w:val="404040" w:themeColor="text1" w:themeTint="BF"/>
    </w:rPr>
  </w:style>
  <w:style w:type="character" w:customStyle="1" w:styleId="CitaCar">
    <w:name w:val="Cita Car"/>
    <w:basedOn w:val="Fuentedeprrafopredeter"/>
    <w:link w:val="Cita"/>
    <w:uiPriority w:val="29"/>
    <w:rsid w:val="00AB7130"/>
    <w:rPr>
      <w:i/>
      <w:iCs/>
      <w:color w:val="404040" w:themeColor="text1" w:themeTint="BF"/>
    </w:rPr>
  </w:style>
  <w:style w:type="paragraph" w:styleId="Prrafodelista">
    <w:name w:val="List Paragraph"/>
    <w:basedOn w:val="Normal"/>
    <w:uiPriority w:val="34"/>
    <w:qFormat/>
    <w:rsid w:val="00AB7130"/>
    <w:pPr>
      <w:ind w:left="720"/>
      <w:contextualSpacing/>
    </w:pPr>
  </w:style>
  <w:style w:type="character" w:styleId="nfasisintenso">
    <w:name w:val="Intense Emphasis"/>
    <w:basedOn w:val="Fuentedeprrafopredeter"/>
    <w:uiPriority w:val="21"/>
    <w:qFormat/>
    <w:rsid w:val="00AB7130"/>
    <w:rPr>
      <w:i/>
      <w:iCs/>
      <w:color w:val="0F4761" w:themeColor="accent1" w:themeShade="BF"/>
    </w:rPr>
  </w:style>
  <w:style w:type="paragraph" w:styleId="Citadestacada">
    <w:name w:val="Intense Quote"/>
    <w:basedOn w:val="Normal"/>
    <w:next w:val="Normal"/>
    <w:link w:val="CitadestacadaCar"/>
    <w:uiPriority w:val="30"/>
    <w:qFormat/>
    <w:rsid w:val="00AB7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7130"/>
    <w:rPr>
      <w:i/>
      <w:iCs/>
      <w:color w:val="0F4761" w:themeColor="accent1" w:themeShade="BF"/>
    </w:rPr>
  </w:style>
  <w:style w:type="character" w:styleId="Referenciaintensa">
    <w:name w:val="Intense Reference"/>
    <w:basedOn w:val="Fuentedeprrafopredeter"/>
    <w:uiPriority w:val="32"/>
    <w:qFormat/>
    <w:rsid w:val="00AB7130"/>
    <w:rPr>
      <w:b/>
      <w:bCs/>
      <w:smallCaps/>
      <w:color w:val="0F4761" w:themeColor="accent1" w:themeShade="BF"/>
      <w:spacing w:val="5"/>
    </w:rPr>
  </w:style>
  <w:style w:type="table" w:styleId="Tablaconcuadrcula">
    <w:name w:val="Table Grid"/>
    <w:basedOn w:val="Tablanormal"/>
    <w:uiPriority w:val="39"/>
    <w:rsid w:val="00AB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930">
      <w:bodyDiv w:val="1"/>
      <w:marLeft w:val="0"/>
      <w:marRight w:val="0"/>
      <w:marTop w:val="0"/>
      <w:marBottom w:val="0"/>
      <w:divBdr>
        <w:top w:val="none" w:sz="0" w:space="0" w:color="auto"/>
        <w:left w:val="none" w:sz="0" w:space="0" w:color="auto"/>
        <w:bottom w:val="none" w:sz="0" w:space="0" w:color="auto"/>
        <w:right w:val="none" w:sz="0" w:space="0" w:color="auto"/>
      </w:divBdr>
    </w:div>
    <w:div w:id="123812908">
      <w:bodyDiv w:val="1"/>
      <w:marLeft w:val="0"/>
      <w:marRight w:val="0"/>
      <w:marTop w:val="0"/>
      <w:marBottom w:val="0"/>
      <w:divBdr>
        <w:top w:val="none" w:sz="0" w:space="0" w:color="auto"/>
        <w:left w:val="none" w:sz="0" w:space="0" w:color="auto"/>
        <w:bottom w:val="none" w:sz="0" w:space="0" w:color="auto"/>
        <w:right w:val="none" w:sz="0" w:space="0" w:color="auto"/>
      </w:divBdr>
    </w:div>
    <w:div w:id="375741761">
      <w:bodyDiv w:val="1"/>
      <w:marLeft w:val="0"/>
      <w:marRight w:val="0"/>
      <w:marTop w:val="0"/>
      <w:marBottom w:val="0"/>
      <w:divBdr>
        <w:top w:val="none" w:sz="0" w:space="0" w:color="auto"/>
        <w:left w:val="none" w:sz="0" w:space="0" w:color="auto"/>
        <w:bottom w:val="none" w:sz="0" w:space="0" w:color="auto"/>
        <w:right w:val="none" w:sz="0" w:space="0" w:color="auto"/>
      </w:divBdr>
    </w:div>
    <w:div w:id="63780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933</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Bravo</dc:creator>
  <cp:keywords/>
  <dc:description/>
  <cp:lastModifiedBy>Gonzalo Bravo</cp:lastModifiedBy>
  <cp:revision>6</cp:revision>
  <dcterms:created xsi:type="dcterms:W3CDTF">2025-05-04T17:00:00Z</dcterms:created>
  <dcterms:modified xsi:type="dcterms:W3CDTF">2025-05-07T14:14:00Z</dcterms:modified>
</cp:coreProperties>
</file>