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D81E4" w14:textId="77777777" w:rsidR="00050E45" w:rsidRPr="006129B2" w:rsidRDefault="00050E45" w:rsidP="00050E45">
      <w:pPr>
        <w:rPr>
          <w:rFonts w:cs="Arial"/>
          <w:lang w:eastAsia="en-US"/>
        </w:rPr>
      </w:pPr>
      <w:r w:rsidRPr="006129B2">
        <w:rPr>
          <w:rFonts w:cs="Arial"/>
          <w:noProof/>
          <w:lang w:eastAsia="en-US"/>
        </w:rPr>
        <w:drawing>
          <wp:inline distT="0" distB="0" distL="0" distR="0" wp14:anchorId="39C6CA4F" wp14:editId="1A4C1E14">
            <wp:extent cx="5183505" cy="4589780"/>
            <wp:effectExtent l="0" t="0" r="0" b="0"/>
            <wp:docPr id="2079541060" name="image8.png" descr="A collage of graphs and diagram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collage of graphs and diagram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3505" cy="4589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129B2">
        <w:rPr>
          <w:rFonts w:cs="Arial"/>
          <w:lang w:eastAsia="en-US"/>
        </w:rPr>
        <w:t xml:space="preserve">  </w:t>
      </w:r>
    </w:p>
    <w:p w14:paraId="441CD0BC" w14:textId="77777777" w:rsidR="00050E45" w:rsidRPr="006129B2" w:rsidRDefault="00050E45" w:rsidP="00050E45">
      <w:pPr>
        <w:widowControl w:val="0"/>
        <w:rPr>
          <w:rFonts w:cs="Arial"/>
        </w:rPr>
      </w:pPr>
      <w:r w:rsidRPr="006129B2">
        <w:rPr>
          <w:rFonts w:cs="Arial"/>
          <w:b/>
          <w:lang w:eastAsia="en-US"/>
        </w:rPr>
        <w:t>Supplementary Figure S1</w:t>
      </w:r>
      <w:r w:rsidRPr="006129B2">
        <w:rPr>
          <w:rFonts w:cs="Arial"/>
          <w:lang w:eastAsia="en-US"/>
        </w:rPr>
        <w:t xml:space="preserve">. </w:t>
      </w:r>
      <w:r w:rsidRPr="006129B2">
        <w:rPr>
          <w:rFonts w:cs="Arial"/>
          <w:b/>
          <w:lang w:eastAsia="en-US"/>
        </w:rPr>
        <w:t>Senotherapeutic activity of Fucoidan-FV in various senescent cell models, related to Figure 1</w:t>
      </w:r>
      <w:r>
        <w:rPr>
          <w:rFonts w:cs="Arial" w:hint="eastAsia"/>
          <w:b/>
        </w:rPr>
        <w:t>.</w:t>
      </w:r>
    </w:p>
    <w:p w14:paraId="20808C06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  <w:r w:rsidRPr="006129B2">
        <w:rPr>
          <w:rFonts w:cs="Arial"/>
          <w:lang w:eastAsia="en-US"/>
        </w:rPr>
        <w:t>Fucoidan-FV reduced senescence detected by staining with C</w:t>
      </w:r>
      <w:r w:rsidRPr="006129B2">
        <w:rPr>
          <w:rFonts w:cs="Arial"/>
          <w:vertAlign w:val="subscript"/>
          <w:lang w:eastAsia="en-US"/>
        </w:rPr>
        <w:t>12</w:t>
      </w:r>
      <w:r w:rsidRPr="006129B2">
        <w:rPr>
          <w:rFonts w:cs="Arial"/>
          <w:lang w:eastAsia="en-US"/>
        </w:rPr>
        <w:t>FDG for SA-β-gal activity in (</w:t>
      </w:r>
      <w:r w:rsidRPr="006129B2">
        <w:rPr>
          <w:rFonts w:cs="Arial"/>
          <w:b/>
          <w:lang w:eastAsia="en-US"/>
        </w:rPr>
        <w:t>A</w:t>
      </w:r>
      <w:r w:rsidRPr="006129B2">
        <w:rPr>
          <w:rFonts w:cs="Arial"/>
          <w:lang w:eastAsia="en-US"/>
        </w:rPr>
        <w:t>) senescent WT MEFs induced by hydrogen peroxide, (</w:t>
      </w:r>
      <w:r w:rsidRPr="006129B2">
        <w:rPr>
          <w:rFonts w:cs="Arial"/>
          <w:b/>
          <w:lang w:eastAsia="en-US"/>
        </w:rPr>
        <w:t>B</w:t>
      </w:r>
      <w:r w:rsidRPr="006129B2">
        <w:rPr>
          <w:rFonts w:cs="Arial"/>
          <w:lang w:eastAsia="en-US"/>
        </w:rPr>
        <w:t>) senescent WT MEFs induced by etoposide, (</w:t>
      </w:r>
      <w:r w:rsidRPr="006129B2">
        <w:rPr>
          <w:rFonts w:cs="Arial"/>
          <w:b/>
          <w:lang w:eastAsia="en-US"/>
        </w:rPr>
        <w:t>C</w:t>
      </w:r>
      <w:r w:rsidRPr="006129B2">
        <w:rPr>
          <w:rFonts w:cs="Arial"/>
          <w:lang w:eastAsia="en-US"/>
        </w:rPr>
        <w:t>) senescent IMR90 induced by etoposide, (</w:t>
      </w:r>
      <w:r w:rsidRPr="006129B2">
        <w:rPr>
          <w:rFonts w:cs="Arial"/>
          <w:b/>
          <w:lang w:eastAsia="en-US"/>
        </w:rPr>
        <w:t>D</w:t>
      </w:r>
      <w:r w:rsidRPr="006129B2">
        <w:rPr>
          <w:rFonts w:cs="Arial"/>
          <w:lang w:eastAsia="en-US"/>
        </w:rPr>
        <w:t>) senescent HUVECs induced by proliferative passaging. Representative images were captured using Cytation 1 at 4X magnification. Blue fluorescence indicates Hoechst 33324-stained nuclei and green fluorescence marks C</w:t>
      </w:r>
      <w:r w:rsidRPr="006129B2">
        <w:rPr>
          <w:rFonts w:cs="Arial"/>
          <w:vertAlign w:val="subscript"/>
          <w:lang w:eastAsia="en-US"/>
        </w:rPr>
        <w:t>12</w:t>
      </w:r>
      <w:r w:rsidRPr="006129B2">
        <w:rPr>
          <w:rFonts w:cs="Arial"/>
          <w:lang w:eastAsia="en-US"/>
        </w:rPr>
        <w:t xml:space="preserve">FDG-stained SA-β-gal positive senescent cells. </w:t>
      </w:r>
      <w:r w:rsidRPr="006129B2">
        <w:rPr>
          <w:rFonts w:cs="Arial"/>
          <w:lang w:eastAsia="en-US"/>
        </w:rPr>
        <w:br w:type="page"/>
      </w:r>
    </w:p>
    <w:p w14:paraId="7E887FD8" w14:textId="77777777" w:rsidR="00050E45" w:rsidRPr="006129B2" w:rsidRDefault="00050E45" w:rsidP="00050E45">
      <w:pPr>
        <w:widowControl w:val="0"/>
        <w:rPr>
          <w:rFonts w:cs="Arial"/>
        </w:rPr>
      </w:pPr>
      <w:r w:rsidRPr="006129B2">
        <w:rPr>
          <w:rFonts w:cs="Arial"/>
          <w:noProof/>
          <w:lang w:eastAsia="en-US"/>
        </w:rPr>
        <w:lastRenderedPageBreak/>
        <w:drawing>
          <wp:inline distT="0" distB="0" distL="0" distR="0" wp14:anchorId="752AB5E3" wp14:editId="0290B064">
            <wp:extent cx="5082540" cy="4619625"/>
            <wp:effectExtent l="0" t="0" r="0" b="0"/>
            <wp:docPr id="2079541059" name="image7.png" descr="A collage of graphs and diagram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collage of graphs and diagrams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461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129B2">
        <w:rPr>
          <w:rFonts w:cs="Arial"/>
          <w:b/>
          <w:lang w:eastAsia="en-US"/>
        </w:rPr>
        <w:t>Supplementary Figure S2</w:t>
      </w:r>
      <w:r w:rsidRPr="006129B2">
        <w:rPr>
          <w:rFonts w:cs="Arial"/>
          <w:lang w:eastAsia="en-US"/>
        </w:rPr>
        <w:t xml:space="preserve">. </w:t>
      </w:r>
      <w:r w:rsidRPr="006129B2">
        <w:rPr>
          <w:rFonts w:cs="Arial"/>
          <w:b/>
          <w:lang w:eastAsia="en-US"/>
        </w:rPr>
        <w:t>Senotherapeutic activity of Fucoidan-MP in various senescent cell models, related to Figure 1</w:t>
      </w:r>
      <w:r>
        <w:rPr>
          <w:rFonts w:cs="Arial" w:hint="eastAsia"/>
          <w:b/>
        </w:rPr>
        <w:t>.</w:t>
      </w:r>
    </w:p>
    <w:p w14:paraId="559D6E1D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  <w:r w:rsidRPr="006129B2">
        <w:rPr>
          <w:rFonts w:cs="Arial"/>
          <w:lang w:eastAsia="en-US"/>
        </w:rPr>
        <w:t>Fucoidan-MP reduced senescence detected by staining with C</w:t>
      </w:r>
      <w:r w:rsidRPr="006129B2">
        <w:rPr>
          <w:rFonts w:cs="Arial"/>
          <w:vertAlign w:val="subscript"/>
          <w:lang w:eastAsia="en-US"/>
        </w:rPr>
        <w:t>12</w:t>
      </w:r>
      <w:r w:rsidRPr="006129B2">
        <w:rPr>
          <w:rFonts w:cs="Arial"/>
          <w:lang w:eastAsia="en-US"/>
        </w:rPr>
        <w:t>FDG for SA-β-gal activity in (</w:t>
      </w:r>
      <w:r w:rsidRPr="006129B2">
        <w:rPr>
          <w:rFonts w:cs="Arial"/>
          <w:b/>
          <w:lang w:eastAsia="en-US"/>
        </w:rPr>
        <w:t>A</w:t>
      </w:r>
      <w:r w:rsidRPr="006129B2">
        <w:rPr>
          <w:rFonts w:cs="Arial"/>
          <w:lang w:eastAsia="en-US"/>
        </w:rPr>
        <w:t>) senescent WT MEFs induced by hydrogen peroxide, (</w:t>
      </w:r>
      <w:r w:rsidRPr="006129B2">
        <w:rPr>
          <w:rFonts w:cs="Arial"/>
          <w:b/>
          <w:lang w:eastAsia="en-US"/>
        </w:rPr>
        <w:t>B</w:t>
      </w:r>
      <w:r w:rsidRPr="006129B2">
        <w:rPr>
          <w:rFonts w:cs="Arial"/>
          <w:lang w:eastAsia="en-US"/>
        </w:rPr>
        <w:t>) senescent WT MEFs induced by etoposide, (</w:t>
      </w:r>
      <w:r w:rsidRPr="006129B2">
        <w:rPr>
          <w:rFonts w:cs="Arial"/>
          <w:b/>
          <w:lang w:eastAsia="en-US"/>
        </w:rPr>
        <w:t>C</w:t>
      </w:r>
      <w:r w:rsidRPr="006129B2">
        <w:rPr>
          <w:rFonts w:cs="Arial"/>
          <w:lang w:eastAsia="en-US"/>
        </w:rPr>
        <w:t>) senescent IMR90 induced by etoposide, (</w:t>
      </w:r>
      <w:r w:rsidRPr="006129B2">
        <w:rPr>
          <w:rFonts w:cs="Arial"/>
          <w:b/>
          <w:lang w:eastAsia="en-US"/>
        </w:rPr>
        <w:t>D</w:t>
      </w:r>
      <w:r w:rsidRPr="006129B2">
        <w:rPr>
          <w:rFonts w:cs="Arial"/>
          <w:lang w:eastAsia="en-US"/>
        </w:rPr>
        <w:t>) senescent HUVECs induced by proliferative passaging. Representative images were captured using Cytation 1 at 4X magnification. Blue fluorescence indicates Hoechst 33324-stained nuclei and green fluorescence marks C</w:t>
      </w:r>
      <w:r w:rsidRPr="006129B2">
        <w:rPr>
          <w:rFonts w:cs="Arial"/>
          <w:vertAlign w:val="subscript"/>
          <w:lang w:eastAsia="en-US"/>
        </w:rPr>
        <w:t>12</w:t>
      </w:r>
      <w:r w:rsidRPr="006129B2">
        <w:rPr>
          <w:rFonts w:cs="Arial"/>
          <w:lang w:eastAsia="en-US"/>
        </w:rPr>
        <w:t xml:space="preserve">FDG-stained SA-β-gal positive senescent cells. </w:t>
      </w:r>
      <w:r w:rsidRPr="006129B2">
        <w:rPr>
          <w:rFonts w:cs="Arial"/>
          <w:lang w:eastAsia="en-US"/>
        </w:rPr>
        <w:br w:type="page"/>
      </w:r>
    </w:p>
    <w:p w14:paraId="13963710" w14:textId="77777777" w:rsidR="00050E45" w:rsidRPr="006129B2" w:rsidRDefault="00050E45" w:rsidP="00050E45">
      <w:pPr>
        <w:widowControl w:val="0"/>
        <w:rPr>
          <w:rFonts w:cs="Arial"/>
          <w:b/>
          <w:lang w:eastAsia="en-US"/>
        </w:rPr>
      </w:pPr>
      <w:r w:rsidRPr="006129B2">
        <w:rPr>
          <w:rFonts w:cs="Arial"/>
          <w:noProof/>
          <w:lang w:eastAsia="en-US"/>
        </w:rPr>
        <w:lastRenderedPageBreak/>
        <w:drawing>
          <wp:inline distT="0" distB="0" distL="0" distR="0" wp14:anchorId="03CBA79A" wp14:editId="36E96610">
            <wp:extent cx="4578350" cy="5924550"/>
            <wp:effectExtent l="0" t="0" r="0" b="0"/>
            <wp:docPr id="2079541061" name="image3.png" descr="A group of graphs with different colored lin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group of graphs with different colored lines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5924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CB2334" w14:textId="77777777" w:rsidR="00050E45" w:rsidRPr="006129B2" w:rsidRDefault="00050E45" w:rsidP="00050E45">
      <w:pPr>
        <w:widowControl w:val="0"/>
        <w:rPr>
          <w:rFonts w:cs="Arial"/>
          <w:b/>
        </w:rPr>
      </w:pPr>
      <w:bookmarkStart w:id="0" w:name="_heading=h.8tqkwh537pn5" w:colFirst="0" w:colLast="0"/>
      <w:bookmarkEnd w:id="0"/>
      <w:r w:rsidRPr="006129B2">
        <w:rPr>
          <w:rFonts w:cs="Arial"/>
          <w:b/>
          <w:lang w:eastAsia="en-US"/>
        </w:rPr>
        <w:t>Supplementary Figure S3</w:t>
      </w:r>
      <w:r w:rsidRPr="006129B2">
        <w:rPr>
          <w:rFonts w:cs="Arial"/>
          <w:lang w:eastAsia="en-US"/>
        </w:rPr>
        <w:t xml:space="preserve">. </w:t>
      </w:r>
      <w:r w:rsidRPr="006129B2">
        <w:rPr>
          <w:rFonts w:cs="Arial"/>
          <w:b/>
          <w:lang w:eastAsia="en-US"/>
        </w:rPr>
        <w:t>Senotherapeutic effects of Fucoidan-FV and Fucoidan-MP in aged WT C57BL/6 mice, related to Figure 2</w:t>
      </w:r>
      <w:r>
        <w:rPr>
          <w:rFonts w:cs="Arial" w:hint="eastAsia"/>
          <w:b/>
        </w:rPr>
        <w:t>.</w:t>
      </w:r>
    </w:p>
    <w:p w14:paraId="001232D3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  <w:r w:rsidRPr="006129B2">
        <w:rPr>
          <w:rFonts w:cs="Arial"/>
          <w:lang w:eastAsia="en-US"/>
        </w:rPr>
        <w:t>(</w:t>
      </w:r>
      <w:r w:rsidRPr="006129B2">
        <w:rPr>
          <w:rFonts w:cs="Arial"/>
          <w:b/>
          <w:lang w:eastAsia="en-US"/>
        </w:rPr>
        <w:t>A</w:t>
      </w:r>
      <w:r w:rsidRPr="006129B2">
        <w:rPr>
          <w:rFonts w:cs="Arial"/>
          <w:lang w:eastAsia="en-US"/>
        </w:rPr>
        <w:t>) The effects of Fucoidan-FV on reducing senescence markers across different tissues in WT C57BL/6 mice aged 32 months. Error bars represent SEM for n = 6. (</w:t>
      </w:r>
      <w:r w:rsidRPr="006129B2">
        <w:rPr>
          <w:rFonts w:cs="Arial"/>
          <w:b/>
          <w:lang w:eastAsia="en-US"/>
        </w:rPr>
        <w:t>B</w:t>
      </w:r>
      <w:r w:rsidRPr="006129B2">
        <w:rPr>
          <w:rFonts w:cs="Arial"/>
          <w:lang w:eastAsia="en-US"/>
        </w:rPr>
        <w:t xml:space="preserve">) The effects of Fucoidan-MP on reducing senescence across different tissues in WT C57BL/6 mice aged 32 months. Error bars represent SEM for n = 6. </w:t>
      </w:r>
      <w:r w:rsidRPr="006129B2">
        <w:rPr>
          <w:rFonts w:cs="Arial"/>
          <w:lang w:eastAsia="en-US"/>
        </w:rPr>
        <w:br w:type="page"/>
      </w:r>
    </w:p>
    <w:p w14:paraId="55346D37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  <w:r w:rsidRPr="006129B2">
        <w:rPr>
          <w:rFonts w:cs="Arial"/>
          <w:noProof/>
          <w:lang w:eastAsia="en-US"/>
        </w:rPr>
        <w:lastRenderedPageBreak/>
        <w:drawing>
          <wp:inline distT="0" distB="0" distL="0" distR="0" wp14:anchorId="32FD373D" wp14:editId="373CFBFF">
            <wp:extent cx="5486400" cy="5378168"/>
            <wp:effectExtent l="0" t="0" r="0" b="0"/>
            <wp:docPr id="1820679681" name="Picture 23" descr="A collage of graphs and ch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679681" name="Picture 23" descr="A collage of graphs and char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378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4EC965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</w:p>
    <w:p w14:paraId="04911D2F" w14:textId="77777777" w:rsidR="00050E45" w:rsidRPr="006129B2" w:rsidRDefault="00050E45" w:rsidP="00050E45">
      <w:pPr>
        <w:widowControl w:val="0"/>
        <w:rPr>
          <w:rFonts w:cs="Arial"/>
          <w:lang w:eastAsia="en-US"/>
        </w:rPr>
      </w:pPr>
      <w:r w:rsidRPr="006129B2">
        <w:rPr>
          <w:rFonts w:cs="Arial"/>
          <w:b/>
          <w:bCs/>
          <w:lang w:eastAsia="en-US"/>
        </w:rPr>
        <w:t>Supplementary Figure S4</w:t>
      </w:r>
      <w:r w:rsidRPr="006129B2">
        <w:rPr>
          <w:rFonts w:cs="Arial"/>
          <w:lang w:eastAsia="en-US"/>
        </w:rPr>
        <w:t xml:space="preserve">. </w:t>
      </w:r>
      <w:r w:rsidRPr="006129B2">
        <w:rPr>
          <w:rFonts w:cs="Arial"/>
          <w:b/>
          <w:bCs/>
          <w:lang w:eastAsia="en-US"/>
        </w:rPr>
        <w:t>Transcriptional changes in senescent MEFs and additional RNA-Seq analysis, related to Figure 4.</w:t>
      </w:r>
    </w:p>
    <w:p w14:paraId="4E19405B" w14:textId="77777777" w:rsidR="00050E45" w:rsidRPr="003A3F5C" w:rsidRDefault="00050E45" w:rsidP="00050E45">
      <w:pPr>
        <w:widowControl w:val="0"/>
        <w:rPr>
          <w:rFonts w:cs="Arial"/>
        </w:rPr>
      </w:pPr>
      <w:r w:rsidRPr="006129B2">
        <w:rPr>
          <w:rFonts w:cs="Arial"/>
          <w:lang w:eastAsia="en-US"/>
        </w:rPr>
        <w:t>(</w:t>
      </w:r>
      <w:r w:rsidRPr="006129B2">
        <w:rPr>
          <w:rFonts w:cs="Arial"/>
          <w:b/>
          <w:bCs/>
          <w:lang w:eastAsia="en-US"/>
        </w:rPr>
        <w:t>A</w:t>
      </w:r>
      <w:r w:rsidRPr="006129B2">
        <w:rPr>
          <w:rFonts w:cs="Arial"/>
          <w:lang w:eastAsia="en-US"/>
        </w:rPr>
        <w:t>) Principal component analysis plot for RNA-Seq data obtained from untreated (UT) or Fucoidan-FV treated non-senescent (NS/CTRL) and senescent (Sen/Eto) WT MEFs. (</w:t>
      </w:r>
      <w:r w:rsidRPr="006129B2">
        <w:rPr>
          <w:rFonts w:cs="Arial"/>
          <w:b/>
          <w:bCs/>
          <w:lang w:eastAsia="en-US"/>
        </w:rPr>
        <w:t>B</w:t>
      </w:r>
      <w:r w:rsidRPr="006129B2">
        <w:rPr>
          <w:rFonts w:cs="Arial"/>
          <w:lang w:eastAsia="en-US"/>
        </w:rPr>
        <w:t>) Normalized expression of CDKN1A and CDKN2A in UT NS and UT Sen MEFs; n = 3 per group. (</w:t>
      </w:r>
      <w:r w:rsidRPr="006129B2">
        <w:rPr>
          <w:rFonts w:cs="Arial"/>
          <w:b/>
          <w:bCs/>
          <w:lang w:eastAsia="en-US"/>
        </w:rPr>
        <w:t>C</w:t>
      </w:r>
      <w:r w:rsidRPr="006129B2">
        <w:rPr>
          <w:rFonts w:cs="Arial"/>
          <w:lang w:eastAsia="en-US"/>
        </w:rPr>
        <w:t>) Volcano plot highlighting differentially expressed SASP genes between UT NS and UT Sen MEF; cutoffs at |log</w:t>
      </w:r>
      <w:r w:rsidRPr="006129B2">
        <w:rPr>
          <w:rFonts w:cs="Arial"/>
          <w:vertAlign w:val="subscript"/>
          <w:lang w:eastAsia="en-US"/>
        </w:rPr>
        <w:t>2</w:t>
      </w:r>
      <w:r w:rsidRPr="006129B2">
        <w:rPr>
          <w:rFonts w:cs="Arial"/>
          <w:lang w:eastAsia="en-US"/>
        </w:rPr>
        <w:t>FC|=1 and -log</w:t>
      </w:r>
      <w:r w:rsidRPr="006129B2">
        <w:rPr>
          <w:rFonts w:cs="Arial"/>
          <w:vertAlign w:val="subscript"/>
          <w:lang w:eastAsia="en-US"/>
        </w:rPr>
        <w:t>10</w:t>
      </w:r>
      <w:r w:rsidRPr="006129B2">
        <w:rPr>
          <w:rFonts w:cs="Arial"/>
          <w:lang w:eastAsia="en-US"/>
        </w:rPr>
        <w:t>padj = 1.3. (</w:t>
      </w:r>
      <w:r w:rsidRPr="006129B2">
        <w:rPr>
          <w:rFonts w:cs="Arial"/>
          <w:b/>
          <w:bCs/>
          <w:lang w:eastAsia="en-US"/>
        </w:rPr>
        <w:t>D</w:t>
      </w:r>
      <w:r w:rsidRPr="006129B2">
        <w:rPr>
          <w:rFonts w:cs="Arial"/>
          <w:lang w:eastAsia="en-US"/>
        </w:rPr>
        <w:t>) Venn diagrams for comparisons among different treatment groups.</w:t>
      </w:r>
      <w:r w:rsidRPr="006129B2">
        <w:rPr>
          <w:rFonts w:cs="Arial"/>
          <w:b/>
          <w:bCs/>
          <w:lang w:eastAsia="en-US"/>
        </w:rPr>
        <w:t xml:space="preserve"> </w:t>
      </w:r>
      <w:r w:rsidRPr="006129B2">
        <w:rPr>
          <w:rFonts w:cs="Arial"/>
          <w:lang w:eastAsia="en-US"/>
        </w:rPr>
        <w:t>(</w:t>
      </w:r>
      <w:r w:rsidRPr="006129B2">
        <w:rPr>
          <w:rFonts w:cs="Arial"/>
          <w:b/>
          <w:bCs/>
          <w:lang w:eastAsia="en-US"/>
        </w:rPr>
        <w:t>E</w:t>
      </w:r>
      <w:r w:rsidRPr="006129B2">
        <w:rPr>
          <w:rFonts w:cs="Arial"/>
          <w:lang w:eastAsia="en-US"/>
        </w:rPr>
        <w:t>)</w:t>
      </w:r>
      <w:r w:rsidRPr="006129B2">
        <w:rPr>
          <w:rFonts w:cs="Arial"/>
          <w:b/>
          <w:bCs/>
          <w:lang w:eastAsia="en-US"/>
        </w:rPr>
        <w:t xml:space="preserve"> </w:t>
      </w:r>
      <w:r w:rsidRPr="006129B2">
        <w:rPr>
          <w:rFonts w:cs="Arial"/>
          <w:lang w:eastAsia="en-US"/>
        </w:rPr>
        <w:t xml:space="preserve">Radial interaction network diagram of filtered downregulated DEGs in UT Sen vs 100 µg/mL Fucoidan-FV treated MEFs. Node size corresponds to degree centrality in network topology; edge width corresponds to </w:t>
      </w:r>
      <w:r w:rsidRPr="006129B2">
        <w:rPr>
          <w:rFonts w:cs="Arial"/>
          <w:lang w:eastAsia="en-US"/>
        </w:rPr>
        <w:lastRenderedPageBreak/>
        <w:t>undirected confidence of interaction between nodes. Top 4 MCL clusters are annotated with colored nodes and labeled with the highest enriched GO term. (</w:t>
      </w:r>
      <w:r w:rsidRPr="006129B2">
        <w:rPr>
          <w:rFonts w:cs="Arial"/>
          <w:b/>
          <w:bCs/>
          <w:lang w:eastAsia="en-US"/>
        </w:rPr>
        <w:t>F</w:t>
      </w:r>
      <w:r w:rsidRPr="006129B2">
        <w:rPr>
          <w:rFonts w:cs="Arial"/>
          <w:lang w:eastAsia="en-US"/>
        </w:rPr>
        <w:t>) Top 20 GO biological processes (GOBP) pathways overrepresented by filtered up- and downregulated DEGs in UT Sen vs 100 µg/mL Fucoidan-FV treated MEFs.</w:t>
      </w:r>
    </w:p>
    <w:p w14:paraId="07BE4B8B" w14:textId="77777777" w:rsidR="00865217" w:rsidRDefault="00865217"/>
    <w:sectPr w:rsidR="00865217" w:rsidSect="00050E45">
      <w:footerReference w:type="default" r:id="rId8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C4180" w14:textId="77777777" w:rsidR="00000000" w:rsidRPr="001C6310" w:rsidRDefault="00000000">
    <w:pPr>
      <w:pStyle w:val="Footer"/>
      <w:jc w:val="center"/>
      <w:rPr>
        <w:caps/>
        <w:noProof/>
        <w:sz w:val="20"/>
        <w:szCs w:val="20"/>
      </w:rPr>
    </w:pPr>
    <w:r w:rsidRPr="001C6310">
      <w:rPr>
        <w:caps/>
        <w:sz w:val="20"/>
        <w:szCs w:val="20"/>
      </w:rPr>
      <w:fldChar w:fldCharType="begin"/>
    </w:r>
    <w:r w:rsidRPr="001C6310">
      <w:rPr>
        <w:caps/>
        <w:sz w:val="20"/>
        <w:szCs w:val="20"/>
      </w:rPr>
      <w:instrText xml:space="preserve"> PAGE   \* MERGEFORMAT </w:instrText>
    </w:r>
    <w:r w:rsidRPr="001C6310">
      <w:rPr>
        <w:caps/>
        <w:sz w:val="20"/>
        <w:szCs w:val="20"/>
      </w:rPr>
      <w:fldChar w:fldCharType="separate"/>
    </w:r>
    <w:r w:rsidRPr="001C6310">
      <w:rPr>
        <w:caps/>
        <w:noProof/>
        <w:sz w:val="20"/>
        <w:szCs w:val="20"/>
      </w:rPr>
      <w:t>2</w:t>
    </w:r>
    <w:r w:rsidRPr="001C6310">
      <w:rPr>
        <w:caps/>
        <w:noProof/>
        <w:sz w:val="20"/>
        <w:szCs w:val="20"/>
      </w:rPr>
      <w:fldChar w:fldCharType="end"/>
    </w:r>
  </w:p>
  <w:p w14:paraId="3A89998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45"/>
    <w:rsid w:val="00050E45"/>
    <w:rsid w:val="002E281E"/>
    <w:rsid w:val="003201BB"/>
    <w:rsid w:val="0058050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2BBFF"/>
  <w15:chartTrackingRefBased/>
  <w15:docId w15:val="{F99EE974-0A44-4635-AE50-660029778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E45"/>
    <w:pPr>
      <w:spacing w:after="0" w:line="360" w:lineRule="auto"/>
      <w:jc w:val="both"/>
    </w:pPr>
    <w:rPr>
      <w:rFonts w:ascii="Arial" w:eastAsiaTheme="minorEastAsia" w:hAnsi="Arial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0E4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0E4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0E4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0E4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0E4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0E45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0E45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0E45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0E4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0E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0E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0E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0E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0E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0E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0E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0E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0E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0E4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0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0E4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0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0E45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0E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0E45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0E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0E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0E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0E4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50E4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0E45"/>
    <w:rPr>
      <w:rFonts w:ascii="Arial" w:eastAsiaTheme="minorEastAsia" w:hAnsi="Arial"/>
      <w:kern w:val="0"/>
      <w:sz w:val="22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50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414</Words>
  <Characters>2363</Characters>
  <Application>Microsoft Office Word</Application>
  <DocSecurity>0</DocSecurity>
  <Lines>19</Lines>
  <Paragraphs>5</Paragraphs>
  <ScaleCrop>false</ScaleCrop>
  <Company>Springer Nature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2025-06-06T07:29:00Z</dcterms:created>
  <dcterms:modified xsi:type="dcterms:W3CDTF">2025-06-06T07:30:00Z</dcterms:modified>
</cp:coreProperties>
</file>