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97A08D" w14:textId="3E27890A" w:rsidR="00C94383" w:rsidRPr="008640D1" w:rsidRDefault="005E72BA" w:rsidP="00226F2F">
      <w:pPr>
        <w:pStyle w:val="Heading1"/>
        <w:rPr>
          <w:rStyle w:val="normaltextrun"/>
        </w:rPr>
      </w:pPr>
      <w:r w:rsidRPr="008640D1">
        <w:rPr>
          <w:rStyle w:val="normaltextrun"/>
        </w:rPr>
        <w:t xml:space="preserve">Supplementary </w:t>
      </w:r>
      <w:r w:rsidR="00992DAE">
        <w:rPr>
          <w:rStyle w:val="normaltextrun"/>
        </w:rPr>
        <w:t>Results</w:t>
      </w:r>
      <w:r w:rsidR="00017910" w:rsidRPr="008640D1">
        <w:rPr>
          <w:rStyle w:val="normaltextrun"/>
        </w:rPr>
        <w:t xml:space="preserve"> and </w:t>
      </w:r>
      <w:r w:rsidR="00C66160">
        <w:rPr>
          <w:rStyle w:val="normaltextrun"/>
        </w:rPr>
        <w:t>Methods</w:t>
      </w:r>
    </w:p>
    <w:p w14:paraId="520C30F6" w14:textId="77777777" w:rsidR="00017910" w:rsidRDefault="00017910" w:rsidP="00226F2F"/>
    <w:p w14:paraId="195ED1E3" w14:textId="28D1ACB1" w:rsidR="007B3E10" w:rsidRDefault="007B3E10" w:rsidP="00226F2F">
      <w:pPr>
        <w:pStyle w:val="Heading3"/>
        <w:rPr>
          <w:rFonts w:eastAsia="system-ui"/>
        </w:rPr>
      </w:pPr>
      <w:bookmarkStart w:id="0" w:name="_Toc161332018"/>
      <w:r w:rsidRPr="007C3803">
        <w:t xml:space="preserve">Enhanced precision in detecting boundaries of </w:t>
      </w:r>
      <w:r w:rsidRPr="007C3803">
        <w:rPr>
          <w:rFonts w:eastAsia="system-ui"/>
        </w:rPr>
        <w:t>somatic copy number alterations</w:t>
      </w:r>
      <w:bookmarkEnd w:id="0"/>
      <w:r w:rsidR="00165147">
        <w:rPr>
          <w:rFonts w:eastAsia="system-ui"/>
        </w:rPr>
        <w:t xml:space="preserve"> (SCNAs)</w:t>
      </w:r>
    </w:p>
    <w:p w14:paraId="3E4C26DD" w14:textId="425B6DC7" w:rsidR="002530ED" w:rsidRDefault="002530ED" w:rsidP="00226F2F">
      <w:r>
        <w:t>To explore the advantages that the expanded set of probes provide to the identification of SCNAs, we extended the comparison performed above to 4 clinical samples that were analyzed by both EXaCT-1 and EXaCT-2. As a first pass, to ensure that both assays produced similar results for these matched samples, we first performed a gene-wise comparison of the results from the analysis from each assay (Table S</w:t>
      </w:r>
      <w:r w:rsidR="001C5F91">
        <w:t>3</w:t>
      </w:r>
      <w:r>
        <w:t xml:space="preserve">) and determined that the results were statistically similar (Chi-Square p </w:t>
      </w:r>
      <w:r w:rsidRPr="004D6E66">
        <w:t>&lt; 0.00001</w:t>
      </w:r>
      <w:r>
        <w:t>).</w:t>
      </w:r>
    </w:p>
    <w:p w14:paraId="33232343" w14:textId="77777777" w:rsidR="00D7043A" w:rsidRDefault="00D7043A" w:rsidP="00226F2F"/>
    <w:p w14:paraId="0B4806BF" w14:textId="77777777" w:rsidR="00D7043A" w:rsidRDefault="00D7043A" w:rsidP="00226F2F">
      <w:pPr>
        <w:keepNext/>
      </w:pPr>
      <w:r>
        <w:rPr>
          <w:noProof/>
        </w:rPr>
        <w:drawing>
          <wp:inline distT="0" distB="0" distL="0" distR="0" wp14:anchorId="75D05FDB" wp14:editId="4E05718F">
            <wp:extent cx="6858000" cy="2005330"/>
            <wp:effectExtent l="0" t="0" r="0" b="0"/>
            <wp:docPr id="1886647588"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647588" name="Graphic 1886647588"/>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6858000" cy="2005330"/>
                    </a:xfrm>
                    <a:prstGeom prst="rect">
                      <a:avLst/>
                    </a:prstGeom>
                  </pic:spPr>
                </pic:pic>
              </a:graphicData>
            </a:graphic>
          </wp:inline>
        </w:drawing>
      </w:r>
    </w:p>
    <w:p w14:paraId="0A20629D" w14:textId="0C1FA73C" w:rsidR="00D7043A" w:rsidRDefault="00D7043A" w:rsidP="00226F2F">
      <w:pPr>
        <w:pStyle w:val="Caption"/>
        <w:spacing w:before="0" w:after="0"/>
      </w:pPr>
      <w:r w:rsidRPr="00815454">
        <w:rPr>
          <w:b/>
          <w:bCs/>
        </w:rPr>
        <w:t xml:space="preserve">Figure </w:t>
      </w:r>
      <w:r w:rsidR="00725DBC" w:rsidRPr="00815454">
        <w:rPr>
          <w:b/>
          <w:bCs/>
        </w:rPr>
        <w:t>S</w:t>
      </w:r>
      <w:r w:rsidRPr="00815454">
        <w:rPr>
          <w:b/>
          <w:bCs/>
        </w:rPr>
        <w:fldChar w:fldCharType="begin"/>
      </w:r>
      <w:r w:rsidRPr="00815454">
        <w:rPr>
          <w:b/>
          <w:bCs/>
        </w:rPr>
        <w:instrText xml:space="preserve"> SEQ Figure \* ARABIC </w:instrText>
      </w:r>
      <w:r w:rsidRPr="00815454">
        <w:rPr>
          <w:b/>
          <w:bCs/>
        </w:rPr>
        <w:fldChar w:fldCharType="separate"/>
      </w:r>
      <w:r w:rsidR="00D60612">
        <w:rPr>
          <w:b/>
          <w:bCs/>
          <w:noProof/>
        </w:rPr>
        <w:t>1</w:t>
      </w:r>
      <w:r w:rsidRPr="00815454">
        <w:rPr>
          <w:b/>
          <w:bCs/>
        </w:rPr>
        <w:fldChar w:fldCharType="end"/>
      </w:r>
      <w:r w:rsidRPr="00815454">
        <w:rPr>
          <w:b/>
          <w:bCs/>
        </w:rPr>
        <w:t>:</w:t>
      </w:r>
      <w:r w:rsidR="00F8655E" w:rsidRPr="00815454">
        <w:rPr>
          <w:rFonts w:asciiTheme="majorHAnsi" w:eastAsiaTheme="majorEastAsia" w:hAnsiTheme="majorHAnsi" w:cstheme="majorBidi"/>
          <w:b/>
          <w:bCs/>
        </w:rPr>
        <w:t xml:space="preserve"> Comparison and analysis of SCNA segments across four matching WES assays</w:t>
      </w:r>
      <w:r w:rsidR="00F8655E" w:rsidRPr="00D314CF">
        <w:rPr>
          <w:rFonts w:asciiTheme="majorHAnsi" w:eastAsiaTheme="majorEastAsia" w:hAnsiTheme="majorHAnsi" w:cstheme="majorBidi"/>
        </w:rPr>
        <w:t xml:space="preserve">. </w:t>
      </w:r>
      <w:r w:rsidR="00F8655E" w:rsidRPr="00D314CF">
        <w:rPr>
          <w:rFonts w:asciiTheme="majorHAnsi" w:eastAsiaTheme="majorEastAsia" w:hAnsiTheme="majorHAnsi" w:cstheme="majorBidi"/>
          <w:b/>
          <w:bCs/>
        </w:rPr>
        <w:t>A)</w:t>
      </w:r>
      <w:r w:rsidR="00F8655E" w:rsidRPr="00D314CF">
        <w:rPr>
          <w:rFonts w:asciiTheme="majorHAnsi" w:eastAsiaTheme="majorEastAsia" w:hAnsiTheme="majorHAnsi" w:cstheme="majorBidi"/>
        </w:rPr>
        <w:t xml:space="preserve"> Difference in the t</w:t>
      </w:r>
      <w:r w:rsidR="00F8655E" w:rsidRPr="006A5543">
        <w:t>otal Fraction of Genome Altered (FGA): No major difference is observed in FGA between matching EXaCT-1 and EXaCT-2 samples</w:t>
      </w:r>
      <w:r w:rsidR="00F8655E">
        <w:t>; matched samples are highlighted and compared against a simulated null that was generated by calculating the difference for all possible pairwise comparisons of the samples</w:t>
      </w:r>
      <w:r w:rsidR="00F8655E" w:rsidRPr="00D907AC">
        <w:t>.</w:t>
      </w:r>
      <w:r w:rsidR="00F8655E" w:rsidRPr="006A5543">
        <w:t xml:space="preserve"> </w:t>
      </w:r>
      <w:r w:rsidR="00F8655E">
        <w:rPr>
          <w:b/>
          <w:bCs/>
        </w:rPr>
        <w:t>B</w:t>
      </w:r>
      <w:r w:rsidR="00F8655E" w:rsidRPr="006A5543">
        <w:rPr>
          <w:b/>
          <w:bCs/>
        </w:rPr>
        <w:t>)</w:t>
      </w:r>
      <w:r w:rsidR="00F8655E" w:rsidRPr="006A5543">
        <w:t xml:space="preserve"> Grouping segments based on their size:  As number of segments suggest, EXaCT-2 shows a higher prevalence of smaller segments (&lt;25Mb</w:t>
      </w:r>
      <w:proofErr w:type="gramStart"/>
      <w:r w:rsidR="00F8655E" w:rsidRPr="006A5543">
        <w:t>)</w:t>
      </w:r>
      <w:proofErr w:type="gramEnd"/>
      <w:r w:rsidR="00F8655E" w:rsidRPr="006A5543">
        <w:t xml:space="preserve"> and lower number of larger segments (&gt;100 Mb) compared to EXaCT-1.</w:t>
      </w:r>
    </w:p>
    <w:p w14:paraId="6AC70A75" w14:textId="77777777" w:rsidR="00E804F4" w:rsidRDefault="00E804F4" w:rsidP="00226F2F"/>
    <w:p w14:paraId="7CF0D5EF" w14:textId="51BF7A05" w:rsidR="002530ED" w:rsidRDefault="00E6323A" w:rsidP="00226F2F">
      <w:r>
        <w:t xml:space="preserve">In addition to the overall gene-wise similarity of these results, we observed that the total fraction of the genome altered (FGA) by an SCNA was nearly unchanged between the two assays (p=0.59; Figure </w:t>
      </w:r>
      <w:r w:rsidR="003F75C1">
        <w:t>S</w:t>
      </w:r>
      <w:r w:rsidR="00D139C1">
        <w:t>1</w:t>
      </w:r>
      <w:r w:rsidR="00A07B37">
        <w:t>A</w:t>
      </w:r>
      <w:r>
        <w:t>, Table S</w:t>
      </w:r>
      <w:r w:rsidR="009E34BE">
        <w:t>4</w:t>
      </w:r>
      <w:r>
        <w:t xml:space="preserve">). In contrast, however, the total number of inferred segments was considerably higher in the results from the EXaCT-2 assay, indicating that the EXaCT-2 assay might provide for finer granularity of the segmentation generated by the SCNA analysis (p=0.056; Figure </w:t>
      </w:r>
      <w:r w:rsidR="003F75C1">
        <w:t>2C-Top</w:t>
      </w:r>
      <w:r>
        <w:t>, Table S</w:t>
      </w:r>
      <w:r w:rsidR="0051624B">
        <w:t>5</w:t>
      </w:r>
      <w:r>
        <w:t xml:space="preserve">). To further examine this hypothesis, the segments generated from the two assays were stratified by segment length and compared. While there was no statistical difference between the mid-sized segments (those between 25-100Mb), the EXaCT-2 assay produced significantly fewer large (&gt;100MB) and small segments (&lt;25Mb), indicating that the EXaCT-1 segments were both over- and under-segmented, in comparison to those from the EXaCT-2 assay (Figure </w:t>
      </w:r>
      <w:r w:rsidR="0051624B">
        <w:t>S</w:t>
      </w:r>
      <w:r w:rsidR="00D139C1">
        <w:t>1</w:t>
      </w:r>
      <w:r w:rsidR="0051624B">
        <w:t>B</w:t>
      </w:r>
      <w:r>
        <w:t>).</w:t>
      </w:r>
    </w:p>
    <w:p w14:paraId="1A295BB2" w14:textId="77777777" w:rsidR="00E6323A" w:rsidRPr="002530ED" w:rsidRDefault="00E6323A" w:rsidP="00226F2F"/>
    <w:p w14:paraId="65A69E7F" w14:textId="566AFA62" w:rsidR="007B3E10" w:rsidRDefault="007B3E10" w:rsidP="00226F2F">
      <w:r>
        <w:t>Given these results, we performed a systematic analysis and comparison of the segmentations generated by the two assays</w:t>
      </w:r>
      <w:r w:rsidR="00D139C1">
        <w:t xml:space="preserve"> (Figure S2)</w:t>
      </w:r>
      <w:r>
        <w:t>. As a first pass, we were interested in the number of segments that were identified by both assays, as well as those which were unique to each assay. When using an extremely simplified definition of concordance as being any region in one assay where at least half of it overlapped with one or more regions from the other assay, we discovered that on average 98.1% of all segments from EXaCT-1 overlapped with those identified in EXaCT-2, and 95.8% of all EXaCT-2 segments overlapped with those identified with EXaCT-1 (see Methods for details on how SCNAs were identified for each assay). Note, however, that even when using a more stringent threshold by requiring 95% overlap between the segments, these proportions only drop to 87.8% and 89.0%, respectively. Note, that with this simplified definition of concordance, we do not consider inferred copy number for reasons that we will discuss further below.</w:t>
      </w:r>
    </w:p>
    <w:p w14:paraId="441B4E58" w14:textId="77777777" w:rsidR="007B3E10" w:rsidRDefault="007B3E10" w:rsidP="00226F2F">
      <w:pPr>
        <w:keepNext/>
      </w:pPr>
      <w:r w:rsidRPr="00A72993">
        <w:rPr>
          <w:noProof/>
        </w:rPr>
        <w:lastRenderedPageBreak/>
        <w:drawing>
          <wp:inline distT="0" distB="0" distL="0" distR="0" wp14:anchorId="3E6E6060" wp14:editId="2B740DF4">
            <wp:extent cx="5943600" cy="55118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5511800"/>
                    </a:xfrm>
                    <a:prstGeom prst="rect">
                      <a:avLst/>
                    </a:prstGeom>
                  </pic:spPr>
                </pic:pic>
              </a:graphicData>
            </a:graphic>
          </wp:inline>
        </w:drawing>
      </w:r>
    </w:p>
    <w:p w14:paraId="6699687F" w14:textId="10542DB1" w:rsidR="007B3E10" w:rsidRPr="00AE7BC4" w:rsidRDefault="007B3E10" w:rsidP="00226F2F">
      <w:pPr>
        <w:pStyle w:val="Caption"/>
      </w:pPr>
      <w:r w:rsidRPr="00D314CF">
        <w:rPr>
          <w:b/>
          <w:bCs/>
        </w:rPr>
        <w:t xml:space="preserve">Figure </w:t>
      </w:r>
      <w:r w:rsidR="00B21230">
        <w:rPr>
          <w:b/>
          <w:bCs/>
        </w:rPr>
        <w:t>S</w:t>
      </w:r>
      <w:r w:rsidRPr="00D314CF">
        <w:rPr>
          <w:b/>
          <w:bCs/>
        </w:rPr>
        <w:fldChar w:fldCharType="begin"/>
      </w:r>
      <w:r w:rsidRPr="00D314CF">
        <w:rPr>
          <w:b/>
          <w:bCs/>
        </w:rPr>
        <w:instrText xml:space="preserve"> SEQ Figure \* ARABIC </w:instrText>
      </w:r>
      <w:r w:rsidRPr="00D314CF">
        <w:rPr>
          <w:b/>
          <w:bCs/>
        </w:rPr>
        <w:fldChar w:fldCharType="separate"/>
      </w:r>
      <w:r w:rsidR="00D60612">
        <w:rPr>
          <w:b/>
          <w:bCs/>
          <w:noProof/>
        </w:rPr>
        <w:t>2</w:t>
      </w:r>
      <w:r w:rsidRPr="00D314CF">
        <w:rPr>
          <w:b/>
          <w:bCs/>
          <w:noProof/>
        </w:rPr>
        <w:fldChar w:fldCharType="end"/>
      </w:r>
      <w:r w:rsidRPr="00D314CF">
        <w:rPr>
          <w:b/>
          <w:bCs/>
        </w:rPr>
        <w:t>:</w:t>
      </w:r>
      <w:r w:rsidRPr="00AE7BC4">
        <w:t xml:space="preserve"> A) </w:t>
      </w:r>
      <w:r w:rsidRPr="00D314CF">
        <w:t>Schematic of the oversized regions from one assay, and the split</w:t>
      </w:r>
      <w:r w:rsidRPr="00AE7BC4">
        <w:t xml:space="preserve"> regions from the results of the other, where in a given region Assays 1 and 2 identify somatic copy number alterations and segments, but Assay 1 has generated a region that was decomposed into smaller regions by Assay 2. </w:t>
      </w:r>
      <w:r w:rsidRPr="00AE7BC4">
        <w:rPr>
          <w:b/>
          <w:bCs/>
        </w:rPr>
        <w:t>B)</w:t>
      </w:r>
      <w:r w:rsidRPr="00AE7BC4">
        <w:t xml:space="preserve"> A comparison of the total number of oversized regions for EXaCT-1 and EXaCT-2, along with the total number of discordant events (SCNA events that were identi</w:t>
      </w:r>
      <w:r>
        <w:t>fi</w:t>
      </w:r>
      <w:r w:rsidRPr="00AE7BC4">
        <w:t xml:space="preserve">ed in the results from one assay, but not identified in the results of the other assay). </w:t>
      </w:r>
      <w:r w:rsidRPr="00AE7BC4">
        <w:rPr>
          <w:b/>
          <w:bCs/>
        </w:rPr>
        <w:t>C)</w:t>
      </w:r>
      <w:r w:rsidRPr="00AE7BC4">
        <w:t xml:space="preserve"> Comparison of the sizes of the </w:t>
      </w:r>
      <w:r w:rsidRPr="00AE7BC4">
        <w:rPr>
          <w:b/>
          <w:bCs/>
        </w:rPr>
        <w:t>oversized</w:t>
      </w:r>
      <w:r w:rsidRPr="00AE7BC4">
        <w:t xml:space="preserve"> and </w:t>
      </w:r>
      <w:r w:rsidRPr="00AE7BC4">
        <w:rPr>
          <w:b/>
          <w:bCs/>
        </w:rPr>
        <w:t>split</w:t>
      </w:r>
      <w:r w:rsidRPr="00AE7BC4">
        <w:t xml:space="preserve"> regions from the EXaCT-1 and EXaCT-2 regions. In this panel, we demonstrate that the EXaCT-2 oversized and split regions are similar in total size, while the EXaCT-1 oversized and split regions are statistically larger and smaller than each other, as well as their respective classes from the EXaCT-2 assay, indicating that the segmentation from the EXaCT-1 assay is both under- and over-segmented, respectively, relative to the segmentation from the EXaCT-2 assay. </w:t>
      </w:r>
      <w:r w:rsidRPr="00AE7BC4">
        <w:rPr>
          <w:b/>
          <w:bCs/>
        </w:rPr>
        <w:t>D)</w:t>
      </w:r>
      <w:r w:rsidRPr="00AE7BC4">
        <w:t xml:space="preserve"> Comparison of the reciprocal overlapping coverage of the </w:t>
      </w:r>
      <w:r w:rsidRPr="00AE7BC4">
        <w:rPr>
          <w:b/>
          <w:bCs/>
        </w:rPr>
        <w:t>oversized</w:t>
      </w:r>
      <w:r w:rsidRPr="00AE7BC4">
        <w:t xml:space="preserve"> and </w:t>
      </w:r>
      <w:r w:rsidRPr="00AE7BC4">
        <w:rPr>
          <w:b/>
          <w:bCs/>
        </w:rPr>
        <w:t>split</w:t>
      </w:r>
      <w:r w:rsidRPr="00AE7BC4">
        <w:t xml:space="preserve"> regions from the 2 assays. In this figure, we demonstrate that the oversized regions from EXaCT-1 are nearly perfectly covered by their respective split regions from the EXaCT-2 assay. Similarly, we demonstrate that the EXaCT-2 oversized regions are nearly perfectly covered by their corresponding EXaCT-1 split regions, however, the </w:t>
      </w:r>
      <w:proofErr w:type="spellStart"/>
      <w:r w:rsidRPr="00AE7BC4">
        <w:t>coverse</w:t>
      </w:r>
      <w:proofErr w:type="spellEnd"/>
      <w:r w:rsidRPr="00AE7BC4">
        <w:t xml:space="preserve"> is not true. Instead, the EXaCT-1 split regions are significantly less well-aligned and less concordant than the results from EXaCT-2.</w:t>
      </w:r>
    </w:p>
    <w:p w14:paraId="264ACADF" w14:textId="77777777" w:rsidR="007B3E10" w:rsidRDefault="007B3E10" w:rsidP="00226F2F">
      <w:r>
        <w:t xml:space="preserve">Of these overlapping regions, we next sought to identify the number segments that were mutually and uniquely identified by both assays, meaning segments from one assay that mutually and uniquely overlapped segments from the other assay. We further limited these matches to those where the overlap between the 2 segments was at least 80% for at least one segment, and they had concordant copy number rations (both concordantly showed amplification or deletion, even if insignificantly).  Given this definition of concordance, the overall average number of matching segments was 23.5. However, with a standard deviation of 28.8, these results indicated a high variability in the number of matching segments.  </w:t>
      </w:r>
    </w:p>
    <w:p w14:paraId="1E5594B8" w14:textId="77777777" w:rsidR="007B3E10" w:rsidRDefault="007B3E10" w:rsidP="00226F2F">
      <w:r>
        <w:lastRenderedPageBreak/>
        <w:t>Upon investigation, it was determined that this high variability resulted from 2 samples that had almost no shared segments (n &lt;=1 for both). For both samples, the EXaCT-2 segmentation had nearly twice the number of segments from the EXaCT-1 segmentation, or higher, indicating that the EXaCT-1 assay led to an under-segmentation of these samples. Admittedly, some caution should be taken, given the small samples sizes, but even when these 2 samples were excluded, the average number of shared segments was 46.5, with a standard deviation of 19.1, which still represents a small number of segments for either assay for the remaining 2 samples.</w:t>
      </w:r>
    </w:p>
    <w:p w14:paraId="7FEBD87E" w14:textId="77777777" w:rsidR="00B21230" w:rsidRDefault="00B21230" w:rsidP="00226F2F"/>
    <w:p w14:paraId="54372A2A" w14:textId="7D55289B" w:rsidR="007B3E10" w:rsidRDefault="007B3E10" w:rsidP="00226F2F">
      <w:r>
        <w:t>Given these indications of under-segmentation from the analyses with EXaCT-1, we next sought to explore and quantify the degree of under-</w:t>
      </w:r>
      <w:r w:rsidRPr="00BA7308">
        <w:t xml:space="preserve"> </w:t>
      </w:r>
      <w:r>
        <w:t xml:space="preserve">or over-segmentation from either assay. To do this, we first introduce a couple of terms. We define an </w:t>
      </w:r>
      <w:proofErr w:type="spellStart"/>
      <w:r w:rsidRPr="007C3803">
        <w:rPr>
          <w:b/>
          <w:bCs/>
        </w:rPr>
        <w:t>undersegmented</w:t>
      </w:r>
      <w:proofErr w:type="spellEnd"/>
      <w:r w:rsidRPr="007C3803">
        <w:rPr>
          <w:b/>
          <w:bCs/>
        </w:rPr>
        <w:t xml:space="preserve"> </w:t>
      </w:r>
      <w:r>
        <w:rPr>
          <w:b/>
          <w:bCs/>
        </w:rPr>
        <w:t>segment</w:t>
      </w:r>
      <w:r>
        <w:t xml:space="preserve"> as any segment from one assay that overlaps with more than one segment from the other. Conversely, we define a </w:t>
      </w:r>
      <w:r w:rsidRPr="007C3803">
        <w:rPr>
          <w:b/>
          <w:bCs/>
        </w:rPr>
        <w:t>split segment</w:t>
      </w:r>
      <w:r>
        <w:t xml:space="preserve"> as a segment from one assay that, along with other adjacent split segments, overlaps with an </w:t>
      </w:r>
      <w:proofErr w:type="spellStart"/>
      <w:r>
        <w:t>undersegmented</w:t>
      </w:r>
      <w:proofErr w:type="spellEnd"/>
      <w:r>
        <w:t xml:space="preserve"> segment from the other assay (Figure </w:t>
      </w:r>
      <w:r w:rsidR="00773987">
        <w:t>S2</w:t>
      </w:r>
      <w:r>
        <w:t>A).</w:t>
      </w:r>
    </w:p>
    <w:p w14:paraId="68DFD169" w14:textId="77777777" w:rsidR="00B21230" w:rsidRDefault="00B21230" w:rsidP="00226F2F"/>
    <w:p w14:paraId="6359667F" w14:textId="57B50030" w:rsidR="007B3E10" w:rsidRDefault="007B3E10" w:rsidP="00226F2F">
      <w:r>
        <w:t xml:space="preserve">Overall, we observed that the number of </w:t>
      </w:r>
      <w:proofErr w:type="spellStart"/>
      <w:r>
        <w:t>undersegmented</w:t>
      </w:r>
      <w:proofErr w:type="spellEnd"/>
      <w:r>
        <w:t xml:space="preserve"> EXaCT-1 regions was significantly greater than the number of </w:t>
      </w:r>
      <w:proofErr w:type="spellStart"/>
      <w:r>
        <w:t>undersegmented</w:t>
      </w:r>
      <w:proofErr w:type="spellEnd"/>
      <w:r>
        <w:t xml:space="preserve"> EXaCT-2 regions (p=0.042). Likewise, the number of EXaCT-2 split regions was also significantly greater than the number of split regions (p=2.25e-8). This was also reflected in the average size of these regions (Figure </w:t>
      </w:r>
      <w:r w:rsidR="005E170C">
        <w:t>S2</w:t>
      </w:r>
      <w:r>
        <w:t xml:space="preserve">B), where the EXaCT-1 </w:t>
      </w:r>
      <w:proofErr w:type="spellStart"/>
      <w:r>
        <w:t>undersegmented</w:t>
      </w:r>
      <w:proofErr w:type="spellEnd"/>
      <w:r>
        <w:t xml:space="preserve"> regions were significantly larger than the EXaCT-2 </w:t>
      </w:r>
      <w:proofErr w:type="spellStart"/>
      <w:r>
        <w:t>undersegmented</w:t>
      </w:r>
      <w:proofErr w:type="spellEnd"/>
      <w:r>
        <w:t xml:space="preserve"> regions (p=4.51e-7), while there was no statistical difference in the size of the EXaCT-2 </w:t>
      </w:r>
      <w:proofErr w:type="spellStart"/>
      <w:r>
        <w:t>undersegmented</w:t>
      </w:r>
      <w:proofErr w:type="spellEnd"/>
      <w:r>
        <w:t xml:space="preserve"> and split regions (p=0.15). Ironically, we also noticed that the EXaCT-1 split regions were significantly smaller than any of the others (p=7.26e-4 when compared with </w:t>
      </w:r>
      <w:proofErr w:type="gramStart"/>
      <w:r>
        <w:t>all of</w:t>
      </w:r>
      <w:proofErr w:type="gramEnd"/>
      <w:r>
        <w:t xml:space="preserve"> the EXaCT-2 regions). We also were struck by the reciprocal overlap of the </w:t>
      </w:r>
      <w:proofErr w:type="spellStart"/>
      <w:r>
        <w:t>undersegmented</w:t>
      </w:r>
      <w:proofErr w:type="spellEnd"/>
      <w:r>
        <w:t xml:space="preserve"> and split regions, e.g. how much of an </w:t>
      </w:r>
      <w:proofErr w:type="spellStart"/>
      <w:r>
        <w:t>undersegmented</w:t>
      </w:r>
      <w:proofErr w:type="spellEnd"/>
      <w:r>
        <w:t xml:space="preserve"> EXaCT-1 region overlaps with split regions from the EXaCT-2 assay, and vice versa (Figure </w:t>
      </w:r>
      <w:r w:rsidR="00773987">
        <w:t>S2</w:t>
      </w:r>
      <w:r>
        <w:t xml:space="preserve">C). </w:t>
      </w:r>
      <w:proofErr w:type="gramStart"/>
      <w:r>
        <w:t>With the exception of</w:t>
      </w:r>
      <w:proofErr w:type="gramEnd"/>
      <w:r>
        <w:t xml:space="preserve"> the EXaCT-1 split regions, the median overlap was 0.99.</w:t>
      </w:r>
    </w:p>
    <w:p w14:paraId="77BDFCC9" w14:textId="77777777" w:rsidR="007B3E10" w:rsidRDefault="007B3E10" w:rsidP="00226F2F"/>
    <w:p w14:paraId="15E915CB" w14:textId="330E03AE" w:rsidR="007B3E10" w:rsidRDefault="007B3E10" w:rsidP="00226F2F">
      <w:r>
        <w:br w:type="page"/>
      </w:r>
    </w:p>
    <w:p w14:paraId="29F5B8A8" w14:textId="77777777" w:rsidR="007B3E10" w:rsidRDefault="007B3E10" w:rsidP="00226F2F"/>
    <w:p w14:paraId="49DDFCBB" w14:textId="4F4718F2" w:rsidR="5AACFE7C" w:rsidRDefault="5AACFE7C" w:rsidP="00226F2F">
      <w:pPr>
        <w:rPr>
          <w:rFonts w:ascii="Cambria" w:eastAsia="Cambria" w:hAnsi="Cambria" w:cs="Cambria"/>
        </w:rPr>
      </w:pPr>
    </w:p>
    <w:p w14:paraId="725E3E0C" w14:textId="77777777" w:rsidR="000F2B51" w:rsidRPr="005B3A1C" w:rsidRDefault="000F2B51" w:rsidP="00226F2F">
      <w:pPr>
        <w:pStyle w:val="Heading3"/>
        <w:rPr>
          <w:rFonts w:eastAsia="Calibri"/>
        </w:rPr>
      </w:pPr>
      <w:r>
        <w:rPr>
          <w:rFonts w:eastAsia="Calibri"/>
        </w:rPr>
        <w:t>Fusions</w:t>
      </w:r>
    </w:p>
    <w:p w14:paraId="6CF0F119" w14:textId="77777777" w:rsidR="000F2B51" w:rsidRDefault="000F2B51" w:rsidP="00226F2F">
      <w:pPr>
        <w:keepNext/>
      </w:pPr>
    </w:p>
    <w:p w14:paraId="474A9FCF" w14:textId="51FCDE82" w:rsidR="0027738E" w:rsidRDefault="0027738E" w:rsidP="00226F2F">
      <w:pPr>
        <w:keepNext/>
      </w:pPr>
      <w:r>
        <w:rPr>
          <w:rFonts w:ascii="Cambria" w:eastAsia="Cambria" w:hAnsi="Cambria" w:cs="Cambria"/>
          <w:noProof/>
        </w:rPr>
        <w:drawing>
          <wp:inline distT="0" distB="0" distL="0" distR="0" wp14:anchorId="64945D1B" wp14:editId="0F1D42A4">
            <wp:extent cx="3253740" cy="6507479"/>
            <wp:effectExtent l="0" t="0" r="3810" b="8255"/>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3269041" cy="6538082"/>
                    </a:xfrm>
                    <a:prstGeom prst="rect">
                      <a:avLst/>
                    </a:prstGeom>
                  </pic:spPr>
                </pic:pic>
              </a:graphicData>
            </a:graphic>
          </wp:inline>
        </w:drawing>
      </w:r>
    </w:p>
    <w:p w14:paraId="5FC1DDE0" w14:textId="3D27F928" w:rsidR="00B82651" w:rsidRPr="00780D73" w:rsidRDefault="0027738E" w:rsidP="00226F2F">
      <w:pPr>
        <w:pStyle w:val="Caption"/>
        <w:rPr>
          <w:rFonts w:ascii="Cambria" w:eastAsia="Cambria" w:hAnsi="Cambria" w:cs="Cambria"/>
        </w:rPr>
      </w:pPr>
      <w:r w:rsidRPr="000A7960">
        <w:rPr>
          <w:b/>
          <w:bCs/>
        </w:rPr>
        <w:t>Figure S</w:t>
      </w:r>
      <w:r w:rsidRPr="000A7960">
        <w:rPr>
          <w:b/>
          <w:bCs/>
        </w:rPr>
        <w:fldChar w:fldCharType="begin"/>
      </w:r>
      <w:r w:rsidRPr="000A7960">
        <w:rPr>
          <w:b/>
          <w:bCs/>
        </w:rPr>
        <w:instrText xml:space="preserve"> SEQ Figure \* ARABIC </w:instrText>
      </w:r>
      <w:r w:rsidRPr="000A7960">
        <w:rPr>
          <w:b/>
          <w:bCs/>
        </w:rPr>
        <w:fldChar w:fldCharType="separate"/>
      </w:r>
      <w:r w:rsidR="00D60612">
        <w:rPr>
          <w:b/>
          <w:bCs/>
          <w:noProof/>
        </w:rPr>
        <w:t>3</w:t>
      </w:r>
      <w:r w:rsidRPr="000A7960">
        <w:rPr>
          <w:b/>
          <w:bCs/>
        </w:rPr>
        <w:fldChar w:fldCharType="end"/>
      </w:r>
      <w:r w:rsidRPr="000A7960">
        <w:rPr>
          <w:b/>
          <w:bCs/>
        </w:rPr>
        <w:t xml:space="preserve">: </w:t>
      </w:r>
      <w:r w:rsidR="00A11855">
        <w:rPr>
          <w:b/>
          <w:bCs/>
        </w:rPr>
        <w:t xml:space="preserve">Broad </w:t>
      </w:r>
      <w:r w:rsidR="006C2667">
        <w:rPr>
          <w:b/>
          <w:bCs/>
        </w:rPr>
        <w:t xml:space="preserve">Spectrum of </w:t>
      </w:r>
      <w:r w:rsidRPr="000A7960">
        <w:rPr>
          <w:b/>
          <w:bCs/>
        </w:rPr>
        <w:t xml:space="preserve">Fusions </w:t>
      </w:r>
      <w:r w:rsidR="00A11855">
        <w:rPr>
          <w:b/>
          <w:bCs/>
        </w:rPr>
        <w:t xml:space="preserve">Targeted by </w:t>
      </w:r>
      <w:r w:rsidRPr="000A7960">
        <w:rPr>
          <w:b/>
          <w:bCs/>
        </w:rPr>
        <w:t>EXaCT−2</w:t>
      </w:r>
      <w:r w:rsidR="00780D73">
        <w:rPr>
          <w:b/>
          <w:bCs/>
        </w:rPr>
        <w:t xml:space="preserve">. </w:t>
      </w:r>
      <w:r w:rsidR="00A65F82">
        <w:t xml:space="preserve">We display the broad spectrum of known fusions that have at least one breakpoint in the non-coding regions that are targeted by the EXaCT-2 assay. </w:t>
      </w:r>
      <w:r w:rsidR="00AC204C">
        <w:t>As shown, fusions are separated by cancer type (using TCGA acronyms) and fusion class</w:t>
      </w:r>
      <w:r w:rsidR="001105FC">
        <w:t xml:space="preserve">, as defined by </w:t>
      </w:r>
      <w:r w:rsidR="00AC204C">
        <w:t xml:space="preserve">the source that provided the list of fusions. </w:t>
      </w:r>
      <w:r w:rsidR="00E35A15">
        <w:t>Th</w:t>
      </w:r>
      <w:r w:rsidR="00AC204C">
        <w:t>is</w:t>
      </w:r>
      <w:r w:rsidR="00E35A15">
        <w:t xml:space="preserve"> list of fusions </w:t>
      </w:r>
      <w:r w:rsidR="00AC204C">
        <w:t xml:space="preserve">was </w:t>
      </w:r>
      <w:r w:rsidR="00B4711B">
        <w:t>downloaded from</w:t>
      </w:r>
      <w:r w:rsidR="002E2250">
        <w:t xml:space="preserve"> </w:t>
      </w:r>
      <w:proofErr w:type="spellStart"/>
      <w:r w:rsidR="002E2250">
        <w:t>FusionGDB</w:t>
      </w:r>
      <w:proofErr w:type="spellEnd"/>
      <w:r w:rsidR="002E2250">
        <w:t xml:space="preserve"> v.2.0 </w:t>
      </w:r>
      <w:r w:rsidR="00E447DC">
        <w:fldChar w:fldCharType="begin"/>
      </w:r>
      <w:r w:rsidR="00E447DC">
        <w:instrText xml:space="preserve"> ADDIN ZOTERO_ITEM CSL_CITATION {"citationID":"RQIFgcj1","properties":{"formattedCitation":"\\super 1\\nosupersub{}","plainCitation":"1","noteIndex":0},"citationItems":[{"id":182,"uris":["http://zotero.org/users/local/wIF2fIsu/items/N9ZX4CMU"],"itemData":{"id":182,"type":"webpage","title":"FusionGDB 2.0: fusion gene annotation updates aided by deep learning | Nucleic Acids Research | Oxford Academic","URL":"https://academic.oup.com/nar/article/50/D1/D1221/6424754","accessed":{"date-parts":[["2024",9,3]]}}}],"schema":"https://github.com/citation-style-language/schema/raw/master/csl-citation.json"} </w:instrText>
      </w:r>
      <w:r w:rsidR="00E447DC">
        <w:fldChar w:fldCharType="separate"/>
      </w:r>
      <w:r w:rsidR="00E447DC" w:rsidRPr="00E447DC">
        <w:rPr>
          <w:rFonts w:ascii="Calibri" w:hAnsi="Calibri" w:cs="Calibri"/>
          <w:szCs w:val="24"/>
          <w:vertAlign w:val="superscript"/>
        </w:rPr>
        <w:t>1</w:t>
      </w:r>
      <w:r w:rsidR="00E447DC">
        <w:fldChar w:fldCharType="end"/>
      </w:r>
      <w:r w:rsidR="00E35A15">
        <w:t>, and</w:t>
      </w:r>
      <w:r w:rsidR="00E447DC">
        <w:t xml:space="preserve"> limited to those</w:t>
      </w:r>
      <w:r w:rsidR="0016711A">
        <w:t xml:space="preserve"> which have at least one (1) breakpoint that occurs in</w:t>
      </w:r>
      <w:r w:rsidR="00E35A15">
        <w:t xml:space="preserve"> the non-coding regions that are targeted by the EXaCT-2 assay. To prevent double-counting fusions</w:t>
      </w:r>
      <w:r w:rsidR="005D3E67">
        <w:t>, we define those</w:t>
      </w:r>
      <w:r w:rsidR="00E61240">
        <w:t xml:space="preserve"> that share the </w:t>
      </w:r>
      <w:r w:rsidR="005D3E67">
        <w:t xml:space="preserve">same breakpoints (same chromosomal coordinates for both breakpoint1 and breakpoint2) as being duplicate </w:t>
      </w:r>
      <w:proofErr w:type="gramStart"/>
      <w:r w:rsidR="005D3E67">
        <w:t>fusions, and</w:t>
      </w:r>
      <w:proofErr w:type="gramEnd"/>
      <w:r w:rsidR="005D3E67">
        <w:t xml:space="preserve"> limit the set to only including one representative of that fusion.</w:t>
      </w:r>
    </w:p>
    <w:p w14:paraId="06317BC8" w14:textId="77777777" w:rsidR="00B82651" w:rsidRDefault="00B82651" w:rsidP="00226F2F">
      <w:pPr>
        <w:rPr>
          <w:rFonts w:ascii="Cambria" w:eastAsia="Cambria" w:hAnsi="Cambria" w:cs="Cambria"/>
        </w:rPr>
      </w:pPr>
    </w:p>
    <w:p w14:paraId="4F8FA7F2" w14:textId="5B5EB500" w:rsidR="00321BB2" w:rsidRDefault="00321BB2" w:rsidP="00226F2F">
      <w:pPr>
        <w:pStyle w:val="Heading4"/>
        <w:jc w:val="left"/>
      </w:pPr>
      <w:bookmarkStart w:id="1" w:name="_Toc161332028"/>
      <w:r>
        <w:lastRenderedPageBreak/>
        <w:t>NTRK2-</w:t>
      </w:r>
      <w:r w:rsidR="003E5D0B">
        <w:t xml:space="preserve">KANK2 </w:t>
      </w:r>
      <w:r w:rsidR="00000C83">
        <w:t>Rearrangement</w:t>
      </w:r>
    </w:p>
    <w:p w14:paraId="7794783A" w14:textId="15D53139" w:rsidR="005925BA" w:rsidRPr="005925BA" w:rsidRDefault="005925BA" w:rsidP="00226F2F">
      <w:r>
        <w:t xml:space="preserve">As a negative control, we were also provided 2 samples that were identified to possess fusions involving </w:t>
      </w:r>
      <w:r w:rsidRPr="00EB05DC">
        <w:t>Neurotrophic Receptor Tyrosine Kinase 2</w:t>
      </w:r>
      <w:r>
        <w:t xml:space="preserve"> (NTRK2—KANK2 and NTRK2—AFAP1), as none of the genes involved in these fusions were included in the set of 66 genes that were targeted for fusion detection, as described above. While EXaCT-2 was unable to recover </w:t>
      </w:r>
      <w:proofErr w:type="gramStart"/>
      <w:r>
        <w:t>both of these</w:t>
      </w:r>
      <w:proofErr w:type="gramEnd"/>
      <w:r>
        <w:t xml:space="preserve"> fusions, it was able to recover the </w:t>
      </w:r>
      <w:r w:rsidRPr="004A4F78">
        <w:t>NTRK2-KANK2</w:t>
      </w:r>
      <w:r>
        <w:t xml:space="preserve"> fusion as the breakpoint for the KANK2 gene occurred in the exon padding region on the 3’ side of the fourth exon (Table S7 and Figure S2).</w:t>
      </w:r>
    </w:p>
    <w:p w14:paraId="3B51B11E" w14:textId="77777777" w:rsidR="00780D73" w:rsidRPr="00780D73" w:rsidRDefault="00780D73" w:rsidP="00226F2F"/>
    <w:p w14:paraId="7F98BEEE" w14:textId="77777777" w:rsidR="00780D73" w:rsidRDefault="00780D73" w:rsidP="00226F2F">
      <w:pPr>
        <w:keepNext/>
      </w:pPr>
      <w:r>
        <w:rPr>
          <w:noProof/>
        </w:rPr>
        <w:drawing>
          <wp:inline distT="0" distB="0" distL="0" distR="0" wp14:anchorId="6F0BA1E9" wp14:editId="4F9E03C6">
            <wp:extent cx="5820327" cy="2083435"/>
            <wp:effectExtent l="0" t="0" r="9525" b="0"/>
            <wp:docPr id="1527017567"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7017567" name="Graphic 3"/>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5820327" cy="2083435"/>
                    </a:xfrm>
                    <a:prstGeom prst="rect">
                      <a:avLst/>
                    </a:prstGeom>
                  </pic:spPr>
                </pic:pic>
              </a:graphicData>
            </a:graphic>
          </wp:inline>
        </w:drawing>
      </w:r>
    </w:p>
    <w:p w14:paraId="42D8F6F7" w14:textId="320B91F5" w:rsidR="003E5D0B" w:rsidRPr="00780D73" w:rsidRDefault="00780D73" w:rsidP="00226F2F">
      <w:pPr>
        <w:pStyle w:val="Caption"/>
      </w:pPr>
      <w:r w:rsidRPr="000A7960">
        <w:rPr>
          <w:b/>
          <w:bCs/>
        </w:rPr>
        <w:t xml:space="preserve">Figure </w:t>
      </w:r>
      <w:r w:rsidR="00B843E4">
        <w:rPr>
          <w:b/>
          <w:bCs/>
        </w:rPr>
        <w:t>S</w:t>
      </w:r>
      <w:r w:rsidRPr="000A7960">
        <w:rPr>
          <w:b/>
          <w:bCs/>
        </w:rPr>
        <w:fldChar w:fldCharType="begin"/>
      </w:r>
      <w:r w:rsidRPr="000A7960">
        <w:rPr>
          <w:b/>
          <w:bCs/>
        </w:rPr>
        <w:instrText xml:space="preserve"> SEQ Figure \* ARABIC </w:instrText>
      </w:r>
      <w:r w:rsidRPr="000A7960">
        <w:rPr>
          <w:b/>
          <w:bCs/>
        </w:rPr>
        <w:fldChar w:fldCharType="separate"/>
      </w:r>
      <w:r w:rsidR="00D60612">
        <w:rPr>
          <w:b/>
          <w:bCs/>
          <w:noProof/>
        </w:rPr>
        <w:t>4</w:t>
      </w:r>
      <w:r w:rsidRPr="000A7960">
        <w:rPr>
          <w:b/>
          <w:bCs/>
        </w:rPr>
        <w:fldChar w:fldCharType="end"/>
      </w:r>
      <w:r w:rsidRPr="000A7960">
        <w:rPr>
          <w:b/>
          <w:bCs/>
        </w:rPr>
        <w:t>: IGV representation of the NTRK2-KANK2 fusion that was discovered by EXaCT-2</w:t>
      </w:r>
      <w:r>
        <w:rPr>
          <w:b/>
          <w:bCs/>
        </w:rPr>
        <w:t>.</w:t>
      </w:r>
      <w:r>
        <w:t xml:space="preserve"> </w:t>
      </w:r>
      <w:proofErr w:type="gramStart"/>
      <w:r w:rsidR="00DE1733">
        <w:t>Similar to</w:t>
      </w:r>
      <w:proofErr w:type="gramEnd"/>
      <w:r w:rsidR="00DE1733">
        <w:t xml:space="preserve"> figure 5B, we show the reads supporting a putative fusion involving NTRK2 and KANK2</w:t>
      </w:r>
      <w:r w:rsidR="00CA045C">
        <w:t>. In the left-hand side of the figure, shown in green are the reads whose mate pairs align to chromosome 9</w:t>
      </w:r>
      <w:r w:rsidR="00A0771E">
        <w:t>, while</w:t>
      </w:r>
      <w:r w:rsidR="00CA045C">
        <w:t xml:space="preserve">, in the right-hand panel, reads whose mate pairs align to chromosome 9 are displayed in </w:t>
      </w:r>
      <w:r w:rsidR="006A3C80">
        <w:t>purple</w:t>
      </w:r>
      <w:r w:rsidR="00CA045C">
        <w:t>.</w:t>
      </w:r>
      <w:r w:rsidR="006A3C80">
        <w:t xml:space="preserve"> Note, that the reads in the NTRK2 region don’t align to an EXaCT-2 target region, nor an NTRK2 exon (regions shown along the bottom of the figure</w:t>
      </w:r>
      <w:r w:rsidR="000772A2">
        <w:t>); while, in contrast, the reads in the KANK2 region align to a</w:t>
      </w:r>
      <w:r w:rsidR="000C4708">
        <w:t xml:space="preserve"> KANK2</w:t>
      </w:r>
      <w:r w:rsidR="000772A2">
        <w:t xml:space="preserve"> exon boundary that is captured by </w:t>
      </w:r>
      <w:r w:rsidR="000C4708">
        <w:t>the EXaCT-2 assay.</w:t>
      </w:r>
    </w:p>
    <w:p w14:paraId="232B9E23" w14:textId="77777777" w:rsidR="00B122CA" w:rsidRDefault="00B122CA" w:rsidP="00226F2F"/>
    <w:p w14:paraId="0BABE036" w14:textId="77777777" w:rsidR="00B122CA" w:rsidRDefault="00B122CA" w:rsidP="00226F2F"/>
    <w:p w14:paraId="2E7EB10B" w14:textId="77777777" w:rsidR="00B122CA" w:rsidRPr="00EE1B34" w:rsidRDefault="00B122CA" w:rsidP="00226F2F">
      <w:pPr>
        <w:pStyle w:val="Heading3"/>
      </w:pPr>
      <w:r w:rsidRPr="00CB42B2">
        <w:t>Sensitivity of EXaCT-2</w:t>
      </w:r>
      <w:r w:rsidRPr="00EE1B34">
        <w:t xml:space="preserve"> in detecting immunoglobulin rearrangement</w:t>
      </w:r>
    </w:p>
    <w:p w14:paraId="4D5ABB9A" w14:textId="77777777" w:rsidR="00B122CA" w:rsidRPr="007C3803" w:rsidRDefault="00B122CA" w:rsidP="00226F2F">
      <w:pPr>
        <w:shd w:val="clear" w:color="auto" w:fill="FFFFFF" w:themeFill="background1"/>
      </w:pPr>
      <w:r w:rsidRPr="273D39DD">
        <w:rPr>
          <w:rFonts w:ascii="Times New Roman" w:eastAsia="Times New Roman" w:hAnsi="Times New Roman" w:cs="Times New Roman"/>
          <w:color w:val="0C0C0C"/>
        </w:rPr>
        <w:t xml:space="preserve"> </w:t>
      </w:r>
    </w:p>
    <w:p w14:paraId="2CDBDD29" w14:textId="77777777" w:rsidR="00B122CA" w:rsidRPr="00442656" w:rsidRDefault="00B122CA" w:rsidP="00226F2F">
      <w:r w:rsidRPr="003C4E02">
        <w:t xml:space="preserve">To determine the EXaCT-2 sensitivity to detect clonal rearrangements we used the HBL-1 cell line </w:t>
      </w:r>
      <w:r>
        <w:t>at</w:t>
      </w:r>
      <w:r w:rsidRPr="00442656">
        <w:t xml:space="preserve"> decreasing dilution levels (10ng, 5ng, and 1ng). We focused our analysis upon all three rearrangements observed in the native HBL-1 cell line. As illustrated in </w:t>
      </w:r>
      <w:r>
        <w:t>F</w:t>
      </w:r>
      <w:r w:rsidRPr="003C4E02">
        <w:t>igure</w:t>
      </w:r>
      <w:r>
        <w:t xml:space="preserve"> 7</w:t>
      </w:r>
      <w:r w:rsidRPr="00442656">
        <w:t xml:space="preserve">, the presence of IGLV2-5 and IGLJ3 clonotypes with 10ng the IGLV2-5/IGLJ3 clonotype was observed at 55.9%, but dropped to 23.3% in the 5ng sample, and 3.3% in the 1ng sample, confirming the capacity of the EXaCT-2 assay to detect clonotypes in of both high and low concentrations. Furthermore, clonotype rearrangement, IGKV3-20 and IGKJ3, was also observed at decreasing read frequencies; HBL-1 10ng (22.9%), HBL-1 5ng (10.8%) and HBL-1 1ng (2.9%). Lastly, the heavy chain rearrangement, IGHV4-34, IGHD4-17 and IGHJ4 was detected only at 10 ng (17.6%) and HBL-1 5ng (5.9%). This rearrangement was not predominant at 1ng, yet it was detected among other rearrangements in the patient. This indicates that the assay is sensitive, and once a clonal rearrangement is detected, it can be followed up as a biomarker.  </w:t>
      </w:r>
    </w:p>
    <w:p w14:paraId="09C03C0C" w14:textId="77777777" w:rsidR="00B122CA" w:rsidRDefault="00B122CA" w:rsidP="00226F2F">
      <w:pPr>
        <w:spacing w:line="259" w:lineRule="auto"/>
        <w:rPr>
          <w:rFonts w:ascii="Helvetica" w:hAnsi="Helvetica" w:cs="Helvetica"/>
          <w:color w:val="000000" w:themeColor="text1"/>
        </w:rPr>
      </w:pPr>
    </w:p>
    <w:p w14:paraId="2ECC5D25" w14:textId="77777777" w:rsidR="00B122CA" w:rsidRPr="007C3803" w:rsidRDefault="00B122CA" w:rsidP="00226F2F">
      <w:pPr>
        <w:spacing w:line="259" w:lineRule="auto"/>
        <w:rPr>
          <w:rFonts w:ascii="Helvetica" w:hAnsi="Helvetica" w:cs="Helvetica"/>
          <w:color w:val="000000" w:themeColor="text1"/>
        </w:rPr>
      </w:pPr>
      <w:r w:rsidRPr="00B85F77">
        <w:rPr>
          <w:rFonts w:ascii="Helvetica" w:hAnsi="Helvetica" w:cs="Helvetica"/>
          <w:noProof/>
          <w:color w:val="000000" w:themeColor="text1"/>
        </w:rPr>
        <w:lastRenderedPageBreak/>
        <w:drawing>
          <wp:inline distT="0" distB="0" distL="0" distR="0" wp14:anchorId="7F39DF07" wp14:editId="6A2E0AF3">
            <wp:extent cx="4385733" cy="162356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412087" cy="1633321"/>
                    </a:xfrm>
                    <a:prstGeom prst="rect">
                      <a:avLst/>
                    </a:prstGeom>
                  </pic:spPr>
                </pic:pic>
              </a:graphicData>
            </a:graphic>
          </wp:inline>
        </w:drawing>
      </w:r>
    </w:p>
    <w:p w14:paraId="711E2489" w14:textId="77777777" w:rsidR="00B122CA" w:rsidRDefault="00B122CA" w:rsidP="00226F2F">
      <w:pPr>
        <w:rPr>
          <w:b/>
          <w:bCs/>
          <w:color w:val="2F5496" w:themeColor="accent1" w:themeShade="BF"/>
        </w:rPr>
      </w:pPr>
      <w:r>
        <w:rPr>
          <w:noProof/>
        </w:rPr>
        <mc:AlternateContent>
          <mc:Choice Requires="wps">
            <w:drawing>
              <wp:inline distT="0" distB="0" distL="114300" distR="114300" wp14:anchorId="0366EC6A" wp14:editId="12693D5D">
                <wp:extent cx="6846073" cy="638175"/>
                <wp:effectExtent l="0" t="0" r="0" b="635"/>
                <wp:docPr id="1772871901" name="Text Box 1772871901"/>
                <wp:cNvGraphicFramePr/>
                <a:graphic xmlns:a="http://schemas.openxmlformats.org/drawingml/2006/main">
                  <a:graphicData uri="http://schemas.microsoft.com/office/word/2010/wordprocessingShape">
                    <wps:wsp>
                      <wps:cNvSpPr txBox="1"/>
                      <wps:spPr>
                        <a:xfrm>
                          <a:off x="0" y="0"/>
                          <a:ext cx="6846073" cy="638175"/>
                        </a:xfrm>
                        <a:prstGeom prst="rect">
                          <a:avLst/>
                        </a:prstGeom>
                        <a:solidFill>
                          <a:prstClr val="white"/>
                        </a:solidFill>
                        <a:ln>
                          <a:noFill/>
                        </a:ln>
                      </wps:spPr>
                      <wps:txbx>
                        <w:txbxContent>
                          <w:p w14:paraId="449BF7D0" w14:textId="43F74C81" w:rsidR="00B122CA" w:rsidRPr="007C3803" w:rsidRDefault="00B122CA" w:rsidP="00B122CA">
                            <w:pPr>
                              <w:pStyle w:val="Caption"/>
                            </w:pPr>
                            <w:r w:rsidRPr="00B26D3F">
                              <w:rPr>
                                <w:b/>
                                <w:bCs/>
                              </w:rPr>
                              <w:t xml:space="preserve">Figure </w:t>
                            </w:r>
                            <w:r w:rsidR="00B26D3F" w:rsidRPr="00B26D3F">
                              <w:rPr>
                                <w:b/>
                                <w:bCs/>
                              </w:rPr>
                              <w:t>S</w:t>
                            </w:r>
                            <w:r w:rsidRPr="00B26D3F">
                              <w:rPr>
                                <w:b/>
                                <w:bCs/>
                              </w:rPr>
                              <w:fldChar w:fldCharType="begin"/>
                            </w:r>
                            <w:r w:rsidRPr="00B26D3F">
                              <w:rPr>
                                <w:b/>
                                <w:bCs/>
                              </w:rPr>
                              <w:instrText xml:space="preserve"> SEQ Figure \* ARABIC </w:instrText>
                            </w:r>
                            <w:r w:rsidRPr="00B26D3F">
                              <w:rPr>
                                <w:b/>
                                <w:bCs/>
                              </w:rPr>
                              <w:fldChar w:fldCharType="separate"/>
                            </w:r>
                            <w:r w:rsidR="00D60612">
                              <w:rPr>
                                <w:b/>
                                <w:bCs/>
                                <w:noProof/>
                              </w:rPr>
                              <w:t>5</w:t>
                            </w:r>
                            <w:r w:rsidRPr="00B26D3F">
                              <w:rPr>
                                <w:b/>
                                <w:bCs/>
                                <w:noProof/>
                              </w:rPr>
                              <w:fldChar w:fldCharType="end"/>
                            </w:r>
                            <w:r w:rsidRPr="00B26D3F">
                              <w:rPr>
                                <w:b/>
                                <w:bCs/>
                              </w:rPr>
                              <w:t xml:space="preserve">. Limit of detection of </w:t>
                            </w:r>
                            <w:r w:rsidRPr="00000C83">
                              <w:rPr>
                                <w:b/>
                                <w:bCs/>
                              </w:rPr>
                              <w:t>immunoglobulin rearrangement</w:t>
                            </w:r>
                            <w:r w:rsidRPr="00B26D3F">
                              <w:rPr>
                                <w:rFonts w:cs="Helvetica"/>
                                <w:b/>
                                <w:bCs/>
                                <w:color w:val="000000"/>
                              </w:rPr>
                              <w:t>.</w:t>
                            </w:r>
                            <w:r>
                              <w:rPr>
                                <w:rFonts w:cs="Helvetica"/>
                                <w:b/>
                                <w:color w:val="000000"/>
                              </w:rPr>
                              <w:t xml:space="preserve"> </w:t>
                            </w:r>
                            <w:r w:rsidRPr="007233E9">
                              <w:t>All the highlighted rearrangements in the box have a reads frequency of &gt;</w:t>
                            </w:r>
                            <w:r>
                              <w:t>= 5</w:t>
                            </w:r>
                            <w:r w:rsidRPr="007233E9">
                              <w:t>%.</w:t>
                            </w:r>
                            <w:r>
                              <w:t xml:space="preserve"> </w:t>
                            </w:r>
                            <w:r w:rsidRPr="236852EF">
                              <w:t>The color scheme follows the pattern depicted in Fig</w:t>
                            </w:r>
                            <w:r>
                              <w:t>ure 6</w:t>
                            </w:r>
                            <w:r w:rsidRPr="236852EF">
                              <w:t xml:space="preserve">, where red indicates the highest frequency, followed by orange and then yellow. </w:t>
                            </w:r>
                            <w:r w:rsidRPr="00EC5C52">
                              <w:t xml:space="preserve">White represents the lowest frequency, while gray signifies a read frequency of 0.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inline>
            </w:drawing>
          </mc:Choice>
          <mc:Fallback>
            <w:pict>
              <v:shapetype w14:anchorId="0366EC6A" id="_x0000_t202" coordsize="21600,21600" o:spt="202" path="m,l,21600r21600,l21600,xe">
                <v:stroke joinstyle="miter"/>
                <v:path gradientshapeok="t" o:connecttype="rect"/>
              </v:shapetype>
              <v:shape id="Text Box 1772871901" o:spid="_x0000_s1026" type="#_x0000_t202" style="width:539.05pt;height:5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" stroked="f">
                <v:textbox style="mso-fit-shape-to-text:t" inset="0,0,0,0">
                  <w:txbxContent>
                    <w:p w14:paraId="449BF7D0" w14:textId="43F74C81" w:rsidR="00B122CA" w:rsidRPr="007C3803" w:rsidRDefault="00B122CA" w:rsidP="00B122CA">
                      <w:pPr>
                        <w:pStyle w:val="Caption"/>
                      </w:pPr>
                      <w:r w:rsidRPr="00B26D3F">
                        <w:rPr>
                          <w:b/>
                          <w:bCs/>
                        </w:rPr>
                        <w:t xml:space="preserve">Figure </w:t>
                      </w:r>
                      <w:r w:rsidR="00B26D3F" w:rsidRPr="00B26D3F">
                        <w:rPr>
                          <w:b/>
                          <w:bCs/>
                        </w:rPr>
                        <w:t>S</w:t>
                      </w:r>
                      <w:r w:rsidRPr="00B26D3F">
                        <w:rPr>
                          <w:b/>
                          <w:bCs/>
                        </w:rPr>
                        <w:fldChar w:fldCharType="begin"/>
                      </w:r>
                      <w:r w:rsidRPr="00B26D3F">
                        <w:rPr>
                          <w:b/>
                          <w:bCs/>
                        </w:rPr>
                        <w:instrText xml:space="preserve"> SEQ Figure \* ARABIC </w:instrText>
                      </w:r>
                      <w:r w:rsidRPr="00B26D3F">
                        <w:rPr>
                          <w:b/>
                          <w:bCs/>
                        </w:rPr>
                        <w:fldChar w:fldCharType="separate"/>
                      </w:r>
                      <w:r w:rsidR="00D60612">
                        <w:rPr>
                          <w:b/>
                          <w:bCs/>
                          <w:noProof/>
                        </w:rPr>
                        <w:t>5</w:t>
                      </w:r>
                      <w:r w:rsidRPr="00B26D3F">
                        <w:rPr>
                          <w:b/>
                          <w:bCs/>
                          <w:noProof/>
                        </w:rPr>
                        <w:fldChar w:fldCharType="end"/>
                      </w:r>
                      <w:r w:rsidRPr="00B26D3F">
                        <w:rPr>
                          <w:b/>
                          <w:bCs/>
                        </w:rPr>
                        <w:t xml:space="preserve">. Limit of detection of </w:t>
                      </w:r>
                      <w:r w:rsidRPr="00000C83">
                        <w:rPr>
                          <w:b/>
                          <w:bCs/>
                        </w:rPr>
                        <w:t>immunoglobulin rearrangement</w:t>
                      </w:r>
                      <w:r w:rsidRPr="00B26D3F">
                        <w:rPr>
                          <w:rFonts w:cs="Helvetica"/>
                          <w:b/>
                          <w:bCs/>
                          <w:color w:val="000000"/>
                        </w:rPr>
                        <w:t>.</w:t>
                      </w:r>
                      <w:r>
                        <w:rPr>
                          <w:rFonts w:cs="Helvetica"/>
                          <w:b/>
                          <w:color w:val="000000"/>
                        </w:rPr>
                        <w:t xml:space="preserve"> </w:t>
                      </w:r>
                      <w:r w:rsidRPr="007233E9">
                        <w:t>All the highlighted rearrangements in the box have a reads frequency of &gt;</w:t>
                      </w:r>
                      <w:r>
                        <w:t>= 5</w:t>
                      </w:r>
                      <w:r w:rsidRPr="007233E9">
                        <w:t>%.</w:t>
                      </w:r>
                      <w:r>
                        <w:t xml:space="preserve"> </w:t>
                      </w:r>
                      <w:r w:rsidRPr="236852EF">
                        <w:t>The color scheme follows the pattern depicted in Fig</w:t>
                      </w:r>
                      <w:r>
                        <w:t>ure 6</w:t>
                      </w:r>
                      <w:r w:rsidRPr="236852EF">
                        <w:t xml:space="preserve">, where red indicates the highest frequency, followed by orange and then yellow. </w:t>
                      </w:r>
                      <w:r w:rsidRPr="00EC5C52">
                        <w:t xml:space="preserve">White represents the lowest frequency, while gray signifies a read frequency of 0. </w:t>
                      </w:r>
                    </w:p>
                  </w:txbxContent>
                </v:textbox>
                <w10:anchorlock/>
              </v:shape>
            </w:pict>
          </mc:Fallback>
        </mc:AlternateContent>
      </w:r>
      <w:r>
        <w:t xml:space="preserve"> </w:t>
      </w:r>
    </w:p>
    <w:p w14:paraId="2C6CA2A4" w14:textId="1ED6F563" w:rsidR="00B122CA" w:rsidRPr="00631432" w:rsidRDefault="00FE72BC" w:rsidP="00226F2F">
      <w:pPr>
        <w:pStyle w:val="Heading3"/>
      </w:pPr>
      <w:r>
        <w:t xml:space="preserve">Discussion of </w:t>
      </w:r>
      <w:r w:rsidR="009B2638">
        <w:t xml:space="preserve">detection of </w:t>
      </w:r>
      <w:r w:rsidR="002D6C10">
        <w:t>carcinogenic</w:t>
      </w:r>
      <w:r w:rsidR="009B2638">
        <w:t xml:space="preserve"> </w:t>
      </w:r>
      <w:r w:rsidR="00D671F3">
        <w:t>viruses by EXaCT-2</w:t>
      </w:r>
    </w:p>
    <w:p w14:paraId="5EA8459E" w14:textId="0D087E5F" w:rsidR="00B122CA" w:rsidRDefault="00B122CA" w:rsidP="00226F2F">
      <w:r>
        <w:t xml:space="preserve">As </w:t>
      </w:r>
      <w:r w:rsidR="00667AA8">
        <w:t>described in the main text</w:t>
      </w:r>
      <w:r>
        <w:t>, probes for several viruses that are involved in</w:t>
      </w:r>
      <w:r w:rsidRPr="009650FB">
        <w:rPr>
          <w:noProof/>
        </w:rPr>
        <w:t xml:space="preserve"> </w:t>
      </w:r>
      <w:r>
        <w:t>liquid tumors</w:t>
      </w:r>
      <w:r w:rsidR="00B311C9">
        <w:t xml:space="preserve"> (EBV, HTLV, KSH and </w:t>
      </w:r>
      <w:proofErr w:type="spellStart"/>
      <w:proofErr w:type="gramStart"/>
      <w:r w:rsidR="00B311C9">
        <w:t>MC</w:t>
      </w:r>
      <w:r w:rsidR="00426197">
        <w:t>PyV</w:t>
      </w:r>
      <w:proofErr w:type="spellEnd"/>
      <w:r w:rsidR="00426197">
        <w:t xml:space="preserve"> )</w:t>
      </w:r>
      <w:proofErr w:type="gramEnd"/>
      <w:r>
        <w:t xml:space="preserve"> were included in the assay design</w:t>
      </w:r>
      <w:r w:rsidR="00252984">
        <w:t>, and their capacity to detect these was</w:t>
      </w:r>
      <w:r w:rsidR="0059434A">
        <w:t xml:space="preserve"> tested with</w:t>
      </w:r>
      <w:r>
        <w:t xml:space="preserve"> 14 clinical samples (Table </w:t>
      </w:r>
      <w:r w:rsidR="00704F66">
        <w:t>S10</w:t>
      </w:r>
      <w:r>
        <w:t xml:space="preserve">). </w:t>
      </w:r>
      <w:proofErr w:type="gramStart"/>
      <w:r>
        <w:t>With the exception of</w:t>
      </w:r>
      <w:proofErr w:type="gramEnd"/>
      <w:r>
        <w:t xml:space="preserve"> the </w:t>
      </w:r>
      <w:proofErr w:type="spellStart"/>
      <w:r>
        <w:t>MCPyV</w:t>
      </w:r>
      <w:proofErr w:type="spellEnd"/>
      <w:r>
        <w:t xml:space="preserve"> specimens, all other samples were initially identified using qualitative PCR. </w:t>
      </w:r>
    </w:p>
    <w:p w14:paraId="7883A8A5" w14:textId="77777777" w:rsidR="00B122CA" w:rsidRDefault="00B122CA" w:rsidP="00226F2F"/>
    <w:p w14:paraId="6DE9B182" w14:textId="02EB9556" w:rsidR="00B122CA" w:rsidRDefault="00B122CA" w:rsidP="00226F2F">
      <w:r>
        <w:t xml:space="preserve">In contrast, the </w:t>
      </w:r>
      <w:proofErr w:type="spellStart"/>
      <w:r>
        <w:t>MCPyV</w:t>
      </w:r>
      <w:proofErr w:type="spellEnd"/>
      <w:r>
        <w:t xml:space="preserve"> samples were from specimens with a diagnosis of Merkel cell carcinoma (MCC) that hadn’t been previously tested by other molecular assays prior to our analysis with the EXaCT-2 assay. It is well-established that MCC, a rare, aggressive skin cancer that is driven by either ultraviolet-induced DNA damage or </w:t>
      </w:r>
      <w:proofErr w:type="spellStart"/>
      <w:r>
        <w:t>MCPyV</w:t>
      </w:r>
      <w:proofErr w:type="spellEnd"/>
      <w:r>
        <w:t xml:space="preserve"> infection </w:t>
      </w:r>
      <w:r>
        <w:fldChar w:fldCharType="begin"/>
      </w:r>
      <w:r w:rsidR="00686BC2">
        <w:instrText xml:space="preserve"> ADDIN ZOTERO_ITEM CSL_CITATION {"citationID":"xyUjMxn5","properties":{"formattedCitation":"\\super 2,3\\nosupersub{}","plainCitation":"2,3","noteIndex":0},"citationItems":[{"id":144,"uris":["http://zotero.org/users/local/wIF2fIsu/items/JZX5BZHN"],"itemData":{"id":144,"type":"article-journal","abstract":"Merkel cell carcinoma (MCC) is a rare and aggressive skin cancer associated with advanced age and immunosuppression. Over the past decade, an association has been discovered between MCC and either integration of the Merkel cell polyomavirus, which likely drives tumorigenesis, or somatic mutations owing to ultraviolet-induced DNA damage. Both virus-positive and virus-negative MCCs are immunogenic, and inhibition of the programmed cell death protein 1 (PD-1)–programmed cell death 1 ligand 1 (PD-L1) immune checkpoint has proved to be highly effective in treating patients with metastatic MCC; however, not all patients have a durable response to immunotherapy. Despite these rapid advances in the understanding and management of patients with MCC, many basic, translational and clinical research questions remain unanswered. In March 2018, an International Workshop on Merkel Cell Carcinoma Research was held at the US National Cancer Institute, at which academic, government and industry experts met to identify the highest-priority research questions. Here, we review the biology and treatment of MCC and report the consensus-based recommendations agreed upon during the workshop.","container-title":"Nature Reviews Clinical Oncology","DOI":"10.1038/s41571-018-0103-2","ISSN":"1759-4782","issue":"12","journalAbbreviation":"Nat Rev Clin Oncol","language":"en","license":"2018 Springer Nature Limited","note":"publisher: Nature Publishing Group","page":"763-776","source":"www-nature-com.ezproxy.med.cornell.edu","title":"The biology and treatment of Merkel cell carcinoma: current understanding and research priorities","title-short":"The biology and treatment of Merkel cell carcinoma","volume":"15","author":[{"family":"Harms","given":"Paul W."},{"family":"Harms","given":"Kelly L."},{"family":"Moore","given":"Patrick S."},{"family":"DeCaprio","given":"James A."},{"family":"Nghiem","given":"Paul"},{"family":"Wong","given":"Michael K. K."},{"family":"Brownell","given":"Isaac"}],"issued":{"date-parts":[["2018",12]]}}},{"id":141,"uris":["http://zotero.org/users/local/wIF2fIsu/items/8HL8LCPE"],"itemData":{"id":141,"type":"article-journal","abstract":"Simple Summary\nMerkel cell carcinoma (MCC) is a highly aggressive skin cancer and the second cause of skin cancer death after melanoma. MCC is an immunogenic tumor. In recent years, the use of immunotherapy has changed the treatment landscape for patients with metastatic MCC, significantly improving the prognosis. However, the five-year disease-specific survival remains around 64%, underlying the unmet need for novel treatments. This review recapitulates current knowledge about MCC pathogenesis, diagnosis, and management. Emphasis is given to the use of immunotherapy and targeted therapies as well as to future therapeutic perspectives in the neoadjuvant setting and for locally advanced and metastatic MCC.\n\nAbstract\nMCC is a rare but highly aggressive skin cancer. The identification of the driving role of Merkel cell polyomavirus (MCPyV) and ultraviolet-induced DNA damage in the oncogenesis of MCC allowed a better understanding of its biological behavior. The presence of MCPyV-specific T cells and lymphocytes exhibiting an ‘exhausted’ phenotype in the tumor microenvironment along with the high prevalence of immunosuppression among affected patients are strong indicators of the immunogenic properties of MCC. The use of immunotherapy has revolutionized the management of patients with advanced MCC with anti-PD-1/PD L1 blockade, providing objective responses in as much as 50–70% of cases when used in first-line treatment. However, acquired resistance or contraindication to immune checkpoint inhibitors can be an issue for a non-negligible number of patients and novel therapeutic strategies are warranted. This review will focus on current management guidelines for MCC and future therapeutic perspectives for advanced disease with an emphasis on molecular pathways, targeted therapies, and immune-based strategies. These new therapies alone or in combination with anti-PD-1/PD-L1 inhibitors could enhance immune responses against tumor cells and overcome acquired resistance to immunotherapy.","container-title":"Cancers","DOI":"10.3390/cancers15010103","ISSN":"2072-6694","issue":"1","journalAbbreviation":"Cancers (Basel)","note":"PMID: 36612102\nPMCID: PMC9817518","page":"103","source":"PubMed Central","title":"Merkel Cell Carcinoma—Update on Diagnosis, Management and Future Perspectives","volume":"15","author":[{"family":"Zaggana","given":"Eleni"},{"family":"Konstantinou","given":"Maria Polina"},{"family":"Krasagakis","given":"Gregor Herrmann"},{"family":"Bree","given":"Eelco","non-dropping-particle":"de"},{"family":"Kalpakis","given":"Konstantinos"},{"family":"Mavroudis","given":"Dimitrios"},{"family":"Krasagakis","given":"Konstantinos"}],"issued":{"date-parts":[["2022",12,23]]}}}],"schema":"https://github.com/citation-style-language/schema/raw/master/csl-citation.json"} </w:instrText>
      </w:r>
      <w:r>
        <w:fldChar w:fldCharType="separate"/>
      </w:r>
      <w:r w:rsidR="00686BC2" w:rsidRPr="00686BC2">
        <w:rPr>
          <w:rFonts w:ascii="Cambria" w:hAnsi="Cambria" w:cs="Times New Roman"/>
          <w:vertAlign w:val="superscript"/>
        </w:rPr>
        <w:t>2,3</w:t>
      </w:r>
      <w:r>
        <w:fldChar w:fldCharType="end"/>
      </w:r>
      <w:r>
        <w:t xml:space="preserve">. As such, EXaCT-2’s capacity to detect </w:t>
      </w:r>
      <w:proofErr w:type="spellStart"/>
      <w:r>
        <w:t>MCPyV</w:t>
      </w:r>
      <w:proofErr w:type="spellEnd"/>
      <w:r>
        <w:t xml:space="preserve"> can and will help inform the treatment options chosen by clinicians for their patients, which is critical as it has been shown that </w:t>
      </w:r>
      <w:proofErr w:type="spellStart"/>
      <w:r>
        <w:t>MCPyV</w:t>
      </w:r>
      <w:proofErr w:type="spellEnd"/>
      <w:r>
        <w:t xml:space="preserve">-negative patients are 40% more likely to experience a recurrence </w:t>
      </w:r>
      <w:r>
        <w:fldChar w:fldCharType="begin"/>
      </w:r>
      <w:r w:rsidR="00686BC2">
        <w:instrText xml:space="preserve"> ADDIN ZOTERO_ITEM CSL_CITATION {"citationID":"NK8f6Ei9","properties":{"formattedCitation":"\\super 4\\nosupersub{}","plainCitation":"4","noteIndex":0},"citationItems":[{"id":146,"uris":["http://zotero.org/users/local/wIF2fIsu/items/ATZLZZI4"],"itemData":{"id":146,"type":"article-journal","abstract":"BACKGROUND: Merkel cell carcinoma (MCC) is an aggressive skin cancer with a recurrence rate of &gt;40%. Of the 2000 MCC cases per year in the United States, most are caused by the Merkel cell polyomavirus (MCPyV). Antibodies to MCPyV oncoprotein (T-antigens) have been correlated with MCC tumor burden. The present study assesses the clinical utility of MCPyV-oncoprotein antibody titers for MCC prognostication and surveillance.\nMETHODS: MCPyV-oncoprotein antibody detection was optimized in a clinical laboratory. A cohort of 219 patients with newly diagnosed MCC were followed prospectively (median follow-up, 1.9 years). Among the seropositive patients, antibody titer and disease status were serially tracked.\nRESULTS: Antibodies to MCPyV oncoproteins were rare among healthy individuals (1%) but were present in most patients with MCC (114 of 219 patients [52%]; P &lt; .01). Seropositivity at diagnosis independently predicted decreased recurrence risk (hazard ratio, 0.58; P = .04) in multivariate analyses adjusted for age, sex, stage, and immunosuppression. After initial treatment, seropositive patients whose disease did not recur had rapidly falling titers that became negative by a median of 8.4 months. Among seropositive patients who underwent serial evaluation (71 patients; 282 time points), an increasing oncoprotein titer had a positive predictive value of 66% for clinically evident recurrence, whereas a decreasing titer had a negative predictive value of 97%.\nCONCLUSIONS: Determination of oncoprotein antibody titer assists in the clinical management of patients with newly diagnosed MCC by stratifying them into a higher risk seronegative cohort, in which radiologic imaging may play a more prominent role, and into a lower risk seropositive cohort, in which disease status can be tracked in part by oncoprotein antibody titer. Cancer 2017;123:1464-1474. © 2016 American Cancer Society.","container-title":"Cancer","DOI":"10.1002/cncr.30475","ISSN":"1097-0142","issue":"8","journalAbbreviation":"Cancer","language":"eng","note":"PMID: 27925665\nPMCID: PMC5384867","page":"1464-1474","source":"PubMed","title":"Viral oncoprotein antibodies as a marker for recurrence of Merkel cell carcinoma: A prospective validation study","title-short":"Viral oncoprotein antibodies as a marker for recurrence of Merkel cell carcinoma","volume":"123","author":[{"family":"Paulson","given":"Kelly G."},{"family":"Lewis","given":"Christopher W."},{"family":"Redman","given":"Mary W."},{"family":"Simonson","given":"William T."},{"family":"Lisberg","given":"Aaron"},{"family":"Ritter","given":"Deborah"},{"family":"Morishima","given":"Chihiro"},{"family":"Hutchinson","given":"Kathleen"},{"family":"Mudgistratova","given":"Lola"},{"family":"Blom","given":"Astrid"},{"family":"Iyer","given":"Jayasri"},{"family":"Moshiri","given":"Ata S."},{"family":"Tarabadkar","given":"Erica S."},{"family":"Carter","given":"Joseph J."},{"family":"Bhatia","given":"Shailender"},{"family":"Kawasumi","given":"Masaoki"},{"family":"Galloway","given":"Denise A."},{"family":"Wener","given":"Mark H."},{"family":"Nghiem","given":"Paul"}],"issued":{"date-parts":[["2017",4,15]]}}}],"schema":"https://github.com/citation-style-language/schema/raw/master/csl-citation.json"} </w:instrText>
      </w:r>
      <w:r>
        <w:fldChar w:fldCharType="separate"/>
      </w:r>
      <w:r w:rsidR="00686BC2" w:rsidRPr="00686BC2">
        <w:rPr>
          <w:rFonts w:ascii="Cambria" w:hAnsi="Cambria" w:cs="Times New Roman"/>
          <w:vertAlign w:val="superscript"/>
        </w:rPr>
        <w:t>4</w:t>
      </w:r>
      <w:r>
        <w:fldChar w:fldCharType="end"/>
      </w:r>
      <w:r>
        <w:t xml:space="preserve">. </w:t>
      </w:r>
    </w:p>
    <w:p w14:paraId="394BB3E6" w14:textId="77777777" w:rsidR="00B122CA" w:rsidRDefault="00B122CA" w:rsidP="00226F2F"/>
    <w:p w14:paraId="269C1229" w14:textId="197816D0" w:rsidR="00CE10F3" w:rsidRDefault="00E478CB" w:rsidP="00226F2F">
      <w:r>
        <w:t>As described in the main text</w:t>
      </w:r>
      <w:r w:rsidR="00B122CA">
        <w:t>, the EXaCT-2 assay was able to detect the presence of each virus</w:t>
      </w:r>
      <w:r w:rsidR="008C5D95">
        <w:t xml:space="preserve"> in all positive cases</w:t>
      </w:r>
      <w:r w:rsidR="00B122CA">
        <w:t xml:space="preserve">, and in </w:t>
      </w:r>
      <w:r w:rsidR="008C5D95">
        <w:t>with some of these</w:t>
      </w:r>
      <w:r w:rsidR="00B122CA">
        <w:t>, was able to detect dual infections, with EBV being the most commonly co-infected virus, which we attribute to the commonality of EBV infections population-wide (Table S</w:t>
      </w:r>
      <w:r w:rsidR="00BA4226">
        <w:t>10</w:t>
      </w:r>
      <w:r w:rsidR="00B122CA">
        <w:t xml:space="preserve">). In addition to the EBV co-infections, both KSHV and </w:t>
      </w:r>
      <w:proofErr w:type="spellStart"/>
      <w:r w:rsidR="00B122CA">
        <w:t>MYCPyV</w:t>
      </w:r>
      <w:proofErr w:type="spellEnd"/>
      <w:r w:rsidR="00B122CA">
        <w:t xml:space="preserve"> were also detected in trace amounts in samples not previously known to be infected with them (n = 5 and 6 coinfections, respectively, including the one negative control sample). However, in each case of these incidental detections (for lack of a better term), fewer than 40 reads were mapped to these off-target viruses, in contrast to the positive control cases, where the number of reads usually exceeded 1000. Admittedly, this is a heuristic threshold, however at the time of the writing, it is unclear from the literature what are appropriate thresholds to use for NGS testing, especially as viral length will impact the number of reads that are detected. As we expand the use of the EXaCT-2 assay, we may be able to identify a statistically rigorous threshold, however, we note that it has been shown that some viruses, such as EBV, may be present in the host genome, even in low frequencies. </w:t>
      </w:r>
      <w:r w:rsidR="00B122CA">
        <w:fldChar w:fldCharType="begin"/>
      </w:r>
      <w:r w:rsidR="00686BC2">
        <w:instrText xml:space="preserve"> ADDIN ZOTERO_ITEM CSL_CITATION {"citationID":"c3fwa7VJ","properties":{"formattedCitation":"\\super 5\\uc0\\u8211{}7\\nosupersub{}","plainCitation":"5–7","noteIndex":0},"citationItems":[{"id":130,"uris":["http://zotero.org/users/local/wIF2fIsu/items/5ST2GYGE"],"itemData":{"id":130,"type":"article-journal","abstract":"Epstein-Barr virus (EBV) initially isolated from cultured Burkitt lymphoma (BL) cells, is a well-known oncogenic virus. The Raji cell line was established from BL tissue and used for research worldwide. Previous study showed that each Raji cell contains an average of 50–60 EBV genome equivalents, and a significant proportion of the EBV genome is linearly integrated into host genome through BamHI-W close to the BamHI-Y fragment. However, a definitive EBV integration site in the chromosome has not been identified as yet. In this study, direct evidence that EBV DNA is integrated into the host genome was provided through cloning of the fragments containing nucleotide sequence of Raji integration sites. Integrated EBV DNA consisted of the BamHI-W fragment at one end and BamHI-D fragment at another end. Both junction sites were highly guanine/cytosine-rich. The BamHI-W fragment and the adjacent part of chromosome 6 showed 70% homology, while no homology was found between the BamHI-D and adjacent host sequences. EBV was present at intron 1 of the BACH2 gene located on chromosome 6q15. BACH2 was not expressed in the Raji cell line. Because BACH2 is a putative tumor suppressor gene, loss of its expression through EBV integration might contribute to lymphomagenesis.","container-title":"The American Journal of Pathology","ISSN":"0002-9440","issue":"3","journalAbbreviation":"Am J Pathol","note":"PMID: 14982850\nPMCID: PMC1614712","page":"967-974","source":"PubMed Central","title":"Integration of Epstein-Barr Virus into Chromosome 6q15 of Burkitt Lymphoma Cell Line (Raji) Induces Loss of BACH2 Expression","volume":"164","author":[{"family":"Takakuwa","given":"Tetsuya"},{"family":"Luo","given":"Wen-Juan"},{"family":"Ham","given":"Maria Francisca"},{"family":"Sakane-Ishikawa","given":"Femiko"},{"family":"Wada","given":"Naoki"},{"family":"Aozasa","given":"Katsuyuki"}],"issued":{"date-parts":[["2004",3]]}}},{"id":133,"uris":["http://zotero.org/users/local/wIF2fIsu/items/UIJ3IU7W"],"itemData":{"id":133,"type":"article-journal","abstract":"For many Epstein-Barr virus (EBV)-associated malignancies, it is still a matter of controversy whether infected cells harbor episomal or chromosomally integrated EBV genomes or both. It is well established that the expression of EBV genes per se carries oncogenic potential, but the discrimination between episomal and integrated forms is of great relevance because integration events can contribute to the oncogenic properties of EBV, whereas host cells that exclusively harbor viral episomes may not carry the risks mediated by chromosomal integration. This notion prompted us to establish a reliable technique that not only allows to unequivocally discriminate episomal from integrated EBV DNA, but also provides detailed insights into the genomic organization of the virus. Here, we show that dynamic molecular combing of host cell DNA combined with fluorescence in situ hybridization (FISH) using EBV-specific DNA probes facilitate unambiguous discrimination of episomal from integrated viral DNA. Furthermore, the detection of highly elongated internal repeat 1 (IR1) sequences provides evidence that this method permits detection of major genomic alterations within the EBV genome. Thus, fiber FISH may also provide valuable insights into the genomic organization of viral genomes other than EBV.","container-title":"International Journal of Cancer","DOI":"10.1002/ijc.21498","ISSN":"0020-7136","issue":"7","journalAbbreviation":"Int J Cancer","language":"eng","note":"PMID: 16217752","page":"1603-1608","source":"PubMed","title":"Visualization of episomal and integrated Epstein-Barr virus DNA by fiber fluorescence in situ hybridization","volume":"118","author":[{"family":"Reisinger","given":"Jürgen"},{"family":"Rumpler","given":"Silvia"},{"family":"Lion","given":"Thomas"},{"family":"Ambros","given":"Peter F."}],"issued":{"date-parts":[["2006",4,1]]}}},{"id":135,"uris":["http://zotero.org/users/local/wIF2fIsu/items/IX27FBBV"],"itemData":{"id":135,"type":"article-journal","abstract":"Herpesviruses are members of a diverse family of viruses that colonize all vertebrates from fish to mammals. Although more than one hundred herpesviruses exist, all are nearly identical architecturally, with a genome consisting of a linear double-stranded DNA molecule (100 to 225 kbp) protected by an icosahedral capsid made up of 162 hollow-centered capsomeres, a tegument surrounding the nucleocapsid, and a viral envelope derived from host membranes. Upon infection, the linear viral DNA is delivered to the nucleus, where it circularizes to form the viral episome. Depending on several factors, the viral cycle can proceed either to a productive infection or to a state of latency. In either case, the viral genetic information is maintained as extrachromosomal circular DNA. Interestingly, however, certain oncogenic herpesviruses such as Marek's disease virus and Epstein-Barr virus can be found integrated at low frequencies in the host's chromosomes. These findings have mostly been viewed as anecdotal and considered exceptions rather than properties of herpesviruses. In recent years, the consistent and rather frequent detection (in approximately 1% of the human population) of human herpesvirus 6 (HHV-6) viral DNA integrated into human chromosomes has spurred renewed interest in our understanding of how these viruses infect, replicate, and propagate themselves. In this review, we provide a historical perspective on chromosomal integration by herpesviruses and present the current state of knowledge on integration by HHV-6 with the possible clinical implications associated with viral integration.","container-title":"Journal of Virology","DOI":"10.1128/JVI.01169-10","ISSN":"0022-538X","issue":"23","journalAbbreviation":"J Virol","note":"PMID: 20844040\nPMCID: PMC2976420","page":"12100-12109","source":"PubMed Central","title":"Herpesviruses and Chromosomal Integration","volume":"84","author":[{"family":"Morissette","given":"Guillaume"},{"family":"Flamand","given":"Louis"}],"issued":{"date-parts":[["2010",12]]}}}],"schema":"https://github.com/citation-style-language/schema/raw/master/csl-citation.json"} </w:instrText>
      </w:r>
      <w:r w:rsidR="00B122CA">
        <w:fldChar w:fldCharType="separate"/>
      </w:r>
      <w:r w:rsidR="00686BC2" w:rsidRPr="00686BC2">
        <w:rPr>
          <w:rFonts w:ascii="Cambria" w:hAnsi="Cambria" w:cs="Times New Roman"/>
          <w:vertAlign w:val="superscript"/>
        </w:rPr>
        <w:t>5–7</w:t>
      </w:r>
      <w:r w:rsidR="00B122CA">
        <w:fldChar w:fldCharType="end"/>
      </w:r>
      <w:r w:rsidR="00B122CA">
        <w:t>. For this reason, we report all results to clinicians to allow them to determine the appropriate course of action.</w:t>
      </w:r>
    </w:p>
    <w:p w14:paraId="028ADFB7" w14:textId="77777777" w:rsidR="00607274" w:rsidRDefault="00607274" w:rsidP="00226F2F"/>
    <w:p w14:paraId="3312EB3F" w14:textId="77777777" w:rsidR="007F12A1" w:rsidRDefault="007F12A1" w:rsidP="00226F2F">
      <w:pPr>
        <w:pStyle w:val="Heading3"/>
      </w:pPr>
      <w:r w:rsidRPr="007C3803">
        <w:t xml:space="preserve">Depth of Coverage </w:t>
      </w:r>
    </w:p>
    <w:p w14:paraId="0D9F0E52" w14:textId="22C41EF9" w:rsidR="0088483D" w:rsidRPr="0088483D" w:rsidRDefault="00E65BFF" w:rsidP="00226F2F">
      <w:r>
        <w:t>The depth of coverage provided by EXaCT-2 is robust</w:t>
      </w:r>
      <w:r w:rsidR="001A4204">
        <w:t xml:space="preserve"> to DNA quality, as measured by </w:t>
      </w:r>
      <w:r w:rsidR="00E325FB">
        <w:t>DNA Integrity Number (DIN).</w:t>
      </w:r>
    </w:p>
    <w:p w14:paraId="6302A27C" w14:textId="77777777" w:rsidR="003F6BA0" w:rsidRDefault="006C3C59" w:rsidP="00226F2F">
      <w:pPr>
        <w:keepNext/>
      </w:pPr>
      <w:r>
        <w:rPr>
          <w:noProof/>
        </w:rPr>
        <w:lastRenderedPageBreak/>
        <w:drawing>
          <wp:inline distT="0" distB="0" distL="0" distR="0" wp14:anchorId="3DE7B6D6" wp14:editId="70055852">
            <wp:extent cx="6858000" cy="1979698"/>
            <wp:effectExtent l="0" t="0" r="0" b="1905"/>
            <wp:docPr id="774449428"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449428" name="Graphic 3"/>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6858000" cy="1979698"/>
                    </a:xfrm>
                    <a:prstGeom prst="rect">
                      <a:avLst/>
                    </a:prstGeom>
                  </pic:spPr>
                </pic:pic>
              </a:graphicData>
            </a:graphic>
          </wp:inline>
        </w:drawing>
      </w:r>
    </w:p>
    <w:p w14:paraId="6EF7CA25" w14:textId="7458B4E4" w:rsidR="007F12A1" w:rsidRDefault="003F6BA0" w:rsidP="00226F2F">
      <w:pPr>
        <w:pStyle w:val="Caption"/>
      </w:pPr>
      <w:r w:rsidRPr="00B05532">
        <w:rPr>
          <w:b/>
          <w:bCs/>
        </w:rPr>
        <w:t>Figure S</w:t>
      </w:r>
      <w:r w:rsidRPr="00B05532">
        <w:rPr>
          <w:b/>
          <w:bCs/>
        </w:rPr>
        <w:fldChar w:fldCharType="begin"/>
      </w:r>
      <w:r w:rsidRPr="00B05532">
        <w:rPr>
          <w:b/>
          <w:bCs/>
        </w:rPr>
        <w:instrText xml:space="preserve"> SEQ Figure \* ARABIC </w:instrText>
      </w:r>
      <w:r w:rsidRPr="00B05532">
        <w:rPr>
          <w:b/>
          <w:bCs/>
        </w:rPr>
        <w:fldChar w:fldCharType="separate"/>
      </w:r>
      <w:r w:rsidR="00D60612">
        <w:rPr>
          <w:b/>
          <w:bCs/>
          <w:noProof/>
        </w:rPr>
        <w:t>6</w:t>
      </w:r>
      <w:r w:rsidRPr="00B05532">
        <w:rPr>
          <w:b/>
          <w:bCs/>
        </w:rPr>
        <w:fldChar w:fldCharType="end"/>
      </w:r>
      <w:r w:rsidRPr="00B05532">
        <w:rPr>
          <w:b/>
          <w:bCs/>
        </w:rPr>
        <w:t xml:space="preserve">: </w:t>
      </w:r>
      <w:r w:rsidR="00AC076C" w:rsidRPr="00B05532">
        <w:rPr>
          <w:b/>
          <w:bCs/>
        </w:rPr>
        <w:t>Comparison of mean target coverage and DNA quality.</w:t>
      </w:r>
      <w:r w:rsidR="00AC076C">
        <w:t xml:space="preserve"> Samples are classified by DNA Integrity Number in 3 categories: Low, Medium, and High. Left: non augmented regions; right: augmented regions. </w:t>
      </w:r>
      <w:r w:rsidR="00AC076C" w:rsidRPr="006B1772">
        <w:t xml:space="preserve">Surprisingly, DIN quality has no significant effect on the </w:t>
      </w:r>
      <w:r w:rsidR="00AC076C" w:rsidRPr="004B4217">
        <w:t>average coverage provided by the EXaCT-2 assay for either the augmented or standard (non-augmented) regions.</w:t>
      </w:r>
    </w:p>
    <w:p w14:paraId="076B100F" w14:textId="77777777" w:rsidR="006C3C59" w:rsidRDefault="006C3C59" w:rsidP="00226F2F"/>
    <w:p w14:paraId="4976A8C9" w14:textId="0758A67D" w:rsidR="00B30428" w:rsidRDefault="00AB4BAE" w:rsidP="00226F2F">
      <w:pPr>
        <w:pStyle w:val="Heading3"/>
      </w:pPr>
      <w:r>
        <w:t>CEBPA coverage: improved coverage for GC-rich regions</w:t>
      </w:r>
    </w:p>
    <w:p w14:paraId="1ED16702" w14:textId="300073E4" w:rsidR="00AB4BAE" w:rsidRDefault="00AB4BAE" w:rsidP="00226F2F">
      <w:r>
        <w:t xml:space="preserve">Figure </w:t>
      </w:r>
      <w:r w:rsidR="002346B1">
        <w:t>S</w:t>
      </w:r>
      <w:r w:rsidR="004D09FC">
        <w:t>7</w:t>
      </w:r>
      <w:r>
        <w:t xml:space="preserve"> demonstrates the far higher coverage of a region in the CEBPA gene with greater than 80% GC content. Whereas the matching EXaCT-1 sequencing for this sample only had a maximum coverage of 87 reads in the coding region, the corresponding region for this sample in EXaCT-2 had a maximum coverage of 3506 reads from the EXaCT-2. Furthermore, there are multiple segments within the CEBPA coding region in which the EXaCT-1 assay had no or </w:t>
      </w:r>
      <w:r w:rsidR="00AB7DC4">
        <w:t>minimal</w:t>
      </w:r>
      <w:r>
        <w:t xml:space="preserve"> (&lt;10 reads) coverage. </w:t>
      </w:r>
    </w:p>
    <w:p w14:paraId="7803F05F" w14:textId="77777777" w:rsidR="00AB7DC4" w:rsidRDefault="00AB7DC4" w:rsidP="00226F2F"/>
    <w:p w14:paraId="0647029D" w14:textId="77777777" w:rsidR="00B21224" w:rsidRDefault="00AB1751" w:rsidP="00226F2F">
      <w:pPr>
        <w:keepNext/>
      </w:pPr>
      <w:r>
        <w:rPr>
          <w:noProof/>
        </w:rPr>
        <w:drawing>
          <wp:inline distT="0" distB="0" distL="0" distR="0" wp14:anchorId="2961F119" wp14:editId="42B6AFD8">
            <wp:extent cx="6858000" cy="4279265"/>
            <wp:effectExtent l="0" t="0" r="0" b="0"/>
            <wp:docPr id="741093377"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093377" name="Graphic 741093377"/>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6858000" cy="4279265"/>
                    </a:xfrm>
                    <a:prstGeom prst="rect">
                      <a:avLst/>
                    </a:prstGeom>
                  </pic:spPr>
                </pic:pic>
              </a:graphicData>
            </a:graphic>
          </wp:inline>
        </w:drawing>
      </w:r>
    </w:p>
    <w:p w14:paraId="67282038" w14:textId="6C8E2D5D" w:rsidR="002346B1" w:rsidRDefault="00B21224" w:rsidP="00226F2F">
      <w:pPr>
        <w:pStyle w:val="Caption"/>
      </w:pPr>
      <w:r w:rsidRPr="00591E7C">
        <w:rPr>
          <w:b/>
          <w:bCs/>
        </w:rPr>
        <w:t xml:space="preserve">Figure </w:t>
      </w:r>
      <w:r w:rsidR="00591E7C" w:rsidRPr="00591E7C">
        <w:rPr>
          <w:b/>
          <w:bCs/>
        </w:rPr>
        <w:t>S</w:t>
      </w:r>
      <w:r w:rsidRPr="00591E7C">
        <w:rPr>
          <w:b/>
          <w:bCs/>
        </w:rPr>
        <w:fldChar w:fldCharType="begin"/>
      </w:r>
      <w:r w:rsidRPr="00591E7C">
        <w:rPr>
          <w:b/>
          <w:bCs/>
        </w:rPr>
        <w:instrText xml:space="preserve"> SEQ Figure \* ARABIC </w:instrText>
      </w:r>
      <w:r w:rsidRPr="00591E7C">
        <w:rPr>
          <w:b/>
          <w:bCs/>
        </w:rPr>
        <w:fldChar w:fldCharType="separate"/>
      </w:r>
      <w:r w:rsidR="00D60612">
        <w:rPr>
          <w:b/>
          <w:bCs/>
          <w:noProof/>
        </w:rPr>
        <w:t>7</w:t>
      </w:r>
      <w:r w:rsidRPr="00591E7C">
        <w:rPr>
          <w:b/>
          <w:bCs/>
        </w:rPr>
        <w:fldChar w:fldCharType="end"/>
      </w:r>
      <w:r w:rsidR="00591E7C" w:rsidRPr="00591E7C">
        <w:rPr>
          <w:b/>
          <w:bCs/>
        </w:rPr>
        <w:t>: Enhanced coverage in high GC content regions:</w:t>
      </w:r>
      <w:r w:rsidR="00591E7C">
        <w:t xml:space="preserve"> A) EXaCT-2 sample has a read count of ~5400 with GC content (~80%) in CEBPA gene as compared to EXaCT-1 having a read count of ~140. B) We highlight a small segment of the CEBPA exon with extremely sparse coverage in EXaCT-</w:t>
      </w:r>
      <w:proofErr w:type="gramStart"/>
      <w:r w:rsidR="00591E7C">
        <w:t xml:space="preserve">1, </w:t>
      </w:r>
      <w:r w:rsidR="00591E7C">
        <w:lastRenderedPageBreak/>
        <w:t>and</w:t>
      </w:r>
      <w:proofErr w:type="gramEnd"/>
      <w:r w:rsidR="00591E7C">
        <w:t xml:space="preserve"> compare the coverage to that which was achieved with EXaCT-2. C) Lollipop plot of known mutations for CEBPA using a cohort of patients with Acute Myeloid Leukemia, collected from public sources. The GC-rich region with low coverage that is discussed in the text is highlighted in blue.</w:t>
      </w:r>
    </w:p>
    <w:p w14:paraId="00492825" w14:textId="77777777" w:rsidR="00B21224" w:rsidRDefault="00B21224" w:rsidP="00226F2F"/>
    <w:p w14:paraId="62697790" w14:textId="4859BAD8" w:rsidR="00AB4BAE" w:rsidRDefault="00AB4BAE" w:rsidP="00226F2F">
      <w:r>
        <w:t>Focusing on one such region, a GC-rich 143 nucleotide long segment that represents amino acids 201-248 in CEBPA (chr19:</w:t>
      </w:r>
      <w:r w:rsidRPr="008B411D">
        <w:t xml:space="preserve"> </w:t>
      </w:r>
      <w:r w:rsidRPr="000140C0">
        <w:t>33</w:t>
      </w:r>
      <w:r>
        <w:t>,</w:t>
      </w:r>
      <w:r w:rsidRPr="000140C0">
        <w:t>792</w:t>
      </w:r>
      <w:r>
        <w:t>,</w:t>
      </w:r>
      <w:r w:rsidRPr="000140C0">
        <w:t>577</w:t>
      </w:r>
      <w:r>
        <w:t>-</w:t>
      </w:r>
      <w:r w:rsidRPr="00E012CB">
        <w:t xml:space="preserve"> 33</w:t>
      </w:r>
      <w:r>
        <w:t>,</w:t>
      </w:r>
      <w:r w:rsidRPr="00E012CB">
        <w:t>792</w:t>
      </w:r>
      <w:r>
        <w:t>,</w:t>
      </w:r>
      <w:r w:rsidRPr="00E012CB">
        <w:t>719</w:t>
      </w:r>
      <w:r>
        <w:t xml:space="preserve">), we observed that the average coverage provided by EXaCT-2 in this region for this sample was 1073 reads, whereas the maximum coverage provided by EXaCT-1 was only 17 reads, with an average of 5.5 reads and 52 positions with no coverage whatsoever (Figure </w:t>
      </w:r>
      <w:r w:rsidR="006E2FD9">
        <w:t>S7</w:t>
      </w:r>
      <w:r>
        <w:t xml:space="preserve">B). Interestingly, when examining public databases of known cancer mutations in patients with Acute Myeloid Leukemia, there appears to be a sparsity of known mutations in this </w:t>
      </w:r>
      <w:proofErr w:type="gramStart"/>
      <w:r>
        <w:t>poorly-covered</w:t>
      </w:r>
      <w:proofErr w:type="gramEnd"/>
      <w:r>
        <w:t xml:space="preserve"> GC-rich region (n=3), suggesting that this may be a general problem for the field, regardless of the assay (Figure </w:t>
      </w:r>
      <w:r w:rsidR="006E2FD9">
        <w:t>S7</w:t>
      </w:r>
      <w:r>
        <w:t>C). When the read coverage of these mutations is examined, the number of reads carrying the alternative allele is, on average, only 5.3 reads with a mean total coverage of 20 reads, indicating that even in the case of these mutations, the read support was relatively limited.</w:t>
      </w:r>
    </w:p>
    <w:p w14:paraId="1BC63AFB" w14:textId="77777777" w:rsidR="00AB4BAE" w:rsidRDefault="00AB4BAE" w:rsidP="00226F2F"/>
    <w:p w14:paraId="7AE7F5AA" w14:textId="382838BD" w:rsidR="008B40AE" w:rsidRDefault="00C60630" w:rsidP="00226F2F">
      <w:pPr>
        <w:pStyle w:val="Heading3"/>
      </w:pPr>
      <w:r>
        <w:t>KRAS</w:t>
      </w:r>
    </w:p>
    <w:p w14:paraId="5B0096F0" w14:textId="77777777" w:rsidR="00F82B23" w:rsidRDefault="00F82B23" w:rsidP="00226F2F"/>
    <w:p w14:paraId="3C30CBBA" w14:textId="77777777" w:rsidR="00140B51" w:rsidRDefault="00B55C1E" w:rsidP="00226F2F">
      <w:pPr>
        <w:keepNext/>
      </w:pPr>
      <w:r>
        <w:rPr>
          <w:noProof/>
        </w:rPr>
        <w:drawing>
          <wp:inline distT="0" distB="0" distL="0" distR="0" wp14:anchorId="591DCD34" wp14:editId="1718BA4E">
            <wp:extent cx="4123944" cy="3657600"/>
            <wp:effectExtent l="0" t="0" r="0" b="0"/>
            <wp:docPr id="1953953113" name="Graphic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953113" name="Graphic 1953953113"/>
                    <pic:cNvPicPr/>
                  </pic:nvPicPr>
                  <pic:blipFill>
                    <a:blip r:embed="rId22">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4123944" cy="3657600"/>
                    </a:xfrm>
                    <a:prstGeom prst="rect">
                      <a:avLst/>
                    </a:prstGeom>
                  </pic:spPr>
                </pic:pic>
              </a:graphicData>
            </a:graphic>
          </wp:inline>
        </w:drawing>
      </w:r>
    </w:p>
    <w:p w14:paraId="34686601" w14:textId="59B96C60" w:rsidR="00B55C1E" w:rsidRDefault="00140B51" w:rsidP="00226F2F">
      <w:pPr>
        <w:pStyle w:val="Caption"/>
      </w:pPr>
      <w:r>
        <w:t>Figure S</w:t>
      </w:r>
      <w:r w:rsidR="00B815AE">
        <w:fldChar w:fldCharType="begin"/>
      </w:r>
      <w:r w:rsidR="00B815AE">
        <w:instrText xml:space="preserve"> SEQ Figure \* ARABIC </w:instrText>
      </w:r>
      <w:r w:rsidR="00B815AE">
        <w:fldChar w:fldCharType="separate"/>
      </w:r>
      <w:r w:rsidR="00D60612">
        <w:rPr>
          <w:noProof/>
        </w:rPr>
        <w:t>8</w:t>
      </w:r>
      <w:r w:rsidR="00B815AE">
        <w:rPr>
          <w:noProof/>
        </w:rPr>
        <w:fldChar w:fldCharType="end"/>
      </w:r>
      <w:r w:rsidR="00FB3A82" w:rsidRPr="00710337">
        <w:rPr>
          <w:b/>
          <w:bCs/>
        </w:rPr>
        <w:t>: KRAS coverage across protein coding exons.</w:t>
      </w:r>
      <w:r w:rsidR="00FB3A82" w:rsidRPr="00132AB1">
        <w:t xml:space="preserve"> </w:t>
      </w:r>
      <w:r w:rsidR="00FB3A82">
        <w:rPr>
          <w:b/>
          <w:bCs/>
        </w:rPr>
        <w:t xml:space="preserve">A) </w:t>
      </w:r>
      <w:r w:rsidR="00FB3A82">
        <w:t>The average read coverage, per exon, of the KRAS gene is shown for samples analyzed by the EXaCT-2 assay, as well as that produced by standard WES assays, such as the EXaCT-1 assay.  As shown here, e</w:t>
      </w:r>
      <w:r w:rsidR="00FB3A82" w:rsidRPr="00132AB1">
        <w:t>xon 2</w:t>
      </w:r>
      <w:r w:rsidR="00FB3A82">
        <w:t>, location of the well-known G12D mutation,</w:t>
      </w:r>
      <w:r w:rsidR="00FB3A82" w:rsidRPr="00132AB1">
        <w:t xml:space="preserve"> has </w:t>
      </w:r>
      <w:r w:rsidR="00FB3A82">
        <w:t xml:space="preserve">significantly </w:t>
      </w:r>
      <w:r w:rsidR="00FB3A82" w:rsidRPr="00132AB1">
        <w:t>higher coverage in EXaCT-2 compared to EXaCT-1</w:t>
      </w:r>
      <w:r w:rsidR="00FB3A82">
        <w:t xml:space="preserve">. </w:t>
      </w:r>
      <w:r w:rsidR="00FB3A82">
        <w:rPr>
          <w:b/>
        </w:rPr>
        <w:t>B</w:t>
      </w:r>
      <w:r w:rsidR="00FB3A82" w:rsidRPr="00137662">
        <w:rPr>
          <w:b/>
        </w:rPr>
        <w:t>)</w:t>
      </w:r>
      <w:r w:rsidR="00FB3A82">
        <w:t xml:space="preserve"> </w:t>
      </w:r>
      <w:r w:rsidR="00FB3A82" w:rsidRPr="00F679FD">
        <w:t>IGV Visualization of KRAS G12D positive samples assayed by EXaCT-1 and EXaCT-2 samples.</w:t>
      </w:r>
      <w:r w:rsidR="00FB3A82" w:rsidRPr="0036137B">
        <w:t xml:space="preserve"> In the top panel, we display the coverage</w:t>
      </w:r>
      <w:r w:rsidR="00FB3A82">
        <w:t xml:space="preserve"> and alignment</w:t>
      </w:r>
      <w:r w:rsidR="00FB3A82" w:rsidRPr="0036137B">
        <w:t xml:space="preserve"> tracks for </w:t>
      </w:r>
      <w:r w:rsidR="00FB3A82">
        <w:t>an</w:t>
      </w:r>
      <w:r w:rsidR="00FB3A82" w:rsidRPr="0036137B">
        <w:t xml:space="preserve"> EXaCT-1 sample </w:t>
      </w:r>
      <w:r w:rsidR="00FB3A82">
        <w:t xml:space="preserve">that was positive for the well-known </w:t>
      </w:r>
      <w:r w:rsidR="00FB3A82" w:rsidRPr="0036137B">
        <w:t>G12D mutation</w:t>
      </w:r>
      <w:r w:rsidR="00FB3A82">
        <w:t>, in which the coverage was only 4 total reads (with 1 carrying the alternative allele).</w:t>
      </w:r>
      <w:r w:rsidR="00FB3A82" w:rsidRPr="0036137B">
        <w:t xml:space="preserve"> By way of comparison, in the bottom panel, we display the coverage tracks for </w:t>
      </w:r>
      <w:r w:rsidR="00FB3A82">
        <w:t xml:space="preserve">an unrelated G12D+ sample that was assayed by </w:t>
      </w:r>
      <w:r w:rsidR="00FB3A82" w:rsidRPr="0036137B">
        <w:t>EXaCT-2</w:t>
      </w:r>
      <w:r w:rsidR="00FB3A82">
        <w:t>. While the allele frequency in this sample was only 0.11, the number of reads with the mutant allele was 86 (out of 772 total reads covering this position)</w:t>
      </w:r>
      <w:r w:rsidR="00FB3A82" w:rsidRPr="0036137B">
        <w:t>.</w:t>
      </w:r>
    </w:p>
    <w:p w14:paraId="1E01BF87" w14:textId="77777777" w:rsidR="00B55C1E" w:rsidRPr="00F82B23" w:rsidRDefault="00B55C1E" w:rsidP="00226F2F"/>
    <w:p w14:paraId="18296ABE" w14:textId="17E1AEEF" w:rsidR="00C60630" w:rsidRDefault="002B1782" w:rsidP="00226F2F">
      <w:r>
        <w:t>Figure S8A</w:t>
      </w:r>
      <w:r w:rsidR="000F7897">
        <w:t xml:space="preserve"> </w:t>
      </w:r>
      <w:r>
        <w:t xml:space="preserve">demonstrates the </w:t>
      </w:r>
      <w:r w:rsidR="00C60630">
        <w:t>significantly higher coverage that we observed between the EXaCT-2 and EXaCT-1 assays for th</w:t>
      </w:r>
      <w:r w:rsidR="00AE361F">
        <w:t xml:space="preserve">e coding </w:t>
      </w:r>
      <w:r w:rsidR="00C60630">
        <w:t>exon</w:t>
      </w:r>
      <w:r w:rsidR="00AE361F">
        <w:t>s of KRAS</w:t>
      </w:r>
      <w:r w:rsidR="00E960A6">
        <w:t>. To further explore this</w:t>
      </w:r>
      <w:r w:rsidR="00C60630">
        <w:t>, we compared the coverage and read alignment of a KRAS</w:t>
      </w:r>
      <w:r w:rsidR="00C60630" w:rsidRPr="004B4FDE">
        <w:rPr>
          <w:vertAlign w:val="superscript"/>
        </w:rPr>
        <w:t>G12D</w:t>
      </w:r>
      <w:r w:rsidR="00C60630">
        <w:rPr>
          <w:vertAlign w:val="superscript"/>
        </w:rPr>
        <w:t>+</w:t>
      </w:r>
      <w:r w:rsidR="00C60630">
        <w:t xml:space="preserve"> sample that had been assayed by EXaCT-1 with that from another, unrelated KRAS</w:t>
      </w:r>
      <w:r w:rsidR="00C60630" w:rsidRPr="004B4FDE">
        <w:rPr>
          <w:vertAlign w:val="superscript"/>
        </w:rPr>
        <w:t>G12D</w:t>
      </w:r>
      <w:r w:rsidR="00C60630">
        <w:rPr>
          <w:vertAlign w:val="superscript"/>
        </w:rPr>
        <w:t>+</w:t>
      </w:r>
      <w:r w:rsidR="00C60630">
        <w:t xml:space="preserve"> sample </w:t>
      </w:r>
      <w:r w:rsidR="00C60630">
        <w:lastRenderedPageBreak/>
        <w:t xml:space="preserve">that had been assayed by the EXaCT-2 assay (Figure </w:t>
      </w:r>
      <w:r w:rsidR="001A2DF1">
        <w:t>S8B</w:t>
      </w:r>
      <w:r w:rsidR="00C60630">
        <w:t xml:space="preserve">).  </w:t>
      </w:r>
      <w:r w:rsidR="00C60630" w:rsidRPr="00D0007D">
        <w:t xml:space="preserve">While the </w:t>
      </w:r>
      <w:r w:rsidR="00C60630">
        <w:t>EXaCT-1 assay identified this mutation, the confidence in this call was extremely low as there were only 5 total reads covering this position, with only a single read carrying the alternative allele. In comparison, with 772 total reads covering this position, with 86 reads carrying the mutant allele, the EXaCT-2 assay provides far more confidence in both the mutation call and allele frequency (0.11).</w:t>
      </w:r>
    </w:p>
    <w:p w14:paraId="39311927" w14:textId="453B4375" w:rsidR="009015D6" w:rsidRDefault="009015D6" w:rsidP="00226F2F"/>
    <w:p w14:paraId="26314BE4" w14:textId="7389CED0" w:rsidR="000710DB" w:rsidRDefault="00FF3BB6" w:rsidP="00226F2F">
      <w:pPr>
        <w:pStyle w:val="Heading3"/>
        <w:rPr>
          <w:rFonts w:eastAsia="Calibri"/>
        </w:rPr>
      </w:pPr>
      <w:r>
        <w:rPr>
          <w:rFonts w:eastAsia="Calibri"/>
        </w:rPr>
        <w:t xml:space="preserve">Comparison of </w:t>
      </w:r>
      <w:r w:rsidR="00B160E6">
        <w:rPr>
          <w:rFonts w:eastAsia="Calibri"/>
        </w:rPr>
        <w:t>VAF Distributions by Region and Platform</w:t>
      </w:r>
    </w:p>
    <w:p w14:paraId="6956CCA0" w14:textId="7479E3F2" w:rsidR="00B160E6" w:rsidRDefault="00270E4C" w:rsidP="00226F2F">
      <w:r>
        <w:t xml:space="preserve">As described in the main text, </w:t>
      </w:r>
      <w:r w:rsidR="009C3D53">
        <w:t xml:space="preserve">the distribution of mutational VAFs for the EXaCT-2 assay, along with the TCGA </w:t>
      </w:r>
      <w:proofErr w:type="spellStart"/>
      <w:r w:rsidR="009C3D53">
        <w:t>Pancancer</w:t>
      </w:r>
      <w:proofErr w:type="spellEnd"/>
      <w:r w:rsidR="009C3D53">
        <w:t xml:space="preserve"> project</w:t>
      </w:r>
      <w:r w:rsidR="009C3D53">
        <w:fldChar w:fldCharType="begin"/>
      </w:r>
      <w:r w:rsidR="009C3D53">
        <w:instrText xml:space="preserve"> ADDIN ZOTERO_ITEM CSL_CITATION {"citationID":"j65tgSuP","properties":{"formattedCitation":"\\super 8\\nosupersub{}","plainCitation":"8","noteIndex":0},"citationItems":[{"id":138,"uris":["http://zotero.org/users/local/wIF2fIsu/items/M39PYC8H"],"itemData":{"id":138,"type":"article-journal","abstract":"Recent genomic analyses of pathologically defined tumor types identify \"within-a-tissue\" disease subtypes. However, the extent to which genomic signatures are shared across tissues is still unclear. We performed an integrative analysis using five genome-wide platforms and one proteomic platform on 3,527 specimens from 12 cancer types, revealing a unified classification into 11 major subtypes. Five subtypes were nearly identical to their tissue-of-origin counterparts, but several distinct cancer types were found to converge into common subtypes. Lung squamous, head and neck, and a subset of bladder cancers coalesced into one subtype typified by TP53 alterations, TP63 amplifications, and high expression of immune and proliferation pathway genes. Of note, bladder cancers split into three pan-cancer subtypes. The multiplatform classification, while correlated with tissue-of-origin, provides independent information for predicting clinical outcomes. All data sets are available for data-mining from a unified resource to support further biological discoveries and insights into novel therapeutic strategies.","container-title":"Cell","DOI":"10.1016/j.cell.2014.06.049","ISSN":"1097-4172","issue":"4","journalAbbreviation":"Cell","language":"eng","note":"PMID: 25109877\nPMCID: PMC4152462","page":"929-944","source":"PubMed","title":"Multiplatform analysis of 12 cancer types reveals molecular classification within and across tissues of origin","volume":"158","author":[{"family":"Hoadley","given":"Katherine A."},{"family":"Yau","given":"Christina"},{"family":"Wolf","given":"Denise M."},{"family":"Cherniack","given":"Andrew D."},{"family":"Tamborero","given":"David"},{"family":"Ng","given":"Sam"},{"family":"Leiserson","given":"Max D. M."},{"family":"Niu","given":"Beifang"},{"family":"McLellan","given":"Michael D."},{"family":"Uzunangelov","given":"Vladislav"},{"family":"Zhang","given":"Jiashan"},{"family":"Kandoth","given":"Cyriac"},{"family":"Akbani","given":"Rehan"},{"family":"Shen","given":"Hui"},{"family":"Omberg","given":"Larsson"},{"family":"Chu","given":"Andy"},{"family":"Margolin","given":"Adam A."},{"family":"Van't Veer","given":"Laura J."},{"family":"Lopez-Bigas","given":"Nuria"},{"family":"Laird","given":"Peter W."},{"family":"Raphael","given":"Benjamin J."},{"family":"Ding","given":"Li"},{"family":"Robertson","given":"A. Gordon"},{"family":"Byers","given":"Lauren A."},{"family":"Mills","given":"Gordon B."},{"family":"Weinstein","given":"John N."},{"family":"Van Waes","given":"Carter"},{"family":"Chen","given":"Zhong"},{"family":"Collisson","given":"Eric A."},{"literal":"Cancer Genome Atlas Research Network"},{"family":"Benz","given":"Christopher C."},{"family":"Perou","given":"Charles M."},{"family":"Stuart","given":"Joshua M."}],"issued":{"date-parts":[["2014",8,14]]}}}],"schema":"https://github.com/citation-style-language/schema/raw/master/csl-citation.json"} </w:instrText>
      </w:r>
      <w:r w:rsidR="009C3D53">
        <w:fldChar w:fldCharType="separate"/>
      </w:r>
      <w:r w:rsidR="009C3D53" w:rsidRPr="009C3D53">
        <w:rPr>
          <w:rFonts w:ascii="Calibri" w:hAnsi="Calibri" w:cs="Calibri"/>
          <w:vertAlign w:val="superscript"/>
        </w:rPr>
        <w:t>8</w:t>
      </w:r>
      <w:r w:rsidR="009C3D53">
        <w:fldChar w:fldCharType="end"/>
      </w:r>
      <w:r w:rsidR="009C3D53">
        <w:t xml:space="preserve">  and MSK-CHORD </w:t>
      </w:r>
      <w:r w:rsidR="009C3D53">
        <w:fldChar w:fldCharType="begin"/>
      </w:r>
      <w:r w:rsidR="009C3D53">
        <w:instrText xml:space="preserve"> ADDIN ZOTERO_ITEM CSL_CITATION {"citationID":"Bskt8xHa","properties":{"formattedCitation":"\\super 9\\nosupersub{}","plainCitation":"9","noteIndex":0},"citationItems":[{"id":241,"uris":["http://zotero.org/users/local/wIF2fIsu/items/9PLQBWBM"],"itemData":{"id":241,"type":"article-journal","abstract":"The digitization of health records and growing availability of tumour DNA sequencing provide an opportunity to study the determinants of cancer outcomes with unprecedented richness. Patient data are often stored in unstructured text and siloed datasets. Here we combine natural language processing annotations1,2 with structured medication, patient-reported demographic, tumour registry and tumour genomic data from 24,950 patients at Memorial Sloan Kettering Cancer Center to generate a clinicogenomic, harmonized oncologic real-world dataset (MSK-CHORD). MSK-CHORD includes data for non-small-cell lung (n = 7,809), breast (n = 5,368), colorectal (n = 5,543), prostate (n = 3,211) and pancreatic (n = 3,109) cancers and enables discovery of clinicogenomic relationships not apparent in smaller datasets. Leveraging MSK-CHORD to train machine learning models to predict overall survival, we find that models including features derived from natural language processing, such as sites of disease, outperform those based on genomic data or stage alone as tested by cross-validation and an external, multi-institution dataset. By annotating 705,241 radiology reports, MSK-CHORD also uncovers predictors of metastasis to specific organ sites, including a relationship between SETD2 mutation and lower metastatic potential in immunotherapy-treated lung adenocarcinoma corroborated in independent datasets. We demonstrate the feasibility of automated annotation from unstructured notes and its utility in predicting patient outcomes. The resulting data are provided as a public resource for real-world oncologic research.","container-title":"Nature","DOI":"10.1038/s41586-024-08167-5","ISSN":"1476-4687","issue":"8043","language":"en","license":"2024 The Author(s)","note":"publisher: Nature Publishing Group","page":"728-736","source":"www-nature-com.ezproxy.med.cornell.edu","title":"Automated real-world data integration improves cancer outcome prediction","volume":"636","author":[{"family":"Jee","given":"Justin"},{"family":"Fong","given":"Christopher"},{"family":"Pichotta","given":"Karl"},{"family":"Tran","given":"Thinh Ngoc"},{"family":"Luthra","given":"Anisha"},{"family":"Waters","given":"Michele"},{"family":"Fu","given":"Chenlian"},{"family":"Altoe","given":"Mirella"},{"family":"Liu","given":"Si-Yang"},{"family":"Maron","given":"Steven B."},{"family":"Ahmed","given":"Mehnaj"},{"family":"Kim","given":"Susie"},{"family":"Pirun","given":"Mono"},{"family":"Chatila","given":"Walid K."},{"family":"Bruijn","given":"Ino","non-dropping-particle":"de"},{"family":"Pasha","given":"Arfath"},{"family":"Kundra","given":"Ritika"},{"family":"Gross","given":"Benjamin"},{"family":"Mastrogiacomo","given":"Brooke"},{"family":"Aprati","given":"Tyler J."},{"family":"Liu","given":"David"},{"family":"Gao","given":"JianJiong"},{"family":"Capelletti","given":"Marzia"},{"family":"Pekala","given":"Kelly"},{"family":"Loudon","given":"Lisa"},{"family":"Perry","given":"Maria"},{"family":"Bandlamudi","given":"Chaitanya"},{"family":"Donoghue","given":"Mark"},{"family":"Satravada","given":"Baby Anusha"},{"family":"Martin","given":"Axel"},{"family":"Shen","given":"Ronglai"},{"family":"Chen","given":"Yuan"},{"family":"Brannon","given":"A. Rose"},{"family":"Chang","given":"Jason"},{"family":"Braunstein","given":"Lior"},{"family":"Li","given":"Anyi"},{"family":"Safonov","given":"Anton"},{"family":"Stonestrom","given":"Aaron"},{"family":"Sanchez-Vela","given":"Pablo"},{"family":"Wilhelm","given":"Clare"},{"family":"Robson","given":"Mark"},{"family":"Scher","given":"Howard"},{"family":"Ladanyi","given":"Marc"},{"family":"Reis-Filho","given":"Jorge S."},{"family":"Solit","given":"David B."},{"family":"Jones","given":"David R."},{"family":"Gomez","given":"Daniel"},{"family":"Yu","given":"Helena"},{"family":"Chakravarty","given":"Debyani"},{"family":"Yaeger","given":"Rona"},{"family":"Abida","given":"Wassim"},{"family":"Park","given":"Wungki"},{"family":"O’Reilly","given":"Eileen M."},{"family":"Garcia-Aguilar","given":"Julio"},{"family":"Socci","given":"Nicholas"},{"family":"Sanchez-Vega","given":"Francisco"},{"family":"Carrot-Zhang","given":"Jian"},{"family":"Stetson","given":"Peter D."},{"family":"Levine","given":"Ross"},{"family":"Rudin","given":"Charles M."},{"family":"Berger","given":"Michael F."},{"family":"Shah","given":"Sohrab P."},{"family":"Schrag","given":"Deborah"},{"family":"Razavi","given":"Pedram"},{"family":"Kehl","given":"Kenneth L."},{"family":"Li","given":"Bob T."},{"family":"Riely","given":"Gregory J."},{"family":"Schultz","given":"Nikolaus"}],"issued":{"date-parts":[["2024",12]]}}}],"schema":"https://github.com/citation-style-language/schema/raw/master/csl-citation.json"} </w:instrText>
      </w:r>
      <w:r w:rsidR="009C3D53">
        <w:fldChar w:fldCharType="separate"/>
      </w:r>
      <w:r w:rsidR="009C3D53" w:rsidRPr="009C3D53">
        <w:rPr>
          <w:rFonts w:ascii="Calibri" w:hAnsi="Calibri" w:cs="Calibri"/>
          <w:vertAlign w:val="superscript"/>
        </w:rPr>
        <w:t>9</w:t>
      </w:r>
      <w:r w:rsidR="009C3D53">
        <w:fldChar w:fldCharType="end"/>
      </w:r>
      <w:r w:rsidR="009C3D53">
        <w:t xml:space="preserve"> were compared</w:t>
      </w:r>
      <w:r w:rsidR="007C54B3">
        <w:t xml:space="preserve"> by region typ</w:t>
      </w:r>
      <w:r w:rsidR="00D643FD">
        <w:t xml:space="preserve">e. For example, the “Augmented + Problematic” </w:t>
      </w:r>
      <w:r w:rsidR="00351B52">
        <w:t>panel</w:t>
      </w:r>
      <w:r w:rsidR="00D643FD">
        <w:t xml:space="preserve"> show the VAFs for those mutations which appear in those regions that were augmented in the EXaCT-2 assay and were classified as being problematic by the Genome In a Bottle </w:t>
      </w:r>
      <w:r w:rsidR="007C4775">
        <w:t>consortium</w:t>
      </w:r>
      <w:r w:rsidR="003A44DF">
        <w:fldChar w:fldCharType="begin"/>
      </w:r>
      <w:r w:rsidR="003A44DF">
        <w:instrText xml:space="preserve"> ADDIN ZOTERO_ITEM CSL_CITATION {"citationID":"Worf0v8L","properties":{"formattedCitation":"\\super 10\\nosupersub{}","plainCitation":"10","noteIndex":0},"citationItems":[{"id":236,"uris":["http://zotero.org/users/local/wIF2fIsu/items/78Q5FKFH"],"itemData":{"id":236,"type":"article-journal","abstract":"The Genome in a Bottle Consortium, hosted by the National Institute of Standards and Technology (NIST) is creating reference materials and data for human genome sequencing, as well as methods for genome comparison and benchmarking. Here, we describe a large, diverse set of sequencing data for seven human genomes; five are current or candidate NIST Reference Materials. The pilot genome, NA12878, has been released as NIST RM 8398. We also describe data from two Personal Genome Project trios, one of Ashkenazim Jewish ancestry and one of Chinese ancestry. The data come from 12 technologies: BioNano Genomics, Complete Genomics paired-end and LFR, Ion Proton exome, Oxford Nanopore, Pacific Biosciences, SOLiD, 10X Genomics GemCode WGS, and Illumina exome and WGS paired-end, mate-pair, and synthetic long reads. Cell lines, DNA, and data from these individuals are publicly available. Therefore, we expect these data to be useful for revealing novel information about the human genome and improving sequencing technologies, SNP, indel, and structural variant calling, and de novo assembly.","container-title":"Scientific Data","DOI":"10.1038/sdata.2016.25","ISSN":"2052-4463","issue":"1","journalAbbreviation":"Sci Data","language":"en","license":"2016 The Author(s)","note":"publisher: Nature Publishing Group","page":"160025","source":"www-nature-com.ezproxy.med.cornell.edu","title":"Extensive sequencing of seven human genomes to characterize benchmark reference materials","volume":"3","author":[{"family":"Zook","given":"Justin M."},{"family":"Catoe","given":"David"},{"family":"McDaniel","given":"Jennifer"},{"family":"Vang","given":"Lindsay"},{"family":"Spies","given":"Noah"},{"family":"Sidow","given":"Arend"},{"family":"Weng","given":"Ziming"},{"family":"Liu","given":"Yuling"},{"family":"Mason","given":"Christopher E."},{"family":"Alexander","given":"Noah"},{"family":"Henaff","given":"Elizabeth"},{"family":"McIntyre","given":"Alexa B. R."},{"family":"Chandramohan","given":"Dhruva"},{"family":"Chen","given":"Feng"},{"family":"Jaeger","given":"Erich"},{"family":"Moshrefi","given":"Ali"},{"family":"Pham","given":"Khoa"},{"family":"Stedman","given":"William"},{"family":"Liang","given":"Tiffany"},{"family":"Saghbini","given":"Michael"},{"family":"Dzakula","given":"Zeljko"},{"family":"Hastie","given":"Alex"},{"family":"Cao","given":"Han"},{"family":"Deikus","given":"Gintaras"},{"family":"Schadt","given":"Eric"},{"family":"Sebra","given":"Robert"},{"family":"Bashir","given":"Ali"},{"family":"Truty","given":"Rebecca M."},{"family":"Chang","given":"Christopher C."},{"family":"Gulbahce","given":"Natali"},{"family":"Zhao","given":"Keyan"},{"family":"Ghosh","given":"Srinka"},{"family":"Hyland","given":"Fiona"},{"family":"Fu","given":"Yutao"},{"family":"Chaisson","given":"Mark"},{"family":"Xiao","given":"Chunlin"},{"family":"Trow","given":"Jonathan"},{"family":"Sherry","given":"Stephen T."},{"family":"Zaranek","given":"Alexander W."},{"family":"Ball","given":"Madeleine"},{"family":"Bobe","given":"Jason"},{"family":"Estep","given":"Preston"},{"family":"Church","given":"George M."},{"family":"Marks","given":"Patrick"},{"family":"Kyriazopoulou-Panagiotopoulou","given":"Sofia"},{"family":"Zheng","given":"Grace X. Y."},{"family":"Schnall-Levin","given":"Michael"},{"family":"Ordonez","given":"Heather S."},{"family":"Mudivarti","given":"Patrice A."},{"family":"Giorda","given":"Kristina"},{"family":"Sheng","given":"Ying"},{"family":"Rypdal","given":"Karoline Bjarnesdatter"},{"family":"Salit","given":"Marc"}],"issued":{"date-parts":[["2016",6,7]]}}}],"schema":"https://github.com/citation-style-language/schema/raw/master/csl-citation.json"} </w:instrText>
      </w:r>
      <w:r w:rsidR="003A44DF">
        <w:fldChar w:fldCharType="separate"/>
      </w:r>
      <w:r w:rsidR="003A44DF" w:rsidRPr="003A44DF">
        <w:rPr>
          <w:rFonts w:ascii="Calibri" w:hAnsi="Calibri" w:cs="Calibri"/>
          <w:vertAlign w:val="superscript"/>
        </w:rPr>
        <w:t>10</w:t>
      </w:r>
      <w:r w:rsidR="003A44DF">
        <w:fldChar w:fldCharType="end"/>
      </w:r>
      <w:r w:rsidR="003A44DF">
        <w:t xml:space="preserve"> along with those regions that were predicted to have a GC content greater than or equal to 80% by the UCSC Genome Browser</w:t>
      </w:r>
      <w:r w:rsidR="003A44DF">
        <w:fldChar w:fldCharType="begin"/>
      </w:r>
      <w:r w:rsidR="003A44DF">
        <w:instrText xml:space="preserve"> ADDIN ZOTERO_ITEM CSL_CITATION {"citationID":"5CrvR0Rk","properties":{"formattedCitation":"\\super 11\\nosupersub{}","plainCitation":"11","noteIndex":0},"citationItems":[{"id":238,"uris":["http://zotero.org/users/local/wIF2fIsu/items/EVWVF2CY"],"itemData":{"id":238,"type":"article-journal","abstract":"The UCSC Genome Browser (https://genome.ucsc.edu) is a widely utilized web-based tool for visualization and analysis of genomic data, encompassing over 4000 assemblies from diverse organisms. Since its release in 2001, it has become an essential resource for genomics and bioinformatics research. Annotation data available on Genome Browser includes both internally created and maintained tracks as well as custom tracks and track hubs provided by the research community. This last year's updates include over 25 new annotation tracks such as the gnomAD 4.1 track on the human GRCh38/hg38 assembly, the addition of three new public hubs, and significant expansions to the Genome Archive[GenArk) system for interacting with the enormous variety of assemblies. We have also made improvements to our interface, including updates to the browser graphic page, such as a new popup dialog feature that now displays item details without requiring navigation away from the main Genome Browser page. GenePred tracks have been upgraded with right-click options for zooming and precise navigation, along with enhanced mouseOver functions. Additional improvements include a new grouping feature for track hubs and hub description info links. A new tutorial focusing on Clinical Genetics has also been added to the UCSC Genome Browser.","container-title":"Nucleic Acids Research","DOI":"10.1093/nar/gkae974","ISSN":"1362-4962","issue":"D1","journalAbbreviation":"Nucleic Acids Research","page":"D1243-D1249","source":"Silverchair","title":"The UCSC Genome Browser database: 2025 update","title-short":"The UCSC Genome Browser database","volume":"53","author":[{"family":"Perez","given":"Gerardo"},{"family":"Barber","given":"Galt P"},{"family":"Benet-Pages","given":"Anna"},{"family":"Casper","given":"Jonathan"},{"family":"Clawson","given":"Hiram"},{"family":"Diekhans","given":"Mark"},{"family":"Fischer","given":"Clay"},{"family":"Gonzalez","given":"Jairo Navarro"},{"family":"Hinrichs","given":"Angie S"},{"family":"Lee","given":"Christopher M"},{"family":"Nassar","given":"Luis R"},{"family":"Raney","given":"Brian J"},{"family":"Speir","given":"Matthew L"},{"family":"van Baren","given":"Marijke J"},{"family":"Vaske","given":"Charles J"},{"family":"Haussler","given":"David"},{"family":"Kent","given":"W James"},{"family":"Haeussler","given":"Maximilian"}],"issued":{"date-parts":[["2025",1,6]]}}}],"schema":"https://github.com/citation-style-language/schema/raw/master/csl-citation.json"} </w:instrText>
      </w:r>
      <w:r w:rsidR="003A44DF">
        <w:fldChar w:fldCharType="separate"/>
      </w:r>
      <w:r w:rsidR="003A44DF" w:rsidRPr="003A44DF">
        <w:rPr>
          <w:rFonts w:ascii="Calibri" w:hAnsi="Calibri" w:cs="Calibri"/>
          <w:vertAlign w:val="superscript"/>
        </w:rPr>
        <w:t>11</w:t>
      </w:r>
      <w:r w:rsidR="003A44DF">
        <w:fldChar w:fldCharType="end"/>
      </w:r>
      <w:r w:rsidR="00D643FD">
        <w:t>.</w:t>
      </w:r>
      <w:r w:rsidR="00351B52">
        <w:t xml:space="preserve"> Similarly, the “Standard Only” panel displays the VAFs of the mutations that appear in those regions</w:t>
      </w:r>
      <w:r w:rsidR="005D1D91">
        <w:t xml:space="preserve"> that weren’t predicted to be problematic, and for which the EXaCT-2 use</w:t>
      </w:r>
      <w:r w:rsidR="00931A82">
        <w:t>s</w:t>
      </w:r>
      <w:r w:rsidR="005D1D91">
        <w:t xml:space="preserve"> a standard sequencing coverage</w:t>
      </w:r>
      <w:r w:rsidR="00931A82">
        <w:t xml:space="preserve"> as those of other platforms. As such, </w:t>
      </w:r>
      <w:r w:rsidR="009940E6">
        <w:t xml:space="preserve">the sequencing performed by the EXaCT-2 in the two “Standard” sequencing panels is most </w:t>
      </w:r>
      <w:proofErr w:type="gramStart"/>
      <w:r w:rsidR="009940E6">
        <w:t>similar to</w:t>
      </w:r>
      <w:proofErr w:type="gramEnd"/>
      <w:r w:rsidR="009940E6">
        <w:t xml:space="preserve"> that which was performed for the TCGA </w:t>
      </w:r>
      <w:proofErr w:type="spellStart"/>
      <w:r w:rsidR="009940E6">
        <w:t>PanCancer</w:t>
      </w:r>
      <w:proofErr w:type="spellEnd"/>
      <w:r w:rsidR="009940E6">
        <w:t xml:space="preserve"> Project.</w:t>
      </w:r>
      <w:r w:rsidR="00C05142">
        <w:t xml:space="preserve"> </w:t>
      </w:r>
    </w:p>
    <w:p w14:paraId="718D0003" w14:textId="77777777" w:rsidR="00A34434" w:rsidRDefault="00A34434" w:rsidP="00226F2F"/>
    <w:p w14:paraId="5C7B00A4" w14:textId="06329E96" w:rsidR="00166ECC" w:rsidRDefault="00166ECC" w:rsidP="00226F2F">
      <w:r>
        <w:t xml:space="preserve">Note, the data for the MSK-CHORD project is completed for completeness, but as shown in figures S9-S11, the distribution of VAFs doesn’t change appreciably between the regions, which is likely due it being a high-depth, targeted panel, as opposed to the EXaCT-2 assay or the platforms used for the TCGA </w:t>
      </w:r>
      <w:proofErr w:type="spellStart"/>
      <w:r>
        <w:t>PanCancer</w:t>
      </w:r>
      <w:proofErr w:type="spellEnd"/>
      <w:r>
        <w:t xml:space="preserve"> project.</w:t>
      </w:r>
    </w:p>
    <w:p w14:paraId="71795369" w14:textId="77777777" w:rsidR="00166ECC" w:rsidRDefault="00166ECC" w:rsidP="00226F2F"/>
    <w:p w14:paraId="2AC563D5" w14:textId="7900C9E7" w:rsidR="00A34434" w:rsidRDefault="00A34434" w:rsidP="00226F2F">
      <w:r>
        <w:t>As shown in figures S9-S1</w:t>
      </w:r>
      <w:r w:rsidR="00D9674F">
        <w:t>2</w:t>
      </w:r>
      <w:r>
        <w:t xml:space="preserve">, the </w:t>
      </w:r>
      <w:r w:rsidR="00BF76FE">
        <w:t>VAFs of the mutati</w:t>
      </w:r>
      <w:r w:rsidR="003A3BD1">
        <w:t>ons</w:t>
      </w:r>
      <w:r w:rsidR="00BF76FE">
        <w:t xml:space="preserve"> identified by </w:t>
      </w:r>
      <w:r>
        <w:t xml:space="preserve">EXaCT-2 </w:t>
      </w:r>
      <w:r w:rsidR="00BF76FE">
        <w:t>assay</w:t>
      </w:r>
      <w:r w:rsidR="003A3BD1">
        <w:t xml:space="preserve"> in the regions of standard coverage display a second mode that </w:t>
      </w:r>
      <w:r w:rsidR="00485A0E">
        <w:t>is</w:t>
      </w:r>
      <w:r w:rsidR="003A3BD1">
        <w:t xml:space="preserve"> centered near or below 0.</w:t>
      </w:r>
      <w:r w:rsidR="009975BE">
        <w:t>1 when the number of reads with supporting the alternative allele (alt reads for short)</w:t>
      </w:r>
      <w:r w:rsidR="004C3D84">
        <w:t xml:space="preserve"> is less than 15. For example, when the minimum number of alt reads is 5, there is a sizable second mode that is centered </w:t>
      </w:r>
      <w:r w:rsidR="00B759EA">
        <w:t>near 0.05</w:t>
      </w:r>
      <w:r w:rsidR="00D60612">
        <w:t xml:space="preserve"> (Figure S10)</w:t>
      </w:r>
      <w:r w:rsidR="00B759EA">
        <w:t>. Similarly, when using the slightly more stringent threshold of 10, there still appears to be a small mode, centered near 0.1</w:t>
      </w:r>
      <w:r w:rsidR="00D60612">
        <w:t xml:space="preserve"> (Figure S11)</w:t>
      </w:r>
      <w:r w:rsidR="00B759EA">
        <w:t>.</w:t>
      </w:r>
      <w:r w:rsidR="00930676">
        <w:t xml:space="preserve"> In contrast, the distribution of TCGA VAFs show no such secondary mode</w:t>
      </w:r>
      <w:r w:rsidR="009020E5">
        <w:t xml:space="preserve">, indicating that these secondary modes in the distributions of EXaCT-2 VAFs likely </w:t>
      </w:r>
      <w:r w:rsidR="009A22AD">
        <w:t xml:space="preserve">stem from the inclusion of </w:t>
      </w:r>
      <w:r w:rsidR="009020E5">
        <w:t>artifactual mutations</w:t>
      </w:r>
      <w:r w:rsidR="00930676">
        <w:t>.</w:t>
      </w:r>
    </w:p>
    <w:p w14:paraId="7E590C0F" w14:textId="77777777" w:rsidR="00270E4C" w:rsidRDefault="00270E4C" w:rsidP="00226F2F"/>
    <w:p w14:paraId="6430C0B8" w14:textId="77777777" w:rsidR="00087752" w:rsidRDefault="00087752" w:rsidP="00226F2F">
      <w:pPr>
        <w:keepNext/>
      </w:pPr>
      <w:r>
        <w:rPr>
          <w:noProof/>
        </w:rPr>
        <w:lastRenderedPageBreak/>
        <w:drawing>
          <wp:inline distT="0" distB="0" distL="0" distR="0" wp14:anchorId="37228802" wp14:editId="2A14A237">
            <wp:extent cx="4800600" cy="3086100"/>
            <wp:effectExtent l="0" t="0" r="0" b="0"/>
            <wp:docPr id="83393046"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93046" name="Graphic 1"/>
                    <pic:cNvPicPr/>
                  </pic:nvPicPr>
                  <pic:blipFill>
                    <a:blip r:embed="rId24">
                      <a:extLst>
                        <a:ext uri="{96DAC541-7B7A-43D3-8B79-37D633B846F1}">
                          <asvg:svgBlip xmlns:asvg="http://schemas.microsoft.com/office/drawing/2016/SVG/main" r:embed="rId25"/>
                        </a:ext>
                      </a:extLst>
                    </a:blip>
                    <a:stretch>
                      <a:fillRect/>
                    </a:stretch>
                  </pic:blipFill>
                  <pic:spPr>
                    <a:xfrm>
                      <a:off x="0" y="0"/>
                      <a:ext cx="4800600" cy="3086100"/>
                    </a:xfrm>
                    <a:prstGeom prst="rect">
                      <a:avLst/>
                    </a:prstGeom>
                  </pic:spPr>
                </pic:pic>
              </a:graphicData>
            </a:graphic>
          </wp:inline>
        </w:drawing>
      </w:r>
    </w:p>
    <w:p w14:paraId="0F1E8DB7" w14:textId="44BC8251" w:rsidR="00B160E6" w:rsidRPr="00B160E6" w:rsidRDefault="00087752" w:rsidP="00226F2F">
      <w:pPr>
        <w:pStyle w:val="Caption"/>
      </w:pPr>
      <w:r w:rsidRPr="00087752">
        <w:rPr>
          <w:b/>
          <w:bCs/>
        </w:rPr>
        <w:t xml:space="preserve">Figure </w:t>
      </w:r>
      <w:r w:rsidR="006F78E9">
        <w:rPr>
          <w:b/>
          <w:bCs/>
        </w:rPr>
        <w:t>S</w:t>
      </w:r>
      <w:r w:rsidRPr="00087752">
        <w:rPr>
          <w:b/>
          <w:bCs/>
        </w:rPr>
        <w:fldChar w:fldCharType="begin"/>
      </w:r>
      <w:r w:rsidRPr="00087752">
        <w:rPr>
          <w:b/>
          <w:bCs/>
        </w:rPr>
        <w:instrText xml:space="preserve"> SEQ Figure \* ARABIC </w:instrText>
      </w:r>
      <w:r w:rsidRPr="00087752">
        <w:rPr>
          <w:b/>
          <w:bCs/>
        </w:rPr>
        <w:fldChar w:fldCharType="separate"/>
      </w:r>
      <w:r w:rsidR="00D60612">
        <w:rPr>
          <w:b/>
          <w:bCs/>
          <w:noProof/>
        </w:rPr>
        <w:t>9</w:t>
      </w:r>
      <w:r w:rsidRPr="00087752">
        <w:rPr>
          <w:b/>
          <w:bCs/>
        </w:rPr>
        <w:fldChar w:fldCharType="end"/>
      </w:r>
      <w:r w:rsidRPr="00087752">
        <w:rPr>
          <w:b/>
          <w:bCs/>
        </w:rPr>
        <w:t xml:space="preserve">: Distribution of VAFs by Platform for All Mutations Supported </w:t>
      </w:r>
      <w:r w:rsidR="00D062BD">
        <w:rPr>
          <w:b/>
          <w:bCs/>
        </w:rPr>
        <w:t>by 1</w:t>
      </w:r>
      <w:r w:rsidRPr="00087752">
        <w:rPr>
          <w:b/>
          <w:bCs/>
        </w:rPr>
        <w:t>5 or More Alt Reads.</w:t>
      </w:r>
      <w:r>
        <w:t xml:space="preserve"> </w:t>
      </w:r>
      <w:r w:rsidR="0095600A">
        <w:t xml:space="preserve">The distribution of the EXaCT-2 mutational VAFs in the </w:t>
      </w:r>
      <w:r w:rsidR="00C04034">
        <w:t xml:space="preserve">regions of </w:t>
      </w:r>
      <w:r w:rsidR="0095600A">
        <w:t>‘</w:t>
      </w:r>
      <w:r w:rsidR="00DE73EC">
        <w:t>S</w:t>
      </w:r>
      <w:r w:rsidR="0095600A">
        <w:t xml:space="preserve">tandard’ </w:t>
      </w:r>
      <w:r w:rsidR="00C04034">
        <w:t xml:space="preserve">coverage </w:t>
      </w:r>
      <w:r w:rsidR="0095600A">
        <w:t>closely approximates the distribution</w:t>
      </w:r>
      <w:r w:rsidR="00944A84">
        <w:t xml:space="preserve"> of VAFs from the TCGA. In contrast, </w:t>
      </w:r>
      <w:r w:rsidR="000C3870">
        <w:t>the distributions of the</w:t>
      </w:r>
      <w:r w:rsidR="002278F0">
        <w:t xml:space="preserve"> EXaCT-2</w:t>
      </w:r>
      <w:r w:rsidR="000C3870">
        <w:t xml:space="preserve"> mutational </w:t>
      </w:r>
      <w:r w:rsidR="002278F0">
        <w:t>VAFs for</w:t>
      </w:r>
      <w:r w:rsidR="000C3870">
        <w:t xml:space="preserve"> the ‘Augmented’ regions</w:t>
      </w:r>
      <w:r w:rsidR="002278F0">
        <w:t xml:space="preserve"> demonstrates that the lower tails</w:t>
      </w:r>
      <w:r w:rsidR="00000368">
        <w:t xml:space="preserve"> are clearly lower and broader than is reported by the TCGA</w:t>
      </w:r>
      <w:r w:rsidR="00E36E49">
        <w:t xml:space="preserve">, representing </w:t>
      </w:r>
      <w:r w:rsidR="00C91B59">
        <w:t>the far greater sensitivity offered by the EXaCT-2 platform</w:t>
      </w:r>
      <w:r w:rsidR="005A7B90">
        <w:t xml:space="preserve"> than standard sequencing assays</w:t>
      </w:r>
      <w:r w:rsidR="00D45437">
        <w:t>, even when using a minimum threshold as stringent as</w:t>
      </w:r>
      <w:r w:rsidR="008305CA">
        <w:t xml:space="preserve"> requiring</w:t>
      </w:r>
      <w:r w:rsidR="00D45437">
        <w:t xml:space="preserve"> 15</w:t>
      </w:r>
      <w:r w:rsidR="008305CA">
        <w:t xml:space="preserve"> alt reads</w:t>
      </w:r>
      <w:r w:rsidR="00D14A66">
        <w:t>.</w:t>
      </w:r>
    </w:p>
    <w:p w14:paraId="0A11F7F9" w14:textId="77777777" w:rsidR="000710DB" w:rsidRDefault="000710DB" w:rsidP="00226F2F"/>
    <w:p w14:paraId="73DCEB8C" w14:textId="77777777" w:rsidR="00D062BD" w:rsidRDefault="00D062BD" w:rsidP="00226F2F">
      <w:pPr>
        <w:keepNext/>
      </w:pPr>
      <w:r>
        <w:rPr>
          <w:noProof/>
        </w:rPr>
        <w:drawing>
          <wp:inline distT="0" distB="0" distL="0" distR="0" wp14:anchorId="1494E01B" wp14:editId="0CC0642E">
            <wp:extent cx="4800600" cy="3086100"/>
            <wp:effectExtent l="0" t="0" r="0" b="0"/>
            <wp:docPr id="958212337"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212337" name="Graphic 2"/>
                    <pic:cNvPicPr/>
                  </pic:nvPicPr>
                  <pic:blipFill>
                    <a:blip r:embed="rId26">
                      <a:extLst>
                        <a:ext uri="{96DAC541-7B7A-43D3-8B79-37D633B846F1}">
                          <asvg:svgBlip xmlns:asvg="http://schemas.microsoft.com/office/drawing/2016/SVG/main" r:embed="rId27"/>
                        </a:ext>
                      </a:extLst>
                    </a:blip>
                    <a:stretch>
                      <a:fillRect/>
                    </a:stretch>
                  </pic:blipFill>
                  <pic:spPr>
                    <a:xfrm>
                      <a:off x="0" y="0"/>
                      <a:ext cx="4800600" cy="3086100"/>
                    </a:xfrm>
                    <a:prstGeom prst="rect">
                      <a:avLst/>
                    </a:prstGeom>
                  </pic:spPr>
                </pic:pic>
              </a:graphicData>
            </a:graphic>
          </wp:inline>
        </w:drawing>
      </w:r>
    </w:p>
    <w:p w14:paraId="5E157F0E" w14:textId="19E01619" w:rsidR="000710DB" w:rsidRDefault="00D062BD" w:rsidP="00226F2F">
      <w:pPr>
        <w:pStyle w:val="Caption"/>
      </w:pPr>
      <w:r w:rsidRPr="003C53FF">
        <w:rPr>
          <w:b/>
          <w:bCs/>
        </w:rPr>
        <w:t xml:space="preserve">Figure </w:t>
      </w:r>
      <w:r w:rsidR="006F78E9">
        <w:rPr>
          <w:b/>
          <w:bCs/>
        </w:rPr>
        <w:t>S</w:t>
      </w:r>
      <w:r w:rsidRPr="003C53FF">
        <w:rPr>
          <w:b/>
          <w:bCs/>
        </w:rPr>
        <w:fldChar w:fldCharType="begin"/>
      </w:r>
      <w:r w:rsidRPr="003C53FF">
        <w:rPr>
          <w:b/>
          <w:bCs/>
        </w:rPr>
        <w:instrText xml:space="preserve"> SEQ Figure \* ARABIC </w:instrText>
      </w:r>
      <w:r w:rsidRPr="003C53FF">
        <w:rPr>
          <w:b/>
          <w:bCs/>
        </w:rPr>
        <w:fldChar w:fldCharType="separate"/>
      </w:r>
      <w:r w:rsidR="00D60612" w:rsidRPr="003C53FF">
        <w:rPr>
          <w:b/>
          <w:bCs/>
          <w:noProof/>
        </w:rPr>
        <w:t>10</w:t>
      </w:r>
      <w:r w:rsidRPr="003C53FF">
        <w:rPr>
          <w:b/>
          <w:bCs/>
        </w:rPr>
        <w:fldChar w:fldCharType="end"/>
      </w:r>
      <w:r w:rsidRPr="003C53FF">
        <w:rPr>
          <w:b/>
          <w:bCs/>
        </w:rPr>
        <w:t>: Distribution of VAFs by Platform for All Mutations Supported by 5 or More Alt Reads.</w:t>
      </w:r>
      <w:r w:rsidRPr="00F44601">
        <w:t xml:space="preserve"> </w:t>
      </w:r>
      <w:r w:rsidR="003C53FF">
        <w:t xml:space="preserve">Unlike the distributions presented in Figure S9, </w:t>
      </w:r>
      <w:r w:rsidR="00EB3D74">
        <w:t>there are secondary</w:t>
      </w:r>
      <w:r w:rsidR="009F69F3">
        <w:t>, low-VAF</w:t>
      </w:r>
      <w:r w:rsidR="00EB3D74">
        <w:t xml:space="preserve"> modes in the</w:t>
      </w:r>
      <w:r w:rsidR="00CB284D">
        <w:t xml:space="preserve"> distribution of</w:t>
      </w:r>
      <w:r w:rsidR="00EB3D74">
        <w:t xml:space="preserve"> </w:t>
      </w:r>
      <w:r w:rsidR="00CB284D">
        <w:t>EXaCT-2 mutational VAFs, regardless of the region</w:t>
      </w:r>
      <w:r w:rsidR="007B461D">
        <w:t>, when using a minimum alt read threshold of 5 reads</w:t>
      </w:r>
      <w:r w:rsidR="006F747F">
        <w:t xml:space="preserve">. </w:t>
      </w:r>
      <w:r w:rsidR="00045181">
        <w:t xml:space="preserve">In contrast, neither the EXaCT-2 nor the </w:t>
      </w:r>
      <w:r w:rsidR="006724B2">
        <w:t xml:space="preserve">TCGA-WES distributions contain these secondary, low-VAF modes. </w:t>
      </w:r>
      <w:r w:rsidR="006F747F">
        <w:t>As these</w:t>
      </w:r>
      <w:r w:rsidR="006724B2">
        <w:t xml:space="preserve"> secondary modes</w:t>
      </w:r>
      <w:r w:rsidR="006F747F">
        <w:t xml:space="preserve"> appear in the regions of standard coverage</w:t>
      </w:r>
      <w:r w:rsidR="007B461D">
        <w:t xml:space="preserve">, this indicates that </w:t>
      </w:r>
      <w:r w:rsidR="009337AD">
        <w:t>these distributions include artifactual mutations</w:t>
      </w:r>
      <w:r w:rsidR="00F937D3">
        <w:t xml:space="preserve"> that are potentially the result of random sequencing errors.</w:t>
      </w:r>
    </w:p>
    <w:p w14:paraId="7E31DE13" w14:textId="77777777" w:rsidR="00D062BD" w:rsidRDefault="00D062BD" w:rsidP="00226F2F">
      <w:pPr>
        <w:keepNext/>
      </w:pPr>
      <w:r>
        <w:rPr>
          <w:noProof/>
        </w:rPr>
        <w:lastRenderedPageBreak/>
        <w:drawing>
          <wp:inline distT="0" distB="0" distL="0" distR="0" wp14:anchorId="682C1895" wp14:editId="71A7999F">
            <wp:extent cx="4800600" cy="3086100"/>
            <wp:effectExtent l="0" t="0" r="0" b="0"/>
            <wp:docPr id="321062987"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062987" name="Graphic 321062987"/>
                    <pic:cNvPicPr/>
                  </pic:nvPicPr>
                  <pic:blipFill>
                    <a:blip r:embed="rId28">
                      <a:extLst>
                        <a:ext uri="{96DAC541-7B7A-43D3-8B79-37D633B846F1}">
                          <asvg:svgBlip xmlns:asvg="http://schemas.microsoft.com/office/drawing/2016/SVG/main" r:embed="rId29"/>
                        </a:ext>
                      </a:extLst>
                    </a:blip>
                    <a:stretch>
                      <a:fillRect/>
                    </a:stretch>
                  </pic:blipFill>
                  <pic:spPr>
                    <a:xfrm>
                      <a:off x="0" y="0"/>
                      <a:ext cx="4800600" cy="3086100"/>
                    </a:xfrm>
                    <a:prstGeom prst="rect">
                      <a:avLst/>
                    </a:prstGeom>
                  </pic:spPr>
                </pic:pic>
              </a:graphicData>
            </a:graphic>
          </wp:inline>
        </w:drawing>
      </w:r>
    </w:p>
    <w:p w14:paraId="27086CF1" w14:textId="49FD6A33" w:rsidR="000710DB" w:rsidRDefault="00D062BD" w:rsidP="00226F2F">
      <w:pPr>
        <w:pStyle w:val="Caption"/>
      </w:pPr>
      <w:r w:rsidRPr="00BE1457">
        <w:rPr>
          <w:b/>
          <w:bCs/>
        </w:rPr>
        <w:t xml:space="preserve">Figure </w:t>
      </w:r>
      <w:r w:rsidR="006F78E9">
        <w:rPr>
          <w:b/>
          <w:bCs/>
        </w:rPr>
        <w:t>S</w:t>
      </w:r>
      <w:r w:rsidRPr="00BE1457">
        <w:rPr>
          <w:b/>
          <w:bCs/>
        </w:rPr>
        <w:fldChar w:fldCharType="begin"/>
      </w:r>
      <w:r w:rsidRPr="00BE1457">
        <w:rPr>
          <w:b/>
          <w:bCs/>
        </w:rPr>
        <w:instrText xml:space="preserve"> SEQ Figure \* ARABIC </w:instrText>
      </w:r>
      <w:r w:rsidRPr="00BE1457">
        <w:rPr>
          <w:b/>
          <w:bCs/>
        </w:rPr>
        <w:fldChar w:fldCharType="separate"/>
      </w:r>
      <w:r w:rsidR="00D60612" w:rsidRPr="00BE1457">
        <w:rPr>
          <w:b/>
          <w:bCs/>
          <w:noProof/>
        </w:rPr>
        <w:t>11</w:t>
      </w:r>
      <w:r w:rsidRPr="00BE1457">
        <w:rPr>
          <w:b/>
          <w:bCs/>
        </w:rPr>
        <w:fldChar w:fldCharType="end"/>
      </w:r>
      <w:r w:rsidRPr="00BE1457">
        <w:rPr>
          <w:b/>
          <w:bCs/>
        </w:rPr>
        <w:t>: Distribution of VAFs by Platform for All Mutations Supported by 10 or More Alt Reads.</w:t>
      </w:r>
      <w:r w:rsidRPr="00062F7A">
        <w:t xml:space="preserve"> </w:t>
      </w:r>
      <w:r w:rsidR="0011783C">
        <w:t>Unlike the distributions presented in Figure S9</w:t>
      </w:r>
      <w:r w:rsidR="00A5088C">
        <w:t>, when using a minimum alt read threshold of 10 reads</w:t>
      </w:r>
      <w:r w:rsidR="0011783C">
        <w:t>, there are secondary, low-VAF modes in the distribution of EXaCT-2 mutational VAFs</w:t>
      </w:r>
      <w:r w:rsidR="006F2408">
        <w:t xml:space="preserve"> in all</w:t>
      </w:r>
      <w:r w:rsidR="0011783C">
        <w:t xml:space="preserve"> region</w:t>
      </w:r>
      <w:r w:rsidR="006F2408">
        <w:t>s</w:t>
      </w:r>
      <w:r w:rsidR="0011783C">
        <w:t xml:space="preserve">. </w:t>
      </w:r>
      <w:r w:rsidR="004B7C6F">
        <w:t>While the secondary, low-VA</w:t>
      </w:r>
      <w:r w:rsidR="006F2408">
        <w:t>F</w:t>
      </w:r>
      <w:r w:rsidR="004B7C6F">
        <w:t xml:space="preserve"> modes </w:t>
      </w:r>
      <w:r w:rsidR="00F93A3A">
        <w:t xml:space="preserve">in the ‘Standard’ regions </w:t>
      </w:r>
      <w:r w:rsidR="004B7C6F">
        <w:t xml:space="preserve">aren’t as pronounced </w:t>
      </w:r>
      <w:r w:rsidR="00F93A3A">
        <w:t>as those in Figure S10</w:t>
      </w:r>
      <w:r w:rsidR="007F69F7">
        <w:t xml:space="preserve">, they are </w:t>
      </w:r>
      <w:r w:rsidR="00A8257B">
        <w:t>clearly apparent via visual inspection, indi</w:t>
      </w:r>
      <w:r w:rsidR="00B800B5">
        <w:t>cating that these distributions include artifactual mutations.</w:t>
      </w:r>
      <w:r w:rsidR="0090721D">
        <w:t xml:space="preserve"> </w:t>
      </w:r>
      <w:r w:rsidR="0011783C">
        <w:t>In contrast, neither the EXaCT-2 nor the TCGA-WES distributions contain these secondary, low-VAF modes.</w:t>
      </w:r>
    </w:p>
    <w:p w14:paraId="5EF2E3FB" w14:textId="77777777" w:rsidR="00226F2F" w:rsidRPr="00226F2F" w:rsidRDefault="00226F2F" w:rsidP="00226F2F"/>
    <w:p w14:paraId="4EEAA001" w14:textId="77777777" w:rsidR="00D60612" w:rsidRDefault="00D60612" w:rsidP="00226F2F">
      <w:pPr>
        <w:keepNext/>
      </w:pPr>
      <w:r>
        <w:rPr>
          <w:noProof/>
        </w:rPr>
        <w:drawing>
          <wp:inline distT="0" distB="0" distL="0" distR="0" wp14:anchorId="21FB35B1" wp14:editId="7B0A0CC8">
            <wp:extent cx="4800600" cy="3086100"/>
            <wp:effectExtent l="0" t="0" r="0" b="0"/>
            <wp:docPr id="933884507" name="Graph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884507" name="Graphic 933884507"/>
                    <pic:cNvPicPr/>
                  </pic:nvPicPr>
                  <pic:blipFill>
                    <a:blip r:embed="rId30">
                      <a:extLst>
                        <a:ext uri="{96DAC541-7B7A-43D3-8B79-37D633B846F1}">
                          <asvg:svgBlip xmlns:asvg="http://schemas.microsoft.com/office/drawing/2016/SVG/main" r:embed="rId31"/>
                        </a:ext>
                      </a:extLst>
                    </a:blip>
                    <a:stretch>
                      <a:fillRect/>
                    </a:stretch>
                  </pic:blipFill>
                  <pic:spPr>
                    <a:xfrm>
                      <a:off x="0" y="0"/>
                      <a:ext cx="4800600" cy="3086100"/>
                    </a:xfrm>
                    <a:prstGeom prst="rect">
                      <a:avLst/>
                    </a:prstGeom>
                  </pic:spPr>
                </pic:pic>
              </a:graphicData>
            </a:graphic>
          </wp:inline>
        </w:drawing>
      </w:r>
    </w:p>
    <w:p w14:paraId="32FFC32C" w14:textId="45CBB854" w:rsidR="00D60612" w:rsidRPr="00D60612" w:rsidRDefault="00D60612" w:rsidP="00226F2F">
      <w:pPr>
        <w:pStyle w:val="Caption"/>
      </w:pPr>
      <w:r w:rsidRPr="00B81ADF">
        <w:rPr>
          <w:b/>
          <w:bCs/>
        </w:rPr>
        <w:t xml:space="preserve">Figure </w:t>
      </w:r>
      <w:r w:rsidR="00D14F36">
        <w:rPr>
          <w:b/>
          <w:bCs/>
        </w:rPr>
        <w:t>S</w:t>
      </w:r>
      <w:r w:rsidRPr="00B81ADF">
        <w:rPr>
          <w:b/>
          <w:bCs/>
        </w:rPr>
        <w:fldChar w:fldCharType="begin"/>
      </w:r>
      <w:r w:rsidRPr="00B81ADF">
        <w:rPr>
          <w:b/>
          <w:bCs/>
        </w:rPr>
        <w:instrText xml:space="preserve"> SEQ Figure \* ARABIC </w:instrText>
      </w:r>
      <w:r w:rsidRPr="00B81ADF">
        <w:rPr>
          <w:b/>
          <w:bCs/>
        </w:rPr>
        <w:fldChar w:fldCharType="separate"/>
      </w:r>
      <w:r w:rsidRPr="00B81ADF">
        <w:rPr>
          <w:b/>
          <w:bCs/>
          <w:noProof/>
        </w:rPr>
        <w:t>12</w:t>
      </w:r>
      <w:r w:rsidRPr="00B81ADF">
        <w:rPr>
          <w:b/>
          <w:bCs/>
        </w:rPr>
        <w:fldChar w:fldCharType="end"/>
      </w:r>
      <w:r w:rsidRPr="00B81ADF">
        <w:rPr>
          <w:b/>
          <w:bCs/>
        </w:rPr>
        <w:t>: Distribution of VAFs by Platform for All Mutations Supported by 25 or More Alt Reads.</w:t>
      </w:r>
      <w:r w:rsidRPr="00B30389">
        <w:t xml:space="preserve"> </w:t>
      </w:r>
      <w:r w:rsidR="003F7A5D">
        <w:t xml:space="preserve">Included for completeness, this figure demonstrates that further increasing the </w:t>
      </w:r>
      <w:r w:rsidR="001735E2">
        <w:t>minimum alt read threshold</w:t>
      </w:r>
      <w:r w:rsidR="002F1A09">
        <w:t xml:space="preserve"> offers little further benefit</w:t>
      </w:r>
      <w:r w:rsidR="00845100">
        <w:t xml:space="preserve"> to the overall distributions. However, </w:t>
      </w:r>
      <w:r w:rsidR="004B7DAD">
        <w:t>even at this extremely stringent threshold, the</w:t>
      </w:r>
      <w:r w:rsidR="004C144A">
        <w:t xml:space="preserve"> broader and deeper distribution of mutational VAFs provided by the</w:t>
      </w:r>
      <w:r w:rsidR="004B7DAD">
        <w:t xml:space="preserve"> EXaCT-2 assay </w:t>
      </w:r>
      <w:r w:rsidR="00DA43A2">
        <w:t xml:space="preserve">demonstrates that it possesses </w:t>
      </w:r>
      <w:r w:rsidR="004B7DAD">
        <w:t>far great</w:t>
      </w:r>
      <w:r w:rsidR="00910D20">
        <w:t>er sensitivity in the augmented regions</w:t>
      </w:r>
      <w:r w:rsidR="004A00F9">
        <w:t xml:space="preserve"> than is provided by standard sequencing assays</w:t>
      </w:r>
      <w:r w:rsidR="002541AA">
        <w:t>.</w:t>
      </w:r>
    </w:p>
    <w:p w14:paraId="566CABBB" w14:textId="77777777" w:rsidR="0068510F" w:rsidRPr="005B3A1C" w:rsidRDefault="0068510F" w:rsidP="00226F2F">
      <w:pPr>
        <w:pStyle w:val="Heading3"/>
        <w:rPr>
          <w:rFonts w:eastAsia="Calibri"/>
        </w:rPr>
      </w:pPr>
      <w:r>
        <w:rPr>
          <w:rFonts w:eastAsia="Calibri"/>
        </w:rPr>
        <w:t>S</w:t>
      </w:r>
      <w:r w:rsidRPr="00321BB2">
        <w:rPr>
          <w:rFonts w:eastAsia="Times New Roman"/>
        </w:rPr>
        <w:t>ensitivity</w:t>
      </w:r>
      <w:r w:rsidRPr="005B3A1C">
        <w:rPr>
          <w:rFonts w:eastAsia="Calibri"/>
        </w:rPr>
        <w:t xml:space="preserve"> </w:t>
      </w:r>
      <w:r>
        <w:rPr>
          <w:rFonts w:eastAsia="Calibri"/>
        </w:rPr>
        <w:t>analysis</w:t>
      </w:r>
    </w:p>
    <w:p w14:paraId="2204FD47" w14:textId="73545EE5" w:rsidR="0068510F" w:rsidRPr="00107C4E" w:rsidRDefault="0068510F" w:rsidP="00226F2F">
      <w:pPr>
        <w:rPr>
          <w:rFonts w:eastAsia="Cambria" w:cstheme="minorHAnsi"/>
        </w:rPr>
      </w:pPr>
      <w:r w:rsidRPr="00107C4E">
        <w:rPr>
          <w:rFonts w:eastAsia="Cambria" w:cstheme="minorHAnsi"/>
        </w:rPr>
        <w:t xml:space="preserve">As </w:t>
      </w:r>
      <w:r w:rsidRPr="00107C4E">
        <w:rPr>
          <w:rFonts w:eastAsia="Times New Roman" w:cstheme="minorHAnsi"/>
        </w:rPr>
        <w:t xml:space="preserve">an initial test of the EXaCT-2 assay’s accuracy, we performed a sensitivity analysis of germline SNPs and indels using the well-characterized HapMap samples, NA12878 (n=10) and GM24385 (n=1). For this evaluation, the set of SNPs and Indels identified by EXaCT-2 was compared with the expected set of variants </w:t>
      </w:r>
      <w:r w:rsidRPr="00107C4E">
        <w:rPr>
          <w:rFonts w:eastAsia="Times New Roman" w:cstheme="minorHAnsi"/>
        </w:rPr>
        <w:lastRenderedPageBreak/>
        <w:t>for that is provided by the Genome In A Bottle (GIAB) consortium</w:t>
      </w:r>
      <w:r w:rsidRPr="00107C4E">
        <w:rPr>
          <w:rFonts w:eastAsia="Times New Roman" w:cstheme="minorHAnsi"/>
        </w:rPr>
        <w:fldChar w:fldCharType="begin"/>
      </w:r>
      <w:r w:rsidR="003A44DF">
        <w:rPr>
          <w:rFonts w:eastAsia="Times New Roman" w:cstheme="minorHAnsi"/>
        </w:rPr>
        <w:instrText xml:space="preserve"> ADDIN ZOTERO_ITEM CSL_CITATION {"citationID":"PEWrcm0A","properties":{"formattedCitation":"\\super 12\\nosupersub{}","plainCitation":"12","noteIndex":0},"citationItems":[{"id":192,"uris":["http://zotero.org/users/local/wIF2fIsu/items/NJ2NGNGD"],"itemData":{"id":192,"type":"webpage","title":"An open resource for accurately benchmarking small variant and reference calls | Nature Biotechnology","URL":"https://www-nature-com.ezproxy.med.cornell.edu/articles/s41587-019-0074-6","accessed":{"date-parts":[["2024",10,3]]}}}],"schema":"https://github.com/citation-style-language/schema/raw/master/csl-citation.json"} </w:instrText>
      </w:r>
      <w:r w:rsidRPr="00107C4E">
        <w:rPr>
          <w:rFonts w:eastAsia="Times New Roman" w:cstheme="minorHAnsi"/>
        </w:rPr>
        <w:fldChar w:fldCharType="separate"/>
      </w:r>
      <w:r w:rsidR="003A44DF" w:rsidRPr="003A44DF">
        <w:rPr>
          <w:rFonts w:ascii="Calibri" w:hAnsi="Calibri" w:cs="Calibri"/>
          <w:vertAlign w:val="superscript"/>
        </w:rPr>
        <w:t>12</w:t>
      </w:r>
      <w:r w:rsidRPr="00107C4E">
        <w:rPr>
          <w:rFonts w:eastAsia="Times New Roman" w:cstheme="minorHAnsi"/>
        </w:rPr>
        <w:fldChar w:fldCharType="end"/>
      </w:r>
      <w:r w:rsidRPr="00107C4E">
        <w:rPr>
          <w:rFonts w:eastAsia="Times New Roman" w:cstheme="minorHAnsi"/>
        </w:rPr>
        <w:t>. These evaluations across all 11 samples revealed an average sensitivity of 99.0% and average precision of 99.7%, indicating an exceptionally high concordance and accuracy for the EXaCT-2 and the Gold Standard set that was provided by GIAB (Table S1</w:t>
      </w:r>
      <w:r w:rsidR="005A674A">
        <w:rPr>
          <w:rFonts w:eastAsia="Times New Roman" w:cstheme="minorHAnsi"/>
        </w:rPr>
        <w:t>4</w:t>
      </w:r>
      <w:r w:rsidRPr="00107C4E">
        <w:rPr>
          <w:rFonts w:eastAsia="Times New Roman" w:cstheme="minorHAnsi"/>
        </w:rPr>
        <w:t>).</w:t>
      </w:r>
      <w:r w:rsidRPr="00107C4E">
        <w:rPr>
          <w:rFonts w:eastAsia="Cambria" w:cstheme="minorHAnsi"/>
        </w:rPr>
        <w:t xml:space="preserve"> </w:t>
      </w:r>
    </w:p>
    <w:p w14:paraId="34754630" w14:textId="77777777" w:rsidR="0068510F" w:rsidRPr="00107C4E" w:rsidRDefault="0068510F" w:rsidP="00226F2F">
      <w:pPr>
        <w:rPr>
          <w:rFonts w:eastAsia="Cambria" w:cstheme="minorHAnsi"/>
        </w:rPr>
      </w:pPr>
    </w:p>
    <w:p w14:paraId="12127E86" w14:textId="77777777" w:rsidR="0068510F" w:rsidRPr="00107C4E" w:rsidRDefault="0068510F" w:rsidP="00226F2F">
      <w:pPr>
        <w:rPr>
          <w:rFonts w:eastAsia="Cambria" w:cstheme="minorHAnsi"/>
        </w:rPr>
      </w:pPr>
      <w:r w:rsidRPr="00107C4E">
        <w:rPr>
          <w:rFonts w:eastAsia="Cambria" w:cstheme="minorHAnsi"/>
        </w:rPr>
        <w:t>Note, r</w:t>
      </w:r>
      <w:r w:rsidRPr="00107C4E">
        <w:rPr>
          <w:rFonts w:eastAsia="Times New Roman" w:cstheme="minorHAnsi"/>
        </w:rPr>
        <w:t>egions that are categorized as FN/FP by GIAB were excluded from this analysis. These regions include highly repetitive regions, or those that are difficult to map, hence we only took into consideration the high confidence regions for our evaluation.</w:t>
      </w:r>
      <w:r w:rsidRPr="00107C4E">
        <w:rPr>
          <w:rFonts w:eastAsia="Cambria" w:cstheme="minorHAnsi"/>
        </w:rPr>
        <w:t xml:space="preserve"> </w:t>
      </w:r>
    </w:p>
    <w:p w14:paraId="6A8CA169" w14:textId="77777777" w:rsidR="0068510F" w:rsidRDefault="0068510F" w:rsidP="00226F2F">
      <w:pPr>
        <w:rPr>
          <w:rFonts w:ascii="Cambria" w:eastAsia="Cambria" w:hAnsi="Cambria" w:cs="Cambria"/>
          <w:color w:val="0078D4"/>
        </w:rPr>
      </w:pPr>
    </w:p>
    <w:p w14:paraId="503EA827" w14:textId="77777777" w:rsidR="00123112" w:rsidRDefault="00123112" w:rsidP="00226F2F">
      <w:pPr>
        <w:pStyle w:val="Heading3"/>
        <w:rPr>
          <w:color w:val="2F5496" w:themeColor="accent1" w:themeShade="BF"/>
        </w:rPr>
      </w:pPr>
      <w:r w:rsidRPr="00082DE6">
        <w:rPr>
          <w:color w:val="2F5496" w:themeColor="accent1" w:themeShade="BF"/>
        </w:rPr>
        <w:t>Assessment using clinically validated positive controls</w:t>
      </w:r>
    </w:p>
    <w:p w14:paraId="0EC5B06B" w14:textId="1CBE54BE" w:rsidR="00123112" w:rsidRDefault="00123112" w:rsidP="00226F2F">
      <w:r>
        <w:t xml:space="preserve">As </w:t>
      </w:r>
      <w:r w:rsidR="00BE69CF">
        <w:t>described in the main text</w:t>
      </w:r>
      <w:r>
        <w:t>, the Weill Cornell Clinical Genomics Lab applied the EXaCT-2 assay to a set of clinically validated samples (n=27) which contained clinically relevant mutations (Figure S</w:t>
      </w:r>
      <w:r w:rsidR="008F0513">
        <w:t>13</w:t>
      </w:r>
      <w:r>
        <w:t xml:space="preserve"> and Table S1</w:t>
      </w:r>
      <w:r w:rsidR="005A674A">
        <w:t>5</w:t>
      </w:r>
      <w:r w:rsidR="007B4ECC">
        <w:t>)</w:t>
      </w:r>
      <w:r w:rsidR="009A4F6C">
        <w:t xml:space="preserve">. This test </w:t>
      </w:r>
      <w:r w:rsidR="00AD73B6">
        <w:t>achie</w:t>
      </w:r>
      <w:r>
        <w:t>ved perfect recovery</w:t>
      </w:r>
      <w:r w:rsidR="00D41FC8">
        <w:t>, with</w:t>
      </w:r>
      <w:r>
        <w:t xml:space="preserve"> a high degree of concordance </w:t>
      </w:r>
      <w:r w:rsidR="0058377C">
        <w:t xml:space="preserve">between the allele frequencies </w:t>
      </w:r>
      <w:r>
        <w:t xml:space="preserve">(Pearson correlation: 0.69; p: 5.6e-5). </w:t>
      </w:r>
      <w:r w:rsidR="007B6893">
        <w:t xml:space="preserve">The greatest variation in the observed allele frequencies </w:t>
      </w:r>
      <w:r>
        <w:t>were associated with</w:t>
      </w:r>
      <w:r w:rsidR="00B5242B">
        <w:t xml:space="preserve"> the</w:t>
      </w:r>
      <w:r>
        <w:t xml:space="preserve"> mutations in difficult to assay regions, such as the KRAS</w:t>
      </w:r>
      <w:r w:rsidRPr="00BD280C">
        <w:rPr>
          <w:vertAlign w:val="superscript"/>
        </w:rPr>
        <w:t>G12+</w:t>
      </w:r>
      <w:r>
        <w:t xml:space="preserve"> and IDH1</w:t>
      </w:r>
      <w:r w:rsidRPr="00BD280C">
        <w:rPr>
          <w:vertAlign w:val="superscript"/>
        </w:rPr>
        <w:t>R132+</w:t>
      </w:r>
      <w:r>
        <w:t xml:space="preserve"> mutations. As an example, the most discordant mutation we observed had a VAF from the EXaCT-1 assay of 21.4%, while the EXaCT-2 assay estimated the VAF to be over 63%. However, this difference likely stems from the difficulty of standard WES platforms, such as EXaCT-1, to assay this locus, as previously discussed. In this </w:t>
      </w:r>
      <w:proofErr w:type="gramStart"/>
      <w:r>
        <w:t>particular case</w:t>
      </w:r>
      <w:proofErr w:type="gramEnd"/>
      <w:r>
        <w:t>, the EXaCT-1 assay only had access to 14 total reads from which to infer that allele frequency, while EXaCT-2 collected a total of 724 total reads of which 460 carried the alternative allele, thereby providing far more confidence in the estimated allele frequency it generated.</w:t>
      </w:r>
    </w:p>
    <w:p w14:paraId="510DC0F4" w14:textId="77777777" w:rsidR="00123112" w:rsidRPr="00A4573B" w:rsidRDefault="00123112" w:rsidP="00226F2F"/>
    <w:p w14:paraId="17B02071" w14:textId="77777777" w:rsidR="00123112" w:rsidRDefault="00123112" w:rsidP="00226F2F">
      <w:pPr>
        <w:keepNext/>
      </w:pPr>
      <w:r>
        <w:rPr>
          <w:noProof/>
        </w:rPr>
        <w:lastRenderedPageBreak/>
        <w:drawing>
          <wp:inline distT="0" distB="0" distL="0" distR="0" wp14:anchorId="67F30685" wp14:editId="714E1A1E">
            <wp:extent cx="5485093" cy="4517136"/>
            <wp:effectExtent l="0" t="0" r="1905" b="0"/>
            <wp:docPr id="754635333" name="Graphic 754635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pic:cNvPicPr/>
                  </pic:nvPicPr>
                  <pic:blipFill>
                    <a:blip r:embed="rId32">
                      <a:extLst>
                        <a:ext uri="{96DAC541-7B7A-43D3-8B79-37D633B846F1}">
                          <asvg:svgBlip xmlns:asvg="http://schemas.microsoft.com/office/drawing/2016/SVG/main" r:embed="rId33"/>
                        </a:ext>
                      </a:extLst>
                    </a:blip>
                    <a:stretch>
                      <a:fillRect/>
                    </a:stretch>
                  </pic:blipFill>
                  <pic:spPr>
                    <a:xfrm>
                      <a:off x="0" y="0"/>
                      <a:ext cx="5485093" cy="4517136"/>
                    </a:xfrm>
                    <a:prstGeom prst="rect">
                      <a:avLst/>
                    </a:prstGeom>
                  </pic:spPr>
                </pic:pic>
              </a:graphicData>
            </a:graphic>
          </wp:inline>
        </w:drawing>
      </w:r>
    </w:p>
    <w:p w14:paraId="5AD953AF" w14:textId="5B3063CB" w:rsidR="00123112" w:rsidRDefault="00123112" w:rsidP="00226F2F">
      <w:pPr>
        <w:pStyle w:val="Caption"/>
      </w:pPr>
      <w:r w:rsidRPr="45C7DC2C">
        <w:rPr>
          <w:b/>
          <w:bCs/>
        </w:rPr>
        <w:t xml:space="preserve">Figure </w:t>
      </w:r>
      <w:r>
        <w:rPr>
          <w:b/>
          <w:bCs/>
        </w:rPr>
        <w:t>S</w:t>
      </w:r>
      <w:r w:rsidRPr="45C7DC2C">
        <w:rPr>
          <w:b/>
          <w:bCs/>
        </w:rPr>
        <w:fldChar w:fldCharType="begin"/>
      </w:r>
      <w:r w:rsidRPr="45C7DC2C">
        <w:rPr>
          <w:b/>
          <w:bCs/>
        </w:rPr>
        <w:instrText xml:space="preserve"> SEQ Figure \* ARABIC </w:instrText>
      </w:r>
      <w:r w:rsidRPr="45C7DC2C">
        <w:rPr>
          <w:b/>
          <w:bCs/>
        </w:rPr>
        <w:fldChar w:fldCharType="separate"/>
      </w:r>
      <w:r w:rsidR="00D60612">
        <w:rPr>
          <w:b/>
          <w:bCs/>
          <w:noProof/>
        </w:rPr>
        <w:t>13</w:t>
      </w:r>
      <w:r w:rsidRPr="45C7DC2C">
        <w:rPr>
          <w:b/>
          <w:bCs/>
        </w:rPr>
        <w:fldChar w:fldCharType="end"/>
      </w:r>
      <w:r w:rsidRPr="45C7DC2C">
        <w:rPr>
          <w:b/>
          <w:bCs/>
        </w:rPr>
        <w:t>: Comparison of the variant allele frequencies (VAFs) estimated by EXaCT-2 and EXaCT-1.</w:t>
      </w:r>
      <w:r>
        <w:t xml:space="preserve"> Distribution of the VAFs estimated by EXaCT-2 and EXaCT-1</w:t>
      </w:r>
      <w:r w:rsidR="00000C83">
        <w:t xml:space="preserve"> f</w:t>
      </w:r>
      <w:r>
        <w:t xml:space="preserve">or a set of known, experimentally validated and </w:t>
      </w:r>
      <w:proofErr w:type="gramStart"/>
      <w:r>
        <w:t>clinically-relevant</w:t>
      </w:r>
      <w:proofErr w:type="gramEnd"/>
      <w:r>
        <w:t xml:space="preserve"> mutations that were identified in a set of clinical samples. Each point represents a single mutation and the VAF that was estimated by the 2 assays.</w:t>
      </w:r>
    </w:p>
    <w:p w14:paraId="19A249EA" w14:textId="77777777" w:rsidR="00A34596" w:rsidRDefault="00A34596" w:rsidP="00226F2F">
      <w:pPr>
        <w:pStyle w:val="Heading3"/>
        <w:rPr>
          <w:rFonts w:eastAsia="Cambria"/>
        </w:rPr>
      </w:pPr>
      <w:r>
        <w:rPr>
          <w:rFonts w:eastAsia="Cambria"/>
        </w:rPr>
        <w:t>Customizability of the EXaCT-2 Assay: GTF2I &amp; MTAP Genes</w:t>
      </w:r>
    </w:p>
    <w:p w14:paraId="01FA5D7E" w14:textId="3CDAAA54" w:rsidR="00A34596" w:rsidRPr="00EB5FA5" w:rsidRDefault="00A34596" w:rsidP="00226F2F">
      <w:r w:rsidRPr="00C26BEB">
        <w:t xml:space="preserve">As part of a project to explore the cancer genomes of metastatic Thymoma cancer </w:t>
      </w:r>
      <w:r w:rsidRPr="00C26BEB">
        <w:rPr>
          <w:i/>
          <w:iCs/>
        </w:rPr>
        <w:t>(in preparation)</w:t>
      </w:r>
      <w:r w:rsidRPr="00C26BEB">
        <w:t>, we customized the EXaCT-2 assay to improve the coverage of 2 well-known driver</w:t>
      </w:r>
      <w:r>
        <w:t xml:space="preserve"> and marker</w:t>
      </w:r>
      <w:r w:rsidRPr="00C26BEB">
        <w:t xml:space="preserve"> genes for this cancer</w:t>
      </w:r>
      <w:r>
        <w:t xml:space="preserve"> </w:t>
      </w:r>
      <w:r>
        <w:fldChar w:fldCharType="begin"/>
      </w:r>
      <w:r w:rsidR="003A44DF">
        <w:instrText xml:space="preserve"> ADDIN ZOTERO_ITEM CSL_CITATION {"citationID":"2asaBe8q","properties":{"formattedCitation":"\\super 13,14\\nosupersub{}","plainCitation":"13,14","noteIndex":0},"citationItems":[{"id":206,"uris":["http://zotero.org/users/local/wIF2fIsu/items/772P4WLI"],"itemData":{"id":206,"type":"article-journal","abstract":"BACKGROUND: The morphologic distinction between thymic carcinomas and thymomas, specifically types B3, A, and occasionally micronodular thymomas with lymphoid stroma (MNTLS) can be challenging, as has also been shown in interobserver reproducibility studies. Since thymic carcinomas have a worse prognosis than thymomas, the diagnosis is important for patient management and treatment. This study aimed to identify a panel of immunohistochemical (IHC) markers that aid in the distinction between thymomas and thymic carcinomas in routine practice.\nMATERIALS AND METHOD: Thymic carcinomas, type A and B3 thymomas, and MNTLS were identified in an institutional database of thymic epithelial tumors (TET) (1963-2021). IHC was performed using antibodies against TdT, Glut-1, CD5, CD117, BAP1, and mTAP. Percent tumor cell staining was recorded (Glut-1, CD5, CD117); loss of expression (BAP1, mTAP) was considered if essentially all tumor cells were negative; TdT was recorded as thymocytes present or absent (including rare thymocytes).\nRESULTS: 81 specimens included 44 thymomas (25 type A, 11 type B3, 8 MNTLS) and 37 thymic carcinomas (including 24 squamous cell carcinomas). Using BAP1, mTAP, CD117 (cut-off, 10%), and TdT, 88.9% of thymic carcinomas (95.7% of squamous cell carcinomas) and 77.8% of thymomas could be predicted. Glut-1 expression was not found to be useful in that distinction. All tumors that expressed CD5 in ≥50% of tumor cells also expressed CD117 in ≥10% of tumor cells. In four carcinomas with homozygous deletion of CDKN2A, mTAP expression was lost in two squamous cell carcinomas and in a subset of tumor cells of an adenocarcinoma and was preserved in a lymphoepithelial carcinoma.\nCONCLUSION: A panel of immunostains including BAP1, mTAP, CD117 (using a cut-off of 10% tumor cell expression), and TdT can be useful in the distinction between thymomas and thymic carcinomas, with only a minority of cases being inconclusive.","container-title":"Cancers","DOI":"10.3390/cancers14092299","ISSN":"2072-6694","issue":"9","journalAbbreviation":"Cancers (Basel)","language":"eng","note":"PMID: 35565429\nPMCID: PMC9100150","page":"2299","source":"PubMed","title":"CD117, BAP1, MTAP, and TdT Is a Useful Immunohistochemical Panel to Distinguish Thymoma from Thymic Carcinoma","volume":"14","author":[{"family":"Angirekula","given":"Mounika"},{"family":"Chang","given":"Sindy Y."},{"family":"Jenkins","given":"Sarah M."},{"family":"Greipp","given":"Patricia T."},{"family":"Sukov","given":"William R."},{"family":"Marks","given":"Randolph S."},{"family":"Olivier","given":"Kenneth R."},{"family":"Cassivi","given":"Stephen D."},{"family":"Roden","given":"Anja C."}],"issued":{"date-parts":[["2022",5,5]]}}},{"id":203,"uris":["http://zotero.org/users/local/wIF2fIsu/items/XLG8CFEP"],"itemData":{"id":203,"type":"article-journal","container-title":"Translational Lung Cancer Research","DOI":"10.21037/tlcr-23-396","ISSN":"2218-6751","issue":"9","journalAbbreviation":"Transl Lung Cancer Res","note":"PMID: 37854159\nPMCID: PMC10579828","page":"1842-1844","source":"PubMed Central","title":"Differences and similarities of GTF2I mutated thymomas in different Eurasian ethnic groups","volume":"12","author":[{"family":"Lang","given":"Matthias"},{"family":"Kazdal","given":"Daniel"},{"family":"Mohr","given":"Isabelle"},{"family":"Anamaterou","given":"Chrysanthi"}],"issued":{"date-parts":[["2023",9,28]]}}}],"schema":"https://github.com/citation-style-language/schema/raw/master/csl-citation.json"} </w:instrText>
      </w:r>
      <w:r>
        <w:fldChar w:fldCharType="separate"/>
      </w:r>
      <w:r w:rsidR="003A44DF" w:rsidRPr="003A44DF">
        <w:rPr>
          <w:rFonts w:ascii="Calibri" w:hAnsi="Calibri" w:cs="Calibri"/>
          <w:vertAlign w:val="superscript"/>
        </w:rPr>
        <w:t>13,14</w:t>
      </w:r>
      <w:r>
        <w:fldChar w:fldCharType="end"/>
      </w:r>
      <w:r>
        <w:t>. The improvement offered by this customization resulted in significantly improved coverage for both genes (Figure S1</w:t>
      </w:r>
      <w:r w:rsidR="00A15F8B">
        <w:t>4</w:t>
      </w:r>
      <w:r>
        <w:t>) relative to the baseline EXaCT-2 assay, which itself provides a considerably improved coverage than standard whole-exome-based assays such as EXaCT-1.</w:t>
      </w:r>
    </w:p>
    <w:p w14:paraId="7CE1692F" w14:textId="77777777" w:rsidR="00A34596" w:rsidRPr="00D82039" w:rsidRDefault="00A34596" w:rsidP="00226F2F"/>
    <w:p w14:paraId="6E8D3C0A" w14:textId="77777777" w:rsidR="00A34596" w:rsidRDefault="00A34596" w:rsidP="00226F2F">
      <w:pPr>
        <w:keepNext/>
      </w:pPr>
      <w:r>
        <w:rPr>
          <w:noProof/>
        </w:rPr>
        <w:lastRenderedPageBreak/>
        <w:drawing>
          <wp:inline distT="0" distB="0" distL="0" distR="0" wp14:anchorId="1DB31B05" wp14:editId="7B204716">
            <wp:extent cx="6906984" cy="3223260"/>
            <wp:effectExtent l="0" t="0" r="8255" b="0"/>
            <wp:docPr id="141684322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
                    <pic:cNvPicPr/>
                  </pic:nvPicPr>
                  <pic:blipFill>
                    <a:blip r:embed="rId34">
                      <a:extLst>
                        <a:ext uri="{28A0092B-C50C-407E-A947-70E740481C1C}">
                          <a14:useLocalDpi xmlns:a14="http://schemas.microsoft.com/office/drawing/2010/main" val="0"/>
                        </a:ext>
                        <a:ext uri="{96DAC541-7B7A-43D3-8B79-37D633B846F1}">
                          <asvg:svgBlip xmlns:asvg="http://schemas.microsoft.com/office/drawing/2016/SVG/main" r:embed="rId35"/>
                        </a:ext>
                      </a:extLst>
                    </a:blip>
                    <a:stretch>
                      <a:fillRect/>
                    </a:stretch>
                  </pic:blipFill>
                  <pic:spPr>
                    <a:xfrm>
                      <a:off x="0" y="0"/>
                      <a:ext cx="6906984" cy="3223260"/>
                    </a:xfrm>
                    <a:prstGeom prst="rect">
                      <a:avLst/>
                    </a:prstGeom>
                  </pic:spPr>
                </pic:pic>
              </a:graphicData>
            </a:graphic>
          </wp:inline>
        </w:drawing>
      </w:r>
    </w:p>
    <w:p w14:paraId="3B45483D" w14:textId="2DDA4FFD" w:rsidR="00A34596" w:rsidRDefault="00A34596" w:rsidP="00226F2F">
      <w:pPr>
        <w:pStyle w:val="Caption"/>
      </w:pPr>
      <w:r w:rsidRPr="004D1B21">
        <w:rPr>
          <w:b/>
          <w:bCs/>
        </w:rPr>
        <w:t>Figure S</w:t>
      </w:r>
      <w:r w:rsidRPr="004D1B21">
        <w:rPr>
          <w:b/>
          <w:bCs/>
        </w:rPr>
        <w:fldChar w:fldCharType="begin"/>
      </w:r>
      <w:r w:rsidRPr="004D1B21">
        <w:rPr>
          <w:b/>
          <w:bCs/>
        </w:rPr>
        <w:instrText xml:space="preserve"> SEQ Figure \* ARABIC </w:instrText>
      </w:r>
      <w:r w:rsidRPr="004D1B21">
        <w:rPr>
          <w:b/>
          <w:bCs/>
        </w:rPr>
        <w:fldChar w:fldCharType="separate"/>
      </w:r>
      <w:r w:rsidR="00D60612">
        <w:rPr>
          <w:b/>
          <w:bCs/>
          <w:noProof/>
        </w:rPr>
        <w:t>14</w:t>
      </w:r>
      <w:r w:rsidRPr="004D1B21">
        <w:rPr>
          <w:b/>
          <w:bCs/>
        </w:rPr>
        <w:fldChar w:fldCharType="end"/>
      </w:r>
      <w:r w:rsidRPr="004D1B21">
        <w:rPr>
          <w:rFonts w:ascii="Calibri" w:eastAsia="Calibri" w:hAnsi="Calibri" w:cs="Calibri"/>
          <w:b/>
          <w:bCs/>
        </w:rPr>
        <w:t>: En</w:t>
      </w:r>
      <w:r w:rsidRPr="131B068E">
        <w:rPr>
          <w:rFonts w:ascii="Calibri" w:eastAsia="Calibri" w:hAnsi="Calibri" w:cs="Calibri"/>
          <w:b/>
          <w:bCs/>
        </w:rPr>
        <w:t xml:space="preserve">hanced Customization of GTF2I and MTAP Coverage. </w:t>
      </w:r>
      <w:r w:rsidRPr="131B068E">
        <w:rPr>
          <w:rFonts w:ascii="Calibri" w:eastAsia="Calibri" w:hAnsi="Calibri" w:cs="Calibri"/>
        </w:rPr>
        <w:t>This figure presents exon-level coverage for GTF2I and MTAP in samples analyzed using EXaCT-1, EXaCT-2, and a modified EXaCT-2 protocol designed to increase coverage for these genes. The standard EXaCT-2 protocol was followed, with modifications in hybridization using 5µl of EXaCT-2 Target Enrichment Human All Exon biotinylated probes, supplemented with 1µl of a custom MTAP and GTF2I probe cocktail. The customized EXaCT-2 protocol significantly improved coverage compared to both the standard EXaCT-2 and EXaCT-1 assays, which in turn outperform conventional WES methods.</w:t>
      </w:r>
    </w:p>
    <w:p w14:paraId="6BF128B2" w14:textId="77777777" w:rsidR="00A34596" w:rsidRPr="003602BF" w:rsidRDefault="00A34596" w:rsidP="00226F2F">
      <w:pPr>
        <w:rPr>
          <w:rFonts w:ascii="Calibri" w:eastAsia="Calibri" w:hAnsi="Calibri" w:cs="Calibri"/>
          <w:i/>
          <w:iCs/>
          <w:sz w:val="18"/>
          <w:szCs w:val="18"/>
        </w:rPr>
      </w:pPr>
    </w:p>
    <w:p w14:paraId="63484E5C" w14:textId="77777777" w:rsidR="00123112" w:rsidRPr="00930B8A" w:rsidRDefault="00123112" w:rsidP="00226F2F"/>
    <w:p w14:paraId="38670EEF" w14:textId="4108205D" w:rsidR="00CE3A2A" w:rsidRDefault="00085460" w:rsidP="00226F2F">
      <w:pPr>
        <w:pStyle w:val="Heading3"/>
      </w:pPr>
      <w:r w:rsidRPr="00EF42AD">
        <w:t>TMB</w:t>
      </w:r>
      <w:bookmarkEnd w:id="1"/>
      <w:r w:rsidR="00F77BF9">
        <w:t xml:space="preserve"> in EXaCT-2 </w:t>
      </w:r>
      <w:r w:rsidR="00951589">
        <w:t>dataset compared with the TCGA</w:t>
      </w:r>
    </w:p>
    <w:p w14:paraId="4D9747EA" w14:textId="0EBE5122" w:rsidR="00730C13" w:rsidRDefault="00410231" w:rsidP="00226F2F">
      <w:r>
        <w:t xml:space="preserve">As an initial evaluation of the capacity of EXaCT-2 to evaluate Tumor Mutational Burden (TMB) and Microsatellite Instability (MSI), we </w:t>
      </w:r>
      <w:r w:rsidR="00CE3A2A" w:rsidRPr="15688887">
        <w:t>compare</w:t>
      </w:r>
      <w:r>
        <w:t>d</w:t>
      </w:r>
      <w:r w:rsidR="00CE3A2A" w:rsidRPr="15688887">
        <w:t xml:space="preserve"> the TMB between the TCGA and EXaCT-2 cohorts</w:t>
      </w:r>
      <w:r w:rsidR="00A945D0">
        <w:t>, stratifying by tumor of origin</w:t>
      </w:r>
      <w:r w:rsidR="00CE3A2A" w:rsidRPr="15688887">
        <w:t xml:space="preserve">. </w:t>
      </w:r>
      <w:r w:rsidR="00730C13">
        <w:t>For this comparison (Figure S</w:t>
      </w:r>
      <w:r w:rsidR="00A205B5">
        <w:t>1</w:t>
      </w:r>
      <w:r w:rsidR="008A7711">
        <w:t>5</w:t>
      </w:r>
      <w:r w:rsidR="00D6697B">
        <w:t>), t</w:t>
      </w:r>
      <w:r w:rsidR="00730C13" w:rsidRPr="15688887">
        <w:t xml:space="preserve">he Tumor Mutational Burden (TMB) was calculated </w:t>
      </w:r>
      <w:r w:rsidR="008919F0">
        <w:t>using a</w:t>
      </w:r>
      <w:r w:rsidR="00730C13" w:rsidRPr="15688887">
        <w:t xml:space="preserve"> total of 106</w:t>
      </w:r>
      <w:r w:rsidR="008919F0">
        <w:t xml:space="preserve"> EXaCT-2</w:t>
      </w:r>
      <w:r w:rsidR="002A4EE5">
        <w:t xml:space="preserve"> samples and 121 TCGA samples</w:t>
      </w:r>
      <w:r w:rsidR="00202ED2">
        <w:t>, and t</w:t>
      </w:r>
      <w:r w:rsidR="00202ED2">
        <w:rPr>
          <w:color w:val="000000" w:themeColor="text1"/>
        </w:rPr>
        <w:t>o ensure for a meaningful comparison, we limited the</w:t>
      </w:r>
      <w:r w:rsidR="00E716BD">
        <w:rPr>
          <w:color w:val="000000" w:themeColor="text1"/>
        </w:rPr>
        <w:t xml:space="preserve">se cohorts to only include </w:t>
      </w:r>
      <w:r w:rsidR="00202ED2">
        <w:rPr>
          <w:color w:val="000000" w:themeColor="text1"/>
        </w:rPr>
        <w:t>primary tumors</w:t>
      </w:r>
      <w:r w:rsidR="00911408">
        <w:t xml:space="preserve">. </w:t>
      </w:r>
      <w:r w:rsidR="00B9266A">
        <w:t xml:space="preserve">The </w:t>
      </w:r>
      <w:r w:rsidR="00911408">
        <w:t xml:space="preserve">EXaCT-2 </w:t>
      </w:r>
      <w:r w:rsidR="00B9266A">
        <w:t xml:space="preserve">cohort was comprised of </w:t>
      </w:r>
      <w:r w:rsidR="00730C13" w:rsidRPr="15688887">
        <w:t xml:space="preserve">30 </w:t>
      </w:r>
      <w:r w:rsidR="00350DEB">
        <w:t xml:space="preserve">samples </w:t>
      </w:r>
      <w:r w:rsidR="00730C13" w:rsidRPr="15688887">
        <w:t>from Breast cancer, 21 from Diffuse Large B-Cell lymphoma, 6 from Pancreatic Adenocarcinoma, 31 from Lung Adenocarcinoma, and 18 from Bladder cancer.</w:t>
      </w:r>
      <w:r w:rsidR="00350DEB">
        <w:t xml:space="preserve"> Similarly, t</w:t>
      </w:r>
      <w:r w:rsidR="00730C13" w:rsidRPr="15688887">
        <w:t xml:space="preserve">he TCGA dataset </w:t>
      </w:r>
      <w:r w:rsidR="00350DEB">
        <w:t xml:space="preserve">was </w:t>
      </w:r>
      <w:r w:rsidR="00730C13" w:rsidRPr="15688887">
        <w:t xml:space="preserve">comprised </w:t>
      </w:r>
      <w:r w:rsidR="00350DEB">
        <w:t xml:space="preserve">of </w:t>
      </w:r>
      <w:r w:rsidR="00730C13" w:rsidRPr="15688887">
        <w:t>121 cases of breast cancer, 35 cases of bladder cancer, 13 cases of pancreatic adenocarcinoma, 335 cases of lung adenocarcinoma, and 49 cases of diffuse large B-cell lymphoma. All samples originated from primary tumor sites</w:t>
      </w:r>
      <w:r w:rsidR="00350DEB">
        <w:t>.</w:t>
      </w:r>
      <w:r w:rsidR="00730C13">
        <w:fldChar w:fldCharType="begin"/>
      </w:r>
      <w:r w:rsidR="003A44DF">
        <w:instrText xml:space="preserve"> ADDIN ZOTERO_ITEM CSL_CITATION {"citationID":"1GytMHj0","properties":{"formattedCitation":"\\super 15\\nosupersub{}","plainCitation":"15","noteIndex":0},"citationItems":[{"id":194,"uris":["http://zotero.org/users/local/wIF2fIsu/items/3UA8DVTD"],"itemData":{"id":194,"type":"article-journal","abstract":"As the sample size in cancer genome studies increases, the list of genes identified as significantly mutated is likely to include more false positives; here, this problem is identified as stemming largely from mutation heterogeneity, and a new analytical methodology designed to overcome this problem is described.","container-title":"Nature","DOI":"10.1038/nature12213","ISSN":"1476-4687","issue":"7457","language":"en","license":"2013 Springer Nature Limited","note":"publisher: Nature Publishing Group","page":"214-218","source":"www-nature-com.ezproxy.med.cornell.edu","title":"Mutational heterogeneity in cancer and the search for new cancer-associated genes","volume":"499","author":[{"family":"Lawrence","given":"Michael S."},{"family":"Stojanov","given":"Petar"},{"family":"Polak","given":"Paz"},{"family":"Kryukov","given":"Gregory V."},{"family":"Cibulskis","given":"Kristian"},{"family":"Sivachenko","given":"Andrey"},{"family":"Carter","given":"Scott L."},{"family":"Stewart","given":"Chip"},{"family":"Mermel","given":"Craig H."},{"family":"Roberts","given":"Steven A."},{"family":"Kiezun","given":"Adam"},{"family":"Hammerman","given":"Peter S."},{"family":"McKenna","given":"Aaron"},{"family":"Drier","given":"Yotam"},{"family":"Zou","given":"Lihua"},{"family":"Ramos","given":"Alex H."},{"family":"Pugh","given":"Trevor J."},{"family":"Stransky","given":"Nicolas"},{"family":"Helman","given":"Elena"},{"family":"Kim","given":"Jaegil"},{"family":"Sougnez","given":"Carrie"},{"family":"Ambrogio","given":"Lauren"},{"family":"Nickerson","given":"Elizabeth"},{"family":"Shefler","given":"Erica"},{"family":"Cortés","given":"Maria L."},{"family":"Auclair","given":"Daniel"},{"family":"Saksena","given":"Gordon"},{"family":"Voet","given":"Douglas"},{"family":"Noble","given":"Michael"},{"family":"DiCara","given":"Daniel"},{"family":"Lin","given":"Pei"},{"family":"Lichtenstein","given":"Lee"},{"family":"Heiman","given":"David I."},{"family":"Fennell","given":"Timothy"},{"family":"Imielinski","given":"Marcin"},{"family":"Hernandez","given":"Bryan"},{"family":"Hodis","given":"Eran"},{"family":"Baca","given":"Sylvan"},{"family":"Dulak","given":"Austin M."},{"family":"Lohr","given":"Jens"},{"family":"Landau","given":"Dan-Avi"},{"family":"Wu","given":"Catherine J."},{"family":"Melendez-Zajgla","given":"Jorge"},{"family":"Hidalgo-Miranda","given":"Alfredo"},{"family":"Koren","given":"Amnon"},{"family":"McCarroll","given":"Steven A."},{"family":"Mora","given":"Jaume"},{"family":"Lee","given":"Ryan S."},{"family":"Crompton","given":"Brian"},{"family":"Onofrio","given":"Robert"},{"family":"Parkin","given":"Melissa"},{"family":"Winckler","given":"Wendy"},{"family":"Ardlie","given":"Kristin"},{"family":"Gabriel","given":"Stacey B."},{"family":"Roberts","given":"Charles W. M."},{"family":"Biegel","given":"Jaclyn A."},{"family":"Stegmaier","given":"Kimberly"},{"family":"Bass","given":"Adam J."},{"family":"Garraway","given":"Levi A."},{"family":"Meyerson","given":"Matthew"},{"family":"Golub","given":"Todd R."},{"family":"Gordenin","given":"Dmitry A."},{"family":"Sunyaev","given":"Shamil"},{"family":"Lander","given":"Eric S."},{"family":"Getz","given":"Gad"}],"issued":{"date-parts":[["2013",7]]}}}],"schema":"https://github.com/citation-style-language/schema/raw/master/csl-citation.json"} </w:instrText>
      </w:r>
      <w:r w:rsidR="00730C13">
        <w:fldChar w:fldCharType="separate"/>
      </w:r>
      <w:r w:rsidR="003A44DF" w:rsidRPr="003A44DF">
        <w:rPr>
          <w:rFonts w:ascii="Calibri" w:hAnsi="Calibri" w:cs="Calibri"/>
          <w:vertAlign w:val="superscript"/>
        </w:rPr>
        <w:t>15</w:t>
      </w:r>
      <w:r w:rsidR="00730C13">
        <w:fldChar w:fldCharType="end"/>
      </w:r>
    </w:p>
    <w:p w14:paraId="7851A10F" w14:textId="77777777" w:rsidR="00730C13" w:rsidRDefault="00730C13" w:rsidP="00226F2F"/>
    <w:p w14:paraId="57FDDFC5" w14:textId="0175DC54" w:rsidR="00BF3C5C" w:rsidRDefault="00CE3A2A" w:rsidP="00226F2F">
      <w:r w:rsidRPr="15688887">
        <w:t>Th</w:t>
      </w:r>
      <w:r w:rsidR="00B81BE8">
        <w:t>is comparison (Figure S</w:t>
      </w:r>
      <w:r w:rsidR="00A876DF">
        <w:t>1</w:t>
      </w:r>
      <w:r w:rsidR="002B3AA9">
        <w:t>5</w:t>
      </w:r>
      <w:r w:rsidR="00B81BE8">
        <w:t>) indicated</w:t>
      </w:r>
      <w:r w:rsidR="00B81BE8" w:rsidRPr="15688887">
        <w:t xml:space="preserve"> </w:t>
      </w:r>
      <w:r w:rsidRPr="15688887">
        <w:t xml:space="preserve">that Diffuse Large B-Cell Lymphoma samples exhibit </w:t>
      </w:r>
      <w:r w:rsidR="002324B3">
        <w:t>nearly identical average</w:t>
      </w:r>
      <w:r w:rsidRPr="15688887">
        <w:t xml:space="preserve"> TMB values between the 2 cohorts</w:t>
      </w:r>
      <w:r w:rsidR="002D6479">
        <w:t>, while</w:t>
      </w:r>
      <w:r w:rsidR="0097091E">
        <w:t xml:space="preserve"> the EXaCT-2</w:t>
      </w:r>
      <w:r w:rsidRPr="15688887">
        <w:t xml:space="preserve"> </w:t>
      </w:r>
      <w:r w:rsidR="002D6479">
        <w:t>b</w:t>
      </w:r>
      <w:r w:rsidRPr="15688887">
        <w:t xml:space="preserve">ladder cancer samples </w:t>
      </w:r>
      <w:r w:rsidR="0097091E">
        <w:t>exhibited</w:t>
      </w:r>
      <w:r w:rsidR="00BF3C5C">
        <w:t xml:space="preserve"> a</w:t>
      </w:r>
      <w:r w:rsidR="0097091E">
        <w:t xml:space="preserve"> </w:t>
      </w:r>
      <w:r w:rsidRPr="15688887">
        <w:t xml:space="preserve">slightly </w:t>
      </w:r>
      <w:r w:rsidR="00F17FCA">
        <w:t>lower</w:t>
      </w:r>
      <w:r w:rsidR="001C3DFB">
        <w:t>, but statistically similar</w:t>
      </w:r>
      <w:r w:rsidR="00F17FCA" w:rsidRPr="15688887">
        <w:t xml:space="preserve"> </w:t>
      </w:r>
      <w:r w:rsidR="0097091E">
        <w:t>average</w:t>
      </w:r>
      <w:r w:rsidR="007F0DB5">
        <w:t xml:space="preserve"> </w:t>
      </w:r>
      <w:r w:rsidRPr="15688887">
        <w:t>TMB</w:t>
      </w:r>
      <w:r w:rsidR="007F0DB5">
        <w:t xml:space="preserve"> </w:t>
      </w:r>
      <w:r w:rsidR="00BF3C5C">
        <w:t xml:space="preserve">to </w:t>
      </w:r>
      <w:r w:rsidR="007F0DB5">
        <w:t>the TCGA bladder samples</w:t>
      </w:r>
      <w:r w:rsidRPr="15688887">
        <w:t xml:space="preserve">. </w:t>
      </w:r>
      <w:r w:rsidR="00BF3C5C">
        <w:t xml:space="preserve">In contrast, the EXaCT-2 </w:t>
      </w:r>
      <w:r w:rsidR="00E26AF8">
        <w:t xml:space="preserve">Lung Adenocarcinoma (LUAD) </w:t>
      </w:r>
      <w:r w:rsidR="00BF3C5C">
        <w:t xml:space="preserve">cohort had a statistically </w:t>
      </w:r>
      <w:r w:rsidR="00F2466F">
        <w:t xml:space="preserve">lower </w:t>
      </w:r>
      <w:r w:rsidR="00BF3C5C">
        <w:t>average TMB</w:t>
      </w:r>
      <w:r w:rsidR="00E26AF8">
        <w:t xml:space="preserve"> than the TCGA LUAD samples</w:t>
      </w:r>
      <w:r w:rsidR="003917EB">
        <w:t xml:space="preserve">. However, for both the breast (BRCA) and pancreatic adenocarcinoma (PRAD) samples, </w:t>
      </w:r>
      <w:r w:rsidR="00767AD9">
        <w:t xml:space="preserve">the EXaCT-2 cohorts had statistically higher average TMB than the </w:t>
      </w:r>
      <w:r w:rsidR="003C5310">
        <w:t xml:space="preserve">TCGA cohorts. </w:t>
      </w:r>
      <w:r w:rsidR="00C22D9D">
        <w:t>While this may appear concerning</w:t>
      </w:r>
      <w:r w:rsidR="00156466">
        <w:t>, superficially</w:t>
      </w:r>
      <w:r w:rsidR="00296DA7">
        <w:t xml:space="preserve">, </w:t>
      </w:r>
      <w:r w:rsidR="008371FA">
        <w:t xml:space="preserve">readers should </w:t>
      </w:r>
      <w:r w:rsidR="00A02DCC">
        <w:t>consider that these comparisons</w:t>
      </w:r>
      <w:r w:rsidR="004B14AC">
        <w:t xml:space="preserve"> are highly imperfect given the different </w:t>
      </w:r>
      <w:r w:rsidR="001D2FA4">
        <w:t xml:space="preserve">mutation curation and filtering schemes that were employed by the two projects, not to mention the critical differences in the </w:t>
      </w:r>
      <w:r w:rsidR="004B14AC">
        <w:t>assay</w:t>
      </w:r>
      <w:r w:rsidR="00B12F3C">
        <w:t>s that they employed</w:t>
      </w:r>
      <w:r w:rsidR="0035451A">
        <w:t xml:space="preserve">. For example, </w:t>
      </w:r>
      <w:r w:rsidR="00FC2E93">
        <w:t xml:space="preserve">as previously discussed, </w:t>
      </w:r>
      <w:r w:rsidR="000617E9">
        <w:t xml:space="preserve">a critical feature </w:t>
      </w:r>
      <w:r w:rsidR="00FC2E93">
        <w:t xml:space="preserve">the EXaCT-2 assay’s design </w:t>
      </w:r>
      <w:r w:rsidR="000617E9">
        <w:t xml:space="preserve">is </w:t>
      </w:r>
      <w:r w:rsidR="00FC2E93">
        <w:t>improve</w:t>
      </w:r>
      <w:r w:rsidR="000617E9">
        <w:t>d</w:t>
      </w:r>
      <w:r w:rsidR="00FC2E93">
        <w:t xml:space="preserve"> coverage </w:t>
      </w:r>
      <w:r w:rsidR="00BA5EFA">
        <w:t>d</w:t>
      </w:r>
      <w:r w:rsidR="00DF191F">
        <w:t>ifficult</w:t>
      </w:r>
      <w:r w:rsidR="00BA5EFA">
        <w:t>-</w:t>
      </w:r>
      <w:r w:rsidR="00DF191F">
        <w:t>to</w:t>
      </w:r>
      <w:r w:rsidR="00BA5EFA">
        <w:t>-</w:t>
      </w:r>
      <w:r w:rsidR="00DF191F">
        <w:t>assay regions that were identified by previous projects, such as the TCGA.</w:t>
      </w:r>
      <w:r w:rsidR="00C713C7">
        <w:t xml:space="preserve"> </w:t>
      </w:r>
      <w:r w:rsidR="00C713C7">
        <w:lastRenderedPageBreak/>
        <w:t xml:space="preserve">Furthermore, the TCGA cohort was limited to primary samples, while the EXaCT-2 cohort included </w:t>
      </w:r>
      <w:r w:rsidR="003A4C8A">
        <w:t>primaries as well as organoid and recurrent samples</w:t>
      </w:r>
      <w:r w:rsidR="00D42C2A">
        <w:t xml:space="preserve"> as well.</w:t>
      </w:r>
    </w:p>
    <w:p w14:paraId="552CD901" w14:textId="3272D28D" w:rsidR="00CE3A2A" w:rsidRDefault="00CE3A2A" w:rsidP="00226F2F"/>
    <w:p w14:paraId="7F90C314" w14:textId="77777777" w:rsidR="003E5D0B" w:rsidRDefault="003E5D0B" w:rsidP="00226F2F"/>
    <w:p w14:paraId="72823089" w14:textId="77777777" w:rsidR="00085460" w:rsidRDefault="00085460" w:rsidP="00226F2F">
      <w:pPr>
        <w:keepNext/>
      </w:pPr>
      <w:r>
        <w:rPr>
          <w:noProof/>
        </w:rPr>
        <w:drawing>
          <wp:inline distT="0" distB="0" distL="0" distR="0" wp14:anchorId="0D76560E" wp14:editId="10EAE490">
            <wp:extent cx="4829734" cy="3284220"/>
            <wp:effectExtent l="0" t="0" r="9525" b="0"/>
            <wp:docPr id="2125309675" name="Picture 2125309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309675" name="Picture 2125309675"/>
                    <pic:cNvPicPr/>
                  </pic:nvPicPr>
                  <pic:blipFill>
                    <a:blip r:embed="rId36">
                      <a:extLst>
                        <a:ext uri="{28A0092B-C50C-407E-A947-70E740481C1C}">
                          <a14:useLocalDpi xmlns:a14="http://schemas.microsoft.com/office/drawing/2010/main" val="0"/>
                        </a:ext>
                        <a:ext uri="{96DAC541-7B7A-43D3-8B79-37D633B846F1}">
                          <asvg:svgBlip xmlns:asvg="http://schemas.microsoft.com/office/drawing/2016/SVG/main" r:embed="rId37"/>
                        </a:ext>
                      </a:extLst>
                    </a:blip>
                    <a:stretch>
                      <a:fillRect/>
                    </a:stretch>
                  </pic:blipFill>
                  <pic:spPr>
                    <a:xfrm>
                      <a:off x="0" y="0"/>
                      <a:ext cx="4833736" cy="3286942"/>
                    </a:xfrm>
                    <a:prstGeom prst="rect">
                      <a:avLst/>
                    </a:prstGeom>
                  </pic:spPr>
                </pic:pic>
              </a:graphicData>
            </a:graphic>
          </wp:inline>
        </w:drawing>
      </w:r>
    </w:p>
    <w:p w14:paraId="078CE64B" w14:textId="18BD4FB6" w:rsidR="00085460" w:rsidRDefault="00085460" w:rsidP="00226F2F">
      <w:pPr>
        <w:pStyle w:val="Caption"/>
      </w:pPr>
      <w:r w:rsidRPr="00082DE6">
        <w:rPr>
          <w:b/>
          <w:bCs/>
        </w:rPr>
        <w:t xml:space="preserve">Figure </w:t>
      </w:r>
      <w:r w:rsidR="0027738E">
        <w:rPr>
          <w:b/>
          <w:bCs/>
        </w:rPr>
        <w:t>S</w:t>
      </w:r>
      <w:r w:rsidRPr="00082DE6">
        <w:rPr>
          <w:b/>
          <w:bCs/>
        </w:rPr>
        <w:fldChar w:fldCharType="begin"/>
      </w:r>
      <w:r w:rsidRPr="00082DE6">
        <w:rPr>
          <w:b/>
          <w:bCs/>
        </w:rPr>
        <w:instrText xml:space="preserve"> SEQ Figure \* ARABIC </w:instrText>
      </w:r>
      <w:r w:rsidRPr="00082DE6">
        <w:rPr>
          <w:b/>
          <w:bCs/>
        </w:rPr>
        <w:fldChar w:fldCharType="separate"/>
      </w:r>
      <w:r w:rsidR="00D60612">
        <w:rPr>
          <w:b/>
          <w:bCs/>
          <w:noProof/>
        </w:rPr>
        <w:t>15</w:t>
      </w:r>
      <w:r w:rsidRPr="00082DE6">
        <w:rPr>
          <w:b/>
          <w:bCs/>
        </w:rPr>
        <w:fldChar w:fldCharType="end"/>
      </w:r>
      <w:r w:rsidRPr="00082DE6">
        <w:rPr>
          <w:b/>
          <w:bCs/>
        </w:rPr>
        <w:t xml:space="preserve"> </w:t>
      </w:r>
      <w:r w:rsidRPr="00082DE6">
        <w:rPr>
          <w:rFonts w:asciiTheme="majorHAnsi" w:eastAsiaTheme="majorEastAsia" w:hAnsiTheme="majorHAnsi" w:cstheme="majorBidi"/>
          <w:b/>
          <w:bCs/>
          <w:color w:val="1F3763" w:themeColor="accent1" w:themeShade="7F"/>
        </w:rPr>
        <w:t>Comparing TMB from EXaCT-2 dataset to TCGA samples.</w:t>
      </w:r>
      <w:r w:rsidRPr="00082DE6">
        <w:rPr>
          <w:b/>
          <w:bCs/>
        </w:rPr>
        <w:t xml:space="preserve"> Each</w:t>
      </w:r>
      <w:r w:rsidRPr="15688887">
        <w:t xml:space="preserve"> black dot represents the TMB of an individual sample from EXaCT-2. The blue dot denotes the mean TMB across all samples within each respective tumor type from the EXaCT-2 cohort, while the red dot signifies the mean TMB across all samples from the TCGA cohort for each respective tumor type</w:t>
      </w:r>
      <w:r w:rsidR="004228CD">
        <w:t>.</w:t>
      </w:r>
    </w:p>
    <w:p w14:paraId="436B7BBA" w14:textId="3D5BEF69" w:rsidR="00085460" w:rsidRDefault="00085460" w:rsidP="00226F2F"/>
    <w:p w14:paraId="1E0E387B" w14:textId="5CCF4EEB" w:rsidR="5157FBE6" w:rsidRDefault="5157FBE6" w:rsidP="00226F2F">
      <w:pPr>
        <w:pStyle w:val="Heading3"/>
        <w:rPr>
          <w:rFonts w:eastAsia="Cambria"/>
        </w:rPr>
      </w:pPr>
      <w:r w:rsidRPr="5AACFE7C">
        <w:rPr>
          <w:rFonts w:eastAsia="Cambria"/>
        </w:rPr>
        <w:t>TMB vs MSI in EXaCT-2 dataset</w:t>
      </w:r>
    </w:p>
    <w:p w14:paraId="3E9F6063" w14:textId="4F9085F2" w:rsidR="00353EFC" w:rsidRPr="00282B0E" w:rsidRDefault="00353EFC" w:rsidP="00226F2F">
      <w:r>
        <w:t xml:space="preserve">In a subsequent evaluation, we calculated the </w:t>
      </w:r>
      <w:r w:rsidR="00E8525C">
        <w:t xml:space="preserve">microsatellite instability </w:t>
      </w:r>
      <w:r w:rsidR="009A55C8">
        <w:t>(</w:t>
      </w:r>
      <w:r>
        <w:t>MSI</w:t>
      </w:r>
      <w:r w:rsidR="009A55C8">
        <w:t>)</w:t>
      </w:r>
      <w:r>
        <w:t xml:space="preserve"> value for the 106 </w:t>
      </w:r>
      <w:r w:rsidR="002B5E03">
        <w:t>EXaCT-2 samples used for the TMB comparison, using MSI</w:t>
      </w:r>
      <w:r w:rsidR="00184B0C">
        <w:t>s</w:t>
      </w:r>
      <w:r w:rsidR="002B5E03">
        <w:t>ensor</w:t>
      </w:r>
      <w:r w:rsidR="00184B0C">
        <w:t>-Pro</w:t>
      </w:r>
      <w:r w:rsidR="002B5E03">
        <w:fldChar w:fldCharType="begin"/>
      </w:r>
      <w:r w:rsidR="003A44DF">
        <w:instrText xml:space="preserve"> ADDIN ZOTERO_ITEM CSL_CITATION {"citationID":"jUt1d7nv","properties":{"formattedCitation":"\\super 16\\nosupersub{}","plainCitation":"16","noteIndex":0},"citationItems":[{"id":111,"uris":["http://zotero.org/users/local/wIF2fIsu/items/DEJPUDJD"],"itemData":{"id":111,"type":"article-journal","abstract":"Microsatellite instability (MSI) is a key biomarker for cancer therapy and prognosis. Traditional experimental assays are laborious and time-consuming, and next-generation sequencing-based computational methods do not work on leukemia samples, paraffin-embedded samples, or patient-derived xenografts/organoids, due to the requirement of matched normal samples. Herein, we developed MSIsensor-pro, an open-source single sample MSI scoring method for research and clinical applications. MSIsensor-pro introduces a multinomial distribution model to quantify polymerase slippages for each tumor sample and a discriminative site selection method to enable MSI detection without matched normal samples. We demonstrate that MSIsensor-pro is an ultrafast, accurate, and robust MSI calling method. Using samples with various sequencing depths and tumor purities, MSIsensor-pro significantly outperformed the current leading methods in both accuracy and computational cost. MSIsensor-pro is available at https://github.com/xjtu-omics/msisensor-pro and free for non-commercial use, while a commercial license is provided upon request.","container-title":"Genomics, Proteomics &amp; Bioinformatics","DOI":"10.1016/j.gpb.2020.02.001","ISSN":"1672-0229","issue":"1","journalAbbreviation":"Genomics, Proteomics &amp; Bioinformatics","page":"65-71","source":"Silverchair","title":"MSIsensor-Pro: Fast, Accurate, and Matched-Normal-Sample-Free Detection of Microsatellite Instability","title-short":"MSIsensor-Pro","volume":"18","author":[{"family":"Jia","given":"Peng"},{"family":"Yang","given":"Xiaofei"},{"family":"Guo","given":"Li"},{"family":"Liu","given":"Bowen"},{"family":"Lin","given":"Jiadong"},{"family":"Liang","given":"Hao"},{"family":"Sun","given":"Jianyong"},{"family":"Zhang","given":"Chengsheng"},{"family":"Ye","given":"Kai"}],"issued":{"date-parts":[["2020",2,1]]}}}],"schema":"https://github.com/citation-style-language/schema/raw/master/csl-citation.json"} </w:instrText>
      </w:r>
      <w:r w:rsidR="002B5E03">
        <w:fldChar w:fldCharType="separate"/>
      </w:r>
      <w:r w:rsidR="003A44DF" w:rsidRPr="003A44DF">
        <w:rPr>
          <w:rFonts w:ascii="Calibri" w:hAnsi="Calibri" w:cs="Calibri"/>
          <w:vertAlign w:val="superscript"/>
        </w:rPr>
        <w:t>16</w:t>
      </w:r>
      <w:r w:rsidR="002B5E03">
        <w:fldChar w:fldCharType="end"/>
      </w:r>
      <w:r w:rsidR="00184B0C">
        <w:t>.</w:t>
      </w:r>
      <w:r w:rsidR="003775EA">
        <w:t xml:space="preserve"> As has been observed </w:t>
      </w:r>
      <w:r w:rsidR="00BB03C7">
        <w:t>previously</w:t>
      </w:r>
      <w:r w:rsidR="00282B0E">
        <w:t xml:space="preserve"> </w:t>
      </w:r>
      <w:r w:rsidR="00282B0E">
        <w:fldChar w:fldCharType="begin"/>
      </w:r>
      <w:r w:rsidR="003A44DF">
        <w:instrText xml:space="preserve"> ADDIN ZOTERO_ITEM CSL_CITATION {"citationID":"AbLOcsJB","properties":{"formattedCitation":"\\super 17,18\\nosupersub{}","plainCitation":"17,18","noteIndex":0},"citationItems":[{"id":64,"uris":["http://zotero.org/users/local/wIF2fIsu/items/PR2B2K48"],"itemData":{"id":64,"type":"article-journal","abstract":"Programmed death receptor-1/ligand 1 (PD-1/L1) antibodies can induce durable remissions in malignancies. However, response rates are only approximately 10% to 20% in unselected patients versus approximately 50% in microsatellite instability–high (MSI-high) tumors, probably related to high tumor mutational burden (TMB). Pembrolizumab is approved for MSI-high or deficient mismatch repair tumors. However, outside of colorectal and endometrial carcinoma, only a small subset of tumors were MSI-high, making this treatment option unavailable to most patients. It is not known if MS-stable tumors with high TMB respond to PD-1/PD-L1 blockade. Next-generation sequencing (NGS) was performed on 60 patients (14 different histologies) treated with checkpoint blockade using the FoundationOne assay to determine TMB and MSI status. TMB was dichotomized into two groups: low-to-intermediate (0–19 mutations/mb) versus high (≥20 mutations/mb). Benefit rate (stable disease for ≥6 months and partial or complete response) was determined: 2,179 of 148,803 samples (1.5%) were MSI-high and 9,762 (6.6%) TMB-high (7,972, MS-stable/TMB-high). The majority (82.1%) of MSI-H tumors were TMB-high; however, only 18.3% of TMB-high tumors were MSI-H. Median progression-free survival for MS-stable/TMB-high versus MS-stable/TMB-low/TMB-intermediate tumors was 26.8 versus 4.3 months (P = 0.0173). Thus, our data demonstrate that MS-stable/TMB-high tumors are more common than MSI-high cancers and may benefit from immunotherapy.","container-title":"Cancer Immunology Research","DOI":"10.1158/2326-6066.CIR-19-0149","ISSN":"2326-6066","issue":"10","journalAbbreviation":"Cancer Immunology Research","page":"1570-1573","source":"Silverchair","title":"Microsatellite-Stable Tumors with High Mutational Burden Benefit from Immunotherapy","volume":"7","author":[{"family":"Goodman","given":"Aaron M."},{"family":"Sokol","given":"Ethan S."},{"family":"Frampton","given":"Garrett M."},{"family":"Lippman","given":"Scott M."},{"family":"Kurzrock","given":"Razelle"}],"issued":{"date-parts":[["2019",10,1]]}}},{"id":201,"uris":["http://zotero.org/users/local/wIF2fIsu/items/K336FV35"],"itemData":{"id":201,"type":"article-journal","abstract":"Background\nTumor mutation burden (TMB) has been recognized as a predictive biomarker for immunotherapy response in cancer. Systematic identification of molecular features correlated with TMB is significant, although such investigation remains insufficient.\n\nMethods\nWe analyzed associations of somatic mutations, pathways, protein expression, microRNAs (miRNAs), long non-coding RNAs (lncRNAs), competing endogenous RNA (ceRNA) antitumor immune signatures, and clinical features with TMB in various cancers using multi-omics datasets from The Cancer Genome Atlas (TCGA) program and datasets for cancer cohorts receiving the immune checkpoint blockade therapy.\n\nResults\nAmong the 32 TCGA cancer types, melanoma harbored the highest percentage of high-TMB (≥ 10/Mb) cancers (49.4%), followed by lung adenocarcinoma (36.9%) and lung squamous cell carcinoma (28.1%). Three hundred seventy-six genes had significant correlations of their mutations with increased TMB in various cancers, including 11 genes (ARID1A, ARID1B, BRIP1, NOTCH2, NOTCH4, EPHA5, ROS1, FAT1, SPEN, NSD1,and PTPRT) with the characteristic of their mutations associated with a favorable response to immunotherapy. Based on the mutation profiles in three genes (ROS1, SPEN, and PTPRT), we defined the TMB prognostic score that could predict cancer survival prognosis in the immunotherapy setting but not in the non-immunotherapy setting. It suggests that the TMB prognostic score’s ability to predict cancer prognosis is associated with the positive correlation between immunotherapy response and TMB. Nine cancer-associated pathways correlated positively with TMB in various cancers, including nucleotide excision repair, DNA replication, homologous recombination, base excision repair, mismatch repair, cell cycle, spliceosome, proteasome, and RNA degradation. In contrast, seven pathways correlated inversely with TMB in multiple cancers, including Wnt, Hedgehog, PI3K-AKT, MAPK, neurotrophin, axon guidance, and pathways in cancer. High-TMB cancers displayed higher levels of antitumor immune signatures and PD-L1 expression than low-TMB cancers in diverse cancers. The association between TMB and survival prognosis was positive in bladder, gastric, and endometrial cancers and negative in liver and head and neck cancers. TMB also showed significant associations with age, gender, height, weight, smoking, and race in certain cohorts.\n\nConclusions\nThe molecular and clinical features significantly associated with TMB could be valuable predictors for TMB and immunotherapy response and therefore have potential clinical values for cancer management.","container-title":"Frontiers in Immunology","DOI":"10.3389/fimmu.2023.1090838","ISSN":"1664-3224","journalAbbreviation":"Front Immunol","note":"PMID: 36911742\nPMCID: PMC9998480","page":"1090838","source":"PubMed Central","title":"Identification of tumor mutation burden-associated molecular and clinical features in cancer by analyzing multi-omics data","volume":"14","author":[{"family":"Li","given":"Mengyuan"},{"family":"Gao","given":"Xuejiao"},{"family":"Wang","given":"Xiaosheng"}],"issued":{"date-parts":[["2023",2,24]]}}}],"schema":"https://github.com/citation-style-language/schema/raw/master/csl-citation.json"} </w:instrText>
      </w:r>
      <w:r w:rsidR="00282B0E">
        <w:fldChar w:fldCharType="separate"/>
      </w:r>
      <w:r w:rsidR="003A44DF" w:rsidRPr="003A44DF">
        <w:rPr>
          <w:rFonts w:ascii="Calibri" w:hAnsi="Calibri" w:cs="Calibri"/>
          <w:vertAlign w:val="superscript"/>
        </w:rPr>
        <w:t>17,18</w:t>
      </w:r>
      <w:r w:rsidR="00282B0E">
        <w:fldChar w:fldCharType="end"/>
      </w:r>
      <w:r w:rsidR="003775EA">
        <w:t xml:space="preserve">, </w:t>
      </w:r>
      <w:r w:rsidR="005B1B77">
        <w:t>we observed that samples</w:t>
      </w:r>
      <w:r w:rsidR="003775EA">
        <w:t xml:space="preserve"> having </w:t>
      </w:r>
      <w:r w:rsidR="00E8525C">
        <w:t xml:space="preserve">a </w:t>
      </w:r>
      <w:r w:rsidR="003775EA">
        <w:t xml:space="preserve">high </w:t>
      </w:r>
      <w:r w:rsidR="009A55C8">
        <w:t xml:space="preserve">MSI </w:t>
      </w:r>
      <w:r w:rsidR="00E8525C">
        <w:t xml:space="preserve">estimate </w:t>
      </w:r>
      <w:r w:rsidR="00DF557D">
        <w:t xml:space="preserve">will likely </w:t>
      </w:r>
      <w:r w:rsidR="00C600E9">
        <w:t xml:space="preserve">also </w:t>
      </w:r>
      <w:r w:rsidR="00DF557D">
        <w:t xml:space="preserve">have a correspondingly </w:t>
      </w:r>
      <w:r w:rsidR="00E8525C">
        <w:t>high</w:t>
      </w:r>
      <w:r w:rsidR="00C600E9">
        <w:t>er</w:t>
      </w:r>
      <w:r w:rsidR="00E8525C">
        <w:t xml:space="preserve"> TMB estimate</w:t>
      </w:r>
      <w:r w:rsidR="001725E8">
        <w:t xml:space="preserve">; however, in contrast, </w:t>
      </w:r>
      <w:r w:rsidR="008C65E9">
        <w:t xml:space="preserve">high TMB status isn’t </w:t>
      </w:r>
      <w:r w:rsidR="007750B6">
        <w:t>associ</w:t>
      </w:r>
      <w:r w:rsidR="008C65E9">
        <w:t xml:space="preserve">ated with </w:t>
      </w:r>
      <w:r w:rsidR="007750B6">
        <w:t>high MSI status.</w:t>
      </w:r>
      <w:r w:rsidR="008C2387">
        <w:t xml:space="preserve"> In these</w:t>
      </w:r>
      <w:r w:rsidR="009610B9">
        <w:t xml:space="preserve"> high</w:t>
      </w:r>
      <w:r w:rsidR="001A607B">
        <w:t>-</w:t>
      </w:r>
      <w:r w:rsidR="009610B9">
        <w:t>TMB</w:t>
      </w:r>
      <w:r w:rsidR="001A607B">
        <w:t>, low-MSI cases</w:t>
      </w:r>
      <w:r w:rsidR="008C2387">
        <w:t xml:space="preserve">, it has been speculated that </w:t>
      </w:r>
      <w:r w:rsidR="003E4D9A">
        <w:t xml:space="preserve">other mechanisms drive the tumor mutational burden </w:t>
      </w:r>
      <w:r w:rsidR="003E4D9A">
        <w:fldChar w:fldCharType="begin"/>
      </w:r>
      <w:r w:rsidR="003A44DF">
        <w:instrText xml:space="preserve"> ADDIN ZOTERO_ITEM CSL_CITATION {"citationID":"Nc2x7V2z","properties":{"formattedCitation":"\\super 18,19\\nosupersub{}","plainCitation":"18,19","noteIndex":0},"citationItems":[{"id":201,"uris":["http://zotero.org/users/local/wIF2fIsu/items/K336FV35"],"itemData":{"id":201,"type":"article-journal","abstract":"Background\nTumor mutation burden (TMB) has been recognized as a predictive biomarker for immunotherapy response in cancer. Systematic identification of molecular features correlated with TMB is significant, although such investigation remains insufficient.\n\nMethods\nWe analyzed associations of somatic mutations, pathways, protein expression, microRNAs (miRNAs), long non-coding RNAs (lncRNAs), competing endogenous RNA (ceRNA) antitumor immune signatures, and clinical features with TMB in various cancers using multi-omics datasets from The Cancer Genome Atlas (TCGA) program and datasets for cancer cohorts receiving the immune checkpoint blockade therapy.\n\nResults\nAmong the 32 TCGA cancer types, melanoma harbored the highest percentage of high-TMB (≥ 10/Mb) cancers (49.4%), followed by lung adenocarcinoma (36.9%) and lung squamous cell carcinoma (28.1%). Three hundred seventy-six genes had significant correlations of their mutations with increased TMB in various cancers, including 11 genes (ARID1A, ARID1B, BRIP1, NOTCH2, NOTCH4, EPHA5, ROS1, FAT1, SPEN, NSD1,and PTPRT) with the characteristic of their mutations associated with a favorable response to immunotherapy. Based on the mutation profiles in three genes (ROS1, SPEN, and PTPRT), we defined the TMB prognostic score that could predict cancer survival prognosis in the immunotherapy setting but not in the non-immunotherapy setting. It suggests that the TMB prognostic score’s ability to predict cancer prognosis is associated with the positive correlation between immunotherapy response and TMB. Nine cancer-associated pathways correlated positively with TMB in various cancers, including nucleotide excision repair, DNA replication, homologous recombination, base excision repair, mismatch repair, cell cycle, spliceosome, proteasome, and RNA degradation. In contrast, seven pathways correlated inversely with TMB in multiple cancers, including Wnt, Hedgehog, PI3K-AKT, MAPK, neurotrophin, axon guidance, and pathways in cancer. High-TMB cancers displayed higher levels of antitumor immune signatures and PD-L1 expression than low-TMB cancers in diverse cancers. The association between TMB and survival prognosis was positive in bladder, gastric, and endometrial cancers and negative in liver and head and neck cancers. TMB also showed significant associations with age, gender, height, weight, smoking, and race in certain cohorts.\n\nConclusions\nThe molecular and clinical features significantly associated with TMB could be valuable predictors for TMB and immunotherapy response and therefore have potential clinical values for cancer management.","container-title":"Frontiers in Immunology","DOI":"10.3389/fimmu.2023.1090838","ISSN":"1664-3224","journalAbbreviation":"Front Immunol","note":"PMID: 36911742\nPMCID: PMC9998480","page":"1090838","source":"PubMed Central","title":"Identification of tumor mutation burden-associated molecular and clinical features in cancer by analyzing multi-omics data","volume":"14","author":[{"family":"Li","given":"Mengyuan"},{"family":"Gao","given":"Xuejiao"},{"family":"Wang","given":"Xiaosheng"}],"issued":{"date-parts":[["2023",2,24]]}}},{"id":196,"uris":["http://zotero.org/users/local/wIF2fIsu/items/SCFSXKF4"],"itemData":{"id":196,"type":"article-journal","abstract":"Introduction Mismatch repair (MMR)-deficient and DNA polymerase epsilon (POLE)-mutated tumors exhibit a high tumor mutation burden (TMB) and have been proven to be associated with good responses to immune checkpoint inhibitor treatments. However, the relationship between mutational characteristics of MMR-deficient and POLE-mutated tumors and the spatial architecture of tumor-infiltrating lymphocytes (TILs) has not been fully evaluated.\nMethods We retrieved microsatellite instability-high (MSI-high, N=20) and POLE-mutated (N=47) cases from the clinical next-generation sequencing cohort at Asan Medical Center. Whole-slide immunostaining for CD3, CD4, CD8, FoxP3 and PD-1 were performed with tissue samples of colorectal and gastric cancer (N=24) and the tumor-positive TIL cell densities were correlated with the tumor’s mutational features. The findings were compared with the results of similar analyses in The Cancer Genome Atlas-Colorectal Adenocarcinoma (TCGA-COADREAD) cohort (N=592).\nResults The MSI-high group showed significantly higher overall TMBs with a number of insertion/deletion (indel) mutations relative to the POLE-mutated group (median TMB; 83.6 vs 12.5/Mb). Oncogenic/likely-oncogenic POLE mutations were identified with ultrahypermutations (≥100 mutations/Mb) (2/47, 4.3%). Concurrent POLE mutations of unknown significance and MSI-high cases were identified in eight cases (8/67, 11%), and two of these colorectal cancers had multiple POLE mutations, showing an ultramutated phenotype (378.1 and 484.4/Mb) and low indel mutation burdens with complete loss of MSH-6 or PMS-2, which was similar to the mutational profile of the POLE-inactivated tumors. Intratumoral CD3-positive, CD4-positive, CD8-positive, FoxP3-positive and PD-1-positive TIL cell densities were more strongly correlated with the indel mutation burden than with the total TMB (correlation coefficient, 0.61–0.73 vs 0.23–0.38). In addition, PI3K/AKT/mTOR pathway mutations were commonly found in MSI-high tumors (75%) but not in POLE-mutated tumors.\nConclusions Indel mutation burden rather than total TMB could serve as a predictor of high TILs in both MSI-high and POLE-mutated tumors. Multiple uncharacterized/non-pathogenic POLE mutations occurring via MMR deficiency within MSI-high tumors may have combined pathogenic roles. A mutated PI3K/AKT/mTOR pathway may be a biomarker that can be used to stratify patients with advanced MSI-high tumors for immune therapy.","container-title":"Journal for ImmunoTherapy of Cancer","DOI":"10.1136/jitc-2021-002797","ISSN":"2051-1426","issue":"10","journalAbbreviation":"J Immunother Cancer","language":"en","license":"© Author(s) (or their employer(s)) 2021. Re-use permitted under CC BY-NC. No commercial re-use. See rights and permissions. Published by BMJ.. http://creativecommons.org/licenses/by-nc/4.0/This is an open access article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appropriate credit is given, any changes made indicated, and the use is non-commercial. See http://creativecommons.org/licenses/by-nc/4.0/.","note":"publisher: BMJ Specialist Journals\nsection: Basic tumor immunology\nPMID: 34607897","page":"e002797","source":"jitc.bmj.com","title":"Distinct mutational profile and immune microenvironment in microsatellite-unstable and POLE-mutated tumors","volume":"9","author":[{"family":"Hwang","given":"Hee Sang"},{"family":"Kim","given":"Deokhoon"},{"family":"Choi","given":"Jene"}],"issued":{"date-parts":[["2021",10,1]]}}}],"schema":"https://github.com/citation-style-language/schema/raw/master/csl-citation.json"} </w:instrText>
      </w:r>
      <w:r w:rsidR="003E4D9A">
        <w:fldChar w:fldCharType="separate"/>
      </w:r>
      <w:r w:rsidR="003A44DF" w:rsidRPr="003A44DF">
        <w:rPr>
          <w:rFonts w:ascii="Calibri" w:hAnsi="Calibri" w:cs="Calibri"/>
          <w:vertAlign w:val="superscript"/>
        </w:rPr>
        <w:t>18,19</w:t>
      </w:r>
      <w:r w:rsidR="003E4D9A">
        <w:fldChar w:fldCharType="end"/>
      </w:r>
      <w:r w:rsidR="003E4D9A">
        <w:t>.</w:t>
      </w:r>
    </w:p>
    <w:p w14:paraId="2CF14481" w14:textId="0CB97734" w:rsidR="5AACFE7C" w:rsidRDefault="5AACFE7C" w:rsidP="00226F2F">
      <w:pPr>
        <w:rPr>
          <w:rFonts w:ascii="Cambria" w:eastAsia="Cambria" w:hAnsi="Cambria" w:cs="Cambria"/>
        </w:rPr>
      </w:pPr>
    </w:p>
    <w:p w14:paraId="77DB8AB0" w14:textId="77777777" w:rsidR="0027738E" w:rsidRDefault="5157FBE6" w:rsidP="00226F2F">
      <w:pPr>
        <w:keepNext/>
      </w:pPr>
      <w:r>
        <w:rPr>
          <w:noProof/>
        </w:rPr>
        <w:lastRenderedPageBreak/>
        <w:drawing>
          <wp:inline distT="0" distB="0" distL="0" distR="0" wp14:anchorId="00FC2897" wp14:editId="2195BEFC">
            <wp:extent cx="3679971" cy="2506980"/>
            <wp:effectExtent l="0" t="0" r="0" b="7620"/>
            <wp:docPr id="321070547" name="Picture 321070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extLst>
                        <a:ext uri="{28A0092B-C50C-407E-A947-70E740481C1C}">
                          <a14:useLocalDpi xmlns:a14="http://schemas.microsoft.com/office/drawing/2010/main" val="0"/>
                        </a:ext>
                      </a:extLst>
                    </a:blip>
                    <a:stretch>
                      <a:fillRect/>
                    </a:stretch>
                  </pic:blipFill>
                  <pic:spPr>
                    <a:xfrm>
                      <a:off x="0" y="0"/>
                      <a:ext cx="3681674" cy="2508140"/>
                    </a:xfrm>
                    <a:prstGeom prst="rect">
                      <a:avLst/>
                    </a:prstGeom>
                  </pic:spPr>
                </pic:pic>
              </a:graphicData>
            </a:graphic>
          </wp:inline>
        </w:drawing>
      </w:r>
    </w:p>
    <w:p w14:paraId="3EF1C8AE" w14:textId="7E381523" w:rsidR="5157FBE6" w:rsidRDefault="0027738E" w:rsidP="00226F2F">
      <w:pPr>
        <w:pStyle w:val="Caption"/>
      </w:pPr>
      <w:r w:rsidRPr="00282B0E">
        <w:rPr>
          <w:b/>
          <w:bCs/>
        </w:rPr>
        <w:t>Figure S</w:t>
      </w:r>
      <w:r w:rsidRPr="00282B0E">
        <w:rPr>
          <w:b/>
          <w:bCs/>
        </w:rPr>
        <w:fldChar w:fldCharType="begin"/>
      </w:r>
      <w:r w:rsidRPr="00282B0E">
        <w:rPr>
          <w:b/>
          <w:bCs/>
        </w:rPr>
        <w:instrText xml:space="preserve"> SEQ Figure \* ARABIC </w:instrText>
      </w:r>
      <w:r w:rsidRPr="00282B0E">
        <w:rPr>
          <w:b/>
          <w:bCs/>
        </w:rPr>
        <w:fldChar w:fldCharType="separate"/>
      </w:r>
      <w:r w:rsidR="00D60612">
        <w:rPr>
          <w:b/>
          <w:bCs/>
          <w:noProof/>
        </w:rPr>
        <w:t>16</w:t>
      </w:r>
      <w:r w:rsidRPr="00282B0E">
        <w:rPr>
          <w:b/>
          <w:bCs/>
        </w:rPr>
        <w:fldChar w:fldCharType="end"/>
      </w:r>
      <w:r w:rsidRPr="00282B0E">
        <w:rPr>
          <w:b/>
          <w:bCs/>
        </w:rPr>
        <w:t>: TMB vs. MSI</w:t>
      </w:r>
      <w:r w:rsidR="00541BAD" w:rsidRPr="00282B0E">
        <w:rPr>
          <w:b/>
          <w:bCs/>
        </w:rPr>
        <w:t>.</w:t>
      </w:r>
      <w:r w:rsidR="00541BAD">
        <w:t xml:space="preserve"> </w:t>
      </w:r>
      <w:r w:rsidR="004B4040">
        <w:t xml:space="preserve">The </w:t>
      </w:r>
      <w:r w:rsidR="009109E8">
        <w:t xml:space="preserve">MSI values for the </w:t>
      </w:r>
      <w:r w:rsidR="004B4040">
        <w:t xml:space="preserve">106 samples used in </w:t>
      </w:r>
      <w:r w:rsidR="009F1404">
        <w:t>F</w:t>
      </w:r>
      <w:r w:rsidR="004B4040">
        <w:t>igure S</w:t>
      </w:r>
      <w:r w:rsidR="009F1404">
        <w:t>15</w:t>
      </w:r>
      <w:r w:rsidR="004B4040">
        <w:t xml:space="preserve"> </w:t>
      </w:r>
      <w:r w:rsidR="001153F6">
        <w:t>are plotted</w:t>
      </w:r>
      <w:r w:rsidR="00462EFC">
        <w:t xml:space="preserve"> versus the calculated TMB estimates for these samples. As has been shown elsewhere</w:t>
      </w:r>
      <w:r w:rsidR="00BB03C7">
        <w:t xml:space="preserve"> </w:t>
      </w:r>
      <w:r w:rsidR="00575B84">
        <w:fldChar w:fldCharType="begin"/>
      </w:r>
      <w:r w:rsidR="003A44DF">
        <w:instrText xml:space="preserve"> ADDIN ZOTERO_ITEM CSL_CITATION {"citationID":"xruJmRHo","properties":{"formattedCitation":"\\super 17,18\\nosupersub{}","plainCitation":"17,18","noteIndex":0},"citationItems":[{"id":64,"uris":["http://zotero.org/users/local/wIF2fIsu/items/PR2B2K48"],"itemData":{"id":64,"type":"article-journal","abstract":"Programmed death receptor-1/ligand 1 (PD-1/L1) antibodies can induce durable remissions in malignancies. However, response rates are only approximately 10% to 20% in unselected patients versus approximately 50% in microsatellite instability–high (MSI-high) tumors, probably related to high tumor mutational burden (TMB). Pembrolizumab is approved for MSI-high or deficient mismatch repair tumors. However, outside of colorectal and endometrial carcinoma, only a small subset of tumors were MSI-high, making this treatment option unavailable to most patients. It is not known if MS-stable tumors with high TMB respond to PD-1/PD-L1 blockade. Next-generation sequencing (NGS) was performed on 60 patients (14 different histologies) treated with checkpoint blockade using the FoundationOne assay to determine TMB and MSI status. TMB was dichotomized into two groups: low-to-intermediate (0–19 mutations/mb) versus high (≥20 mutations/mb). Benefit rate (stable disease for ≥6 months and partial or complete response) was determined: 2,179 of 148,803 samples (1.5%) were MSI-high and 9,762 (6.6%) TMB-high (7,972, MS-stable/TMB-high). The majority (82.1%) of MSI-H tumors were TMB-high; however, only 18.3% of TMB-high tumors were MSI-H. Median progression-free survival for MS-stable/TMB-high versus MS-stable/TMB-low/TMB-intermediate tumors was 26.8 versus 4.3 months (P = 0.0173). Thus, our data demonstrate that MS-stable/TMB-high tumors are more common than MSI-high cancers and may benefit from immunotherapy.","container-title":"Cancer Immunology Research","DOI":"10.1158/2326-6066.CIR-19-0149","ISSN":"2326-6066","issue":"10","journalAbbreviation":"Cancer Immunology Research","page":"1570-1573","source":"Silverchair","title":"Microsatellite-Stable Tumors with High Mutational Burden Benefit from Immunotherapy","volume":"7","author":[{"family":"Goodman","given":"Aaron M."},{"family":"Sokol","given":"Ethan S."},{"family":"Frampton","given":"Garrett M."},{"family":"Lippman","given":"Scott M."},{"family":"Kurzrock","given":"Razelle"}],"issued":{"date-parts":[["2019",10,1]]}}},{"id":201,"uris":["http://zotero.org/users/local/wIF2fIsu/items/K336FV35"],"itemData":{"id":201,"type":"article-journal","abstract":"Background\nTumor mutation burden (TMB) has been recognized as a predictive biomarker for immunotherapy response in cancer. Systematic identification of molecular features correlated with TMB is significant, although such investigation remains insufficient.\n\nMethods\nWe analyzed associations of somatic mutations, pathways, protein expression, microRNAs (miRNAs), long non-coding RNAs (lncRNAs), competing endogenous RNA (ceRNA) antitumor immune signatures, and clinical features with TMB in various cancers using multi-omics datasets from The Cancer Genome Atlas (TCGA) program and datasets for cancer cohorts receiving the immune checkpoint blockade therapy.\n\nResults\nAmong the 32 TCGA cancer types, melanoma harbored the highest percentage of high-TMB (≥ 10/Mb) cancers (49.4%), followed by lung adenocarcinoma (36.9%) and lung squamous cell carcinoma (28.1%). Three hundred seventy-six genes had significant correlations of their mutations with increased TMB in various cancers, including 11 genes (ARID1A, ARID1B, BRIP1, NOTCH2, NOTCH4, EPHA5, ROS1, FAT1, SPEN, NSD1,and PTPRT) with the characteristic of their mutations associated with a favorable response to immunotherapy. Based on the mutation profiles in three genes (ROS1, SPEN, and PTPRT), we defined the TMB prognostic score that could predict cancer survival prognosis in the immunotherapy setting but not in the non-immunotherapy setting. It suggests that the TMB prognostic score’s ability to predict cancer prognosis is associated with the positive correlation between immunotherapy response and TMB. Nine cancer-associated pathways correlated positively with TMB in various cancers, including nucleotide excision repair, DNA replication, homologous recombination, base excision repair, mismatch repair, cell cycle, spliceosome, proteasome, and RNA degradation. In contrast, seven pathways correlated inversely with TMB in multiple cancers, including Wnt, Hedgehog, PI3K-AKT, MAPK, neurotrophin, axon guidance, and pathways in cancer. High-TMB cancers displayed higher levels of antitumor immune signatures and PD-L1 expression than low-TMB cancers in diverse cancers. The association between TMB and survival prognosis was positive in bladder, gastric, and endometrial cancers and negative in liver and head and neck cancers. TMB also showed significant associations with age, gender, height, weight, smoking, and race in certain cohorts.\n\nConclusions\nThe molecular and clinical features significantly associated with TMB could be valuable predictors for TMB and immunotherapy response and therefore have potential clinical values for cancer management.","container-title":"Frontiers in Immunology","DOI":"10.3389/fimmu.2023.1090838","ISSN":"1664-3224","journalAbbreviation":"Front Immunol","note":"PMID: 36911742\nPMCID: PMC9998480","page":"1090838","source":"PubMed Central","title":"Identification of tumor mutation burden-associated molecular and clinical features in cancer by analyzing multi-omics data","volume":"14","author":[{"family":"Li","given":"Mengyuan"},{"family":"Gao","given":"Xuejiao"},{"family":"Wang","given":"Xiaosheng"}],"issued":{"date-parts":[["2023",2,24]]}}}],"schema":"https://github.com/citation-style-language/schema/raw/master/csl-citation.json"} </w:instrText>
      </w:r>
      <w:r w:rsidR="00575B84">
        <w:fldChar w:fldCharType="separate"/>
      </w:r>
      <w:r w:rsidR="003A44DF" w:rsidRPr="003A44DF">
        <w:rPr>
          <w:rFonts w:ascii="Calibri" w:hAnsi="Calibri" w:cs="Calibri"/>
          <w:vertAlign w:val="superscript"/>
        </w:rPr>
        <w:t>17,18</w:t>
      </w:r>
      <w:r w:rsidR="00575B84">
        <w:fldChar w:fldCharType="end"/>
      </w:r>
      <w:r w:rsidR="00FD7F70">
        <w:t>, high MSI values typically correspond to high TMB estimates,</w:t>
      </w:r>
      <w:r w:rsidR="0031186D">
        <w:t xml:space="preserve"> while</w:t>
      </w:r>
      <w:r w:rsidR="00FD7F70">
        <w:t xml:space="preserve"> the opposite </w:t>
      </w:r>
      <w:r w:rsidR="0031186D">
        <w:t>isn’t</w:t>
      </w:r>
      <w:r w:rsidR="00681086">
        <w:t xml:space="preserve"> true, resulting in a weak, but still significant correlation (</w:t>
      </w:r>
      <w:r w:rsidR="00791ACF">
        <w:t>Pearson’s R = 0.13, p-value</w:t>
      </w:r>
      <w:r w:rsidR="00353EFC">
        <w:t xml:space="preserve"> &lt; 0.001).</w:t>
      </w:r>
    </w:p>
    <w:p w14:paraId="2EEE0EC8" w14:textId="77777777" w:rsidR="008D6BEE" w:rsidRDefault="008D6BEE" w:rsidP="00226F2F">
      <w:pPr>
        <w:pStyle w:val="Heading2"/>
      </w:pPr>
    </w:p>
    <w:p w14:paraId="19C835B4" w14:textId="501E213D" w:rsidR="007C1230" w:rsidRDefault="007E5F22" w:rsidP="00226F2F">
      <w:pPr>
        <w:pStyle w:val="Heading2"/>
      </w:pPr>
      <w:r>
        <w:t>Supplemental Methods:</w:t>
      </w:r>
    </w:p>
    <w:p w14:paraId="4BE7D454" w14:textId="77777777" w:rsidR="00461418" w:rsidRPr="007C3803" w:rsidRDefault="00461418" w:rsidP="00226F2F">
      <w:pPr>
        <w:pStyle w:val="Heading3"/>
        <w:rPr>
          <w:color w:val="2F5496" w:themeColor="accent1" w:themeShade="BF"/>
        </w:rPr>
      </w:pPr>
      <w:bookmarkStart w:id="2" w:name="_Toc161332034"/>
      <w:r w:rsidRPr="007C3803">
        <w:rPr>
          <w:color w:val="2F5496" w:themeColor="accent1" w:themeShade="BF"/>
        </w:rPr>
        <w:t>Read alignment and preprocessing</w:t>
      </w:r>
      <w:bookmarkEnd w:id="2"/>
    </w:p>
    <w:p w14:paraId="17C9733C" w14:textId="77777777" w:rsidR="00461418" w:rsidRDefault="00461418" w:rsidP="00226F2F">
      <w:r w:rsidRPr="00DB1FA6">
        <w:t xml:space="preserve">Adapter sequences were removed using </w:t>
      </w:r>
      <w:proofErr w:type="spellStart"/>
      <w:r w:rsidRPr="00DB1FA6">
        <w:t>fastp</w:t>
      </w:r>
      <w:proofErr w:type="spellEnd"/>
      <w:r w:rsidRPr="00DB1FA6">
        <w:t xml:space="preserve">, and the trimmed sequencing reads were aligned to the human reference genome (human_g1k_b37) using the Burrows–Wheeler Alignment tool (bwa v0.7.17, using ‘mem’ option). After alignment, PCR duplicates were marked using </w:t>
      </w:r>
      <w:proofErr w:type="spellStart"/>
      <w:r w:rsidRPr="00DB1FA6">
        <w:t>Sambamba</w:t>
      </w:r>
      <w:proofErr w:type="spellEnd"/>
      <w:r w:rsidRPr="00DB1FA6">
        <w:t xml:space="preserve"> (v0.6.7), followed by realignment around the indels, fixing mates and base quality score recalibration using Genome Analysis Toolkit (GATK, v4.2.0.0), and all unmapped reads were removed (all read with MAPQ equal to 0).</w:t>
      </w:r>
    </w:p>
    <w:p w14:paraId="26567AAC" w14:textId="77777777" w:rsidR="00461418" w:rsidRPr="00610955" w:rsidRDefault="00461418" w:rsidP="00226F2F"/>
    <w:p w14:paraId="5EACE2F6" w14:textId="77777777" w:rsidR="00461418" w:rsidRPr="007C3803" w:rsidRDefault="00461418" w:rsidP="00226F2F">
      <w:pPr>
        <w:pStyle w:val="Heading3"/>
        <w:rPr>
          <w:color w:val="2F5496" w:themeColor="accent1" w:themeShade="BF"/>
        </w:rPr>
      </w:pPr>
      <w:bookmarkStart w:id="3" w:name="_Toc161332035"/>
      <w:r w:rsidRPr="007C3803">
        <w:rPr>
          <w:color w:val="2F5496" w:themeColor="accent1" w:themeShade="BF"/>
        </w:rPr>
        <w:t>Somatic Variant Calling</w:t>
      </w:r>
      <w:bookmarkEnd w:id="3"/>
    </w:p>
    <w:p w14:paraId="298BE656" w14:textId="1D038AFF" w:rsidR="00461418" w:rsidRDefault="00461418" w:rsidP="00226F2F">
      <w:r>
        <w:t xml:space="preserve">Somatic variants were identified using a consensus mutation calling approach which integrated seven different mutation callers, this approach is a modified version of the previously published pipeline by the TCGA’s Multi-Center Mutation Calling in Multiple Cancers (MC3) working group </w:t>
      </w:r>
      <w:r>
        <w:fldChar w:fldCharType="begin"/>
      </w:r>
      <w:r w:rsidR="003A44DF">
        <w:instrText xml:space="preserve"> ADDIN ZOTERO_ITEM CSL_CITATION {"citationID":"DhxO48a8","properties":{"formattedCitation":"\\super 20\\nosupersub{}","plainCitation":"20","noteIndex":0},"citationItems":[{"id":93,"uris":["http://zotero.org/users/local/wIF2fIsu/items/EY8MJLTS"],"itemData":{"id":93,"type":"article-journal","container-title":"Cell Systems","DOI":"10.1016/j.cels.2018.03.002","ISSN":"2405-4712, 2405-4720","issue":"3","journalAbbreviation":"cels","language":"English","note":"publisher: Elsevier\nPMID: 29596782","page":"271-281.e7","source":"www.cell.com","title":"Scalable Open Science Approach for Mutation Calling of Tumor Exomes Using Multiple Genomic Pipelines","volume":"6","author":[{"family":"Ellrott","given":"Kyle"},{"family":"Bailey","given":"Matthew H."},{"family":"Saksena","given":"Gordon"},{"family":"Covington","given":"Kyle R."},{"family":"Kandoth","given":"Cyriac"},{"family":"Stewart","given":"Chip"},{"family":"Hess","given":"Julian"},{"family":"Ma","given":"Singer"},{"family":"Chiotti","given":"Kami E."},{"family":"McLellan","given":"Michael"},{"family":"Sofia","given":"Heidi J."},{"family":"Hutter","given":"Carolyn"},{"family":"Getz","given":"Gad"},{"family":"Wheeler","given":"David"},{"family":"Ding","given":"Li"},{"family":"Caesar-Johnson","given":"Samantha J."},{"family":"Demchok","given":"John A."},{"family":"Felau","given":"Ina"},{"family":"Kasapi","given":"Melpomeni"},{"family":"Ferguson","given":"Martin L."},{"family":"Hutter","given":"Carolyn M."},{"family":"Sofia","given":"Heidi J."},{"family":"Tarnuzzer","given":"Roy"},{"family":"Wang","given":"Zhining"},{"family":"Yang","given":"Liming"},{"family":"Zenklusen","given":"Jean C."},{"family":"Zhang","given":"Jiashan (Julia)"},{"family":"Chudamani","given":"Sudha"},{"family":"Liu","given":"Jia"},{"family":"Lolla","given":"Laxmi"},{"family":"Naresh","given":"Rashi"},{"family":"Pihl","given":"Todd"},{"family":"Sun","given":"Qiang"},{"family":"Wan","given":"Yunhu"},{"family":"Wu","given":"Ye"},{"family":"Cho","given":"Juok"},{"family":"DeFreitas","given":"Timothy"},{"family":"Frazer","given":"Scott"},{"family":"Gehlenborg","given":"Nils"},{"family":"Getz","given":"Gad"},{"family":"Heiman","given":"David I."},{"family":"Kim","given":"Jaegil"},{"family":"Lawrence","given":"Michael S."},{"family":"Lin","given":"Pei"},{"family":"Meier","given":"Sam"},{"family":"Noble","given":"Michael S."},{"family":"Saksena","given":"Gordon"},{"family":"Voet","given":"Doug"},{"family":"Zhang","given":"Hailei"},{"family":"Bernard","given":"Brady"},{"family":"Chambwe","given":"Nyasha"},{"family":"Dhankani","given":"Varsha"},{"family":"Knijnenburg","given":"Theo"},{"family":"Kramer","given":"Roger"},{"family":"Leinonen","given":"Kalle"},{"family":"Liu","given":"Yuexin"},{"family":"Miller","given":"Michael"},{"family":"Reynolds","given":"Sheila"},{"family":"Shmulevich","given":"Ilya"},{"family":"Thorsson","given":"Vesteinn"},{"family":"Zhang","given":"Wei"},{"family":"Akbani","given":"Rehan"},{"family":"Broom","given":"Bradley M."},{"family":"Hegde","given":"Apurva M."},{"family":"Ju","given":"Zhenlin"},{"family":"Kanchi","given":"Rupa S."},{"family":"Korkut","given":"Anil"},{"family":"Li","given":"Jun"},{"family":"Liang","given":"Han"},{"family":"Ling","given":"Shiyun"},{"family":"Liu","given":"Wenbin"},{"family":"Lu","given":"Yiling"},{"family":"Mills","given":"Gordon B."},{"family":"Ng","given":"Kwok-Shing"},{"family":"Rao","given":"Arvind"},{"family":"Ryan","given":"Michael"},{"family":"Wang","given":"Jing"},{"family":"Weinstein","given":"John N."},{"family":"Zhang","given":"Jiexin"},{"family":"Abeshouse","given":"Adam"},{"family":"Armenia","given":"Joshua"},{"family":"Chakravarty","given":"Debyani"},{"family":"Chatila","given":"Walid K."},{"family":"Bruijn","given":"Ino","dropping-particle":"de"},{"family":"Gao","given":"Jianjiong"},{"family":"Gross","given":"Benjamin E."},{"family":"Heins","given":"Zachary J."},{"family":"Kundra","given":"Ritika"},{"family":"La","given":"Konnor"},{"family":"Ladanyi","given":"Marc"},{"family":"Luna","given":"Augustin"},{"family":"Nissan","given":"Moriah G."},{"family":"Ochoa","given":"Angelica"},{"family":"Phillips","given":"Sarah M."},{"family":"Reznik","given":"Ed"},{"family":"Sanchez-Vega","given":"Francisco"},{"family":"Sander","given":"Chris"},{"family":"Schultz","given":"Nikolaus"},{"family":"Sheridan","given":"Robert"},{"family":"Sumer","given":"S. Onur"},{"family":"Sun","given":"Yichao"},{"family":"Taylor","given":"Barry S."},{"family":"Wang","given":"Jioajiao"},{"family":"Zhang","given":"Hongxin"},{"family":"Anur","given":"Pavana"},{"family":"Peto","given":"Myron"},{"family":"Spellman","given":"Paul"},{"family":"Benz","given":"Christopher"},{"family":"Stuart","given":"Joshua M."},{"family":"Wong","given":"Christopher K."},{"family":"Yau","given":"Christina"},{"family":"Hayes","given":"D. Neil"},{"family":"Parker","given":""},{"family":"Wilkerson","given":"Matthew D."},{"family":"Ally","given":"Adrian"},{"family":"Balasundaram","given":"Miruna"},{"family":"Bowlby","given":"Reanne"},{"family":"Brooks","given":"Denise"},{"family":"Carlsen","given":"Rebecca"},{"family":"Chuah","given":"Eric"},{"family":"Dhalla","given":"Noreen"},{"family":"Holt","given":"Robert"},{"family":"Jones","given":"Steven J. M."},{"family":"Kasaian","given":"Katayoon"},{"family":"Lee","given":"Darlene"},{"family":"Ma","given":"Yussanne"},{"family":"Marra","given":"Marco A."},{"family":"Mayo","given":"Michael"},{"family":"Moore","given":"Richard A."},{"family":"Mungall","given":"Andrew J."},{"family":"Mungall","given":"Karen"},{"family":"Robertson","given":"A. Gordon"},{"family":"Sadeghi","given":"Sara"},{"family":"Schein","given":"Jacqueline E."},{"family":"Sipahimalani","given":"Payal"},{"family":"Tam","given":"Angela"},{"family":"Thiessen","given":"Nina"},{"family":"Tse","given":"Kane"},{"family":"Wong","given":"Tina"},{"family":"Berger","given":"Ashton C."},{"family":"Beroukhim","given":"Rameen"},{"family":"Cherniack","given":"Andrew D."},{"family":"Cibulskis","given":"Carrie"},{"family":"Gabriel","given":"Stacey B."},{"family":"Gao","given":"Galen F."},{"family":"Ha","given":"Gavin"},{"family":"Meyerson","given":"Matthew"},{"family":"Schumacher","given":"Steven E."},{"family":"Shih","given":"Juliann"},{"family":"Kucherlapati","given":"Melanie H."},{"family":"Kucherlapati","given":"Raju S."},{"family":"Baylin","given":"Stephen"},{"family":"Cope","given":"Leslie"},{"family":"Danilova","given":"Ludmila"},{"family":"Bootwalla","given":"Moiz S."},{"family":"Lai","given":"Phillip H."},{"family":"Maglinte","given":"Dennis T."},{"family":"Berg","given":"David J. Van Den"},{"family":"Weisenberger","given":"Daniel J."},{"family":"Auman","given":"J. Todd"},{"family":"Balu","given":"Saianand"},{"family":"Bodenheimer","given":"Tom"},{"family":"Fan","given":"Cheng"},{"family":"Hoadley","given":"Katherine A."},{"family":"Hoyle","given":"Alan P."},{"family":"Jefferys","given":"Stuart R."},{"family":"Jones","given":"Corbin D."},{"family":"Meng","given":"Shaowu"},{"family":"Mieczkowski","given":"Piotr A."},{"family":"Mose","given":"Lisle E."},{"family":"Perou","given":"Amy H."},{"family":"Perou","given":"Charles M."},{"family":"Roach","given":"Jeffrey"},{"family":"Shi","given":"Yan"},{"family":"Simons","given":"Janae V."},{"family":"Skelly","given":"Tara"},{"family":"Soloway","given":"Matthew G."},{"family":"Tan","given":"Donghui"},{"family":"Veluvolu","given":"Umadevi"},{"family":"Fan","given":"Huihui"},{"family":"Hinoue","given":"Toshinori"},{"family":"Laird","given":"Peter W."},{"family":"Shen","given":"Hui"},{"family":"Zhou","given":"Wanding"},{"family":"Bellair","given":"Michelle"},{"family":"Chang","given":"Kyle"},{"family":"Covington","given":"Kyle"},{"family":"Creighton","given":"Chad J."},{"family":"Dinh","given":"Huyen"},{"family":"Doddapaneni","given":"HarshaVardhan"},{"family":"Donehower","given":"Lawrence A."},{"family":"Drummond","given":"Jennifer"},{"family":"Gibbs","given":"Richard A."},{"family":"Glenn","given":"Robert"},{"family":"Hale","given":"Walker"},{"family":"Han","given":"Yi"},{"family":"Hu","given":"Jianhong"},{"family":"Korchina","given":"Viktoriya"},{"family":"Lee","given":"Sandra"},{"family":"Lewis","given":"Lora"},{"family":"Li","given":"Wei"},{"family":"Liu","given":"Xiuping"},{"family":"Morgan","given":"Margaret"},{"family":"Morton","given":"Donna"},{"family":"Muzny","given":"Donna"},{"family":"Santibanez","given":"Jireh"},{"family":"Sheth","given":"Margi"},{"family":"Shinbrot","given":"Eve"},{"family":"Wang","given":"Linghua"},{"family":"Wang","given":"Min"},{"family":"Wheeler","given":"David A."},{"family":"Xi","given":"Liu"},{"family":"Zhao","given":"Fengmei"},{"family":"Hess","given":"Julian"},{"family":"Appelbaum","given":"Elizabeth L."},{"family":"Bailey","given":"Matthew"},{"family":"Cordes","given":"Matthew G."},{"family":"Ding","given":"Li"},{"family":"Fronick","given":"Catrina C."},{"family":"Fulton","given":"Lucinda A."},{"family":"Fulton","given":"Robert S."},{"family":"Kandoth","given":"Cyriac"},{"family":"Mardis","given":"Elaine R."},{"family":"McLellan","given":"Michael D."},{"family":"Miller","given":"Christopher A."},{"family":"Schmidt","given":"Heather K."},{"family":"Wilson","given":"Richard K."},{"family":"Crain","given":"Daniel"},{"family":"Curley","given":"Erin"},{"family":"Gardner","given":"Johanna"},{"family":"Lau","given":"Kevin"},{"family":"Mallery","given":"David"},{"family":"Morris","given":"Scott"},{"family":"Paulauskis","given":"Joseph"},{"family":"Penny","given":"Robert"},{"family":"Shelton","given":"Candace"},{"family":"Shelton","given":"Troy"},{"family":"Sherman","given":"Mark"},{"family":"Thompson","given":"Eric"},{"family":"Yena","given":"Peggy"},{"family":"Bowen","given":"Jay"},{"family":"Gastier-Foster","given":"Julie M."},{"family":"Gerken","given":"Mark"},{"family":"Leraas","given":"Kristen M."},{"family":"Lichtenberg","given":"Tara M."},{"family":"Ramirez","given":"Nilsa C."},{"family":"Wise","given":"Lisa"},{"family":"Zmuda","given":"Erik"},{"family":"Corcoran","given":"Niall"},{"family":"Costello","given":"Tony"},{"family":"Hovens","given":"Christopher"},{"family":"Carvalho","given":"Andre L."},{"family":"Carvalho","given":"Ana C.","dropping-particle":"de"},{"family":"Fregnani","given":"José H."},{"family":"Longatto-Filho","given":"Adhemar"},{"family":"Reis","given":"Rui M."},{"family":"Scapulatempo-Neto","given":"Cristovam"},{"family":"Silveira","given":"Henrique C. S."},{"family":"Vidal","given":"Daniel O."},{"family":"Burnette","given":"Andrew"},{"family":"Eschbacher","given":"Jennifer"},{"family":"Hermes","given":"Beth"},{"family":"Noss","given":"Ardene"},{"family":"Singh","given":"Rosy"},{"family":"Anderson","given":"Matthew L."},{"family":"Castro","given":"Patricia D."},{"family":"Ittmann","given":"Michael"},{"family":"Huntsman","given":"David"},{"family":"Kohl","given":"Bernard"},{"family":"Le","given":"Xuan"},{"family":"Thorp","given":"Richard"},{"family":"Andry","given":"Chris"},{"family":"Duffy","given":"Elizabeth R."},{"family":"Lyadov","given":"Vladimir"},{"family":"Paklina","given":"Oxana"},{"family":"Setdikova","given":"Galiya"},{"family":"Shabunin","given":"Alexey"},{"family":"Tavobilov","given":"Mikhail"},{"family":"McPherson","given":"Christopher"},{"family":"Warnick","given":"Ronald"},{"family":"Berkowitz","given":"Ross"},{"family":"Cramer","given":"Daniel"},{"family":"Feltmate","given":"Colleen"},{"family":"Horowitz","given":"Neil"},{"family":"Kibel","given":"Adam"},{"family":"Muto","given":"Michael"},{"family":"Raut","given":"Chandrajit P."},{"family":"Malykh","given":"Andrei"},{"family":"Barnholtz-Sloan","given":"Jill S."},{"family":"Barrett","given":"Wendi"},{"family":"Devine","given":"Karen"},{"family":"Fulop","given":"Jordonna"},{"family":"Ostrom","given":"Quinn T."},{"family":"Shimmel","given":"Kristen"},{"family":"Wolinsky","given":"Yingli"},{"family":"Sloan","given":"Andrew E."},{"family":"Rose","given":"Agostino De"},{"family":"Giuliante","given":"Felice"},{"family":"Goodman","given":"Marc"},{"family":"Karlan","given":"Beth Y."},{"family":"Hagedorn","given":"Curt H."},{"family":"Eckman","given":"John"},{"family":"Harr","given":"Jodi"},{"family":"Myers","given":"Jerome"},{"family":"Tucker","given":"Kelinda"},{"family":"Zach","given":"Leigh Anne"},{"family":"Deyarmin","given":"Brenda"},{"family":"Hu","given":"Hai"},{"family":"Kvecher","given":"Leonid"},{"family":"Larson","given":"Caroline"},{"family":"Mural","given":"Richard J."},{"family":"Somiari","given":"Stella"},{"family":"Vicha","given":"Ales"},{"family":"Zelinka","given":"Tomas"},{"family":"Bennett","given":"Joseph"},{"family":"Iacocca","given":"Mary"},{"family":"Rabeno","given":"Brenda"},{"family":"Swanson","given":"Patricia"},{"family":"Latour","given":"Mathieu"},{"family":"Lacombe","given":"Louis"},{"family":"Têtu","given":"Bernard"},{"family":"Bergeron","given":"Alain"},{"family":"McGraw","given":"Mary"},{"family":"Staugaitis","given":"Susan M."},{"family":"Chabot","given":"John"},{"family":"Hibshoosh","given":"Hanina"},{"family":"Sepulveda","given":"Antonia"},{"family":"Su","given":"Tao"},{"family":"Wang","given":"Timothy"},{"family":"Potapova","given":"Olga"},{"family":"Voronina","given":"Olga"},{"family":"Desjardins","given":"Laurence"},{"family":"Mariani","given":"Odette"},{"family":"Roman-Roman","given":"Sergio"},{"family":"Sastre","given":"Xavier"},{"family":"Stern","given":"Marc-Henri"},{"family":"Cheng","given":"Feixiong"},{"family":"Signoretti","given":"Sabina"},{"family":"Berchuck","given":"Andrew"},{"family":"Bigner","given":"Darell"},{"family":"Lipp","given":"Eric"},{"family":"Marks","given":"Jeffrey"},{"family":"McCall","given":"Shannon"},{"family":"McLendon","given":"Roger"},{"family":"Secord","given":"Angeles"},{"family":"Sharp","given":"Alexis"},{"family":"Behera","given":"Madhusmita"},{"family":"Brat","given":"Daniel J."},{"family":"Chen","given":"Amy"},{"family":"Delman","given":"Keith"},{"family":"Force","given":"Seth"},{"family":"Khuri","given":"Fadlo"},{"family":"Magliocca","given":"Kelly"},{"family":"Maithel","given":"Shishir"},{"family":"Olson","given":"Jeffrey J."},{"family":"Owonikoko","given":"Taofeek"},{"family":"Pickens","given":"Alan"},{"family":"Ramalingam","given":"Suresh"},{"family":"Shin","given":"Dong M."},{"family":"Sica","given":"Gabriel"},{"family":"Meir","given":"Erwin G. Van"},{"family":"Zhang","given":"Hongzheng"},{"family":"Eijckenboom","given":"Wil"},{"family":"Gillis","given":"Ad"},{"family":"Korpershoek","given":"Esther"},{"family":"Looijenga","given":"Leendert"},{"family":"Oosterhuis","given":"Wolter"},{"family":"Stoop","given":"Hans"},{"family":"Kessel","given":"Kim E.","dropping-particle":"van"},{"family":"Zwarthoff","given":"Ellen C."},{"family":"Calatozzolo","given":"Chiara"},{"family":"Cuppini","given":"Lucia"},{"family":"Cuzzubbo","given":"Stefania"},{"family":"DiMeco","given":"Francesco"},{"family":"Finocchiaro","given":"Gaetano"},{"family":"Mattei","given":"Luca"},{"family":"Perin","given":"Alessandro"},{"family":"Pollo","given":"Bianca"},{"family":"Chen","given":"Chu"},{"family":"Houck","given":"John"},{"family":"Lohavanichbutr","given":"Pawadee"},{"family":"Hartmann","given":"Arndt"},{"family":"Stoehr","given":"Christine"},{"family":"Stoehr","given":"Robert"},{"family":"Taubert","given":"Helge"},{"family":"Wach","given":"Sven"},{"family":"Wullich","given":"Bernd"},{"family":"Kycler","given":"Witold"},{"family":"Murawa","given":"Dawid"},{"family":"Wiznerowicz","given":"Maciej"},{"family":"Chung","given":"Ki"},{"family":"Edenfield","given":"W. Jeffrey"},{"family":"Martin","given":"Julie"},{"family":"Baudin","given":"Eric"},{"family":"Bubley","given":"Glenn"},{"family":"Bueno","given":"Raphael"},{"family":"Rienzo","given":"Assunta De"},{"family":"Richards","given":"William G."},{"family":"Kalkanis","given":"Steven"},{"family":"Mikkelsen","given":"Tom"},{"family":"Noushmehr","given":"Houtan"},{"family":"Scarpace","given":"Lisa"},{"family":"Girard","given":"Nicolas"},{"family":"Aymerich","given":"Marta"},{"family":"Campo","given":"Elias"},{"family":"Giné","given":"Eva"},{"family":"Guillermo","given":"Armando López"},{"family":"Bang","given":"Nguyen Van"},{"family":"Hanh","given":"Phan Thi"},{"family":"Phu","given":"Bui Duc"},{"family":"Tang","given":"Yufang"},{"family":"Colman","given":"Howard"},{"family":"Evason","given":"Kimberley"},{"family":"Dottino","given":"Peter R."},{"family":"Martignetti","given":"John A."},{"family":"Gabra","given":"Hani"},{"family":"Juhl","given":"Hartmut"},{"family":"Akeredolu","given":"Teniola"},{"family":"Stepa","given":"Serghei"},{"family":"Hoon","given":"Dave"},{"family":"Ahn","given":"Keunsoo"},{"family":"Kang","given":"Koo Jeong"},{"family":"Beuschlein","given":"Felix"},{"family":"Breggia","given":"Anne"},{"family":"Birrer","given":"Michael"},{"family":"Bell","given":"Debra"},{"family":"Borad","given":"Mitesh"},{"family":"Bryce","given":"Alan H."},{"family":"Castle","given":"Erik"},{"family":"Chandan","given":"Vishal"},{"family":"Cheville","given":"John"},{"family":"Copland","given":"John A."},{"family":"Farnell","given":"Michael"},{"family":"Flotte","given":"Thomas"},{"family":"Giama","given":"Nasra"},{"family":"Ho","given":"Thai"},{"family":"Kendrick","given":"Michael"},{"family":"Kocher","given":"Jean-Pierre"},{"family":"Kopp","given":"Karla"},{"family":"Moser","given":"Catherine"},{"family":"Nagorney","given":"David"},{"family":"O’Brien","given":"Daniel"},{"family":"O’Neill","given":"Brian Patrick"},{"family":"Patel","given":"Tushar"},{"family":"Petersen","given":"Gloria"},{"family":"Que","given":"Florencia"},{"family":"Rivera","given":"Michael"},{"family":"Roberts","given":"Lewis"},{"family":"Smallridge","given":"Robert"},{"family":"Smyrk","given":"Thomas"},{"family":"Stanton","given":"Melissa"},{"family":"Thompson","given":"R. Houston"},{"family":"Torbenson","given":"Michael"},{"family":"Yang","given":"Ju Dong"},{"family":"Zhang","given":"Lizhi"},{"family":"Brimo","given":"Fadi"},{"family":"Ajani","given":"Jaffer A."},{"family":"Gonzalez","given":"Ana Maria Angulo"},{"family":"Behrens","given":"Carmen"},{"family":"Bondaruk","given":"Jolanta"},{"family":"Broaddus","given":"Russell"},{"family":"Czerniak","given":"Bogdan"},{"family":"Esmaeli","given":"Bita"},{"family":"Fujimoto","given":"Junya"},{"family":"Gershenwald","given":"Jeffrey"},{"family":"Guo","given":"Charles"},{"family":"Lazar","given":"Alexander J."},{"family":"Logothetis","given":"Christopher"},{"family":"Meric-Bernstam","given":"Funda"},{"family":"Moran","given":"Cesar"},{"family":"Ramondetta","given":"Lois"},{"family":"Rice","given":"David"},{"family":"Sood","given":"Anil"},{"family":"Tamboli","given":"Pheroze"},{"family":"Thompson","given":"Timothy"},{"family":"Troncoso","given":"Patricia"},{"family":"Tsao","given":"Anne"},{"family":"Wistuba","given":"Ignacio"},{"family":"Carter","given":"Candace"},{"family":"Haydu","given":"Lauren"},{"family":"Hersey","given":"Peter"},{"family":"Jakrot","given":"Valerie"},{"family":"Kakavand","given":"Hojabr"},{"family":"Kefford","given":"Richard"},{"family":"Lee","given":"Kenneth"},{"family":"Long","given":"Georgina"},{"family":"Mann","given":"Graham"},{"family":"Quinn","given":"Michael"},{"family":"Saw","given":"Robyn"},{"family":"Scolyer","given":"Richard"},{"family":"Shannon","given":"Kerwin"},{"family":"Spillane","given":"Andrew"},{"family":"Stretch","given":"Jonathan"},{"family":"Synott","given":"Maria"},{"family":"Thompson","given":"John"},{"family":"Wilmott","given":"James"},{"family":"Al-Ahmadie","given":"Hikmat"},{"family":"Chan","given":"Timothy A."},{"family":"Ghossein","given":"Ronald"},{"family":"Gopalan","given":"Anuradha"},{"family":"Levine","given":"Douglas A."},{"family":"Reuter","given":"Victor"},{"family":"Singer","given":"Samuel"},{"family":"Singh","given":"Bhuvanesh"},{"family":"Tien","given":"Nguyen Viet"},{"family":"Broudy","given":"Thomas"},{"family":"Mirsaidi","given":"Cyrus"},{"family":"Nair","given":"Praveen"},{"family":"Drwiega","given":"Paul"},{"family":"Miller","given":"Judy"},{"family":"Smith","given":"Jennifer"},{"family":"Zaren","given":"Howard"},{"family":"Park","given":"Joong-Won"},{"family":"Hung","given":"Nguyen Phi"},{"family":"Kebebew","given":"Electron"},{"family":"Linehan","given":"W. Marston"},{"family":"Metwalli","given":"Adam R."},{"family":"Pacak","given":"Karel"},{"family":"Pinto","given":"Peter A."},{"family":"Schiffman","given":"Mark"},{"family":"Schmidt","given":"Laura S."},{"family":"Vocke","given":"Cathy D."},{"family":"Wentzensen","given":"Nicolas"},{"family":"Worrell","given":"Robert"},{"family":"Yang","given":"Hannah"},{"family":"Moncrieff","given":"Marc"},{"family":"Goparaju","given":"Chandra"},{"family":"Melamed","given":"Jonathan"},{"family":"Pass","given":"Harvey"},{"family":"Botnariuc","given":"Natalia"},{"family":"Caraman","given":"Irina"},{"family":"Cernat","given":"Mircea"},{"family":"Chemencedji","given":"Inga"},{"family":"Clipca","given":"Adrian"},{"family":"Doruc","given":"Serghei"},{"family":"Gorincioi","given":"Ghenadie"},{"family":"Mura","given":"Sergiu"},{"family":"Pirtac","given":"Maria"},{"family":"Stancul","given":"Irina"},{"family":"Tcaciuc","given":"Diana"},{"family":"Albert","given":"Monique"},{"family":"Alexopoulou","given":"Iakovina"},{"family":"Arnaout","given":"Angel"},{"family":"Bartlett","given":"John"},{"family":"Engel","given":"Jay"},{"family":"Gilbert","given":"Sebastien"},{"family":"Parfitt","given":"Jeremy"},{"family":"Sekhon","given":"Harman"},{"family":"Thomas","given":"George"},{"family":"Rassl","given":"Doris M."},{"family":"Rintoul","given":"Robert C."},{"family":"Bifulco","given":"Carlo"},{"family":"Tamakawa","given":"Raina"},{"family":"Urba","given":"Walter"},{"family":"Hayward","given":"Nicholas"},{"family":"Timmers","given":"Henri"},{"family":"Antenucci","given":"Anna"},{"family":"Facciolo","given":"Francesco"},{"family":"Grazi","given":"Gianluca"},{"family":"Marino","given":"Mirella"},{"family":"Merola","given":"Roberta"},{"family":"Krijger","given":"Ronald","dropping-particle":"de"},{"family":"Gimenez-Roqueplo","given":"Anne-Paule"},{"family":"Piché","given":"Alain"},{"family":"Chevalier","given":"Simone"},{"family":"McKercher","given":"Ginette"},{"family":"Birsoy","given":"Kivanc"},{"family":"Barnett","given":"Gene"},{"family":"Brewer","given":"Cathy"},{"family":"Farver","given":"Carol"},{"family":"Naska","given":"Theresa"},{"family":"Pennell","given":"Nathan A."},{"family":"Raymond","given":"Daniel"},{"family":"Schilero","given":"Cathy"},{"family":"Smolenski","given":"Kathy"},{"family":"Williams","given":"Felicia"},{"family":"Morrison","given":"Carl"},{"family":"Borgia","given":"Jeffrey A."},{"family":"Liptay","given":"Michael J."},{"family":"Pool","given":"Mark"},{"family":"Seder","given":"Christopher W."},{"family":"Junker","given":"Kerstin"},{"family":"Omberg","given":"Larsson"},{"family":"Dinkin","given":"Mikhail"},{"family":"Manikhas","given":"George"},{"family":"Alvaro","given":"Domenico"},{"family":"Bragazzi","given":"Maria Consiglia"},{"family":"Cardinale","given":"Vincenzo"},{"family":"Carpino","given":"Guido"},{"family":"Gaudio","given":"Eugenio"},{"family":"Chesla","given":"David"},{"family":"Cottingham","given":"Sandra"},{"family":"Dubina","given":"Michael"},{"family":"Moiseenko","given":"Fedor"},{"family":"Dhanasekaran","given":"Renumathy"},{"family":"Becker","given":"Karl-Friedrich"},{"family":"Janssen","given":"Klaus-Peter"},{"family":"Slotta-Huspenina","given":"Julia"},{"family":"Abdel-Rahman","given":"Mohamed H."},{"family":"Aziz","given":"Dina"},{"family":"Bell","given":"Sue"},{"family":"Cebulla","given":"Colleen M."},{"family":"Davis","given":"Amy"},{"family":"Duell","given":"Rebecca"},{"family":"Elder","given":"J. Bradley"},{"family":"Hilty","given":"Joe"},{"family":"Kumar","given":"Bahavna"},{"family":"Lang","given":"James"},{"family":"Lehman","given":"Norman L."},{"family":"Mandt","given":"Randy"},{"family":"Nguyen","given":"Phuong"},{"family":"Pilarski","given":"Robert"},{"family":"Rai","given":"Karan"},{"family":"Schoenfield","given":"Lynn"},{"family":"Senecal","given":"Kelly"},{"family":"Wakely","given":"Paul"},{"family":"Hansen","given":"Paul"},{"family":"Lechan","given":"Ronald"},{"family":"Powers","given":"James"},{"family":"Tischler","given":"Arthur"},{"family":"Grizzle","given":"William E."},{"family":"Sexton","given":"Katherine C."},{"family":"Kastl","given":"Alison"},{"family":"Henderson","given":"Joel"},{"family":"Porten","given":"Sima"},{"family":"Waldmann","given":"Jens"},{"family":"Fassnacht","given":"Martin"},{"family":"Asa","given":"Sylvia L."},{"family":"Schadendorf","given":"Dirk"},{"family":"Couce","given":"Marta"},{"family":"Graefen","given":"Markus"},{"family":"Huland","given":"Hartwig"},{"family":"Sauter","given":"Guido"},{"family":"Schlomm","given":"Thorsten"},{"family":"Simon","given":"Ronald"},{"family":"Tennstedt","given":"Pierre"},{"family":"Olabode","given":"Oluwole"},{"family":"Nelson","given":"Mark"},{"family":"Bathe","given":"Oliver"},{"family":"Carroll","given":"Peter R."},{"family":"Chan","given":"June M."},{"family":"Disaia","given":"Philip"},{"family":"Glenn","given":"Pat"},{"family":"Kelley","given":"Robin K."},{"family":"Landen","given":"Charles N."},{"family":"Phillips","given":"Joanna"},{"family":"Prados","given":"Michael"},{"family":"Simko","given":"Jeffry"},{"family":"Smith-McCune","given":"Karen"},{"family":"VandenBerg","given":"Scott"},{"family":"Roggin","given":"Kevin"},{"family":"Fehrenbach","given":"Ashley"},{"family":"Kendler","given":"Ady"},{"family":"Sifri","given":"Suzanne"},{"family":"Steele","given":"Ruth"},{"family":"Jimeno","given":"Antonio"},{"family":"Carey","given":"Francis"},{"family":"Forgie","given":"Ian"},{"family":"Mannelli","given":"Massimo"},{"family":"Carney","given":"Michael"},{"family":"Hernandez","given":"Brenda"},{"family":"Campos","given":"Benito"},{"family":"Herold-Mende","given":"Christel"},{"family":"Jungk","given":"Christin"},{"family":"Unterberg","given":"Andreas"},{"family":"Deimling","given":"Andreas","dropping-particle":"von"},{"family":"Bossler","given":"Aaron"},{"family":"Galbraith","given":"Joseph"},{"family":"Jacobus","given":"Laura"},{"family":"Knudson","given":"Michael"},{"family":"Knutson","given":"Tina"},{"family":"Ma","given":"Deqin"},{"family":"Milhem","given":"Mohammed"},{"family":"Sigmund","given":"Rita"},{"family":"Godwin","given":"Andrew K."},{"family":"Madan","given":"Rashna"},{"family":"Rosenthal","given":"Howard G."},{"family":"Adebamowo","given":"Clement"},{"family":"Adebamowo","given":"Sally N."},{"family":"Boussioutas","given":"Alex"},{"family":"Beer","given":"David"},{"family":"Giordano","given":"Thomas"},{"family":"Mes-Masson","given":"Anne-Marie"},{"family":"Saad","given":"Fred"},{"family":"Bocklage","given":"Therese"},{"family":"Landrum","given":"Lisa"},{"family":"Mannel","given":"Robert"},{"family":"Moore","given":"Kathleen"},{"family":"Moxley","given":"Katherine"},{"family":"Postier","given":"Russel"},{"family":"Walker","given":"Joan"},{"family":"Zuna","given":"Rosemary"},{"family":"Feldman","given":"Michael"},{"family":"Valdivieso","given":"Federico"},{"family":"Dhir","given":"Rajiv"},{"family":"Luketich","given":"James"},{"family":"Pinero","given":"Edna M. Mora"},{"family":"Quintero-Aguilo","given":"Mario"},{"family":"Carlotti","given":"Carlos Gilberto"},{"family":"Santos","given":"Jose Sebastião Dos"},{"family":"Kemp","given":"Rafael"},{"family":"Sankarankuty","given":"Ajith"},{"family":"Tirapelli","given":"Daniela"},{"family":"Catto","given":"James"},{"family":"Agnew","given":"Kathy"},{"family":"Swisher","given":"Elizabeth"},{"family":"Creaney","given":"Jenette"},{"family":"Robinson","given":"Bruce"},{"family":"Shelley","given":"Carl Simon"},{"family":"Godwin","given":"Eryn M."},{"family":"Kendall","given":"Sara"},{"family":"Shipman","given":"Cassaundra"},{"family":"Bradford","given":"Carol"},{"family":"Carey","given":"Thomas"},{"family":"Haddad","given":"Andrea"},{"family":"Moyer","given":"Jeffey"},{"family":"Peterson","given":"Lisa"},{"family":"Prince","given":"Mark"},{"family":"Rozek","given":"Laura"},{"family":"Wolf","given":"Gregory"},{"family":"Bowman","given":"Rayleen"},{"family":"Fong","given":"Kwun M."},{"family":"Yang","given":"Ian"},{"family":"Korst","given":"Robert"},{"family":"Rathmell","given":"W. Kimryn"},{"family":"Fantacone-Campbell","given":"J. Leigh"},{"family":"Hooke","given":"Jeffrey A."},{"family":"Kovatich","given":"Albert J."},{"family":"Shriver","given":"Craig D."},{"family":"DiPersio","given":"John"},{"family":"Drake","given":"Bettina"},{"family":"Govindan","given":"Ramaswamy"},{"family":"Heath","given":"Sharon"},{"family":"Ley","given":"Timothy"},{"family":"Tine","given":"Brian Van"},{"family":"Westervelt","given":"Peter"},{"family":"Rubin","given":"Mark A."},{"family":"Lee","given":"Jung Il"},{"family":"Aredes","given":"Natália D."},{"family":"Mariamidze","given":"Armaz"}],"issued":{"date-parts":[["2018",3,28]]}}}],"schema":"https://github.com/citation-style-language/schema/raw/master/csl-citation.json"} </w:instrText>
      </w:r>
      <w:r>
        <w:fldChar w:fldCharType="separate"/>
      </w:r>
      <w:r w:rsidR="003A44DF" w:rsidRPr="003A44DF">
        <w:rPr>
          <w:rFonts w:ascii="Cambria" w:hAnsi="Cambria" w:cs="Times New Roman"/>
          <w:vertAlign w:val="superscript"/>
        </w:rPr>
        <w:t>20</w:t>
      </w:r>
      <w:r>
        <w:fldChar w:fldCharType="end"/>
      </w:r>
      <w:r>
        <w:t>. Our pipeline is comprised of 6 mutation callers (</w:t>
      </w:r>
      <w:proofErr w:type="spellStart"/>
      <w:r>
        <w:t>VarScan</w:t>
      </w:r>
      <w:proofErr w:type="spellEnd"/>
      <w:r>
        <w:t xml:space="preserve">, </w:t>
      </w:r>
      <w:proofErr w:type="spellStart"/>
      <w:r>
        <w:t>SomaticSniper</w:t>
      </w:r>
      <w:proofErr w:type="spellEnd"/>
      <w:r>
        <w:t xml:space="preserve">, MuTect2, Strelka2, RADIA, and </w:t>
      </w:r>
      <w:proofErr w:type="spellStart"/>
      <w:r>
        <w:t>MuSE</w:t>
      </w:r>
      <w:proofErr w:type="spellEnd"/>
      <w:r>
        <w:t>) to identify single nucleotide variants (SNVs) and 4 mutation callers (</w:t>
      </w:r>
      <w:proofErr w:type="spellStart"/>
      <w:r>
        <w:t>VarScan</w:t>
      </w:r>
      <w:proofErr w:type="spellEnd"/>
      <w:r>
        <w:t xml:space="preserve">, MuTect2, Strelka2, </w:t>
      </w:r>
      <w:proofErr w:type="spellStart"/>
      <w:r>
        <w:t>Pindel</w:t>
      </w:r>
      <w:proofErr w:type="spellEnd"/>
      <w:r>
        <w:t xml:space="preserve">) to identify insertion/deletions (indels). Each caller was run individually on paired tumor and matched normal samples, with the caller-specific set </w:t>
      </w:r>
      <w:proofErr w:type="gramStart"/>
      <w:r>
        <w:t>of  variants</w:t>
      </w:r>
      <w:proofErr w:type="gramEnd"/>
      <w:r>
        <w:t xml:space="preserve"> filtered using its own caller-specific criteria, using default settings. </w:t>
      </w:r>
    </w:p>
    <w:p w14:paraId="77104B74" w14:textId="77777777" w:rsidR="00461418" w:rsidRDefault="00461418" w:rsidP="00226F2F">
      <w:r>
        <w:t xml:space="preserve">These caller-specific sets of variants were merged into a single </w:t>
      </w:r>
      <w:proofErr w:type="spellStart"/>
      <w:r>
        <w:t>vcf</w:t>
      </w:r>
      <w:proofErr w:type="spellEnd"/>
      <w:r>
        <w:t xml:space="preserve"> file and read depths reported for the same variant called by different tools was averaged. This merged </w:t>
      </w:r>
      <w:proofErr w:type="spellStart"/>
      <w:r>
        <w:t>vcf</w:t>
      </w:r>
      <w:proofErr w:type="spellEnd"/>
      <w:r>
        <w:t xml:space="preserve"> included only those variants that passed the respective caller-specific filtering criteria, and variants were restricted to the genomic coordinates of the capture kit, plus flanking regions equal to 215bp. Note, when averaging the read depts of variants that were called by 2 or more callers, if a variant was called by a given method, but didn’t pass a its internal filtering criteria, the associated read-depth information was excluded from the average.</w:t>
      </w:r>
    </w:p>
    <w:p w14:paraId="472B95A7" w14:textId="4A99B581" w:rsidR="00461418" w:rsidRDefault="00461418" w:rsidP="00226F2F">
      <w:r>
        <w:t xml:space="preserve">Finally, this merged set of variants was filtered further based on the following criteria: within-sample allele strand bias, frequency (0.1), total read depth in the tumor (30 total reads, including those with and without the variant), and population frequency (0.01 in either </w:t>
      </w:r>
      <w:proofErr w:type="spellStart"/>
      <w:r>
        <w:t>TOPmed</w:t>
      </w:r>
      <w:proofErr w:type="spellEnd"/>
      <w:r>
        <w:t xml:space="preserve"> (Trans-Omics for Precision Medicine </w:t>
      </w:r>
      <w:r>
        <w:fldChar w:fldCharType="begin"/>
      </w:r>
      <w:r w:rsidR="003A44DF">
        <w:instrText xml:space="preserve"> ADDIN ZOTERO_ITEM CSL_CITATION {"citationID":"lDa2URz7","properties":{"formattedCitation":"\\super 21\\nosupersub{}","plainCitation":"21","noteIndex":0},"citationItems":[{"id":103,"uris":["http://zotero.org/users/local/wIF2fIsu/items/ZAEYLB35"],"itemData":{"id":103,"type":"article-journal","abstract":"The Trans-Omics for Precision Medicine (TOPMed) programme seeks to elucidate the genetic architecture and biology of heart, lung, blood and sleep disorders, with the ultimate goal of improving diagnosis, treatment and prevention of these diseases. The initial phases of the programme focused on whole-genome sequencing of individuals with rich phenotypic data and diverse backgrounds. Here we describe the TOPMed goals and design as well as the available resources and early insights obtained from the sequence data. The resources include a variant browser, a genotype imputation server, and genomic and phenotypic data that are available through dbGaP (Database of Genotypes and Phenotypes)1. In the first 53,831 TOPMed samples, we detected more than 400 million single-nucleotide and insertion or deletion variants after alignment with the reference genome. Additional previously undescribed variants were detected through assembly of unmapped reads and customized analysis in highly variable loci. Among the more than 400 million detected variants, 97% have frequencies of less than 1% and 46% are singletons that are present in only one individual (53% among unrelated individuals). These rare variants provide insights into mutational processes and recent human evolutionary history. The extensive catalogue of genetic variation in TOPMed studies provides unique opportunities for exploring the contributions of rare and noncoding sequence variants to phenotypic variation. Furthermore, combining TOPMed haplotypes with modern imputation methods improves the power and reach of genome-wide association studies to include variants down to a frequency of approximately 0.01%.","container-title":"Nature","DOI":"10.1038/s41586-021-03205-y","ISSN":"1476-4687","issue":"7845","language":"en","license":"2021 The Author(s)","note":"publisher: Nature Publishing Group","page":"290-299","source":"www-nature-com.ezproxy.med.cornell.edu","title":"Sequencing of 53,831 diverse genomes from the NHLBI TOPMed Program","volume":"590","author":[{"family":"Taliun","given":"Daniel"},{"family":"Harris","given":"Daniel N."},{"family":"Kessler","given":"Michael D."},{"family":"Carlson","given":"Jedidiah"},{"family":"Szpiech","given":"Zachary A."},{"family":"Torres","given":"Raul"},{"family":"Taliun","given":"Sarah A. Gagliano"},{"family":"Corvelo","given":"André"},{"family":"Gogarten","given":"Stephanie M."},{"family":"Kang","given":"Hyun Min"},{"family":"Pitsillides","given":"Achilleas N."},{"family":"LeFaive","given":"Jonathon"},{"family":"Lee","given":"Seung-been"},{"family":"Tian","given":"Xiaowen"},{"family":"Browning","given":"Brian L."},{"family":"Das","given":"Sayantan"},{"family":"Emde","given":"Anne-Katrin"},{"family":"Clarke","given":"Wayne E."},{"family":"Loesch","given":"Douglas P."},{"family":"Shetty","given":"Amol C."},{"family":"Blackwell","given":"Thomas W."},{"family":"Smith","given":"Albert V."},{"family":"Wong","given":"Quenna"},{"family":"Liu","given":"Xiaoming"},{"family":"Conomos","given":"Matthew P."},{"family":"Bobo","given":"Dean M."},{"family":"Aguet","given":"François"},{"family":"Albert","given":"Christine"},{"family":"Alonso","given":"Alvaro"},{"family":"Ardlie","given":"Kristin G."},{"family":"Arking","given":"Dan E."},{"family":"Aslibekyan","given":"Stella"},{"family":"Auer","given":"Paul L."},{"family":"Barnard","given":"John"},{"family":"Barr","given":"R. Graham"},{"family":"Barwick","given":"Lucas"},{"family":"Becker","given":"Lewis C."},{"family":"Beer","given":"Rebecca L."},{"family":"Benjamin","given":"Emelia J."},{"family":"Bielak","given":"Lawrence F."},{"family":"Blangero","given":"John"},{"family":"Boehnke","given":"Michael"},{"family":"Bowden","given":"Donald W."},{"family":"Brody","given":"Jennifer A."},{"family":"Burchard","given":"Esteban G."},{"family":"Cade","given":"Brian E."},{"family":"Casella","given":"James F."},{"family":"Chalazan","given":"Brandon"},{"family":"Chasman","given":"Daniel I."},{"family":"Chen","given":"Yii-Der Ida"},{"family":"Cho","given":"Michael H."},{"family":"Choi","given":"Seung Hoan"},{"family":"Chung","given":"Mina K."},{"family":"Clish","given":"Clary B."},{"family":"Correa","given":"Adolfo"},{"family":"Curran","given":"Joanne E."},{"family":"Custer","given":"Brian"},{"family":"Darbar","given":"Dawood"},{"family":"Daya","given":"Michelle"},{"family":"Andrade","given":"Mariza","non-dropping-particle":"de"},{"family":"DeMeo","given":"Dawn L."},{"family":"Dutcher","given":"Susan K."},{"family":"Ellinor","given":"Patrick T."},{"family":"Emery","given":"Leslie S."},{"family":"Eng","given":"Celeste"},{"family":"Fatkin","given":"Diane"},{"family":"Fingerlin","given":"Tasha"},{"family":"Forer","given":"Lukas"},{"family":"Fornage","given":"Myriam"},{"family":"Franceschini","given":"Nora"},{"family":"Fuchsberger","given":"Christian"},{"family":"Fullerton","given":"Stephanie M."},{"family":"Germer","given":"Soren"},{"family":"Gladwin","given":"Mark T."},{"family":"Gottlieb","given":"Daniel J."},{"family":"Guo","given":"Xiuqing"},{"family":"Hall","given":"Michael E."},{"family":"He","given":"Jiang"},{"family":"Heard-Costa","given":"Nancy L."},{"family":"Heckbert","given":"Susan R."},{"family":"Irvin","given":"Marguerite R."},{"family":"Johnsen","given":"Jill M."},{"family":"Johnson","given":"Andrew D."},{"family":"Kaplan","given":"Robert"},{"family":"Kardia","given":"Sharon L. R."},{"family":"Kelly","given":"Tanika"},{"family":"Kelly","given":"Shannon"},{"family":"Kenny","given":"Eimear E."},{"family":"Kiel","given":"Douglas P."},{"family":"Klemmer","given":"Robert"},{"family":"Konkle","given":"Barbara A."},{"family":"Kooperberg","given":"Charles"},{"family":"Köttgen","given":"Anna"},{"family":"Lange","given":"Leslie A."},{"family":"Lasky-Su","given":"Jessica"},{"family":"Levy","given":"Daniel"},{"family":"Lin","given":"Xihong"},{"family":"Lin","given":"Keng-Han"},{"family":"Liu","given":"Chunyu"},{"family":"Loos","given":"Ruth J. F."},{"family":"Garman","given":"Lori"},{"family":"Gerszten","given":"Robert"},{"family":"Lubitz","given":"Steven A."},{"family":"Lunetta","given":"Kathryn L."},{"family":"Mak","given":"Angel C. Y."},{"family":"Manichaikul","given":"Ani"},{"family":"Manning","given":"Alisa K."},{"family":"Mathias","given":"Rasika A."},{"family":"McManus","given":"David D."},{"family":"McGarvey","given":"Stephen T."},{"family":"Meigs","given":"James B."},{"family":"Meyers","given":"Deborah A."},{"family":"Mikulla","given":"Julie L."},{"family":"Minear","given":"Mollie A."},{"family":"Mitchell","given":"Braxton D."},{"family":"Mohanty","given":"Sanghamitra"},{"family":"Montasser","given":"May E."},{"family":"Montgomery","given":"Courtney"},{"family":"Morrison","given":"Alanna C."},{"family":"Murabito","given":"Joanne M."},{"family":"Natale","given":"Andrea"},{"family":"Natarajan","given":"Pradeep"},{"family":"Nelson","given":"Sarah C."},{"family":"North","given":"Kari E."},{"family":"O’Connell","given":"Jeffrey R."},{"family":"Palmer","given":"Nicholette D."},{"family":"Pankratz","given":"Nathan"},{"family":"Peloso","given":"Gina M."},{"family":"Peyser","given":"Patricia A."},{"family":"Pleiness","given":"Jacob"},{"family":"Post","given":"Wendy S."},{"family":"Psaty","given":"Bruce M."},{"family":"Rao","given":"D. C."},{"family":"Redline","given":"Susan"},{"family":"Reiner","given":"Alexander P."},{"family":"Roden","given":"Dan"},{"family":"Rotter","given":"Jerome I."},{"family":"Ruczinski","given":"Ingo"},{"family":"Sarnowski","given":"Chloé"},{"family":"Schoenherr","given":"Sebastian"},{"family":"Schwartz","given":"David A."},{"family":"Seo","given":"Jeong-Sun"},{"family":"Seshadri","given":"Sudha"},{"family":"Sheehan","given":"Vivien A."},{"family":"Sheu","given":"Wayne H."},{"family":"Shoemaker","given":"M. Benjamin"},{"family":"Smith","given":"Nicholas L."},{"family":"Smith","given":"Jennifer A."},{"family":"Sotoodehnia","given":"Nona"},{"family":"Stilp","given":"Adrienne M."},{"family":"Tang","given":"Weihong"},{"family":"Taylor","given":"Kent D."},{"family":"Telen","given":"Marilyn"},{"family":"Thornton","given":"Timothy A."},{"family":"Tracy","given":"Russell P."},{"family":"Van Den Berg","given":"David J."},{"family":"Vasan","given":"Ramachandran S."},{"family":"Viaud-Martinez","given":"Karine A."},{"family":"Vrieze","given":"Scott"},{"family":"Weeks","given":"Daniel E."},{"family":"Weir","given":"Bruce S."},{"family":"Weiss","given":"Scott T."},{"family":"Weng","given":"Lu-Chen"},{"family":"Willer","given":"Cristen J."},{"family":"Zhang","given":"Yingze"},{"family":"Zhao","given":"Xutong"},{"family":"Arnett","given":"Donna K."},{"family":"Ashley-Koch","given":"Allison E."},{"family":"Barnes","given":"Kathleen C."},{"family":"Boerwinkle","given":"Eric"},{"family":"Gabriel","given":"Stacey"},{"family":"Gibbs","given":"Richard"},{"family":"Rice","given":"Kenneth M."},{"family":"Rich","given":"Stephen S."},{"family":"Silverman","given":"Edwin K."},{"family":"Qasba","given":"Pankaj"},{"family":"Gan","given":"Weiniu"},{"family":"Papanicolaou","given":"George J."},{"family":"Nickerson","given":"Deborah A."},{"family":"Browning","given":"Sharon R."},{"family":"Zody","given":"Michael C."},{"family":"Zöllner","given":"Sebastian"},{"family":"Wilson","given":"James G."},{"family":"Cupples","given":"L. Adrienne"},{"family":"Laurie","given":"Cathy C."},{"family":"Jaquish","given":"Cashell E."},{"family":"Hernandez","given":"Ryan D."},{"family":"O’Connor","given":"Timothy D."},{"family":"Abecasis","given":"Gonçalo R."}],"issued":{"date-parts":[["2021",2]]}}}],"schema":"https://github.com/citation-style-language/schema/raw/master/csl-citation.json"} </w:instrText>
      </w:r>
      <w:r>
        <w:fldChar w:fldCharType="separate"/>
      </w:r>
      <w:r w:rsidR="003A44DF" w:rsidRPr="003A44DF">
        <w:rPr>
          <w:rFonts w:ascii="Cambria" w:hAnsi="Cambria" w:cs="Times New Roman"/>
          <w:vertAlign w:val="superscript"/>
        </w:rPr>
        <w:t>21</w:t>
      </w:r>
      <w:r>
        <w:fldChar w:fldCharType="end"/>
      </w:r>
      <w:r>
        <w:t xml:space="preserve">) </w:t>
      </w:r>
      <w:proofErr w:type="spellStart"/>
      <w:r>
        <w:t>gnomAD</w:t>
      </w:r>
      <w:proofErr w:type="spellEnd"/>
      <w:r>
        <w:t xml:space="preserve"> (Genome Aggregation Database </w:t>
      </w:r>
      <w:r>
        <w:fldChar w:fldCharType="begin"/>
      </w:r>
      <w:r w:rsidR="003A44DF">
        <w:instrText xml:space="preserve"> ADDIN ZOTERO_ITEM CSL_CITATION {"citationID":"vh9BFm4j","properties":{"formattedCitation":"\\super 22\\nosupersub{}","plainCitation":"22","noteIndex":0},"citationItems":[{"id":107,"uris":["http://zotero.org/users/local/wIF2fIsu/items/NBXPGC8E"],"itemData":{"id":107,"type":"article-journal","abstract":"The depletion of disruptive variation caused by purifying natural selection (constraint) has been widely used to investigate protein-coding genes underlying human disorders1–4, but attempts to assess constraint for non-protein-coding regions have proved more difficult. Here we aggregate, process and release a dataset of 76,156 human genomes from the Genome Aggregation Database (gnomAD)—the largest public open-access human genome allele frequency reference dataset—and use it to build a genomic constraint map for the whole genome (genomic non-coding constraint of haploinsufficient variation (Gnocchi)). We present a refined mutational model that incorporates local sequence context and regional genomic features to detect depletions of variation. As expected, the average constraint for protein-coding sequences is stronger than that for non-coding regions. Within the non-coding genome, constrained regions are enriched for known regulatory elements and variants that are implicated in complex human diseases and traits, facilitating the triangulation of biological annotation, disease association and natural selection to non-coding DNA analysis. More constrained regulatory elements tend to regulate more constrained protein-coding genes, which in turn suggests that non-coding constraint can aid the identification of constrained genes that are as yet unrecognized by current gene constraint metrics. We demonstrate that this genome-wide constraint map improves the identification and interpretation of functional human genetic variation.","container-title":"Nature","DOI":"10.1038/s41586-023-06045-0","ISSN":"1476-4687","issue":"7993","language":"en","license":"2023 The Author(s), under exclusive licence to Springer Nature Limited","note":"publisher: Nature Publishing Group","page":"92-100","source":"www-nature-com.ezproxy.med.cornell.edu","title":"A genomic mutational constraint map using variation in 76,156 human genomes","volume":"625","author":[{"family":"Chen","given":"Siwei"},{"family":"Francioli","given":"Laurent C."},{"family":"Goodrich","given":"Julia K."},{"family":"Collins","given":"Ryan L."},{"family":"Kanai","given":"Masahiro"},{"family":"Wang","given":"Qingbo"},{"family":"Alföldi","given":"Jessica"},{"family":"Watts","given":"Nicholas A."},{"family":"Vittal","given":"Christopher"},{"family":"Gauthier","given":"Laura D."},{"family":"Poterba","given":"Timothy"},{"family":"Wilson","given":"Michael W."},{"family":"Tarasova","given":"Yekaterina"},{"family":"Phu","given":"William"},{"family":"Grant","given":"Riley"},{"family":"Yohannes","given":"Mary T."},{"family":"Koenig","given":"Zan"},{"family":"Farjoun","given":"Yossi"},{"family":"Banks","given":"Eric"},{"family":"Donnelly","given":"Stacey"},{"family":"Gabriel","given":"Stacey"},{"family":"Gupta","given":"Namrata"},{"family":"Ferriera","given":"Steven"},{"family":"Tolonen","given":"Charlotte"},{"family":"Novod","given":"Sam"},{"family":"Bergelson","given":"Louis"},{"family":"Roazen","given":"David"},{"family":"Ruano-Rubio","given":"Valentin"},{"family":"Covarrubias","given":"Miguel"},{"family":"Llanwarne","given":"Christopher"},{"family":"Petrillo","given":"Nikelle"},{"family":"Wade","given":"Gordon"},{"family":"Jeandet","given":"Thibault"},{"family":"Munshi","given":"Ruchi"},{"family":"Tibbetts","given":"Kathleen"},{"family":"O’Donnell-Luria","given":"Anne"},{"family":"Solomonson","given":"Matthew"},{"family":"Seed","given":"Cotton"},{"family":"Martin","given":"Alicia R."},{"family":"Talkowski","given":"Michael E."},{"family":"Rehm","given":"Heidi L."},{"family":"Daly","given":"Mark J."},{"family":"Tiao","given":"Grace"},{"family":"Neale","given":"Benjamin M."},{"family":"MacArthur","given":"Daniel G."},{"family":"Karczewski","given":"Konrad J."}],"issued":{"date-parts":[["2024",1]]}}}],"schema":"https://github.com/citation-style-language/schema/raw/master/csl-citation.json"} </w:instrText>
      </w:r>
      <w:r>
        <w:fldChar w:fldCharType="separate"/>
      </w:r>
      <w:r w:rsidR="003A44DF" w:rsidRPr="003A44DF">
        <w:rPr>
          <w:rFonts w:ascii="Cambria" w:hAnsi="Cambria" w:cs="Times New Roman"/>
          <w:vertAlign w:val="superscript"/>
        </w:rPr>
        <w:t>22</w:t>
      </w:r>
      <w:r>
        <w:fldChar w:fldCharType="end"/>
      </w:r>
      <w:r>
        <w:t xml:space="preserve">). Frequently mutated, but biologically unrelated genes such as TTN and the MUC genes were also excluded from </w:t>
      </w:r>
      <w:proofErr w:type="gramStart"/>
      <w:r>
        <w:t>the final result</w:t>
      </w:r>
      <w:proofErr w:type="gramEnd"/>
      <w:r>
        <w:t xml:space="preserve"> (</w:t>
      </w:r>
      <w:r w:rsidR="00B815AE">
        <w:t>Table S1</w:t>
      </w:r>
      <w:r w:rsidR="00F32344">
        <w:t>7</w:t>
      </w:r>
      <w:r>
        <w:t>).</w:t>
      </w:r>
    </w:p>
    <w:p w14:paraId="6E1912E3" w14:textId="77777777" w:rsidR="00461418" w:rsidRPr="00E06003" w:rsidRDefault="00461418" w:rsidP="00226F2F"/>
    <w:p w14:paraId="52F68BE5" w14:textId="77777777" w:rsidR="00461418" w:rsidRPr="007C3803" w:rsidRDefault="00461418" w:rsidP="00226F2F">
      <w:pPr>
        <w:pStyle w:val="Heading3"/>
        <w:rPr>
          <w:color w:val="2F5496" w:themeColor="accent1" w:themeShade="BF"/>
        </w:rPr>
      </w:pPr>
      <w:bookmarkStart w:id="4" w:name="_Toc161332036"/>
      <w:r w:rsidRPr="007C3803">
        <w:rPr>
          <w:color w:val="2F5496" w:themeColor="accent1" w:themeShade="BF"/>
        </w:rPr>
        <w:lastRenderedPageBreak/>
        <w:t>Somatic Copy Number Alterations</w:t>
      </w:r>
      <w:bookmarkEnd w:id="4"/>
    </w:p>
    <w:p w14:paraId="49C69301" w14:textId="45DF3E63" w:rsidR="006F3193" w:rsidRDefault="00461418" w:rsidP="00226F2F">
      <w:pPr>
        <w:rPr>
          <w:rFonts w:eastAsia="Calibri" w:cs="Calibri"/>
        </w:rPr>
      </w:pPr>
      <w:r w:rsidRPr="007C3803">
        <w:rPr>
          <w:rFonts w:eastAsia="Calibri" w:cs="Calibri"/>
          <w:color w:val="000000" w:themeColor="text1"/>
        </w:rPr>
        <w:t>Somatic Copy Number Alterations (SCNAs) are structural modifications occurring in specific genomic areas, resulting in alterations to the copy number of those regions. These changes are interpreted as either the duplication or deletion of genomic segments.</w:t>
      </w:r>
      <w:r w:rsidRPr="007C3803">
        <w:rPr>
          <w:rFonts w:eastAsia="Calibri" w:cs="Calibri"/>
        </w:rPr>
        <w:t xml:space="preserve"> Based on the algorithm from </w:t>
      </w:r>
      <w:proofErr w:type="spellStart"/>
      <w:r w:rsidRPr="007C3803">
        <w:rPr>
          <w:rFonts w:eastAsia="Calibri" w:cs="Calibri"/>
        </w:rPr>
        <w:t>CNVkit</w:t>
      </w:r>
      <w:proofErr w:type="spellEnd"/>
      <w:r>
        <w:rPr>
          <w:rFonts w:eastAsia="Calibri" w:cs="Calibri"/>
        </w:rPr>
        <w:t xml:space="preserve"> </w:t>
      </w:r>
      <w:r>
        <w:rPr>
          <w:rFonts w:eastAsia="Calibri" w:cs="Calibri"/>
        </w:rPr>
        <w:fldChar w:fldCharType="begin"/>
      </w:r>
      <w:r w:rsidR="003A44DF">
        <w:rPr>
          <w:rFonts w:eastAsia="Calibri" w:cs="Calibri"/>
        </w:rPr>
        <w:instrText xml:space="preserve"> ADDIN ZOTERO_ITEM CSL_CITATION {"citationID":"5Hi3FQLe","properties":{"formattedCitation":"\\super 23\\nosupersub{}","plainCitation":"23","noteIndex":0},"citationItems":[{"id":96,"uris":["http://zotero.org/users/local/wIF2fIsu/items/TZJLLSA5"],"itemData":{"id":96,"type":"article-journal","abstract":"Germline copy number variants (CNVs) and somatic copy number alterations (SCNAs) are of significant importance in syndromic conditions and cancer. Massively parallel sequencing is increasingly used to infer copy number information from variations in the read depth in sequencing data. However, this approach has limitations in the case of targeted re-sequencing, which leaves gaps in coverage between the regions chosen for enrichment and introduces biases related to the efficiency of target capture and library preparation. We present a method for copy number detection, implemented in the software package CNVkit, that uses both the targeted reads and the nonspecifically captured off-target reads to infer copy number evenly across the genome. This combination achieves both exon-level resolution in targeted regions and sufficient resolution in the larger intronic and intergenic regions to identify copy number changes. In particular, we successfully inferred copy number at equivalent to 100-kilobase resolution genome-wide from a platform targeting as few as 293 genes. After normalizing read counts to a pooled reference, we evaluated and corrected for three sources of bias that explain most of the extraneous variability in the sequencing read depth: GC content, target footprint size and spacing, and repetitive sequences. We compared the performance of CNVkit to copy number changes identified by array comparative genomic hybridization. We packaged the components of CNVkit so that it is straightforward to use and provides visualizations, detailed reporting of significant features, and export options for integration into existing analysis pipelines. CNVkit is freely available from https://github.com/etal/cnvkit.","container-title":"PLOS Computational Biology","DOI":"10.1371/journal.pcbi.1004873","ISSN":"1553-7358","issue":"4","journalAbbreviation":"PLOS Computational Biology","language":"en","note":"publisher: Public Library of Science","page":"e1004873","source":"PLoS Journals","title":"CNVkit: Genome-Wide Copy Number Detection and Visualization from Targeted DNA Sequencing","title-short":"CNVkit","volume":"12","author":[{"family":"Talevich","given":"Eric"},{"family":"Shain","given":"A. Hunter"},{"family":"Botton","given":"Thomas"},{"family":"Bastian","given":"Boris C."}],"issued":{"date-parts":[["2016",4,21]]}}}],"schema":"https://github.com/citation-style-language/schema/raw/master/csl-citation.json"} </w:instrText>
      </w:r>
      <w:r>
        <w:rPr>
          <w:rFonts w:eastAsia="Calibri" w:cs="Calibri"/>
        </w:rPr>
        <w:fldChar w:fldCharType="separate"/>
      </w:r>
      <w:r w:rsidR="003A44DF" w:rsidRPr="003A44DF">
        <w:rPr>
          <w:rFonts w:ascii="Cambria" w:hAnsi="Cambria" w:cs="Times New Roman"/>
          <w:vertAlign w:val="superscript"/>
        </w:rPr>
        <w:t>23</w:t>
      </w:r>
      <w:r>
        <w:rPr>
          <w:rFonts w:eastAsia="Calibri" w:cs="Calibri"/>
        </w:rPr>
        <w:fldChar w:fldCharType="end"/>
      </w:r>
      <w:r w:rsidRPr="007C3803">
        <w:rPr>
          <w:rFonts w:eastAsia="Calibri" w:cs="Calibri"/>
        </w:rPr>
        <w:t>, each genomic segment is assigned a Log2 Ratio, which is obtained by taking the base-2 logarithm of the ratio between the tumor sample's intensity and the matching normal sample's intensity. To categorize these genomic segments as Copy number Gain</w:t>
      </w:r>
      <w:r w:rsidR="000D3837">
        <w:rPr>
          <w:rFonts w:eastAsia="Calibri" w:cs="Calibri"/>
        </w:rPr>
        <w:t xml:space="preserve"> </w:t>
      </w:r>
      <w:r w:rsidRPr="007C3803">
        <w:rPr>
          <w:rFonts w:eastAsia="Calibri" w:cs="Calibri"/>
        </w:rPr>
        <w:t>or Loss,</w:t>
      </w:r>
      <w:r w:rsidR="000D3837">
        <w:rPr>
          <w:rFonts w:eastAsia="Calibri" w:cs="Calibri"/>
        </w:rPr>
        <w:t xml:space="preserve"> and Amplified or Deleted,</w:t>
      </w:r>
      <w:r w:rsidRPr="007C3803">
        <w:rPr>
          <w:rFonts w:eastAsia="Calibri" w:cs="Calibri"/>
        </w:rPr>
        <w:t xml:space="preserve"> we set threshold</w:t>
      </w:r>
      <w:r w:rsidR="00D52375">
        <w:rPr>
          <w:rFonts w:eastAsia="Calibri" w:cs="Calibri"/>
        </w:rPr>
        <w:t>s</w:t>
      </w:r>
      <w:r w:rsidRPr="007C3803">
        <w:rPr>
          <w:rFonts w:eastAsia="Calibri" w:cs="Calibri"/>
        </w:rPr>
        <w:t xml:space="preserve"> </w:t>
      </w:r>
      <w:r w:rsidR="006F3193">
        <w:rPr>
          <w:rFonts w:eastAsia="Calibri" w:cs="Calibri"/>
        </w:rPr>
        <w:t>on the</w:t>
      </w:r>
      <w:r w:rsidRPr="007C3803">
        <w:rPr>
          <w:rFonts w:eastAsia="Calibri" w:cs="Calibri"/>
        </w:rPr>
        <w:t xml:space="preserve"> Log2 ratio</w:t>
      </w:r>
      <w:r w:rsidR="006F3193">
        <w:rPr>
          <w:rFonts w:eastAsia="Calibri" w:cs="Calibri"/>
        </w:rPr>
        <w:t xml:space="preserve"> as:</w:t>
      </w:r>
    </w:p>
    <w:p w14:paraId="40AAE90C" w14:textId="77777777" w:rsidR="006F3193" w:rsidRPr="00000C83" w:rsidRDefault="006F3193" w:rsidP="00226F2F">
      <w:pPr>
        <w:pStyle w:val="ListParagraph"/>
        <w:numPr>
          <w:ilvl w:val="0"/>
          <w:numId w:val="2"/>
        </w:numPr>
        <w:rPr>
          <w:rFonts w:eastAsia="Calibri" w:cs="Calibri"/>
        </w:rPr>
      </w:pPr>
      <w:proofErr w:type="gramStart"/>
      <w:r w:rsidRPr="00000C83">
        <w:rPr>
          <w:rFonts w:eastAsia="Calibri" w:cs="Calibri"/>
        </w:rPr>
        <w:t>Amplification :</w:t>
      </w:r>
      <w:proofErr w:type="gramEnd"/>
      <w:r w:rsidRPr="00000C83">
        <w:rPr>
          <w:rFonts w:eastAsia="Calibri" w:cs="Calibri"/>
        </w:rPr>
        <w:t xml:space="preserve"> &gt;= 1</w:t>
      </w:r>
    </w:p>
    <w:p w14:paraId="75A8C3E7" w14:textId="77777777" w:rsidR="006F3193" w:rsidRPr="00000C83" w:rsidRDefault="006F3193" w:rsidP="00226F2F">
      <w:pPr>
        <w:pStyle w:val="ListParagraph"/>
        <w:numPr>
          <w:ilvl w:val="0"/>
          <w:numId w:val="2"/>
        </w:numPr>
        <w:rPr>
          <w:rFonts w:eastAsia="Calibri" w:cs="Calibri"/>
        </w:rPr>
      </w:pPr>
      <w:proofErr w:type="gramStart"/>
      <w:r w:rsidRPr="00000C83">
        <w:rPr>
          <w:rFonts w:eastAsia="Calibri" w:cs="Calibri"/>
        </w:rPr>
        <w:t>Gain :</w:t>
      </w:r>
      <w:proofErr w:type="gramEnd"/>
      <w:r w:rsidRPr="00000C83">
        <w:rPr>
          <w:rFonts w:eastAsia="Calibri" w:cs="Calibri"/>
        </w:rPr>
        <w:t xml:space="preserve"> </w:t>
      </w:r>
      <w:r w:rsidR="00461418" w:rsidRPr="00000C83">
        <w:rPr>
          <w:rFonts w:eastAsia="Calibri" w:cs="Calibri"/>
        </w:rPr>
        <w:t xml:space="preserve"> </w:t>
      </w:r>
      <w:r w:rsidRPr="00000C83">
        <w:rPr>
          <w:rFonts w:eastAsia="Calibri" w:cs="Calibri"/>
        </w:rPr>
        <w:t>[</w:t>
      </w:r>
      <w:r w:rsidR="00461418" w:rsidRPr="00000C83">
        <w:rPr>
          <w:rFonts w:eastAsia="Calibri" w:cs="Calibri"/>
        </w:rPr>
        <w:t>0.5</w:t>
      </w:r>
      <w:r w:rsidRPr="00000C83">
        <w:rPr>
          <w:rFonts w:eastAsia="Calibri" w:cs="Calibri"/>
        </w:rPr>
        <w:t>,1)</w:t>
      </w:r>
    </w:p>
    <w:p w14:paraId="67D5D020" w14:textId="6C7A4442" w:rsidR="00521BE4" w:rsidRPr="00000C83" w:rsidRDefault="006F3193" w:rsidP="00226F2F">
      <w:pPr>
        <w:pStyle w:val="ListParagraph"/>
        <w:numPr>
          <w:ilvl w:val="0"/>
          <w:numId w:val="2"/>
        </w:numPr>
        <w:rPr>
          <w:rFonts w:eastAsia="Calibri" w:cs="Calibri"/>
        </w:rPr>
      </w:pPr>
      <w:proofErr w:type="gramStart"/>
      <w:r w:rsidRPr="00000C83">
        <w:rPr>
          <w:rFonts w:eastAsia="Calibri" w:cs="Calibri"/>
        </w:rPr>
        <w:t>Loss :</w:t>
      </w:r>
      <w:proofErr w:type="gramEnd"/>
      <w:r w:rsidRPr="00000C83">
        <w:rPr>
          <w:rFonts w:eastAsia="Calibri" w:cs="Calibri"/>
        </w:rPr>
        <w:t xml:space="preserve"> </w:t>
      </w:r>
      <w:r w:rsidR="00521BE4" w:rsidRPr="00000C83">
        <w:rPr>
          <w:rFonts w:eastAsia="Calibri" w:cs="Calibri"/>
        </w:rPr>
        <w:t>(-1,-0.5</w:t>
      </w:r>
      <w:r w:rsidR="00645CD4" w:rsidRPr="00000C83">
        <w:rPr>
          <w:rFonts w:eastAsia="Calibri" w:cs="Calibri"/>
        </w:rPr>
        <w:t>]</w:t>
      </w:r>
    </w:p>
    <w:p w14:paraId="5D385A9F" w14:textId="77777777" w:rsidR="00521BE4" w:rsidRPr="00000C83" w:rsidRDefault="00521BE4" w:rsidP="00226F2F">
      <w:pPr>
        <w:pStyle w:val="ListParagraph"/>
        <w:numPr>
          <w:ilvl w:val="0"/>
          <w:numId w:val="2"/>
        </w:numPr>
        <w:rPr>
          <w:rFonts w:eastAsia="Calibri" w:cs="Calibri"/>
        </w:rPr>
      </w:pPr>
      <w:proofErr w:type="gramStart"/>
      <w:r w:rsidRPr="00000C83">
        <w:rPr>
          <w:rFonts w:eastAsia="Calibri" w:cs="Calibri"/>
        </w:rPr>
        <w:t>Deletion :</w:t>
      </w:r>
      <w:proofErr w:type="gramEnd"/>
      <w:r w:rsidRPr="00000C83">
        <w:rPr>
          <w:rFonts w:eastAsia="Calibri" w:cs="Calibri"/>
        </w:rPr>
        <w:t xml:space="preserve"> &lt;= -1</w:t>
      </w:r>
      <w:r w:rsidR="00461418" w:rsidRPr="00000C83">
        <w:rPr>
          <w:rFonts w:eastAsia="Calibri" w:cs="Calibri"/>
        </w:rPr>
        <w:t xml:space="preserve">. </w:t>
      </w:r>
    </w:p>
    <w:p w14:paraId="5761ACBA" w14:textId="2CC002CE" w:rsidR="00461418" w:rsidRPr="007C3803" w:rsidRDefault="00461418" w:rsidP="00226F2F">
      <w:pPr>
        <w:rPr>
          <w:rFonts w:eastAsia="Calibri" w:cs="Calibri"/>
        </w:rPr>
      </w:pPr>
      <w:r w:rsidRPr="007C3803">
        <w:rPr>
          <w:rFonts w:eastAsia="Calibri" w:cs="Calibri"/>
        </w:rPr>
        <w:t>Segments with Log2 Ratio &lt; 0.5 or &gt; -0.5, are considered Neutral.</w:t>
      </w:r>
    </w:p>
    <w:p w14:paraId="592C41EC" w14:textId="77777777" w:rsidR="00461418" w:rsidRPr="007C3803" w:rsidRDefault="00461418" w:rsidP="00226F2F">
      <w:pPr>
        <w:rPr>
          <w:rFonts w:eastAsia="Calibri" w:cs="Calibri"/>
          <w:b/>
          <w:bCs/>
          <w:color w:val="000000" w:themeColor="text1"/>
        </w:rPr>
      </w:pPr>
    </w:p>
    <w:p w14:paraId="11E9D939" w14:textId="77777777" w:rsidR="00461418" w:rsidRPr="00D9153D" w:rsidRDefault="00461418" w:rsidP="00226F2F">
      <w:pPr>
        <w:pStyle w:val="Heading3"/>
      </w:pPr>
      <w:bookmarkStart w:id="5" w:name="_Toc161332037"/>
      <w:r w:rsidRPr="00D9153D">
        <w:t>Comparing SCNA between EXaCT-1 and EXaCT-2</w:t>
      </w:r>
      <w:bookmarkEnd w:id="5"/>
    </w:p>
    <w:p w14:paraId="533F150E" w14:textId="77777777" w:rsidR="00461418" w:rsidRPr="007C3803" w:rsidRDefault="00461418" w:rsidP="00226F2F">
      <w:pPr>
        <w:rPr>
          <w:rFonts w:eastAsia="Calibri" w:cs="Calibri"/>
          <w:color w:val="000000" w:themeColor="text1"/>
        </w:rPr>
      </w:pPr>
      <w:r w:rsidRPr="007C3803">
        <w:rPr>
          <w:rFonts w:eastAsia="Calibri" w:cs="Calibri"/>
          <w:color w:val="000000" w:themeColor="text1"/>
        </w:rPr>
        <w:t xml:space="preserve">To assess the SCNA between EXaCT-1 and EXaCT-2, a set of four matching samples from the two assays was selected and compared based on various factors such as Total Fraction Genome Altered (FGA), the total number of segments, and the size of the segments. </w:t>
      </w:r>
    </w:p>
    <w:p w14:paraId="78E033F5" w14:textId="77777777" w:rsidR="00DB1894" w:rsidRDefault="00DB1894" w:rsidP="00226F2F">
      <w:pPr>
        <w:rPr>
          <w:rFonts w:eastAsia="Calibri" w:cs="Calibri"/>
          <w:color w:val="000000" w:themeColor="text1"/>
          <w:u w:val="single"/>
        </w:rPr>
      </w:pPr>
    </w:p>
    <w:p w14:paraId="3617A084" w14:textId="3AA22131" w:rsidR="00461418" w:rsidRPr="007C3803" w:rsidRDefault="00461418" w:rsidP="00226F2F">
      <w:pPr>
        <w:rPr>
          <w:rFonts w:eastAsia="Calibri" w:cs="Calibri"/>
          <w:color w:val="000000" w:themeColor="text1"/>
        </w:rPr>
      </w:pPr>
      <w:r w:rsidRPr="007C3803">
        <w:rPr>
          <w:rFonts w:eastAsia="Calibri" w:cs="Calibri"/>
          <w:color w:val="000000" w:themeColor="text1"/>
          <w:u w:val="single"/>
        </w:rPr>
        <w:t>FGA:</w:t>
      </w:r>
      <w:r w:rsidRPr="007C3803">
        <w:rPr>
          <w:rFonts w:eastAsia="Calibri" w:cs="Calibri"/>
          <w:color w:val="000000" w:themeColor="text1"/>
        </w:rPr>
        <w:t xml:space="preserve"> To determine the Total Fraction of genome altered (FGA) in a sample, the sum of the total number of bases with Copy No. Loss or Gain is divided by the total number of bases targeted by EXaCT-2. </w:t>
      </w:r>
    </w:p>
    <w:p w14:paraId="360D632A" w14:textId="77777777" w:rsidR="00DB1894" w:rsidRDefault="00DB1894" w:rsidP="00226F2F">
      <w:pPr>
        <w:rPr>
          <w:rFonts w:eastAsia="Calibri" w:cs="Calibri"/>
          <w:color w:val="000000" w:themeColor="text1"/>
          <w:u w:val="single"/>
        </w:rPr>
      </w:pPr>
    </w:p>
    <w:p w14:paraId="4375A70B" w14:textId="6BD9D63E" w:rsidR="00461418" w:rsidRDefault="00461418" w:rsidP="00226F2F">
      <w:pPr>
        <w:rPr>
          <w:rFonts w:eastAsia="Calibri" w:cs="Calibri"/>
          <w:color w:val="000000" w:themeColor="text1"/>
        </w:rPr>
      </w:pPr>
      <w:r w:rsidRPr="007C3803">
        <w:rPr>
          <w:rFonts w:eastAsia="Calibri" w:cs="Calibri"/>
          <w:color w:val="000000" w:themeColor="text1"/>
          <w:u w:val="single"/>
        </w:rPr>
        <w:t>Total Number of Segments:</w:t>
      </w:r>
      <w:r w:rsidRPr="007C3803">
        <w:rPr>
          <w:rFonts w:eastAsia="Calibri" w:cs="Calibri"/>
          <w:color w:val="000000" w:themeColor="text1"/>
        </w:rPr>
        <w:t xml:space="preserve"> When counting the total number of segments, all segments regardless of their copy number status from EXaCT-1 were considered, which </w:t>
      </w:r>
      <w:r>
        <w:rPr>
          <w:rFonts w:eastAsia="Calibri" w:cs="Calibri"/>
          <w:color w:val="000000" w:themeColor="text1"/>
        </w:rPr>
        <w:t xml:space="preserve">were identified using the </w:t>
      </w:r>
      <w:proofErr w:type="spellStart"/>
      <w:r>
        <w:rPr>
          <w:rFonts w:eastAsia="Calibri" w:cs="Calibri"/>
          <w:color w:val="000000" w:themeColor="text1"/>
        </w:rPr>
        <w:t>DNACopy</w:t>
      </w:r>
      <w:proofErr w:type="spellEnd"/>
      <w:r>
        <w:rPr>
          <w:rFonts w:eastAsia="Calibri" w:cs="Calibri"/>
          <w:color w:val="000000" w:themeColor="text1"/>
        </w:rPr>
        <w:t xml:space="preserve">, as previously described </w:t>
      </w:r>
      <w:r>
        <w:rPr>
          <w:rFonts w:eastAsia="Calibri" w:cs="Calibri"/>
          <w:color w:val="000000" w:themeColor="text1"/>
        </w:rPr>
        <w:fldChar w:fldCharType="begin"/>
      </w:r>
      <w:r w:rsidR="003A44DF">
        <w:rPr>
          <w:rFonts w:eastAsia="Calibri" w:cs="Calibri"/>
          <w:color w:val="000000" w:themeColor="text1"/>
        </w:rPr>
        <w:instrText xml:space="preserve"> ADDIN ZOTERO_ITEM CSL_CITATION {"citationID":"w7j49PYe","properties":{"formattedCitation":"\\super 24,25\\nosupersub{}","plainCitation":"24,25","noteIndex":0},"citationItems":[{"id":161,"uris":["http://zotero.org/users/local/wIF2fIsu/items/N6E7QHS5"],"itemData":{"id":161,"type":"software","note":"DOI: 10.18129/B9.BIOC.DNACOPY","publisher":"Bioconductor","source":"DOI.org (Datacite)","title":"DNAcopy","URL":"https://bioconductor.org/packages/DNAcopy","author":[{"family":"Venkatraman E. Seshan","given":"Adam Olshen"}],"accessed":{"date-parts":[["2024",8,21]]},"issued":{"date-parts":[["2017"]]}}},{"id":162,"uris":["http://zotero.org/users/local/wIF2fIsu/items/YLDT4R3E"],"itemData":{"id":162,"type":"article-journal","abstract":"We describe Exome Cancer Test v1.0 (EXaCT-1), the first New York State-Department of Health-approved whole-exome sequencing (WES)-based test for precision cancer care. EXaCT-1 uses HaloPlex (Agilent) target enrichment followed by next-generation sequencing (Illumina) of tumour and matched constitutional control DNA. We present a detailed clinical development and validation pipeline suitable for simultaneous detection of somatic point/indel mutations and copy-number alterations (CNAs). A computational framework for data analysis, reporting and sign-out is also presented. For the validation, we tested EXaCT-1 on 57 tumours covering five distinct clinically relevant mutations. Results demonstrated elevated and uniform coverage compatible with clinical testing as well as complete concordance in variant quality metrics between formalin-fixed paraffin embedded and fresh-frozen tumours. Extensive sensitivity studies identified limits of detection threshold for point/indel mutations and CNAs. Prospective analysis of 337 cancer cases revealed mutations in clinically relevant genes in 82% of tumours, demonstrating that EXaCT-1 is an accurate and sensitive method for identifying actionable mutations, with reasonable costs and time, greatly expanding its utility for advanced cancer care.","container-title":"NPJ genomic medicine","DOI":"10.1038/npjgenmed.2016.19","ISSN":"2056-7944","journalAbbreviation":"NPJ Genom Med","language":"eng","note":"PMID: 28781886\nPMCID: PMC5539963","page":"16019-","source":"PubMed","title":"Development and validation of a whole-exome sequencing test for simultaneous detection of point mutations, indels and copy-number alterations for precision cancer care","volume":"1","author":[{"family":"Rennert","given":"Hanna"},{"family":"Eng","given":"Kenneth"},{"family":"Zhang","given":"Tuo"},{"family":"Tan","given":"Adrian"},{"family":"Xiang","given":"Jenny"},{"family":"Romanel","given":"Alessandro"},{"family":"Kim","given":"Robert"},{"family":"Tam","given":"Wayne"},{"family":"Liu","given":"Yen-Chun"},{"family":"Bhinder","given":"Bhavneet"},{"family":"Cyrta","given":"Joanna"},{"family":"Beltran","given":"Himisha"},{"family":"Robinson","given":"Brian"},{"family":"Mosquera","given":"Juan Miguel"},{"family":"Fernandes","given":"Helen"},{"family":"Demichelis","given":"Francesca"},{"family":"Sboner","given":"Andrea"},{"family":"Kluk","given":"Michael"},{"family":"Rubin","given":"Mark A."},{"family":"Elemento","given":"Olivier"}],"issued":{"date-parts":[["2016"]]}}}],"schema":"https://github.com/citation-style-language/schema/raw/master/csl-citation.json"} </w:instrText>
      </w:r>
      <w:r>
        <w:rPr>
          <w:rFonts w:eastAsia="Calibri" w:cs="Calibri"/>
          <w:color w:val="000000" w:themeColor="text1"/>
        </w:rPr>
        <w:fldChar w:fldCharType="separate"/>
      </w:r>
      <w:r w:rsidR="003A44DF" w:rsidRPr="003A44DF">
        <w:rPr>
          <w:rFonts w:ascii="Cambria" w:hAnsi="Cambria" w:cs="Times New Roman"/>
          <w:vertAlign w:val="superscript"/>
        </w:rPr>
        <w:t>24,25</w:t>
      </w:r>
      <w:r>
        <w:rPr>
          <w:rFonts w:eastAsia="Calibri" w:cs="Calibri"/>
          <w:color w:val="000000" w:themeColor="text1"/>
        </w:rPr>
        <w:fldChar w:fldCharType="end"/>
      </w:r>
      <w:r w:rsidRPr="007C3803">
        <w:rPr>
          <w:rFonts w:eastAsia="Calibri" w:cs="Calibri"/>
          <w:color w:val="000000" w:themeColor="text1"/>
        </w:rPr>
        <w:t xml:space="preserve">. Similarly, the total number of segments from EXaCT-2 encompassed all segments, irrespective of copy number status, obtained from tool </w:t>
      </w:r>
      <w:proofErr w:type="spellStart"/>
      <w:r w:rsidRPr="007C3803">
        <w:rPr>
          <w:rFonts w:eastAsia="Calibri" w:cs="Calibri"/>
          <w:color w:val="000000" w:themeColor="text1"/>
        </w:rPr>
        <w:t>CNVKit</w:t>
      </w:r>
      <w:proofErr w:type="spellEnd"/>
      <w:r w:rsidRPr="007C3803">
        <w:rPr>
          <w:rFonts w:eastAsia="Calibri" w:cs="Calibri"/>
          <w:color w:val="000000" w:themeColor="text1"/>
        </w:rPr>
        <w:t>.</w:t>
      </w:r>
    </w:p>
    <w:p w14:paraId="6BBE3700" w14:textId="77777777" w:rsidR="00DB1894" w:rsidRPr="007C3803" w:rsidRDefault="00DB1894" w:rsidP="00226F2F">
      <w:pPr>
        <w:rPr>
          <w:rFonts w:eastAsia="Calibri" w:cs="Calibri"/>
          <w:color w:val="000000" w:themeColor="text1"/>
        </w:rPr>
      </w:pPr>
    </w:p>
    <w:p w14:paraId="13962897" w14:textId="77777777" w:rsidR="00461418" w:rsidRPr="007C3803" w:rsidRDefault="00461418" w:rsidP="00226F2F">
      <w:pPr>
        <w:rPr>
          <w:rFonts w:eastAsia="Calibri" w:cs="Calibri"/>
          <w:color w:val="000000" w:themeColor="text1"/>
        </w:rPr>
      </w:pPr>
      <w:r w:rsidRPr="007C3803">
        <w:rPr>
          <w:rFonts w:eastAsia="Calibri" w:cs="Calibri"/>
          <w:color w:val="000000" w:themeColor="text1"/>
          <w:u w:val="single"/>
        </w:rPr>
        <w:t>Size of segments:</w:t>
      </w:r>
      <w:r w:rsidRPr="007C3803">
        <w:rPr>
          <w:rFonts w:eastAsia="Calibri" w:cs="Calibri"/>
          <w:color w:val="000000" w:themeColor="text1"/>
        </w:rPr>
        <w:t xml:space="preserve"> To evaluate the segment size and resolution of copy number segments between EXaCT-1 and EXaCT-2, the segments were categorized into three groups: small segments (&lt;25Mb), mid-sized segments (&gt;25MB and &lt;100Mb), and large segments (&gt;100Mb). The distribution of segments across these three categories was then analyzed.</w:t>
      </w:r>
      <w:r w:rsidRPr="00826CE5">
        <w:br/>
      </w:r>
      <w:r w:rsidRPr="007C3803">
        <w:rPr>
          <w:rFonts w:eastAsia="Calibri" w:cs="Calibri"/>
          <w:color w:val="000000" w:themeColor="text1"/>
        </w:rPr>
        <w:t xml:space="preserve"> </w:t>
      </w:r>
    </w:p>
    <w:p w14:paraId="029FE94C" w14:textId="77777777" w:rsidR="00461418" w:rsidRPr="00D9153D" w:rsidRDefault="00461418" w:rsidP="00226F2F">
      <w:pPr>
        <w:pStyle w:val="Heading3"/>
      </w:pPr>
      <w:bookmarkStart w:id="6" w:name="_Toc161332038"/>
      <w:r w:rsidRPr="00D9153D">
        <w:t>SCNA Gene Concordance</w:t>
      </w:r>
      <w:bookmarkEnd w:id="6"/>
    </w:p>
    <w:p w14:paraId="4BC5C42D" w14:textId="77777777" w:rsidR="00461418" w:rsidRPr="007C3803" w:rsidRDefault="00461418" w:rsidP="00226F2F">
      <w:pPr>
        <w:rPr>
          <w:rFonts w:eastAsia="Calibri" w:cs="Calibri"/>
        </w:rPr>
      </w:pPr>
      <w:r w:rsidRPr="007C3803">
        <w:rPr>
          <w:rFonts w:eastAsia="Calibri" w:cs="Calibri"/>
          <w:color w:val="000000" w:themeColor="text1"/>
        </w:rPr>
        <w:t>To evaluate the concordance of SCNA and assess</w:t>
      </w:r>
      <w:r w:rsidRPr="007C3803">
        <w:rPr>
          <w:rFonts w:eastAsia="Calibri" w:cs="Calibri"/>
        </w:rPr>
        <w:t xml:space="preserve"> the similarity between EXaCT-1 and EXaCT-2 assays, we calculated Gene-Level Concordance for the four corresponding samples. The log2 ratio across each of the 20,000 genes was compared between the matched samples from EXaCT-1 and EXaCT-2. Subsequently, the absolute difference in log2 ratio for each gene between EXaCT-1 and EXaCT-2 matching samples was determined. To mitigate the impact of noisy SCNA calls, a smoothing factor of 0.3 was applied to the absolute difference in log2 ratio. If the absolute difference was less than or equal to 0.3, an average of the log2 ratio for that gene from EXaCT-1 and EXaCT-2 was computed. If the absolute difference exceeded 0.3, the original log2 values for the genes were retained. Following this, genes were categorized into different types of SCNA Events (Copy No. Gain or Copy No. Loss or Neutral) based on a predefined threshold.</w:t>
      </w:r>
    </w:p>
    <w:p w14:paraId="7D03DBB2" w14:textId="77777777" w:rsidR="00461418" w:rsidRPr="007C3803" w:rsidRDefault="00461418" w:rsidP="00226F2F">
      <w:pPr>
        <w:rPr>
          <w:rFonts w:eastAsia="Calibri" w:cs="Calibri"/>
        </w:rPr>
      </w:pPr>
    </w:p>
    <w:p w14:paraId="18103B58" w14:textId="77777777" w:rsidR="00461418" w:rsidRDefault="00461418" w:rsidP="00226F2F">
      <w:pPr>
        <w:rPr>
          <w:rFonts w:ascii="Calibri" w:eastAsia="Calibri" w:hAnsi="Calibri" w:cs="Calibri"/>
          <w:b/>
          <w:bCs/>
        </w:rPr>
      </w:pPr>
      <w:bookmarkStart w:id="7" w:name="_Toc161332039"/>
      <w:r w:rsidRPr="007C3803">
        <w:rPr>
          <w:rStyle w:val="Heading3Char"/>
        </w:rPr>
        <w:t>Detection of Clonal Rearrangements</w:t>
      </w:r>
      <w:bookmarkEnd w:id="7"/>
    </w:p>
    <w:p w14:paraId="41C1663A" w14:textId="2534D6A4" w:rsidR="00461418" w:rsidRPr="00522A19" w:rsidRDefault="00461418" w:rsidP="00226F2F">
      <w:pPr>
        <w:shd w:val="clear" w:color="auto" w:fill="FFFFFF" w:themeFill="background1"/>
        <w:rPr>
          <w:rFonts w:eastAsia="Helvetica Neue" w:cs="Helvetica Neue"/>
          <w:color w:val="0C0C0C"/>
        </w:rPr>
      </w:pPr>
      <w:r w:rsidRPr="00522A19">
        <w:rPr>
          <w:rFonts w:eastAsia="Helvetica Neue" w:cs="Helvetica Neue"/>
          <w:color w:val="0C0C0C"/>
        </w:rPr>
        <w:t xml:space="preserve">To identify all clonal rearrangements within a sample, the </w:t>
      </w:r>
      <w:proofErr w:type="spellStart"/>
      <w:r w:rsidRPr="00522A19">
        <w:rPr>
          <w:rFonts w:eastAsia="Helvetica Neue" w:cs="Helvetica Neue"/>
          <w:color w:val="0C0C0C"/>
        </w:rPr>
        <w:t>MiXCR</w:t>
      </w:r>
      <w:proofErr w:type="spellEnd"/>
      <w:r w:rsidRPr="00522A19">
        <w:rPr>
          <w:rFonts w:eastAsia="Helvetica Neue" w:cs="Helvetica Neue"/>
          <w:color w:val="0C0C0C"/>
        </w:rPr>
        <w:t xml:space="preserve"> tool (version 4.6.0) </w:t>
      </w:r>
      <w:r w:rsidRPr="00522A19">
        <w:rPr>
          <w:rFonts w:eastAsia="Helvetica Neue" w:cs="Helvetica Neue"/>
          <w:color w:val="0C0C0C"/>
        </w:rPr>
        <w:fldChar w:fldCharType="begin"/>
      </w:r>
      <w:r w:rsidR="003A44DF">
        <w:rPr>
          <w:rFonts w:eastAsia="Helvetica Neue" w:cs="Helvetica Neue"/>
          <w:color w:val="0C0C0C"/>
        </w:rPr>
        <w:instrText xml:space="preserve"> ADDIN ZOTERO_ITEM CSL_CITATION {"citationID":"IE6kv4Hj","properties":{"formattedCitation":"\\super 26\\nosupersub{}","plainCitation":"26","noteIndex":0},"citationItems":[{"id":"2zr4zOqQ/vUVmr9PC","uris":["http://zotero.org/users/5978509/items/W4YDBY4R"],"itemData":{"id":1297700,"type":"article-journal","container-title":"Nature Methods","DOI":"10.1038/nmeth.3364","ISSN":"1548-7105","issue":"5","language":"en","license":"2015 Nature Publishing Group, a division of Macmillan Publishers Limited. All Rights Reserved.","page":"380-381","source":"www.nature.com","title":"MiXCR: software for comprehensive adaptive immunity profiling","title-short":"MiXCR","volume":"12","author":[{"family":"Bolotin","given":"Dmitriy A."},{"family":"Poslavsky","given":"Stanislav"},{"family":"Mitrophanov","given":"Igor"},{"family":"Shugay","given":"Mikhail"},{"family":"Mamedov","given":"Ilgar Z."},{"family":"Putintseva","given":"Ekaterina V."},{"family":"Chudakov","given":"Dmitriy M."}],"issued":{"date-parts":[["2015",5]]}}}],"schema":"https://github.com/citation-style-language/schema/raw/master/csl-citation.json"} </w:instrText>
      </w:r>
      <w:r w:rsidRPr="00522A19">
        <w:rPr>
          <w:rFonts w:eastAsia="Helvetica Neue" w:cs="Helvetica Neue"/>
          <w:color w:val="0C0C0C"/>
        </w:rPr>
        <w:fldChar w:fldCharType="separate"/>
      </w:r>
      <w:r w:rsidR="003A44DF" w:rsidRPr="003A44DF">
        <w:rPr>
          <w:rFonts w:ascii="Cambria" w:hAnsi="Cambria" w:cs="Times New Roman"/>
          <w:vertAlign w:val="superscript"/>
        </w:rPr>
        <w:t>26</w:t>
      </w:r>
      <w:r w:rsidRPr="00522A19">
        <w:rPr>
          <w:rFonts w:eastAsia="Helvetica Neue" w:cs="Helvetica Neue"/>
          <w:color w:val="0C0C0C"/>
        </w:rPr>
        <w:fldChar w:fldCharType="end"/>
      </w:r>
      <w:r>
        <w:rPr>
          <w:rFonts w:eastAsia="Helvetica Neue" w:cs="Helvetica Neue"/>
          <w:color w:val="0C0C0C"/>
        </w:rPr>
        <w:t xml:space="preserve"> </w:t>
      </w:r>
      <w:r w:rsidRPr="00522A19">
        <w:rPr>
          <w:rFonts w:eastAsia="Helvetica Neue" w:cs="Helvetica Neue"/>
          <w:color w:val="0C0C0C"/>
        </w:rPr>
        <w:t>was employed. The dataset consisted of whole-exome paired-end samples, and the following command line was utilized to extract clonotype information:</w:t>
      </w:r>
    </w:p>
    <w:p w14:paraId="337B8EF2" w14:textId="77777777" w:rsidR="00461418" w:rsidRPr="00522A19" w:rsidRDefault="00461418" w:rsidP="00226F2F">
      <w:pPr>
        <w:shd w:val="clear" w:color="auto" w:fill="FFFFFF" w:themeFill="background1"/>
      </w:pPr>
    </w:p>
    <w:p w14:paraId="2627A585" w14:textId="77777777" w:rsidR="00461418" w:rsidRPr="00522A19" w:rsidRDefault="00461418" w:rsidP="00226F2F">
      <w:pPr>
        <w:rPr>
          <w:rFonts w:eastAsia="Menlo" w:cs="Menlo"/>
          <w:i/>
          <w:iCs/>
          <w:color w:val="000000" w:themeColor="text1"/>
          <w:sz w:val="22"/>
          <w:szCs w:val="22"/>
        </w:rPr>
      </w:pPr>
      <w:proofErr w:type="spellStart"/>
      <w:r w:rsidRPr="00522A19">
        <w:rPr>
          <w:rFonts w:eastAsia="Menlo" w:cs="Menlo"/>
          <w:i/>
          <w:iCs/>
          <w:color w:val="000000" w:themeColor="text1"/>
          <w:sz w:val="22"/>
          <w:szCs w:val="22"/>
        </w:rPr>
        <w:t>mixcr</w:t>
      </w:r>
      <w:proofErr w:type="spellEnd"/>
      <w:r w:rsidRPr="00522A19">
        <w:rPr>
          <w:rFonts w:eastAsia="Menlo" w:cs="Menlo"/>
          <w:i/>
          <w:iCs/>
          <w:color w:val="000000" w:themeColor="text1"/>
          <w:sz w:val="22"/>
          <w:szCs w:val="22"/>
        </w:rPr>
        <w:t xml:space="preserve"> analyze exome-seq --species </w:t>
      </w:r>
      <w:proofErr w:type="spellStart"/>
      <w:r w:rsidRPr="00522A19">
        <w:rPr>
          <w:rFonts w:eastAsia="Menlo" w:cs="Menlo"/>
          <w:i/>
          <w:iCs/>
          <w:color w:val="000000" w:themeColor="text1"/>
          <w:sz w:val="22"/>
          <w:szCs w:val="22"/>
        </w:rPr>
        <w:t>hsa</w:t>
      </w:r>
      <w:proofErr w:type="spellEnd"/>
      <w:r w:rsidRPr="00522A19">
        <w:rPr>
          <w:rFonts w:eastAsia="Menlo" w:cs="Menlo"/>
          <w:i/>
          <w:iCs/>
          <w:color w:val="000000" w:themeColor="text1"/>
          <w:sz w:val="22"/>
          <w:szCs w:val="22"/>
        </w:rPr>
        <w:t xml:space="preserve"> --no-reports --no-</w:t>
      </w:r>
      <w:proofErr w:type="spellStart"/>
      <w:r w:rsidRPr="00522A19">
        <w:rPr>
          <w:rFonts w:eastAsia="Menlo" w:cs="Menlo"/>
          <w:i/>
          <w:iCs/>
          <w:color w:val="000000" w:themeColor="text1"/>
          <w:sz w:val="22"/>
          <w:szCs w:val="22"/>
        </w:rPr>
        <w:t>json</w:t>
      </w:r>
      <w:proofErr w:type="spellEnd"/>
      <w:r w:rsidRPr="00522A19">
        <w:rPr>
          <w:rFonts w:eastAsia="Menlo" w:cs="Menlo"/>
          <w:i/>
          <w:iCs/>
          <w:color w:val="000000" w:themeColor="text1"/>
          <w:sz w:val="22"/>
          <w:szCs w:val="22"/>
        </w:rPr>
        <w:t xml:space="preserve">-reports Fastq1 Fastq2 </w:t>
      </w:r>
      <w:proofErr w:type="spellStart"/>
      <w:r w:rsidRPr="00522A19">
        <w:rPr>
          <w:rFonts w:eastAsia="Menlo" w:cs="Menlo"/>
          <w:i/>
          <w:iCs/>
          <w:color w:val="000000" w:themeColor="text1"/>
          <w:sz w:val="22"/>
          <w:szCs w:val="22"/>
        </w:rPr>
        <w:t>sampleID</w:t>
      </w:r>
      <w:proofErr w:type="spellEnd"/>
    </w:p>
    <w:p w14:paraId="5A059D5B" w14:textId="77777777" w:rsidR="00461418" w:rsidRPr="00522A19" w:rsidRDefault="00461418" w:rsidP="00226F2F">
      <w:pPr>
        <w:rPr>
          <w:rFonts w:eastAsia="Menlo" w:cs="Menlo"/>
          <w:i/>
          <w:iCs/>
          <w:color w:val="000000" w:themeColor="text1"/>
          <w:sz w:val="22"/>
          <w:szCs w:val="22"/>
        </w:rPr>
      </w:pPr>
      <w:proofErr w:type="spellStart"/>
      <w:r w:rsidRPr="00522A19">
        <w:rPr>
          <w:rFonts w:eastAsia="Menlo" w:cs="Menlo"/>
          <w:i/>
          <w:iCs/>
          <w:color w:val="000000" w:themeColor="text1"/>
          <w:sz w:val="22"/>
          <w:szCs w:val="22"/>
        </w:rPr>
        <w:t>mixcr</w:t>
      </w:r>
      <w:proofErr w:type="spellEnd"/>
      <w:r w:rsidRPr="00522A19">
        <w:rPr>
          <w:rFonts w:eastAsia="Menlo" w:cs="Menlo"/>
          <w:i/>
          <w:iCs/>
          <w:color w:val="000000" w:themeColor="text1"/>
          <w:sz w:val="22"/>
          <w:szCs w:val="22"/>
        </w:rPr>
        <w:t xml:space="preserve"> </w:t>
      </w:r>
      <w:proofErr w:type="spellStart"/>
      <w:r w:rsidRPr="00522A19">
        <w:rPr>
          <w:rFonts w:eastAsia="Menlo" w:cs="Menlo"/>
          <w:i/>
          <w:iCs/>
          <w:color w:val="000000" w:themeColor="text1"/>
          <w:sz w:val="22"/>
          <w:szCs w:val="22"/>
        </w:rPr>
        <w:t>exportClones</w:t>
      </w:r>
      <w:proofErr w:type="spellEnd"/>
      <w:r w:rsidRPr="00522A19">
        <w:rPr>
          <w:rFonts w:eastAsia="Menlo" w:cs="Menlo"/>
          <w:i/>
          <w:iCs/>
          <w:color w:val="000000" w:themeColor="text1"/>
          <w:sz w:val="22"/>
          <w:szCs w:val="22"/>
        </w:rPr>
        <w:t xml:space="preserve"> --</w:t>
      </w:r>
      <w:proofErr w:type="spellStart"/>
      <w:r w:rsidRPr="00522A19">
        <w:rPr>
          <w:rFonts w:eastAsia="Menlo" w:cs="Menlo"/>
          <w:i/>
          <w:iCs/>
          <w:color w:val="000000" w:themeColor="text1"/>
          <w:sz w:val="22"/>
          <w:szCs w:val="22"/>
        </w:rPr>
        <w:t>dont</w:t>
      </w:r>
      <w:proofErr w:type="spellEnd"/>
      <w:r w:rsidRPr="00522A19">
        <w:rPr>
          <w:rFonts w:eastAsia="Menlo" w:cs="Menlo"/>
          <w:i/>
          <w:iCs/>
          <w:color w:val="000000" w:themeColor="text1"/>
          <w:sz w:val="22"/>
          <w:szCs w:val="22"/>
        </w:rPr>
        <w:t xml:space="preserve">-split-files </w:t>
      </w:r>
      <w:proofErr w:type="spellStart"/>
      <w:proofErr w:type="gramStart"/>
      <w:r w:rsidRPr="00522A19">
        <w:rPr>
          <w:rFonts w:eastAsia="Menlo" w:cs="Menlo"/>
          <w:i/>
          <w:iCs/>
          <w:color w:val="000000" w:themeColor="text1"/>
          <w:sz w:val="22"/>
          <w:szCs w:val="22"/>
        </w:rPr>
        <w:t>sampleID.contigs.clns</w:t>
      </w:r>
      <w:proofErr w:type="spellEnd"/>
      <w:proofErr w:type="gramEnd"/>
      <w:r w:rsidRPr="00522A19">
        <w:rPr>
          <w:rFonts w:eastAsia="Menlo" w:cs="Menlo"/>
          <w:i/>
          <w:iCs/>
          <w:color w:val="000000" w:themeColor="text1"/>
          <w:sz w:val="22"/>
          <w:szCs w:val="22"/>
        </w:rPr>
        <w:t xml:space="preserve"> </w:t>
      </w:r>
      <w:proofErr w:type="spellStart"/>
      <w:r w:rsidRPr="00522A19">
        <w:rPr>
          <w:rFonts w:eastAsia="Menlo" w:cs="Menlo"/>
          <w:i/>
          <w:iCs/>
          <w:color w:val="000000" w:themeColor="text1"/>
          <w:sz w:val="22"/>
          <w:szCs w:val="22"/>
        </w:rPr>
        <w:t>sampleID.tsv</w:t>
      </w:r>
      <w:proofErr w:type="spellEnd"/>
    </w:p>
    <w:p w14:paraId="2472952F" w14:textId="77777777" w:rsidR="00461418" w:rsidRPr="00522A19" w:rsidRDefault="00461418" w:rsidP="00226F2F"/>
    <w:p w14:paraId="5AD1FFD8" w14:textId="77777777" w:rsidR="00461418" w:rsidRPr="00522A19" w:rsidRDefault="00461418" w:rsidP="00226F2F">
      <w:pPr>
        <w:rPr>
          <w:rFonts w:eastAsia="Helvetica Neue" w:cs="Helvetica Neue"/>
          <w:color w:val="0C0C0C"/>
        </w:rPr>
      </w:pPr>
      <w:r w:rsidRPr="00522A19">
        <w:rPr>
          <w:rFonts w:eastAsia="Helvetica" w:cs="Helvetica"/>
          <w:color w:val="000000" w:themeColor="text1"/>
        </w:rPr>
        <w:t>I</w:t>
      </w:r>
      <w:r w:rsidRPr="00522A19">
        <w:rPr>
          <w:rFonts w:eastAsia="Helvetica Neue" w:cs="Helvetica Neue"/>
          <w:color w:val="0C0C0C"/>
        </w:rPr>
        <w:t>n the above command, 'Fastq1' and 'Fastq2' contain reads from the forward and reverse strands, respectively, of the DNA fragments. '</w:t>
      </w:r>
      <w:proofErr w:type="spellStart"/>
      <w:r w:rsidRPr="00522A19">
        <w:rPr>
          <w:rFonts w:eastAsia="Helvetica Neue" w:cs="Helvetica Neue"/>
          <w:color w:val="0C0C0C"/>
        </w:rPr>
        <w:t>sampleID</w:t>
      </w:r>
      <w:proofErr w:type="spellEnd"/>
      <w:r w:rsidRPr="00522A19">
        <w:rPr>
          <w:rFonts w:eastAsia="Helvetica Neue" w:cs="Helvetica Neue"/>
          <w:color w:val="0C0C0C"/>
        </w:rPr>
        <w:t>' represents the sample name used for the output files. The generated output files include '</w:t>
      </w:r>
      <w:proofErr w:type="spellStart"/>
      <w:proofErr w:type="gramStart"/>
      <w:r w:rsidRPr="00522A19">
        <w:rPr>
          <w:rFonts w:eastAsia="Helvetica Neue" w:cs="Helvetica Neue"/>
          <w:color w:val="0C0C0C"/>
        </w:rPr>
        <w:t>sampleID.contigs.clns</w:t>
      </w:r>
      <w:proofErr w:type="spellEnd"/>
      <w:proofErr w:type="gramEnd"/>
      <w:r w:rsidRPr="00522A19">
        <w:rPr>
          <w:rFonts w:eastAsia="Helvetica Neue" w:cs="Helvetica Neue"/>
          <w:color w:val="0C0C0C"/>
        </w:rPr>
        <w:t>' and '</w:t>
      </w:r>
      <w:proofErr w:type="spellStart"/>
      <w:r w:rsidRPr="00522A19">
        <w:rPr>
          <w:rFonts w:eastAsia="Helvetica Neue" w:cs="Helvetica Neue"/>
          <w:color w:val="0C0C0C"/>
        </w:rPr>
        <w:t>sampleID.tsv</w:t>
      </w:r>
      <w:proofErr w:type="spellEnd"/>
      <w:r w:rsidRPr="00522A19">
        <w:rPr>
          <w:rFonts w:eastAsia="Helvetica Neue" w:cs="Helvetica Neue"/>
          <w:color w:val="0C0C0C"/>
        </w:rPr>
        <w:t>', with the latter containing read fraction, nucleotide, and amino acid clonotype sequences, as well as Phred quality information for each clonotype present in the sample.</w:t>
      </w:r>
    </w:p>
    <w:p w14:paraId="4550DE28" w14:textId="77777777" w:rsidR="00461418" w:rsidRPr="00522A19" w:rsidRDefault="00461418" w:rsidP="00226F2F">
      <w:pPr>
        <w:shd w:val="clear" w:color="auto" w:fill="FFFFFF" w:themeFill="background1"/>
        <w:spacing w:after="300"/>
        <w:rPr>
          <w:rFonts w:eastAsia="Helvetica Neue" w:cs="Helvetica Neue"/>
          <w:color w:val="0C0C0C"/>
        </w:rPr>
      </w:pPr>
      <w:r w:rsidRPr="00522A19">
        <w:rPr>
          <w:rFonts w:eastAsia="Helvetica Neue" w:cs="Helvetica Neue"/>
          <w:color w:val="0C0C0C"/>
        </w:rPr>
        <w:t xml:space="preserve">The predominant clonotype in the sample is typically identified based on the highest read fraction, indicating its </w:t>
      </w:r>
      <w:proofErr w:type="spellStart"/>
      <w:proofErr w:type="gramStart"/>
      <w:r w:rsidRPr="00522A19">
        <w:rPr>
          <w:rFonts w:eastAsia="Helvetica Neue" w:cs="Helvetica Neue"/>
          <w:color w:val="0C0C0C"/>
        </w:rPr>
        <w:t>abundance.Further</w:t>
      </w:r>
      <w:proofErr w:type="spellEnd"/>
      <w:proofErr w:type="gramEnd"/>
      <w:r w:rsidRPr="00522A19">
        <w:rPr>
          <w:rFonts w:eastAsia="Helvetica Neue" w:cs="Helvetica Neue"/>
          <w:color w:val="0C0C0C"/>
        </w:rPr>
        <w:t xml:space="preserve"> analysis involves computing the Read frequency, calculated as </w:t>
      </w:r>
      <w:r w:rsidRPr="00522A19">
        <w:rPr>
          <w:rFonts w:eastAsia="Helvetica Neue" w:cs="Helvetica Neue"/>
          <w:i/>
          <w:iCs/>
          <w:color w:val="0C0C0C"/>
        </w:rPr>
        <w:t>read frequency = read fraction * 100</w:t>
      </w:r>
      <w:r w:rsidRPr="00522A19">
        <w:rPr>
          <w:rFonts w:eastAsia="Helvetica Neue" w:cs="Helvetica Neue"/>
          <w:color w:val="0C0C0C"/>
        </w:rPr>
        <w:t>, which represents the percentage of all reads in the sample assigned to that specific clonotype.</w:t>
      </w:r>
    </w:p>
    <w:p w14:paraId="4A677275" w14:textId="77777777" w:rsidR="00461418" w:rsidRDefault="00461418" w:rsidP="00226F2F">
      <w:pPr>
        <w:rPr>
          <w:rFonts w:ascii="Calibri" w:eastAsia="Calibri" w:hAnsi="Calibri" w:cs="Calibri"/>
        </w:rPr>
      </w:pPr>
    </w:p>
    <w:p w14:paraId="7D9EC8BE" w14:textId="77777777" w:rsidR="00461418" w:rsidRPr="007C3803" w:rsidRDefault="00461418" w:rsidP="00226F2F">
      <w:pPr>
        <w:pStyle w:val="Heading3"/>
      </w:pPr>
      <w:r w:rsidRPr="007C3803">
        <w:t>Depth of Coverage</w:t>
      </w:r>
    </w:p>
    <w:p w14:paraId="4F8823D9" w14:textId="276FE620" w:rsidR="00461418" w:rsidRDefault="00461418" w:rsidP="00226F2F">
      <w:pPr>
        <w:rPr>
          <w:rFonts w:eastAsiaTheme="majorEastAsia" w:cstheme="majorBidi"/>
        </w:rPr>
      </w:pPr>
      <w:r w:rsidRPr="007C3803">
        <w:rPr>
          <w:rFonts w:eastAsiaTheme="majorEastAsia" w:cstheme="majorBidi"/>
        </w:rPr>
        <w:t xml:space="preserve">EXaCT-2 has been specifically designed to achieve increased coverage in select genomic regions crucial for cancer studies. To assess and highlight the increased coverage in these Augmented regions compared to </w:t>
      </w:r>
      <w:proofErr w:type="gramStart"/>
      <w:r w:rsidRPr="007C3803">
        <w:rPr>
          <w:rFonts w:eastAsiaTheme="majorEastAsia" w:cstheme="majorBidi"/>
        </w:rPr>
        <w:t>Non-Augmented</w:t>
      </w:r>
      <w:proofErr w:type="gramEnd"/>
      <w:r w:rsidRPr="007C3803">
        <w:rPr>
          <w:rFonts w:eastAsiaTheme="majorEastAsia" w:cstheme="majorBidi"/>
        </w:rPr>
        <w:t xml:space="preserve"> regions, a set of germline samples were analyzed across these two sets of regions. The comparison involved computing the Mean Target Coverage in both sets of regions using Picard </w:t>
      </w:r>
      <w:proofErr w:type="spellStart"/>
      <w:r w:rsidRPr="007C3803">
        <w:rPr>
          <w:rFonts w:eastAsiaTheme="majorEastAsia" w:cstheme="majorBidi"/>
        </w:rPr>
        <w:t>CollectHsMetrics</w:t>
      </w:r>
      <w:proofErr w:type="spellEnd"/>
      <w:r w:rsidRPr="007C3803">
        <w:rPr>
          <w:rFonts w:eastAsiaTheme="majorEastAsia" w:cstheme="majorBidi"/>
        </w:rPr>
        <w:t xml:space="preserve"> tool </w:t>
      </w:r>
      <w:r>
        <w:rPr>
          <w:rFonts w:eastAsiaTheme="majorEastAsia" w:cstheme="majorBidi"/>
        </w:rPr>
        <w:fldChar w:fldCharType="begin"/>
      </w:r>
      <w:r w:rsidR="003A44DF">
        <w:rPr>
          <w:rFonts w:eastAsiaTheme="majorEastAsia" w:cstheme="majorBidi"/>
        </w:rPr>
        <w:instrText xml:space="preserve"> ADDIN ZOTERO_ITEM CSL_CITATION {"citationID":"g2zNo8UB","properties":{"formattedCitation":"\\super 27\\nosupersub{}","plainCitation":"27","noteIndex":0},"citationItems":[{"id":109,"uris":["http://zotero.org/users/local/wIF2fIsu/items/8ZNECBKF"],"itemData":{"id":109,"type":"webpage","title":"Picard Tools - By Broad Institute","URL":"https://broadinstitute.github.io/picard/","accessed":{"date-parts":[["2024",7,9]]}}}],"schema":"https://github.com/citation-style-language/schema/raw/master/csl-citation.json"} </w:instrText>
      </w:r>
      <w:r>
        <w:rPr>
          <w:rFonts w:eastAsiaTheme="majorEastAsia" w:cstheme="majorBidi"/>
        </w:rPr>
        <w:fldChar w:fldCharType="separate"/>
      </w:r>
      <w:r w:rsidR="003A44DF" w:rsidRPr="003A44DF">
        <w:rPr>
          <w:rFonts w:ascii="Cambria" w:hAnsi="Cambria" w:cs="Times New Roman"/>
          <w:vertAlign w:val="superscript"/>
        </w:rPr>
        <w:t>27</w:t>
      </w:r>
      <w:r>
        <w:rPr>
          <w:rFonts w:eastAsiaTheme="majorEastAsia" w:cstheme="majorBidi"/>
        </w:rPr>
        <w:fldChar w:fldCharType="end"/>
      </w:r>
      <w:r w:rsidRPr="007C3803">
        <w:rPr>
          <w:rFonts w:eastAsiaTheme="majorEastAsia" w:cstheme="majorBidi"/>
        </w:rPr>
        <w:t xml:space="preserve">, where Mean Target Coverage represents the average depth across a specific set of targeted regions. Here, two sets of regions include: Augmented regions, which encompass clinically relevant areas designed to have enhanced coverage in A, including intronic and intergenic regions. The other set comprises </w:t>
      </w:r>
      <w:proofErr w:type="gramStart"/>
      <w:r w:rsidRPr="007C3803">
        <w:rPr>
          <w:rFonts w:eastAsiaTheme="majorEastAsia" w:cstheme="majorBidi"/>
        </w:rPr>
        <w:t>Non-Augmented</w:t>
      </w:r>
      <w:proofErr w:type="gramEnd"/>
      <w:r w:rsidRPr="007C3803">
        <w:rPr>
          <w:rFonts w:eastAsiaTheme="majorEastAsia" w:cstheme="majorBidi"/>
        </w:rPr>
        <w:t xml:space="preserve"> regions, covering the remaining areas targeted by EXaCT-2.</w:t>
      </w:r>
    </w:p>
    <w:p w14:paraId="15429B8E" w14:textId="77777777" w:rsidR="00830480" w:rsidRPr="007C3803" w:rsidRDefault="00830480" w:rsidP="00226F2F">
      <w:pPr>
        <w:rPr>
          <w:rFonts w:eastAsiaTheme="majorEastAsia" w:cstheme="majorBidi"/>
        </w:rPr>
      </w:pPr>
    </w:p>
    <w:p w14:paraId="34D41B5E" w14:textId="77777777" w:rsidR="00461418" w:rsidRPr="007C3803" w:rsidRDefault="00461418" w:rsidP="00226F2F">
      <w:pPr>
        <w:rPr>
          <w:rFonts w:eastAsiaTheme="majorEastAsia" w:cstheme="majorBidi"/>
        </w:rPr>
      </w:pPr>
      <w:r w:rsidRPr="007C3803">
        <w:rPr>
          <w:rFonts w:eastAsiaTheme="majorEastAsia" w:cstheme="majorBidi"/>
        </w:rPr>
        <w:t>The comparison of mean target coverage in both sets of regions was conducted and categorized based on DIN quality and Total Reads present in the sample to explore the relationship between mean target coverage, total reads, and DIN across different genomic regions targeted by EXaCT-2.</w:t>
      </w:r>
    </w:p>
    <w:p w14:paraId="482AAF54" w14:textId="77777777" w:rsidR="00461418" w:rsidRPr="007C3803" w:rsidRDefault="00461418" w:rsidP="00226F2F">
      <w:pPr>
        <w:rPr>
          <w:rFonts w:eastAsiaTheme="majorEastAsia" w:cstheme="majorBidi"/>
        </w:rPr>
      </w:pPr>
    </w:p>
    <w:p w14:paraId="76ABD75E" w14:textId="3FD34072" w:rsidR="00461418" w:rsidRPr="007C3803" w:rsidRDefault="00461418" w:rsidP="00226F2F">
      <w:pPr>
        <w:pStyle w:val="Heading4"/>
        <w:jc w:val="left"/>
      </w:pPr>
      <w:r w:rsidRPr="007C3803">
        <w:t>Categorized based on Total On-Target Reads</w:t>
      </w:r>
    </w:p>
    <w:p w14:paraId="3972242A" w14:textId="77777777" w:rsidR="00461418" w:rsidRDefault="00461418" w:rsidP="00226F2F">
      <w:pPr>
        <w:rPr>
          <w:rFonts w:eastAsiaTheme="majorEastAsia" w:cstheme="majorBidi"/>
        </w:rPr>
      </w:pPr>
      <w:r w:rsidRPr="007C3803">
        <w:rPr>
          <w:rFonts w:eastAsiaTheme="majorEastAsia" w:cstheme="majorBidi"/>
        </w:rPr>
        <w:t>To further emphasize and highlight into the depth of coverage for EXaCT-2, and underscore distinctions between Augmented and Non-Augmented regions on the same set of germline samples as previously analyzed, the mean target coverage in these two sets of regions was classified based on an additional criterion: Total On-Target Reads, where Total On-Target Reads encompass only those reads that fall within the specified target regions. The input BAM file is filtered to include only regions falling under Augmented and Non-Augmented categories targeted by EXaCT-2. Subsequently, Picard is used to compute the total on-target reads for both Augmented and Non-Augmented regions, excluding reads that do not align to these specific regions.</w:t>
      </w:r>
    </w:p>
    <w:p w14:paraId="06E7FC85" w14:textId="77777777" w:rsidR="00830480" w:rsidRPr="007C3803" w:rsidRDefault="00830480" w:rsidP="00226F2F">
      <w:pPr>
        <w:rPr>
          <w:rFonts w:eastAsiaTheme="majorEastAsia" w:cstheme="majorBidi"/>
        </w:rPr>
      </w:pPr>
    </w:p>
    <w:p w14:paraId="6AE23233" w14:textId="77777777" w:rsidR="00461418" w:rsidRPr="007C3803" w:rsidRDefault="00461418" w:rsidP="00226F2F">
      <w:pPr>
        <w:rPr>
          <w:rFonts w:eastAsiaTheme="majorEastAsia" w:cstheme="majorBidi"/>
        </w:rPr>
      </w:pPr>
      <w:r w:rsidRPr="007C3803">
        <w:rPr>
          <w:rFonts w:eastAsiaTheme="majorEastAsia" w:cstheme="majorBidi"/>
        </w:rPr>
        <w:t>Quantiles of the total on-target reads were then determined as follows: samples with reads falling &lt;= 25% (&lt;=102.7 M reads); samples with reads falling &gt; 25% and &lt;= 50% (&gt;102.7 M and &lt;=123 M reads); samples with reads falling &gt; 50% and &lt;= 75% (&gt;123 M and &lt;=141.5 M reads); and samples with reads falling &gt; 75% (&gt;141.5 M reads).</w:t>
      </w:r>
    </w:p>
    <w:p w14:paraId="02ACD1A8" w14:textId="77777777" w:rsidR="00461418" w:rsidRPr="007C3803" w:rsidRDefault="00461418" w:rsidP="00226F2F">
      <w:pPr>
        <w:rPr>
          <w:rFonts w:eastAsiaTheme="majorEastAsia" w:cstheme="majorBidi"/>
        </w:rPr>
      </w:pPr>
    </w:p>
    <w:p w14:paraId="3AF3C8B6" w14:textId="77777777" w:rsidR="00461418" w:rsidRPr="007C3803" w:rsidRDefault="00461418" w:rsidP="00226F2F">
      <w:pPr>
        <w:pStyle w:val="Heading4"/>
        <w:jc w:val="left"/>
      </w:pPr>
      <w:r w:rsidRPr="007C3803">
        <w:t>Enhanced coverage in clinically Relevant Genes</w:t>
      </w:r>
    </w:p>
    <w:p w14:paraId="3567CE2E" w14:textId="77777777" w:rsidR="00461418" w:rsidRPr="007C3803" w:rsidRDefault="00461418" w:rsidP="00226F2F">
      <w:pPr>
        <w:rPr>
          <w:rFonts w:eastAsiaTheme="majorEastAsia" w:cstheme="majorBidi"/>
        </w:rPr>
      </w:pPr>
      <w:r w:rsidRPr="007C3803">
        <w:rPr>
          <w:rFonts w:eastAsiaTheme="majorEastAsia" w:cstheme="majorBidi"/>
        </w:rPr>
        <w:t xml:space="preserve">EXaCT-2 has also been designed to enhance coverage in clinically relevant genes. To show that EXaCT-2 has achieved higher coverage in these specific genes compared to EXaCT-1, a subset of genes of interest was </w:t>
      </w:r>
      <w:r w:rsidRPr="007C3803">
        <w:rPr>
          <w:rFonts w:eastAsiaTheme="majorEastAsia" w:cstheme="majorBidi"/>
        </w:rPr>
        <w:lastRenderedPageBreak/>
        <w:t xml:space="preserve">considered and compared between the two assays. Mean Target Coverage was calculated for each gene, and the coverage was compared across the same set of germline samples as previously analyzed. </w:t>
      </w:r>
    </w:p>
    <w:p w14:paraId="6A5D7FF1" w14:textId="77777777" w:rsidR="00461418" w:rsidRDefault="00461418" w:rsidP="00226F2F">
      <w:pPr>
        <w:rPr>
          <w:rFonts w:eastAsiaTheme="majorEastAsia" w:cstheme="majorBidi"/>
        </w:rPr>
      </w:pPr>
    </w:p>
    <w:p w14:paraId="6679B434" w14:textId="30D3AC76" w:rsidR="001C29E5" w:rsidRDefault="001C29E5" w:rsidP="00226F2F">
      <w:pPr>
        <w:pStyle w:val="Heading4"/>
        <w:jc w:val="left"/>
      </w:pPr>
      <w:r>
        <w:t>Comparison of mean target coverage for KRAS G12* mutations</w:t>
      </w:r>
    </w:p>
    <w:p w14:paraId="6B8C7D38" w14:textId="315E542F" w:rsidR="001C29E5" w:rsidRPr="007C3803" w:rsidRDefault="001C29E5" w:rsidP="00226F2F">
      <w:pPr>
        <w:rPr>
          <w:rFonts w:eastAsiaTheme="majorEastAsia" w:cstheme="majorBidi"/>
        </w:rPr>
      </w:pPr>
      <w:r>
        <w:rPr>
          <w:rFonts w:eastAsiaTheme="majorEastAsia" w:cstheme="majorBidi"/>
        </w:rPr>
        <w:t xml:space="preserve">We downloaded the read coverage for KRAS G12* mutations TCGA </w:t>
      </w:r>
      <w:r w:rsidR="00A65A35">
        <w:rPr>
          <w:rFonts w:eastAsiaTheme="majorEastAsia" w:cstheme="majorBidi"/>
        </w:rPr>
        <w:t xml:space="preserve">(WES and WGS) </w:t>
      </w:r>
      <w:r>
        <w:rPr>
          <w:rFonts w:eastAsiaTheme="majorEastAsia" w:cstheme="majorBidi"/>
        </w:rPr>
        <w:t>and MSK</w:t>
      </w:r>
      <w:r w:rsidR="00B0502C">
        <w:rPr>
          <w:rFonts w:eastAsiaTheme="majorEastAsia" w:cstheme="majorBidi"/>
        </w:rPr>
        <w:t>-IMPACT</w:t>
      </w:r>
      <w:r w:rsidR="00B11988">
        <w:rPr>
          <w:rFonts w:eastAsiaTheme="majorEastAsia" w:cstheme="majorBidi"/>
        </w:rPr>
        <w:t xml:space="preserve"> </w:t>
      </w:r>
      <w:r w:rsidR="00B0502C">
        <w:rPr>
          <w:rFonts w:eastAsiaTheme="majorEastAsia" w:cstheme="majorBidi"/>
        </w:rPr>
        <w:t xml:space="preserve">cohorts </w:t>
      </w:r>
      <w:r w:rsidR="00B11988">
        <w:rPr>
          <w:rFonts w:eastAsiaTheme="majorEastAsia" w:cstheme="majorBidi"/>
        </w:rPr>
        <w:t xml:space="preserve">from </w:t>
      </w:r>
      <w:proofErr w:type="spellStart"/>
      <w:r w:rsidR="00B11988">
        <w:rPr>
          <w:rFonts w:eastAsiaTheme="majorEastAsia" w:cstheme="majorBidi"/>
        </w:rPr>
        <w:t>cBio</w:t>
      </w:r>
      <w:r w:rsidR="0052121F">
        <w:rPr>
          <w:rFonts w:eastAsiaTheme="majorEastAsia" w:cstheme="majorBidi"/>
        </w:rPr>
        <w:t>P</w:t>
      </w:r>
      <w:r w:rsidR="00B11988">
        <w:rPr>
          <w:rFonts w:eastAsiaTheme="majorEastAsia" w:cstheme="majorBidi"/>
        </w:rPr>
        <w:t>ortal</w:t>
      </w:r>
      <w:proofErr w:type="spellEnd"/>
      <w:r w:rsidR="00B0502C">
        <w:rPr>
          <w:rFonts w:eastAsiaTheme="majorEastAsia" w:cstheme="majorBidi"/>
        </w:rPr>
        <w:t>. In total, there were</w:t>
      </w:r>
      <w:r w:rsidR="00370BF1">
        <w:rPr>
          <w:rFonts w:eastAsiaTheme="majorEastAsia" w:cstheme="majorBidi"/>
        </w:rPr>
        <w:t xml:space="preserve"> </w:t>
      </w:r>
      <w:r w:rsidR="008842B3">
        <w:rPr>
          <w:rFonts w:eastAsiaTheme="majorEastAsia" w:cstheme="majorBidi"/>
        </w:rPr>
        <w:t>2</w:t>
      </w:r>
      <w:r w:rsidR="00370BF1">
        <w:rPr>
          <w:rFonts w:eastAsiaTheme="majorEastAsia" w:cstheme="majorBidi"/>
        </w:rPr>
        <w:t>,6</w:t>
      </w:r>
      <w:r w:rsidR="008842B3">
        <w:rPr>
          <w:rFonts w:eastAsiaTheme="majorEastAsia" w:cstheme="majorBidi"/>
        </w:rPr>
        <w:t>7</w:t>
      </w:r>
      <w:r w:rsidR="00370BF1">
        <w:rPr>
          <w:rFonts w:eastAsiaTheme="majorEastAsia" w:cstheme="majorBidi"/>
        </w:rPr>
        <w:t>1</w:t>
      </w:r>
      <w:r w:rsidR="00B0502C">
        <w:rPr>
          <w:rFonts w:eastAsiaTheme="majorEastAsia" w:cstheme="majorBidi"/>
        </w:rPr>
        <w:t xml:space="preserve"> </w:t>
      </w:r>
      <w:r w:rsidR="005232A7">
        <w:rPr>
          <w:rFonts w:eastAsiaTheme="majorEastAsia" w:cstheme="majorBidi"/>
        </w:rPr>
        <w:t xml:space="preserve">KRAS positive </w:t>
      </w:r>
      <w:r w:rsidR="00B0502C">
        <w:rPr>
          <w:rFonts w:eastAsiaTheme="majorEastAsia" w:cstheme="majorBidi"/>
        </w:rPr>
        <w:t>samples</w:t>
      </w:r>
      <w:r w:rsidR="00907D70">
        <w:rPr>
          <w:rFonts w:eastAsiaTheme="majorEastAsia" w:cstheme="majorBidi"/>
        </w:rPr>
        <w:t xml:space="preserve"> </w:t>
      </w:r>
      <w:r w:rsidR="00864492">
        <w:rPr>
          <w:rFonts w:eastAsiaTheme="majorEastAsia" w:cstheme="majorBidi"/>
        </w:rPr>
        <w:t xml:space="preserve">from </w:t>
      </w:r>
      <w:proofErr w:type="spellStart"/>
      <w:r w:rsidR="00864492">
        <w:rPr>
          <w:rFonts w:eastAsiaTheme="majorEastAsia" w:cstheme="majorBidi"/>
        </w:rPr>
        <w:t>cBioPortal</w:t>
      </w:r>
      <w:proofErr w:type="spellEnd"/>
      <w:r w:rsidR="00864492">
        <w:rPr>
          <w:rFonts w:eastAsiaTheme="majorEastAsia" w:cstheme="majorBidi"/>
        </w:rPr>
        <w:t xml:space="preserve"> and we </w:t>
      </w:r>
      <w:r w:rsidR="00866C55">
        <w:rPr>
          <w:rFonts w:eastAsiaTheme="majorEastAsia" w:cstheme="majorBidi"/>
        </w:rPr>
        <w:t xml:space="preserve">compared with </w:t>
      </w:r>
      <w:r w:rsidR="00864492">
        <w:rPr>
          <w:rFonts w:eastAsiaTheme="majorEastAsia" w:cstheme="majorBidi"/>
        </w:rPr>
        <w:t xml:space="preserve">the coverage of </w:t>
      </w:r>
      <w:r w:rsidR="001A64E5">
        <w:rPr>
          <w:rFonts w:eastAsiaTheme="majorEastAsia" w:cstheme="majorBidi"/>
        </w:rPr>
        <w:t>61</w:t>
      </w:r>
      <w:r w:rsidR="00866C55">
        <w:rPr>
          <w:rFonts w:eastAsiaTheme="majorEastAsia" w:cstheme="majorBidi"/>
        </w:rPr>
        <w:t xml:space="preserve"> KRAS positive EXaCT-2 samples.</w:t>
      </w:r>
    </w:p>
    <w:p w14:paraId="20023A76" w14:textId="77777777" w:rsidR="00461418" w:rsidRPr="007C3803" w:rsidRDefault="00461418" w:rsidP="00226F2F">
      <w:pPr>
        <w:rPr>
          <w:rFonts w:eastAsiaTheme="majorEastAsia" w:cstheme="majorBidi"/>
        </w:rPr>
      </w:pPr>
    </w:p>
    <w:p w14:paraId="108988A7" w14:textId="77777777" w:rsidR="00461418" w:rsidRPr="007C3803" w:rsidRDefault="00461418" w:rsidP="00226F2F">
      <w:pPr>
        <w:pStyle w:val="Heading3"/>
      </w:pPr>
      <w:r w:rsidRPr="007C3803">
        <w:t>Customization for complex genomic regions</w:t>
      </w:r>
    </w:p>
    <w:p w14:paraId="074C2299" w14:textId="77777777" w:rsidR="00461418" w:rsidRPr="007C3803" w:rsidRDefault="00461418" w:rsidP="00226F2F">
      <w:pPr>
        <w:pStyle w:val="Heading4"/>
        <w:jc w:val="left"/>
        <w:rPr>
          <w:rFonts w:eastAsia="Calibri"/>
        </w:rPr>
      </w:pPr>
      <w:r w:rsidRPr="007C3803">
        <w:rPr>
          <w:rFonts w:eastAsia="Calibri"/>
        </w:rPr>
        <w:t>Regions with high GC content</w:t>
      </w:r>
    </w:p>
    <w:p w14:paraId="0ED7F657" w14:textId="6645823F" w:rsidR="00461418" w:rsidRPr="007C3803" w:rsidRDefault="00461418" w:rsidP="00226F2F">
      <w:pPr>
        <w:rPr>
          <w:rFonts w:eastAsia="Segoe UI" w:cs="Segoe UI"/>
        </w:rPr>
      </w:pPr>
      <w:r w:rsidRPr="007C3803">
        <w:rPr>
          <w:rFonts w:eastAsia="Calibri" w:cs="Calibri"/>
          <w:color w:val="000000" w:themeColor="text1"/>
        </w:rPr>
        <w:t>EXaCT-2 is also purposefully designed and can be tailored to achieve enhanced coverage in challenging genes that pose difficulties for various reasons. One of the potential problematic regions includes those with high GC content, such as in the case of the CEBPA gene. EXaCT-2 addresses this challenge by incorporating additional probes to cover these regions with significantly higher coverage compared to EXaCT-1. To demonstrate and substantiate this claim, we investigated the same region with high GC content (&gt;= 80%) in the Integrative Genomics Viewer (IGV)</w:t>
      </w:r>
      <w:r>
        <w:rPr>
          <w:rFonts w:eastAsia="Calibri" w:cs="Calibri"/>
          <w:color w:val="000000" w:themeColor="text1"/>
        </w:rPr>
        <w:t xml:space="preserve"> </w:t>
      </w:r>
      <w:r>
        <w:rPr>
          <w:rFonts w:eastAsia="Calibri" w:cs="Calibri"/>
          <w:color w:val="000000" w:themeColor="text1"/>
        </w:rPr>
        <w:fldChar w:fldCharType="begin"/>
      </w:r>
      <w:r w:rsidR="003A44DF">
        <w:rPr>
          <w:rFonts w:eastAsia="Calibri" w:cs="Calibri"/>
          <w:color w:val="000000" w:themeColor="text1"/>
        </w:rPr>
        <w:instrText xml:space="preserve"> ADDIN ZOTERO_ITEM CSL_CITATION {"citationID":"bpQOl1ZH","properties":{"formattedCitation":"\\super 28\\nosupersub{}","plainCitation":"28","noteIndex":0},"citationItems":[{"id":189,"uris":["http://zotero.org/users/local/wIF2fIsu/items/Q637JXRA"],"itemData":{"id":189,"type":"article-journal","container-title":"Nature biotechnology","DOI":"10.1038/nbt.1754","ISSN":"1087-0156","issue":"1","journalAbbreviation":"Nat Biotechnol","note":"PMID: 21221095\nPMCID: PMC3346182","page":"24-26","source":"PubMed Central","title":"Integrative Genomics Viewer","volume":"29","author":[{"family":"Robinson","given":"James T."},{"family":"Thorvaldsdóttir","given":"Helga"},{"family":"Winckler","given":"Wendy"},{"family":"Guttman","given":"Mitchell"},{"family":"Lander","given":"Eric S."},{"family":"Getz","given":"Gad"},{"family":"Mesirov","given":"Jill P."}],"issued":{"date-parts":[["2011",1]]}}}],"schema":"https://github.com/citation-style-language/schema/raw/master/csl-citation.json"} </w:instrText>
      </w:r>
      <w:r>
        <w:rPr>
          <w:rFonts w:eastAsia="Calibri" w:cs="Calibri"/>
          <w:color w:val="000000" w:themeColor="text1"/>
        </w:rPr>
        <w:fldChar w:fldCharType="separate"/>
      </w:r>
      <w:r w:rsidR="003A44DF" w:rsidRPr="003A44DF">
        <w:rPr>
          <w:rFonts w:ascii="Cambria" w:hAnsi="Cambria" w:cs="Times New Roman"/>
          <w:vertAlign w:val="superscript"/>
        </w:rPr>
        <w:t>28</w:t>
      </w:r>
      <w:r>
        <w:rPr>
          <w:rFonts w:eastAsia="Calibri" w:cs="Calibri"/>
          <w:color w:val="000000" w:themeColor="text1"/>
        </w:rPr>
        <w:fldChar w:fldCharType="end"/>
      </w:r>
      <w:r w:rsidRPr="007C3803">
        <w:rPr>
          <w:rFonts w:eastAsia="Calibri" w:cs="Calibri"/>
          <w:color w:val="000000" w:themeColor="text1"/>
        </w:rPr>
        <w:t xml:space="preserve"> and compared the read counts in a sample from EXaCT-2 with a sample from EXaCT-1 within that region.</w:t>
      </w:r>
    </w:p>
    <w:p w14:paraId="0E122846" w14:textId="77777777" w:rsidR="00461418" w:rsidRPr="007C3803" w:rsidRDefault="00461418" w:rsidP="00226F2F">
      <w:pPr>
        <w:rPr>
          <w:rFonts w:eastAsia="Calibri" w:cs="Calibri"/>
        </w:rPr>
      </w:pPr>
    </w:p>
    <w:p w14:paraId="699FAF8A" w14:textId="77777777" w:rsidR="00461418" w:rsidRPr="007C3803" w:rsidRDefault="00461418" w:rsidP="00226F2F">
      <w:pPr>
        <w:pStyle w:val="Heading3"/>
        <w:rPr>
          <w:b/>
        </w:rPr>
      </w:pPr>
      <w:bookmarkStart w:id="8" w:name="_Toc161332040"/>
      <w:r w:rsidRPr="007C3803">
        <w:t xml:space="preserve">Total Mutation Burden </w:t>
      </w:r>
      <w:r>
        <w:t>(</w:t>
      </w:r>
      <w:r w:rsidRPr="000940FD">
        <w:t>TMB</w:t>
      </w:r>
      <w:r>
        <w:t>) estimation</w:t>
      </w:r>
      <w:bookmarkEnd w:id="8"/>
    </w:p>
    <w:p w14:paraId="2E1E1E1F" w14:textId="77777777" w:rsidR="00461418" w:rsidRPr="007C3803" w:rsidRDefault="00461418" w:rsidP="00226F2F">
      <w:pPr>
        <w:spacing w:after="300"/>
        <w:rPr>
          <w:rFonts w:eastAsiaTheme="majorEastAsia" w:cstheme="majorBidi"/>
          <w:color w:val="000000" w:themeColor="text1"/>
        </w:rPr>
      </w:pPr>
      <w:r w:rsidRPr="007C3803">
        <w:rPr>
          <w:rFonts w:eastAsiaTheme="majorEastAsia" w:cstheme="majorBidi"/>
          <w:color w:val="000000" w:themeColor="text1"/>
        </w:rPr>
        <w:t xml:space="preserve">The calculation of TMB involves dividing the total count of mutation events by the number of bases per million in the specified coding regions of EXaCT-2. This process specifically considers certain SNVs and Indels, following predefined filters. Only mutations falling into variant classes, including Frameshift Insertions/Deletions, </w:t>
      </w:r>
      <w:proofErr w:type="spellStart"/>
      <w:r w:rsidRPr="007C3803">
        <w:rPr>
          <w:rFonts w:eastAsiaTheme="majorEastAsia" w:cstheme="majorBidi"/>
          <w:color w:val="000000" w:themeColor="text1"/>
        </w:rPr>
        <w:t>Inframe</w:t>
      </w:r>
      <w:proofErr w:type="spellEnd"/>
      <w:r w:rsidRPr="007C3803">
        <w:rPr>
          <w:rFonts w:eastAsiaTheme="majorEastAsia" w:cstheme="majorBidi"/>
          <w:color w:val="000000" w:themeColor="text1"/>
        </w:rPr>
        <w:t xml:space="preserve"> Insertions/Deletions, Start and Stop codon Mutations, Splice-Site Mutations, Missense mutations, Splice mutations, Non-Coding, and Synonymous Mutations, are considered.</w:t>
      </w:r>
    </w:p>
    <w:p w14:paraId="54764EB2" w14:textId="77777777" w:rsidR="00461418" w:rsidRPr="007C3803" w:rsidRDefault="00461418" w:rsidP="00226F2F">
      <w:pPr>
        <w:spacing w:after="300"/>
        <w:rPr>
          <w:rFonts w:eastAsiaTheme="majorEastAsia" w:cstheme="majorBidi"/>
          <w:color w:val="000000" w:themeColor="text1"/>
        </w:rPr>
      </w:pPr>
      <w:r w:rsidRPr="007C3803">
        <w:rPr>
          <w:rFonts w:eastAsiaTheme="majorEastAsia" w:cstheme="majorBidi"/>
          <w:color w:val="000000" w:themeColor="text1"/>
        </w:rPr>
        <w:t>Moreover, these mutations are subjected to additional filters, requiring Tumor Total Depth &gt;= 30, Control Total Depth &gt;= 30 and Tumor VAF &gt;= 0.1. Furthermore, Genome Aggregation Database (</w:t>
      </w:r>
      <w:proofErr w:type="spellStart"/>
      <w:r w:rsidRPr="007C3803">
        <w:rPr>
          <w:rFonts w:eastAsiaTheme="majorEastAsia" w:cstheme="majorBidi"/>
          <w:color w:val="000000" w:themeColor="text1"/>
        </w:rPr>
        <w:t>gnomAD</w:t>
      </w:r>
      <w:proofErr w:type="spellEnd"/>
      <w:r w:rsidRPr="007C3803">
        <w:rPr>
          <w:rFonts w:eastAsiaTheme="majorEastAsia" w:cstheme="majorBidi"/>
          <w:color w:val="000000" w:themeColor="text1"/>
        </w:rPr>
        <w:t>) Allele Frequency &lt;= 0.01, and Trans-Omics for Precision Medicine (</w:t>
      </w:r>
      <w:proofErr w:type="spellStart"/>
      <w:r w:rsidRPr="007C3803">
        <w:rPr>
          <w:rFonts w:eastAsiaTheme="majorEastAsia" w:cstheme="majorBidi"/>
          <w:color w:val="000000" w:themeColor="text1"/>
        </w:rPr>
        <w:t>topmed</w:t>
      </w:r>
      <w:proofErr w:type="spellEnd"/>
      <w:r w:rsidRPr="007C3803">
        <w:rPr>
          <w:rFonts w:eastAsiaTheme="majorEastAsia" w:cstheme="majorBidi"/>
          <w:color w:val="000000" w:themeColor="text1"/>
        </w:rPr>
        <w:t xml:space="preserve">) Allele Frequency &lt;=0.01, ensuring the exclusive inclusion of rare variants. Additionally, variants must have proper HGVSP and HGVSC notations. Genes and variants identified as artifacts, based on a predefined list, are also excluded from the analysis. </w:t>
      </w:r>
    </w:p>
    <w:p w14:paraId="59B5EEC9" w14:textId="77777777" w:rsidR="00461418" w:rsidRPr="007C3803" w:rsidRDefault="00461418" w:rsidP="00226F2F">
      <w:pPr>
        <w:rPr>
          <w:rFonts w:eastAsiaTheme="majorEastAsia" w:cstheme="majorBidi"/>
          <w:color w:val="000000" w:themeColor="text1"/>
        </w:rPr>
      </w:pPr>
    </w:p>
    <w:p w14:paraId="339672FB" w14:textId="77777777" w:rsidR="00461418" w:rsidRPr="00D9153D" w:rsidRDefault="00461418" w:rsidP="00226F2F">
      <w:pPr>
        <w:pStyle w:val="Heading3"/>
      </w:pPr>
      <w:bookmarkStart w:id="9" w:name="_Toc161332041"/>
      <w:r w:rsidRPr="00D9153D">
        <w:t>Microsatellite Instability (MSI) Detection</w:t>
      </w:r>
      <w:bookmarkEnd w:id="9"/>
    </w:p>
    <w:p w14:paraId="2DC5D87B" w14:textId="46F7A89F" w:rsidR="00461418" w:rsidRPr="007C3803" w:rsidRDefault="00461418" w:rsidP="00226F2F">
      <w:pPr>
        <w:rPr>
          <w:rFonts w:eastAsiaTheme="majorEastAsia" w:cstheme="majorBidi"/>
          <w:color w:val="000000" w:themeColor="text1"/>
        </w:rPr>
      </w:pPr>
      <w:r w:rsidRPr="007C3803">
        <w:rPr>
          <w:rFonts w:eastAsiaTheme="majorEastAsia" w:cstheme="majorBidi"/>
          <w:color w:val="000000" w:themeColor="text1"/>
        </w:rPr>
        <w:t xml:space="preserve">MSI serves as a predictive and prognostic biomarker indicating DNA mismatch repair deficiency, a condition frequently observed in cancer. Here, </w:t>
      </w:r>
      <w:proofErr w:type="spellStart"/>
      <w:r>
        <w:rPr>
          <w:rFonts w:eastAsiaTheme="majorEastAsia" w:cstheme="majorBidi"/>
          <w:color w:val="000000" w:themeColor="text1"/>
        </w:rPr>
        <w:t>MSISensor</w:t>
      </w:r>
      <w:proofErr w:type="spellEnd"/>
      <w:r>
        <w:rPr>
          <w:rFonts w:eastAsiaTheme="majorEastAsia" w:cstheme="majorBidi"/>
          <w:color w:val="000000" w:themeColor="text1"/>
        </w:rPr>
        <w:t xml:space="preserve">-Pro </w:t>
      </w:r>
      <w:r>
        <w:rPr>
          <w:rFonts w:eastAsiaTheme="majorEastAsia" w:cstheme="majorBidi"/>
          <w:color w:val="000000" w:themeColor="text1"/>
        </w:rPr>
        <w:fldChar w:fldCharType="begin"/>
      </w:r>
      <w:r w:rsidR="003A44DF">
        <w:rPr>
          <w:rFonts w:eastAsiaTheme="majorEastAsia" w:cstheme="majorBidi"/>
          <w:color w:val="000000" w:themeColor="text1"/>
        </w:rPr>
        <w:instrText xml:space="preserve"> ADDIN ZOTERO_ITEM CSL_CITATION {"citationID":"WP0sJnDi","properties":{"formattedCitation":"\\super 16,29\\nosupersub{}","plainCitation":"16,29","noteIndex":0},"citationItems":[{"id":"2zr4zOqQ/nQ7O0a4k","uris":["http://zotero.org/users/5978509/items/ZXAGNAVE"],"itemData":{"id":1298018,"type":"article-journal","abstract":"Motivation: Microsatellite instability (MSI) is an important indicator of larger genome instability and has been linked to many genetic diseases, including Lynch syndrome. MSI status is also an independent prognostic factor for favorable survival in multiple cancer types, such as colorectal and endometrial. It also informs the choice of chemotherapeutic agents. However, the current PCR–electrophoresis-based detection procedure is laborious and time-consuming, often requiring visual inspection to categorize samples. We developed MSIsensor, a C++ program for automatically detecting somatic microsatellite changes. It computes length distributions of microsatellites per site in paired tumor and normal sequence data, subsequently using these to statistically compare observed distributions in both samples. Comprehensive testing indicates MSIsensor is an efficient and effective tool for deriving MSI status from standard tumor-normal paired sequence data.Availability and implementation:  https://github.com/ding-lab/msisensorContact:  kye@genome.wustl.edu or lding@genome.wustl.eduSupplementary information:  Supplementary data are available at Bioinformatics online.","container-title":"Bioinformatics","DOI":"10.1093/bioinformatics/btt755","ISSN":"1367-4803","issue":"7","journalAbbreviation":"Bioinformatics","page":"1015-1016","source":"Silverchair","title":"MSIsensor: microsatellite instability detection using paired tumor-normal sequence data","title-short":"MSIsensor","volume":"30","author":[{"family":"Niu","given":"Beifang"},{"family":"Ye","given":"Kai"},{"family":"Zhang","given":"Qunyuan"},{"family":"Lu","given":"Charles"},{"family":"Xie","given":"Mingchao"},{"family":"McLellan","given":"Michael D."},{"family":"Wendl","given":"Michael C."},{"family":"Ding","given":"Li"}],"issued":{"date-parts":[["2014",4,1]]}}},{"id":111,"uris":["http://zotero.org/users/local/wIF2fIsu/items/DEJPUDJD"],"itemData":{"id":111,"type":"article-journal","abstract":"Microsatellite instability (MSI) is a key biomarker for cancer therapy and prognosis. Traditional experimental assays are laborious and time-consuming, and next-generation sequencing-based computational methods do not work on leukemia samples, paraffin-embedded samples, or patient-derived xenografts/organoids, due to the requirement of matched normal samples. Herein, we developed MSIsensor-pro, an open-source single sample MSI scoring method for research and clinical applications. MSIsensor-pro introduces a multinomial distribution model to quantify polymerase slippages for each tumor sample and a discriminative site selection method to enable MSI detection without matched normal samples. We demonstrate that MSIsensor-pro is an ultrafast, accurate, and robust MSI calling method. Using samples with various sequencing depths and tumor purities, MSIsensor-pro significantly outperformed the current leading methods in both accuracy and computational cost. MSIsensor-pro is available at https://github.com/xjtu-omics/msisensor-pro and free for non-commercial use, while a commercial license is provided upon request.","container-title":"Genomics, Proteomics &amp; Bioinformatics","DOI":"10.1016/j.gpb.2020.02.001","ISSN":"1672-0229","issue":"1","journalAbbreviation":"Genomics, Proteomics &amp; Bioinformatics","page":"65-71","source":"Silverchair","title":"MSIsensor-Pro: Fast, Accurate, and Matched-Normal-Sample-Free Detection of Microsatellite Instability","title-short":"MSIsensor-Pro","volume":"18","author":[{"family":"Jia","given":"Peng"},{"family":"Yang","given":"Xiaofei"},{"family":"Guo","given":"Li"},{"family":"Liu","given":"Bowen"},{"family":"Lin","given":"Jiadong"},{"family":"Liang","given":"Hao"},{"family":"Sun","given":"Jianyong"},{"family":"Zhang","given":"Chengsheng"},{"family":"Ye","given":"Kai"}],"issued":{"date-parts":[["2020",2,1]]}}}],"schema":"https://github.com/citation-style-language/schema/raw/master/csl-citation.json"} </w:instrText>
      </w:r>
      <w:r>
        <w:rPr>
          <w:rFonts w:eastAsiaTheme="majorEastAsia" w:cstheme="majorBidi"/>
          <w:color w:val="000000" w:themeColor="text1"/>
        </w:rPr>
        <w:fldChar w:fldCharType="separate"/>
      </w:r>
      <w:r w:rsidR="003A44DF" w:rsidRPr="003A44DF">
        <w:rPr>
          <w:rFonts w:ascii="Cambria" w:hAnsi="Cambria" w:cs="Times New Roman"/>
          <w:vertAlign w:val="superscript"/>
        </w:rPr>
        <w:t>16,29</w:t>
      </w:r>
      <w:r>
        <w:rPr>
          <w:rFonts w:eastAsiaTheme="majorEastAsia" w:cstheme="majorBidi"/>
          <w:color w:val="000000" w:themeColor="text1"/>
        </w:rPr>
        <w:fldChar w:fldCharType="end"/>
      </w:r>
      <w:r>
        <w:rPr>
          <w:rFonts w:eastAsiaTheme="majorEastAsia" w:cstheme="majorBidi"/>
          <w:color w:val="000000" w:themeColor="text1"/>
        </w:rPr>
        <w:t xml:space="preserve"> is </w:t>
      </w:r>
      <w:r w:rsidRPr="007C3803">
        <w:rPr>
          <w:rFonts w:eastAsiaTheme="majorEastAsia" w:cstheme="majorBidi"/>
          <w:color w:val="000000" w:themeColor="text1"/>
        </w:rPr>
        <w:t>used which utilizes the length distributions of microsatellites at specific loci in both the tumor and the matched-normal from the BAM files followed by statistical comparisons on the observed distributions in both the samples.</w:t>
      </w:r>
    </w:p>
    <w:p w14:paraId="1A0EC399" w14:textId="77777777" w:rsidR="00461418" w:rsidRPr="00A56F8E" w:rsidRDefault="00461418" w:rsidP="00226F2F">
      <w:pPr>
        <w:rPr>
          <w:rFonts w:eastAsiaTheme="majorEastAsia" w:cstheme="majorBidi"/>
          <w:color w:val="000000" w:themeColor="text1"/>
        </w:rPr>
      </w:pPr>
      <w:r w:rsidRPr="007C3803">
        <w:rPr>
          <w:rFonts w:eastAsiaTheme="majorEastAsia" w:cstheme="majorBidi"/>
          <w:color w:val="000000" w:themeColor="text1"/>
        </w:rPr>
        <w:t>Using the tool, it identifies the total number of sites with sufficient data (a minimum of 20 reads spanning both tumor and normal samples) and then determines the number of somatic sites. The MSI score is then computed, representing the percentage of somatic sites. According to prior literature, samples with an MSI score of &gt;= 0.4 are classified as MSI-high.</w:t>
      </w:r>
    </w:p>
    <w:p w14:paraId="42569A17" w14:textId="77777777" w:rsidR="00000C83" w:rsidRDefault="00000C83" w:rsidP="00226F2F">
      <w:pPr>
        <w:rPr>
          <w:rFonts w:asciiTheme="majorHAnsi" w:eastAsiaTheme="majorEastAsia" w:hAnsiTheme="majorHAnsi" w:cstheme="majorBidi"/>
          <w:color w:val="2F5496" w:themeColor="accent1" w:themeShade="BF"/>
          <w:sz w:val="32"/>
          <w:szCs w:val="32"/>
        </w:rPr>
      </w:pPr>
      <w:r>
        <w:br w:type="page"/>
      </w:r>
    </w:p>
    <w:p w14:paraId="3F7FD92E" w14:textId="2D7395B1" w:rsidR="00686BC2" w:rsidRPr="00686BC2" w:rsidRDefault="002C7F0B" w:rsidP="00226F2F">
      <w:pPr>
        <w:pStyle w:val="Heading1"/>
      </w:pPr>
      <w:r>
        <w:lastRenderedPageBreak/>
        <w:t>References</w:t>
      </w:r>
    </w:p>
    <w:p w14:paraId="19581854" w14:textId="77777777" w:rsidR="003A44DF" w:rsidRPr="003A44DF" w:rsidRDefault="00686BC2" w:rsidP="00226F2F">
      <w:pPr>
        <w:pStyle w:val="Bibliography"/>
        <w:rPr>
          <w:rFonts w:ascii="Calibri" w:hAnsi="Calibri" w:cs="Calibri"/>
        </w:rPr>
      </w:pPr>
      <w:r>
        <w:fldChar w:fldCharType="begin"/>
      </w:r>
      <w:r>
        <w:instrText xml:space="preserve"> ADDIN ZOTERO_BIBL {"uncited":[],"omitted":[],"custom":[]} CSL_BIBLIOGRAPHY </w:instrText>
      </w:r>
      <w:r>
        <w:fldChar w:fldCharType="separate"/>
      </w:r>
      <w:r w:rsidR="003A44DF" w:rsidRPr="003A44DF">
        <w:rPr>
          <w:rFonts w:ascii="Calibri" w:hAnsi="Calibri" w:cs="Calibri"/>
        </w:rPr>
        <w:t>1.</w:t>
      </w:r>
      <w:r w:rsidR="003A44DF" w:rsidRPr="003A44DF">
        <w:rPr>
          <w:rFonts w:ascii="Calibri" w:hAnsi="Calibri" w:cs="Calibri"/>
        </w:rPr>
        <w:tab/>
        <w:t>FusionGDB 2.0: fusion gene annotation updates aided by deep learning | Nucleic Acids Research | Oxford Academic. https://academic.oup.com/nar/article/50/D1/D1221/6424754.</w:t>
      </w:r>
    </w:p>
    <w:p w14:paraId="63AA1DF0" w14:textId="77777777" w:rsidR="003A44DF" w:rsidRPr="003A44DF" w:rsidRDefault="003A44DF" w:rsidP="00226F2F">
      <w:pPr>
        <w:pStyle w:val="Bibliography"/>
        <w:rPr>
          <w:rFonts w:ascii="Calibri" w:hAnsi="Calibri" w:cs="Calibri"/>
        </w:rPr>
      </w:pPr>
      <w:r w:rsidRPr="003A44DF">
        <w:rPr>
          <w:rFonts w:ascii="Calibri" w:hAnsi="Calibri" w:cs="Calibri"/>
        </w:rPr>
        <w:t>2.</w:t>
      </w:r>
      <w:r w:rsidRPr="003A44DF">
        <w:rPr>
          <w:rFonts w:ascii="Calibri" w:hAnsi="Calibri" w:cs="Calibri"/>
        </w:rPr>
        <w:tab/>
        <w:t xml:space="preserve">Harms, P. W. </w:t>
      </w:r>
      <w:r w:rsidRPr="003A44DF">
        <w:rPr>
          <w:rFonts w:ascii="Calibri" w:hAnsi="Calibri" w:cs="Calibri"/>
          <w:i/>
          <w:iCs/>
        </w:rPr>
        <w:t>et al.</w:t>
      </w:r>
      <w:r w:rsidRPr="003A44DF">
        <w:rPr>
          <w:rFonts w:ascii="Calibri" w:hAnsi="Calibri" w:cs="Calibri"/>
        </w:rPr>
        <w:t xml:space="preserve"> The biology and treatment of Merkel cell carcinoma: current understanding and research priorities. </w:t>
      </w:r>
      <w:r w:rsidRPr="003A44DF">
        <w:rPr>
          <w:rFonts w:ascii="Calibri" w:hAnsi="Calibri" w:cs="Calibri"/>
          <w:i/>
          <w:iCs/>
        </w:rPr>
        <w:t>Nat Rev Clin Oncol</w:t>
      </w:r>
      <w:r w:rsidRPr="003A44DF">
        <w:rPr>
          <w:rFonts w:ascii="Calibri" w:hAnsi="Calibri" w:cs="Calibri"/>
        </w:rPr>
        <w:t xml:space="preserve"> </w:t>
      </w:r>
      <w:r w:rsidRPr="003A44DF">
        <w:rPr>
          <w:rFonts w:ascii="Calibri" w:hAnsi="Calibri" w:cs="Calibri"/>
          <w:b/>
          <w:bCs/>
        </w:rPr>
        <w:t>15</w:t>
      </w:r>
      <w:r w:rsidRPr="003A44DF">
        <w:rPr>
          <w:rFonts w:ascii="Calibri" w:hAnsi="Calibri" w:cs="Calibri"/>
        </w:rPr>
        <w:t>, 763–776 (2018).</w:t>
      </w:r>
    </w:p>
    <w:p w14:paraId="104B6EB6" w14:textId="77777777" w:rsidR="003A44DF" w:rsidRPr="003A44DF" w:rsidRDefault="003A44DF" w:rsidP="00226F2F">
      <w:pPr>
        <w:pStyle w:val="Bibliography"/>
        <w:rPr>
          <w:rFonts w:ascii="Calibri" w:hAnsi="Calibri" w:cs="Calibri"/>
        </w:rPr>
      </w:pPr>
      <w:r w:rsidRPr="003A44DF">
        <w:rPr>
          <w:rFonts w:ascii="Calibri" w:hAnsi="Calibri" w:cs="Calibri"/>
        </w:rPr>
        <w:t>3.</w:t>
      </w:r>
      <w:r w:rsidRPr="003A44DF">
        <w:rPr>
          <w:rFonts w:ascii="Calibri" w:hAnsi="Calibri" w:cs="Calibri"/>
        </w:rPr>
        <w:tab/>
        <w:t xml:space="preserve">Zaggana, E. </w:t>
      </w:r>
      <w:r w:rsidRPr="003A44DF">
        <w:rPr>
          <w:rFonts w:ascii="Calibri" w:hAnsi="Calibri" w:cs="Calibri"/>
          <w:i/>
          <w:iCs/>
        </w:rPr>
        <w:t>et al.</w:t>
      </w:r>
      <w:r w:rsidRPr="003A44DF">
        <w:rPr>
          <w:rFonts w:ascii="Calibri" w:hAnsi="Calibri" w:cs="Calibri"/>
        </w:rPr>
        <w:t xml:space="preserve"> Merkel Cell Carcinoma—Update on Diagnosis, Management and Future Perspectives. </w:t>
      </w:r>
      <w:r w:rsidRPr="003A44DF">
        <w:rPr>
          <w:rFonts w:ascii="Calibri" w:hAnsi="Calibri" w:cs="Calibri"/>
          <w:i/>
          <w:iCs/>
        </w:rPr>
        <w:t>Cancers (Basel)</w:t>
      </w:r>
      <w:r w:rsidRPr="003A44DF">
        <w:rPr>
          <w:rFonts w:ascii="Calibri" w:hAnsi="Calibri" w:cs="Calibri"/>
        </w:rPr>
        <w:t xml:space="preserve"> </w:t>
      </w:r>
      <w:r w:rsidRPr="003A44DF">
        <w:rPr>
          <w:rFonts w:ascii="Calibri" w:hAnsi="Calibri" w:cs="Calibri"/>
          <w:b/>
          <w:bCs/>
        </w:rPr>
        <w:t>15</w:t>
      </w:r>
      <w:r w:rsidRPr="003A44DF">
        <w:rPr>
          <w:rFonts w:ascii="Calibri" w:hAnsi="Calibri" w:cs="Calibri"/>
        </w:rPr>
        <w:t>, 103 (2022).</w:t>
      </w:r>
    </w:p>
    <w:p w14:paraId="38E2EC86" w14:textId="77777777" w:rsidR="003A44DF" w:rsidRPr="003A44DF" w:rsidRDefault="003A44DF" w:rsidP="00226F2F">
      <w:pPr>
        <w:pStyle w:val="Bibliography"/>
        <w:rPr>
          <w:rFonts w:ascii="Calibri" w:hAnsi="Calibri" w:cs="Calibri"/>
        </w:rPr>
      </w:pPr>
      <w:r w:rsidRPr="003A44DF">
        <w:rPr>
          <w:rFonts w:ascii="Calibri" w:hAnsi="Calibri" w:cs="Calibri"/>
        </w:rPr>
        <w:t>4.</w:t>
      </w:r>
      <w:r w:rsidRPr="003A44DF">
        <w:rPr>
          <w:rFonts w:ascii="Calibri" w:hAnsi="Calibri" w:cs="Calibri"/>
        </w:rPr>
        <w:tab/>
        <w:t xml:space="preserve">Paulson, K. G. </w:t>
      </w:r>
      <w:r w:rsidRPr="003A44DF">
        <w:rPr>
          <w:rFonts w:ascii="Calibri" w:hAnsi="Calibri" w:cs="Calibri"/>
          <w:i/>
          <w:iCs/>
        </w:rPr>
        <w:t>et al.</w:t>
      </w:r>
      <w:r w:rsidRPr="003A44DF">
        <w:rPr>
          <w:rFonts w:ascii="Calibri" w:hAnsi="Calibri" w:cs="Calibri"/>
        </w:rPr>
        <w:t xml:space="preserve"> Viral oncoprotein antibodies as a marker for recurrence of Merkel cell carcinoma: A prospective validation study. </w:t>
      </w:r>
      <w:r w:rsidRPr="003A44DF">
        <w:rPr>
          <w:rFonts w:ascii="Calibri" w:hAnsi="Calibri" w:cs="Calibri"/>
          <w:i/>
          <w:iCs/>
        </w:rPr>
        <w:t>Cancer</w:t>
      </w:r>
      <w:r w:rsidRPr="003A44DF">
        <w:rPr>
          <w:rFonts w:ascii="Calibri" w:hAnsi="Calibri" w:cs="Calibri"/>
        </w:rPr>
        <w:t xml:space="preserve"> </w:t>
      </w:r>
      <w:r w:rsidRPr="003A44DF">
        <w:rPr>
          <w:rFonts w:ascii="Calibri" w:hAnsi="Calibri" w:cs="Calibri"/>
          <w:b/>
          <w:bCs/>
        </w:rPr>
        <w:t>123</w:t>
      </w:r>
      <w:r w:rsidRPr="003A44DF">
        <w:rPr>
          <w:rFonts w:ascii="Calibri" w:hAnsi="Calibri" w:cs="Calibri"/>
        </w:rPr>
        <w:t>, 1464–1474 (2017).</w:t>
      </w:r>
    </w:p>
    <w:p w14:paraId="74989131" w14:textId="77777777" w:rsidR="003A44DF" w:rsidRPr="003A44DF" w:rsidRDefault="003A44DF" w:rsidP="00226F2F">
      <w:pPr>
        <w:pStyle w:val="Bibliography"/>
        <w:rPr>
          <w:rFonts w:ascii="Calibri" w:hAnsi="Calibri" w:cs="Calibri"/>
        </w:rPr>
      </w:pPr>
      <w:r w:rsidRPr="003A44DF">
        <w:rPr>
          <w:rFonts w:ascii="Calibri" w:hAnsi="Calibri" w:cs="Calibri"/>
        </w:rPr>
        <w:t>5.</w:t>
      </w:r>
      <w:r w:rsidRPr="003A44DF">
        <w:rPr>
          <w:rFonts w:ascii="Calibri" w:hAnsi="Calibri" w:cs="Calibri"/>
        </w:rPr>
        <w:tab/>
        <w:t xml:space="preserve">Takakuwa, T. </w:t>
      </w:r>
      <w:r w:rsidRPr="003A44DF">
        <w:rPr>
          <w:rFonts w:ascii="Calibri" w:hAnsi="Calibri" w:cs="Calibri"/>
          <w:i/>
          <w:iCs/>
        </w:rPr>
        <w:t>et al.</w:t>
      </w:r>
      <w:r w:rsidRPr="003A44DF">
        <w:rPr>
          <w:rFonts w:ascii="Calibri" w:hAnsi="Calibri" w:cs="Calibri"/>
        </w:rPr>
        <w:t xml:space="preserve"> Integration of Epstein-Barr Virus into Chromosome 6q15 of Burkitt Lymphoma Cell Line (Raji) Induces Loss of BACH2 Expression. </w:t>
      </w:r>
      <w:r w:rsidRPr="003A44DF">
        <w:rPr>
          <w:rFonts w:ascii="Calibri" w:hAnsi="Calibri" w:cs="Calibri"/>
          <w:i/>
          <w:iCs/>
        </w:rPr>
        <w:t>Am J Pathol</w:t>
      </w:r>
      <w:r w:rsidRPr="003A44DF">
        <w:rPr>
          <w:rFonts w:ascii="Calibri" w:hAnsi="Calibri" w:cs="Calibri"/>
        </w:rPr>
        <w:t xml:space="preserve"> </w:t>
      </w:r>
      <w:r w:rsidRPr="003A44DF">
        <w:rPr>
          <w:rFonts w:ascii="Calibri" w:hAnsi="Calibri" w:cs="Calibri"/>
          <w:b/>
          <w:bCs/>
        </w:rPr>
        <w:t>164</w:t>
      </w:r>
      <w:r w:rsidRPr="003A44DF">
        <w:rPr>
          <w:rFonts w:ascii="Calibri" w:hAnsi="Calibri" w:cs="Calibri"/>
        </w:rPr>
        <w:t>, 967–974 (2004).</w:t>
      </w:r>
    </w:p>
    <w:p w14:paraId="1C06EDB4" w14:textId="77777777" w:rsidR="003A44DF" w:rsidRPr="003A44DF" w:rsidRDefault="003A44DF" w:rsidP="00226F2F">
      <w:pPr>
        <w:pStyle w:val="Bibliography"/>
        <w:rPr>
          <w:rFonts w:ascii="Calibri" w:hAnsi="Calibri" w:cs="Calibri"/>
        </w:rPr>
      </w:pPr>
      <w:r w:rsidRPr="003A44DF">
        <w:rPr>
          <w:rFonts w:ascii="Calibri" w:hAnsi="Calibri" w:cs="Calibri"/>
        </w:rPr>
        <w:t>6.</w:t>
      </w:r>
      <w:r w:rsidRPr="003A44DF">
        <w:rPr>
          <w:rFonts w:ascii="Calibri" w:hAnsi="Calibri" w:cs="Calibri"/>
        </w:rPr>
        <w:tab/>
        <w:t xml:space="preserve">Reisinger, J., Rumpler, S., Lion, T. &amp; Ambros, P. F. Visualization of episomal and integrated Epstein-Barr virus DNA by fiber fluorescence in situ hybridization. </w:t>
      </w:r>
      <w:r w:rsidRPr="003A44DF">
        <w:rPr>
          <w:rFonts w:ascii="Calibri" w:hAnsi="Calibri" w:cs="Calibri"/>
          <w:i/>
          <w:iCs/>
        </w:rPr>
        <w:t>Int J Cancer</w:t>
      </w:r>
      <w:r w:rsidRPr="003A44DF">
        <w:rPr>
          <w:rFonts w:ascii="Calibri" w:hAnsi="Calibri" w:cs="Calibri"/>
        </w:rPr>
        <w:t xml:space="preserve"> </w:t>
      </w:r>
      <w:r w:rsidRPr="003A44DF">
        <w:rPr>
          <w:rFonts w:ascii="Calibri" w:hAnsi="Calibri" w:cs="Calibri"/>
          <w:b/>
          <w:bCs/>
        </w:rPr>
        <w:t>118</w:t>
      </w:r>
      <w:r w:rsidRPr="003A44DF">
        <w:rPr>
          <w:rFonts w:ascii="Calibri" w:hAnsi="Calibri" w:cs="Calibri"/>
        </w:rPr>
        <w:t>, 1603–1608 (2006).</w:t>
      </w:r>
    </w:p>
    <w:p w14:paraId="50D9D141" w14:textId="77777777" w:rsidR="003A44DF" w:rsidRPr="003A44DF" w:rsidRDefault="003A44DF" w:rsidP="00226F2F">
      <w:pPr>
        <w:pStyle w:val="Bibliography"/>
        <w:rPr>
          <w:rFonts w:ascii="Calibri" w:hAnsi="Calibri" w:cs="Calibri"/>
        </w:rPr>
      </w:pPr>
      <w:r w:rsidRPr="003A44DF">
        <w:rPr>
          <w:rFonts w:ascii="Calibri" w:hAnsi="Calibri" w:cs="Calibri"/>
        </w:rPr>
        <w:t>7.</w:t>
      </w:r>
      <w:r w:rsidRPr="003A44DF">
        <w:rPr>
          <w:rFonts w:ascii="Calibri" w:hAnsi="Calibri" w:cs="Calibri"/>
        </w:rPr>
        <w:tab/>
        <w:t xml:space="preserve">Morissette, G. &amp; Flamand, L. Herpesviruses and Chromosomal Integration. </w:t>
      </w:r>
      <w:r w:rsidRPr="003A44DF">
        <w:rPr>
          <w:rFonts w:ascii="Calibri" w:hAnsi="Calibri" w:cs="Calibri"/>
          <w:i/>
          <w:iCs/>
        </w:rPr>
        <w:t>J Virol</w:t>
      </w:r>
      <w:r w:rsidRPr="003A44DF">
        <w:rPr>
          <w:rFonts w:ascii="Calibri" w:hAnsi="Calibri" w:cs="Calibri"/>
        </w:rPr>
        <w:t xml:space="preserve"> </w:t>
      </w:r>
      <w:r w:rsidRPr="003A44DF">
        <w:rPr>
          <w:rFonts w:ascii="Calibri" w:hAnsi="Calibri" w:cs="Calibri"/>
          <w:b/>
          <w:bCs/>
        </w:rPr>
        <w:t>84</w:t>
      </w:r>
      <w:r w:rsidRPr="003A44DF">
        <w:rPr>
          <w:rFonts w:ascii="Calibri" w:hAnsi="Calibri" w:cs="Calibri"/>
        </w:rPr>
        <w:t>, 12100–12109 (2010).</w:t>
      </w:r>
    </w:p>
    <w:p w14:paraId="4F3D93AA" w14:textId="77777777" w:rsidR="003A44DF" w:rsidRPr="003A44DF" w:rsidRDefault="003A44DF" w:rsidP="00226F2F">
      <w:pPr>
        <w:pStyle w:val="Bibliography"/>
        <w:rPr>
          <w:rFonts w:ascii="Calibri" w:hAnsi="Calibri" w:cs="Calibri"/>
        </w:rPr>
      </w:pPr>
      <w:r w:rsidRPr="003A44DF">
        <w:rPr>
          <w:rFonts w:ascii="Calibri" w:hAnsi="Calibri" w:cs="Calibri"/>
        </w:rPr>
        <w:t>8.</w:t>
      </w:r>
      <w:r w:rsidRPr="003A44DF">
        <w:rPr>
          <w:rFonts w:ascii="Calibri" w:hAnsi="Calibri" w:cs="Calibri"/>
        </w:rPr>
        <w:tab/>
        <w:t xml:space="preserve">Hoadley, K. A. </w:t>
      </w:r>
      <w:r w:rsidRPr="003A44DF">
        <w:rPr>
          <w:rFonts w:ascii="Calibri" w:hAnsi="Calibri" w:cs="Calibri"/>
          <w:i/>
          <w:iCs/>
        </w:rPr>
        <w:t>et al.</w:t>
      </w:r>
      <w:r w:rsidRPr="003A44DF">
        <w:rPr>
          <w:rFonts w:ascii="Calibri" w:hAnsi="Calibri" w:cs="Calibri"/>
        </w:rPr>
        <w:t xml:space="preserve"> Multiplatform analysis of 12 cancer types reveals molecular classification within and across tissues of origin. </w:t>
      </w:r>
      <w:r w:rsidRPr="003A44DF">
        <w:rPr>
          <w:rFonts w:ascii="Calibri" w:hAnsi="Calibri" w:cs="Calibri"/>
          <w:i/>
          <w:iCs/>
        </w:rPr>
        <w:t>Cell</w:t>
      </w:r>
      <w:r w:rsidRPr="003A44DF">
        <w:rPr>
          <w:rFonts w:ascii="Calibri" w:hAnsi="Calibri" w:cs="Calibri"/>
        </w:rPr>
        <w:t xml:space="preserve"> </w:t>
      </w:r>
      <w:r w:rsidRPr="003A44DF">
        <w:rPr>
          <w:rFonts w:ascii="Calibri" w:hAnsi="Calibri" w:cs="Calibri"/>
          <w:b/>
          <w:bCs/>
        </w:rPr>
        <w:t>158</w:t>
      </w:r>
      <w:r w:rsidRPr="003A44DF">
        <w:rPr>
          <w:rFonts w:ascii="Calibri" w:hAnsi="Calibri" w:cs="Calibri"/>
        </w:rPr>
        <w:t>, 929–944 (2014).</w:t>
      </w:r>
    </w:p>
    <w:p w14:paraId="0856AD90" w14:textId="77777777" w:rsidR="003A44DF" w:rsidRPr="003A44DF" w:rsidRDefault="003A44DF" w:rsidP="00226F2F">
      <w:pPr>
        <w:pStyle w:val="Bibliography"/>
        <w:rPr>
          <w:rFonts w:ascii="Calibri" w:hAnsi="Calibri" w:cs="Calibri"/>
        </w:rPr>
      </w:pPr>
      <w:r w:rsidRPr="003A44DF">
        <w:rPr>
          <w:rFonts w:ascii="Calibri" w:hAnsi="Calibri" w:cs="Calibri"/>
        </w:rPr>
        <w:t>9.</w:t>
      </w:r>
      <w:r w:rsidRPr="003A44DF">
        <w:rPr>
          <w:rFonts w:ascii="Calibri" w:hAnsi="Calibri" w:cs="Calibri"/>
        </w:rPr>
        <w:tab/>
        <w:t xml:space="preserve">Jee, J. </w:t>
      </w:r>
      <w:r w:rsidRPr="003A44DF">
        <w:rPr>
          <w:rFonts w:ascii="Calibri" w:hAnsi="Calibri" w:cs="Calibri"/>
          <w:i/>
          <w:iCs/>
        </w:rPr>
        <w:t>et al.</w:t>
      </w:r>
      <w:r w:rsidRPr="003A44DF">
        <w:rPr>
          <w:rFonts w:ascii="Calibri" w:hAnsi="Calibri" w:cs="Calibri"/>
        </w:rPr>
        <w:t xml:space="preserve"> Automated real-world data integration improves cancer outcome prediction. </w:t>
      </w:r>
      <w:r w:rsidRPr="003A44DF">
        <w:rPr>
          <w:rFonts w:ascii="Calibri" w:hAnsi="Calibri" w:cs="Calibri"/>
          <w:i/>
          <w:iCs/>
        </w:rPr>
        <w:t>Nature</w:t>
      </w:r>
      <w:r w:rsidRPr="003A44DF">
        <w:rPr>
          <w:rFonts w:ascii="Calibri" w:hAnsi="Calibri" w:cs="Calibri"/>
        </w:rPr>
        <w:t xml:space="preserve"> </w:t>
      </w:r>
      <w:r w:rsidRPr="003A44DF">
        <w:rPr>
          <w:rFonts w:ascii="Calibri" w:hAnsi="Calibri" w:cs="Calibri"/>
          <w:b/>
          <w:bCs/>
        </w:rPr>
        <w:t>636</w:t>
      </w:r>
      <w:r w:rsidRPr="003A44DF">
        <w:rPr>
          <w:rFonts w:ascii="Calibri" w:hAnsi="Calibri" w:cs="Calibri"/>
        </w:rPr>
        <w:t>, 728–736 (2024).</w:t>
      </w:r>
    </w:p>
    <w:p w14:paraId="004D27C3" w14:textId="77777777" w:rsidR="003A44DF" w:rsidRPr="003A44DF" w:rsidRDefault="003A44DF" w:rsidP="00226F2F">
      <w:pPr>
        <w:pStyle w:val="Bibliography"/>
        <w:rPr>
          <w:rFonts w:ascii="Calibri" w:hAnsi="Calibri" w:cs="Calibri"/>
        </w:rPr>
      </w:pPr>
      <w:r w:rsidRPr="003A44DF">
        <w:rPr>
          <w:rFonts w:ascii="Calibri" w:hAnsi="Calibri" w:cs="Calibri"/>
        </w:rPr>
        <w:t>10.</w:t>
      </w:r>
      <w:r w:rsidRPr="003A44DF">
        <w:rPr>
          <w:rFonts w:ascii="Calibri" w:hAnsi="Calibri" w:cs="Calibri"/>
        </w:rPr>
        <w:tab/>
        <w:t xml:space="preserve">Zook, J. M. </w:t>
      </w:r>
      <w:r w:rsidRPr="003A44DF">
        <w:rPr>
          <w:rFonts w:ascii="Calibri" w:hAnsi="Calibri" w:cs="Calibri"/>
          <w:i/>
          <w:iCs/>
        </w:rPr>
        <w:t>et al.</w:t>
      </w:r>
      <w:r w:rsidRPr="003A44DF">
        <w:rPr>
          <w:rFonts w:ascii="Calibri" w:hAnsi="Calibri" w:cs="Calibri"/>
        </w:rPr>
        <w:t xml:space="preserve"> Extensive sequencing of seven human genomes to characterize benchmark reference materials. </w:t>
      </w:r>
      <w:r w:rsidRPr="003A44DF">
        <w:rPr>
          <w:rFonts w:ascii="Calibri" w:hAnsi="Calibri" w:cs="Calibri"/>
          <w:i/>
          <w:iCs/>
        </w:rPr>
        <w:t>Sci Data</w:t>
      </w:r>
      <w:r w:rsidRPr="003A44DF">
        <w:rPr>
          <w:rFonts w:ascii="Calibri" w:hAnsi="Calibri" w:cs="Calibri"/>
        </w:rPr>
        <w:t xml:space="preserve"> </w:t>
      </w:r>
      <w:r w:rsidRPr="003A44DF">
        <w:rPr>
          <w:rFonts w:ascii="Calibri" w:hAnsi="Calibri" w:cs="Calibri"/>
          <w:b/>
          <w:bCs/>
        </w:rPr>
        <w:t>3</w:t>
      </w:r>
      <w:r w:rsidRPr="003A44DF">
        <w:rPr>
          <w:rFonts w:ascii="Calibri" w:hAnsi="Calibri" w:cs="Calibri"/>
        </w:rPr>
        <w:t>, 160025 (2016).</w:t>
      </w:r>
    </w:p>
    <w:p w14:paraId="2AFB0B07" w14:textId="77777777" w:rsidR="003A44DF" w:rsidRPr="003A44DF" w:rsidRDefault="003A44DF" w:rsidP="00226F2F">
      <w:pPr>
        <w:pStyle w:val="Bibliography"/>
        <w:rPr>
          <w:rFonts w:ascii="Calibri" w:hAnsi="Calibri" w:cs="Calibri"/>
        </w:rPr>
      </w:pPr>
      <w:r w:rsidRPr="003A44DF">
        <w:rPr>
          <w:rFonts w:ascii="Calibri" w:hAnsi="Calibri" w:cs="Calibri"/>
        </w:rPr>
        <w:t>11.</w:t>
      </w:r>
      <w:r w:rsidRPr="003A44DF">
        <w:rPr>
          <w:rFonts w:ascii="Calibri" w:hAnsi="Calibri" w:cs="Calibri"/>
        </w:rPr>
        <w:tab/>
        <w:t xml:space="preserve">Perez, G. </w:t>
      </w:r>
      <w:r w:rsidRPr="003A44DF">
        <w:rPr>
          <w:rFonts w:ascii="Calibri" w:hAnsi="Calibri" w:cs="Calibri"/>
          <w:i/>
          <w:iCs/>
        </w:rPr>
        <w:t>et al.</w:t>
      </w:r>
      <w:r w:rsidRPr="003A44DF">
        <w:rPr>
          <w:rFonts w:ascii="Calibri" w:hAnsi="Calibri" w:cs="Calibri"/>
        </w:rPr>
        <w:t xml:space="preserve"> The UCSC Genome Browser database: 2025 update. </w:t>
      </w:r>
      <w:r w:rsidRPr="003A44DF">
        <w:rPr>
          <w:rFonts w:ascii="Calibri" w:hAnsi="Calibri" w:cs="Calibri"/>
          <w:i/>
          <w:iCs/>
        </w:rPr>
        <w:t>Nucleic Acids Research</w:t>
      </w:r>
      <w:r w:rsidRPr="003A44DF">
        <w:rPr>
          <w:rFonts w:ascii="Calibri" w:hAnsi="Calibri" w:cs="Calibri"/>
        </w:rPr>
        <w:t xml:space="preserve"> </w:t>
      </w:r>
      <w:r w:rsidRPr="003A44DF">
        <w:rPr>
          <w:rFonts w:ascii="Calibri" w:hAnsi="Calibri" w:cs="Calibri"/>
          <w:b/>
          <w:bCs/>
        </w:rPr>
        <w:t>53</w:t>
      </w:r>
      <w:r w:rsidRPr="003A44DF">
        <w:rPr>
          <w:rFonts w:ascii="Calibri" w:hAnsi="Calibri" w:cs="Calibri"/>
        </w:rPr>
        <w:t>, D1243–D1249 (2025).</w:t>
      </w:r>
    </w:p>
    <w:p w14:paraId="7BE2E54E" w14:textId="77777777" w:rsidR="003A44DF" w:rsidRPr="003A44DF" w:rsidRDefault="003A44DF" w:rsidP="00226F2F">
      <w:pPr>
        <w:pStyle w:val="Bibliography"/>
        <w:rPr>
          <w:rFonts w:ascii="Calibri" w:hAnsi="Calibri" w:cs="Calibri"/>
        </w:rPr>
      </w:pPr>
      <w:r w:rsidRPr="003A44DF">
        <w:rPr>
          <w:rFonts w:ascii="Calibri" w:hAnsi="Calibri" w:cs="Calibri"/>
        </w:rPr>
        <w:t>12.</w:t>
      </w:r>
      <w:r w:rsidRPr="003A44DF">
        <w:rPr>
          <w:rFonts w:ascii="Calibri" w:hAnsi="Calibri" w:cs="Calibri"/>
        </w:rPr>
        <w:tab/>
        <w:t>An open resource for accurately benchmarking small variant and reference calls | Nature Biotechnology. https://www-nature-com.ezproxy.med.cornell.edu/articles/s41587-019-0074-6.</w:t>
      </w:r>
    </w:p>
    <w:p w14:paraId="4A83E0CA" w14:textId="77777777" w:rsidR="003A44DF" w:rsidRPr="003A44DF" w:rsidRDefault="003A44DF" w:rsidP="00226F2F">
      <w:pPr>
        <w:pStyle w:val="Bibliography"/>
        <w:rPr>
          <w:rFonts w:ascii="Calibri" w:hAnsi="Calibri" w:cs="Calibri"/>
        </w:rPr>
      </w:pPr>
      <w:r w:rsidRPr="003A44DF">
        <w:rPr>
          <w:rFonts w:ascii="Calibri" w:hAnsi="Calibri" w:cs="Calibri"/>
        </w:rPr>
        <w:lastRenderedPageBreak/>
        <w:t>13.</w:t>
      </w:r>
      <w:r w:rsidRPr="003A44DF">
        <w:rPr>
          <w:rFonts w:ascii="Calibri" w:hAnsi="Calibri" w:cs="Calibri"/>
        </w:rPr>
        <w:tab/>
        <w:t xml:space="preserve">Angirekula, M. </w:t>
      </w:r>
      <w:r w:rsidRPr="003A44DF">
        <w:rPr>
          <w:rFonts w:ascii="Calibri" w:hAnsi="Calibri" w:cs="Calibri"/>
          <w:i/>
          <w:iCs/>
        </w:rPr>
        <w:t>et al.</w:t>
      </w:r>
      <w:r w:rsidRPr="003A44DF">
        <w:rPr>
          <w:rFonts w:ascii="Calibri" w:hAnsi="Calibri" w:cs="Calibri"/>
        </w:rPr>
        <w:t xml:space="preserve"> CD117, BAP1, MTAP, and TdT Is a Useful Immunohistochemical Panel to Distinguish Thymoma from Thymic Carcinoma. </w:t>
      </w:r>
      <w:r w:rsidRPr="003A44DF">
        <w:rPr>
          <w:rFonts w:ascii="Calibri" w:hAnsi="Calibri" w:cs="Calibri"/>
          <w:i/>
          <w:iCs/>
        </w:rPr>
        <w:t>Cancers (Basel)</w:t>
      </w:r>
      <w:r w:rsidRPr="003A44DF">
        <w:rPr>
          <w:rFonts w:ascii="Calibri" w:hAnsi="Calibri" w:cs="Calibri"/>
        </w:rPr>
        <w:t xml:space="preserve"> </w:t>
      </w:r>
      <w:r w:rsidRPr="003A44DF">
        <w:rPr>
          <w:rFonts w:ascii="Calibri" w:hAnsi="Calibri" w:cs="Calibri"/>
          <w:b/>
          <w:bCs/>
        </w:rPr>
        <w:t>14</w:t>
      </w:r>
      <w:r w:rsidRPr="003A44DF">
        <w:rPr>
          <w:rFonts w:ascii="Calibri" w:hAnsi="Calibri" w:cs="Calibri"/>
        </w:rPr>
        <w:t>, 2299 (2022).</w:t>
      </w:r>
    </w:p>
    <w:p w14:paraId="40537E2C" w14:textId="77777777" w:rsidR="003A44DF" w:rsidRPr="003A44DF" w:rsidRDefault="003A44DF" w:rsidP="00226F2F">
      <w:pPr>
        <w:pStyle w:val="Bibliography"/>
        <w:rPr>
          <w:rFonts w:ascii="Calibri" w:hAnsi="Calibri" w:cs="Calibri"/>
        </w:rPr>
      </w:pPr>
      <w:r w:rsidRPr="003A44DF">
        <w:rPr>
          <w:rFonts w:ascii="Calibri" w:hAnsi="Calibri" w:cs="Calibri"/>
        </w:rPr>
        <w:t>14.</w:t>
      </w:r>
      <w:r w:rsidRPr="003A44DF">
        <w:rPr>
          <w:rFonts w:ascii="Calibri" w:hAnsi="Calibri" w:cs="Calibri"/>
        </w:rPr>
        <w:tab/>
        <w:t xml:space="preserve">Lang, M., Kazdal, D., Mohr, I. &amp; Anamaterou, C. Differences and similarities of GTF2I mutated thymomas in different Eurasian ethnic groups. </w:t>
      </w:r>
      <w:r w:rsidRPr="003A44DF">
        <w:rPr>
          <w:rFonts w:ascii="Calibri" w:hAnsi="Calibri" w:cs="Calibri"/>
          <w:i/>
          <w:iCs/>
        </w:rPr>
        <w:t>Transl Lung Cancer Res</w:t>
      </w:r>
      <w:r w:rsidRPr="003A44DF">
        <w:rPr>
          <w:rFonts w:ascii="Calibri" w:hAnsi="Calibri" w:cs="Calibri"/>
        </w:rPr>
        <w:t xml:space="preserve"> </w:t>
      </w:r>
      <w:r w:rsidRPr="003A44DF">
        <w:rPr>
          <w:rFonts w:ascii="Calibri" w:hAnsi="Calibri" w:cs="Calibri"/>
          <w:b/>
          <w:bCs/>
        </w:rPr>
        <w:t>12</w:t>
      </w:r>
      <w:r w:rsidRPr="003A44DF">
        <w:rPr>
          <w:rFonts w:ascii="Calibri" w:hAnsi="Calibri" w:cs="Calibri"/>
        </w:rPr>
        <w:t>, 1842–1844 (2023).</w:t>
      </w:r>
    </w:p>
    <w:p w14:paraId="5E1C4130" w14:textId="77777777" w:rsidR="003A44DF" w:rsidRPr="003A44DF" w:rsidRDefault="003A44DF" w:rsidP="00226F2F">
      <w:pPr>
        <w:pStyle w:val="Bibliography"/>
        <w:rPr>
          <w:rFonts w:ascii="Calibri" w:hAnsi="Calibri" w:cs="Calibri"/>
        </w:rPr>
      </w:pPr>
      <w:r w:rsidRPr="003A44DF">
        <w:rPr>
          <w:rFonts w:ascii="Calibri" w:hAnsi="Calibri" w:cs="Calibri"/>
        </w:rPr>
        <w:t>15.</w:t>
      </w:r>
      <w:r w:rsidRPr="003A44DF">
        <w:rPr>
          <w:rFonts w:ascii="Calibri" w:hAnsi="Calibri" w:cs="Calibri"/>
        </w:rPr>
        <w:tab/>
        <w:t xml:space="preserve">Lawrence, M. S. </w:t>
      </w:r>
      <w:r w:rsidRPr="003A44DF">
        <w:rPr>
          <w:rFonts w:ascii="Calibri" w:hAnsi="Calibri" w:cs="Calibri"/>
          <w:i/>
          <w:iCs/>
        </w:rPr>
        <w:t>et al.</w:t>
      </w:r>
      <w:r w:rsidRPr="003A44DF">
        <w:rPr>
          <w:rFonts w:ascii="Calibri" w:hAnsi="Calibri" w:cs="Calibri"/>
        </w:rPr>
        <w:t xml:space="preserve"> Mutational heterogeneity in cancer and the search for new cancer-associated genes. </w:t>
      </w:r>
      <w:r w:rsidRPr="003A44DF">
        <w:rPr>
          <w:rFonts w:ascii="Calibri" w:hAnsi="Calibri" w:cs="Calibri"/>
          <w:i/>
          <w:iCs/>
        </w:rPr>
        <w:t>Nature</w:t>
      </w:r>
      <w:r w:rsidRPr="003A44DF">
        <w:rPr>
          <w:rFonts w:ascii="Calibri" w:hAnsi="Calibri" w:cs="Calibri"/>
        </w:rPr>
        <w:t xml:space="preserve"> </w:t>
      </w:r>
      <w:r w:rsidRPr="003A44DF">
        <w:rPr>
          <w:rFonts w:ascii="Calibri" w:hAnsi="Calibri" w:cs="Calibri"/>
          <w:b/>
          <w:bCs/>
        </w:rPr>
        <w:t>499</w:t>
      </w:r>
      <w:r w:rsidRPr="003A44DF">
        <w:rPr>
          <w:rFonts w:ascii="Calibri" w:hAnsi="Calibri" w:cs="Calibri"/>
        </w:rPr>
        <w:t>, 214–218 (2013).</w:t>
      </w:r>
    </w:p>
    <w:p w14:paraId="7CFDBB28" w14:textId="77777777" w:rsidR="003A44DF" w:rsidRPr="003A44DF" w:rsidRDefault="003A44DF" w:rsidP="00226F2F">
      <w:pPr>
        <w:pStyle w:val="Bibliography"/>
        <w:rPr>
          <w:rFonts w:ascii="Calibri" w:hAnsi="Calibri" w:cs="Calibri"/>
        </w:rPr>
      </w:pPr>
      <w:r w:rsidRPr="003A44DF">
        <w:rPr>
          <w:rFonts w:ascii="Calibri" w:hAnsi="Calibri" w:cs="Calibri"/>
        </w:rPr>
        <w:t>16.</w:t>
      </w:r>
      <w:r w:rsidRPr="003A44DF">
        <w:rPr>
          <w:rFonts w:ascii="Calibri" w:hAnsi="Calibri" w:cs="Calibri"/>
        </w:rPr>
        <w:tab/>
        <w:t xml:space="preserve">Jia, P. </w:t>
      </w:r>
      <w:r w:rsidRPr="003A44DF">
        <w:rPr>
          <w:rFonts w:ascii="Calibri" w:hAnsi="Calibri" w:cs="Calibri"/>
          <w:i/>
          <w:iCs/>
        </w:rPr>
        <w:t>et al.</w:t>
      </w:r>
      <w:r w:rsidRPr="003A44DF">
        <w:rPr>
          <w:rFonts w:ascii="Calibri" w:hAnsi="Calibri" w:cs="Calibri"/>
        </w:rPr>
        <w:t xml:space="preserve"> MSIsensor-Pro: Fast, Accurate, and Matched-Normal-Sample-Free Detection of Microsatellite Instability. </w:t>
      </w:r>
      <w:r w:rsidRPr="003A44DF">
        <w:rPr>
          <w:rFonts w:ascii="Calibri" w:hAnsi="Calibri" w:cs="Calibri"/>
          <w:i/>
          <w:iCs/>
        </w:rPr>
        <w:t>Genomics, Proteomics &amp; Bioinformatics</w:t>
      </w:r>
      <w:r w:rsidRPr="003A44DF">
        <w:rPr>
          <w:rFonts w:ascii="Calibri" w:hAnsi="Calibri" w:cs="Calibri"/>
        </w:rPr>
        <w:t xml:space="preserve"> </w:t>
      </w:r>
      <w:r w:rsidRPr="003A44DF">
        <w:rPr>
          <w:rFonts w:ascii="Calibri" w:hAnsi="Calibri" w:cs="Calibri"/>
          <w:b/>
          <w:bCs/>
        </w:rPr>
        <w:t>18</w:t>
      </w:r>
      <w:r w:rsidRPr="003A44DF">
        <w:rPr>
          <w:rFonts w:ascii="Calibri" w:hAnsi="Calibri" w:cs="Calibri"/>
        </w:rPr>
        <w:t>, 65–71 (2020).</w:t>
      </w:r>
    </w:p>
    <w:p w14:paraId="2D01DCE0" w14:textId="77777777" w:rsidR="003A44DF" w:rsidRPr="003A44DF" w:rsidRDefault="003A44DF" w:rsidP="00226F2F">
      <w:pPr>
        <w:pStyle w:val="Bibliography"/>
        <w:rPr>
          <w:rFonts w:ascii="Calibri" w:hAnsi="Calibri" w:cs="Calibri"/>
        </w:rPr>
      </w:pPr>
      <w:r w:rsidRPr="003A44DF">
        <w:rPr>
          <w:rFonts w:ascii="Calibri" w:hAnsi="Calibri" w:cs="Calibri"/>
        </w:rPr>
        <w:t>17.</w:t>
      </w:r>
      <w:r w:rsidRPr="003A44DF">
        <w:rPr>
          <w:rFonts w:ascii="Calibri" w:hAnsi="Calibri" w:cs="Calibri"/>
        </w:rPr>
        <w:tab/>
        <w:t xml:space="preserve">Goodman, A. M., Sokol, E. S., Frampton, G. M., Lippman, S. M. &amp; Kurzrock, R. Microsatellite-Stable Tumors with High Mutational Burden Benefit from Immunotherapy. </w:t>
      </w:r>
      <w:r w:rsidRPr="003A44DF">
        <w:rPr>
          <w:rFonts w:ascii="Calibri" w:hAnsi="Calibri" w:cs="Calibri"/>
          <w:i/>
          <w:iCs/>
        </w:rPr>
        <w:t>Cancer Immunology Research</w:t>
      </w:r>
      <w:r w:rsidRPr="003A44DF">
        <w:rPr>
          <w:rFonts w:ascii="Calibri" w:hAnsi="Calibri" w:cs="Calibri"/>
        </w:rPr>
        <w:t xml:space="preserve"> </w:t>
      </w:r>
      <w:r w:rsidRPr="003A44DF">
        <w:rPr>
          <w:rFonts w:ascii="Calibri" w:hAnsi="Calibri" w:cs="Calibri"/>
          <w:b/>
          <w:bCs/>
        </w:rPr>
        <w:t>7</w:t>
      </w:r>
      <w:r w:rsidRPr="003A44DF">
        <w:rPr>
          <w:rFonts w:ascii="Calibri" w:hAnsi="Calibri" w:cs="Calibri"/>
        </w:rPr>
        <w:t>, 1570–1573 (2019).</w:t>
      </w:r>
    </w:p>
    <w:p w14:paraId="3B835438" w14:textId="77777777" w:rsidR="003A44DF" w:rsidRPr="003A44DF" w:rsidRDefault="003A44DF" w:rsidP="00226F2F">
      <w:pPr>
        <w:pStyle w:val="Bibliography"/>
        <w:rPr>
          <w:rFonts w:ascii="Calibri" w:hAnsi="Calibri" w:cs="Calibri"/>
        </w:rPr>
      </w:pPr>
      <w:r w:rsidRPr="003A44DF">
        <w:rPr>
          <w:rFonts w:ascii="Calibri" w:hAnsi="Calibri" w:cs="Calibri"/>
        </w:rPr>
        <w:t>18.</w:t>
      </w:r>
      <w:r w:rsidRPr="003A44DF">
        <w:rPr>
          <w:rFonts w:ascii="Calibri" w:hAnsi="Calibri" w:cs="Calibri"/>
        </w:rPr>
        <w:tab/>
        <w:t xml:space="preserve">Li, M., Gao, X. &amp; Wang, X. Identification of tumor mutation burden-associated molecular and clinical features in cancer by analyzing multi-omics data. </w:t>
      </w:r>
      <w:r w:rsidRPr="003A44DF">
        <w:rPr>
          <w:rFonts w:ascii="Calibri" w:hAnsi="Calibri" w:cs="Calibri"/>
          <w:i/>
          <w:iCs/>
        </w:rPr>
        <w:t>Front Immunol</w:t>
      </w:r>
      <w:r w:rsidRPr="003A44DF">
        <w:rPr>
          <w:rFonts w:ascii="Calibri" w:hAnsi="Calibri" w:cs="Calibri"/>
        </w:rPr>
        <w:t xml:space="preserve"> </w:t>
      </w:r>
      <w:r w:rsidRPr="003A44DF">
        <w:rPr>
          <w:rFonts w:ascii="Calibri" w:hAnsi="Calibri" w:cs="Calibri"/>
          <w:b/>
          <w:bCs/>
        </w:rPr>
        <w:t>14</w:t>
      </w:r>
      <w:r w:rsidRPr="003A44DF">
        <w:rPr>
          <w:rFonts w:ascii="Calibri" w:hAnsi="Calibri" w:cs="Calibri"/>
        </w:rPr>
        <w:t>, 1090838 (2023).</w:t>
      </w:r>
    </w:p>
    <w:p w14:paraId="3842AFD3" w14:textId="77777777" w:rsidR="003A44DF" w:rsidRPr="003A44DF" w:rsidRDefault="003A44DF" w:rsidP="00226F2F">
      <w:pPr>
        <w:pStyle w:val="Bibliography"/>
        <w:rPr>
          <w:rFonts w:ascii="Calibri" w:hAnsi="Calibri" w:cs="Calibri"/>
        </w:rPr>
      </w:pPr>
      <w:r w:rsidRPr="003A44DF">
        <w:rPr>
          <w:rFonts w:ascii="Calibri" w:hAnsi="Calibri" w:cs="Calibri"/>
        </w:rPr>
        <w:t>19.</w:t>
      </w:r>
      <w:r w:rsidRPr="003A44DF">
        <w:rPr>
          <w:rFonts w:ascii="Calibri" w:hAnsi="Calibri" w:cs="Calibri"/>
        </w:rPr>
        <w:tab/>
        <w:t xml:space="preserve">Hwang, H. S., Kim, D. &amp; Choi, J. Distinct mutational profile and immune microenvironment in microsatellite-unstable and POLE-mutated tumors. </w:t>
      </w:r>
      <w:r w:rsidRPr="003A44DF">
        <w:rPr>
          <w:rFonts w:ascii="Calibri" w:hAnsi="Calibri" w:cs="Calibri"/>
          <w:i/>
          <w:iCs/>
        </w:rPr>
        <w:t>J Immunother Cancer</w:t>
      </w:r>
      <w:r w:rsidRPr="003A44DF">
        <w:rPr>
          <w:rFonts w:ascii="Calibri" w:hAnsi="Calibri" w:cs="Calibri"/>
        </w:rPr>
        <w:t xml:space="preserve"> </w:t>
      </w:r>
      <w:r w:rsidRPr="003A44DF">
        <w:rPr>
          <w:rFonts w:ascii="Calibri" w:hAnsi="Calibri" w:cs="Calibri"/>
          <w:b/>
          <w:bCs/>
        </w:rPr>
        <w:t>9</w:t>
      </w:r>
      <w:r w:rsidRPr="003A44DF">
        <w:rPr>
          <w:rFonts w:ascii="Calibri" w:hAnsi="Calibri" w:cs="Calibri"/>
        </w:rPr>
        <w:t>, e002797 (2021).</w:t>
      </w:r>
    </w:p>
    <w:p w14:paraId="7160166E" w14:textId="77777777" w:rsidR="003A44DF" w:rsidRPr="003A44DF" w:rsidRDefault="003A44DF" w:rsidP="00226F2F">
      <w:pPr>
        <w:pStyle w:val="Bibliography"/>
        <w:rPr>
          <w:rFonts w:ascii="Calibri" w:hAnsi="Calibri" w:cs="Calibri"/>
        </w:rPr>
      </w:pPr>
      <w:r w:rsidRPr="003A44DF">
        <w:rPr>
          <w:rFonts w:ascii="Calibri" w:hAnsi="Calibri" w:cs="Calibri"/>
        </w:rPr>
        <w:t>20.</w:t>
      </w:r>
      <w:r w:rsidRPr="003A44DF">
        <w:rPr>
          <w:rFonts w:ascii="Calibri" w:hAnsi="Calibri" w:cs="Calibri"/>
        </w:rPr>
        <w:tab/>
        <w:t xml:space="preserve">Ellrott, K. </w:t>
      </w:r>
      <w:r w:rsidRPr="003A44DF">
        <w:rPr>
          <w:rFonts w:ascii="Calibri" w:hAnsi="Calibri" w:cs="Calibri"/>
          <w:i/>
          <w:iCs/>
        </w:rPr>
        <w:t>et al.</w:t>
      </w:r>
      <w:r w:rsidRPr="003A44DF">
        <w:rPr>
          <w:rFonts w:ascii="Calibri" w:hAnsi="Calibri" w:cs="Calibri"/>
        </w:rPr>
        <w:t xml:space="preserve"> Scalable Open Science Approach for Mutation Calling of Tumor Exomes Using Multiple Genomic Pipelines. </w:t>
      </w:r>
      <w:r w:rsidRPr="003A44DF">
        <w:rPr>
          <w:rFonts w:ascii="Calibri" w:hAnsi="Calibri" w:cs="Calibri"/>
          <w:i/>
          <w:iCs/>
        </w:rPr>
        <w:t>cels</w:t>
      </w:r>
      <w:r w:rsidRPr="003A44DF">
        <w:rPr>
          <w:rFonts w:ascii="Calibri" w:hAnsi="Calibri" w:cs="Calibri"/>
        </w:rPr>
        <w:t xml:space="preserve"> </w:t>
      </w:r>
      <w:r w:rsidRPr="003A44DF">
        <w:rPr>
          <w:rFonts w:ascii="Calibri" w:hAnsi="Calibri" w:cs="Calibri"/>
          <w:b/>
          <w:bCs/>
        </w:rPr>
        <w:t>6</w:t>
      </w:r>
      <w:r w:rsidRPr="003A44DF">
        <w:rPr>
          <w:rFonts w:ascii="Calibri" w:hAnsi="Calibri" w:cs="Calibri"/>
        </w:rPr>
        <w:t>, 271-281.e7 (2018).</w:t>
      </w:r>
    </w:p>
    <w:p w14:paraId="0E495F91" w14:textId="77777777" w:rsidR="003A44DF" w:rsidRPr="003A44DF" w:rsidRDefault="003A44DF" w:rsidP="00226F2F">
      <w:pPr>
        <w:pStyle w:val="Bibliography"/>
        <w:rPr>
          <w:rFonts w:ascii="Calibri" w:hAnsi="Calibri" w:cs="Calibri"/>
        </w:rPr>
      </w:pPr>
      <w:r w:rsidRPr="003A44DF">
        <w:rPr>
          <w:rFonts w:ascii="Calibri" w:hAnsi="Calibri" w:cs="Calibri"/>
        </w:rPr>
        <w:t>21.</w:t>
      </w:r>
      <w:r w:rsidRPr="003A44DF">
        <w:rPr>
          <w:rFonts w:ascii="Calibri" w:hAnsi="Calibri" w:cs="Calibri"/>
        </w:rPr>
        <w:tab/>
        <w:t xml:space="preserve">Taliun, D. </w:t>
      </w:r>
      <w:r w:rsidRPr="003A44DF">
        <w:rPr>
          <w:rFonts w:ascii="Calibri" w:hAnsi="Calibri" w:cs="Calibri"/>
          <w:i/>
          <w:iCs/>
        </w:rPr>
        <w:t>et al.</w:t>
      </w:r>
      <w:r w:rsidRPr="003A44DF">
        <w:rPr>
          <w:rFonts w:ascii="Calibri" w:hAnsi="Calibri" w:cs="Calibri"/>
        </w:rPr>
        <w:t xml:space="preserve"> Sequencing of 53,831 diverse genomes from the NHLBI TOPMed Program. </w:t>
      </w:r>
      <w:r w:rsidRPr="003A44DF">
        <w:rPr>
          <w:rFonts w:ascii="Calibri" w:hAnsi="Calibri" w:cs="Calibri"/>
          <w:i/>
          <w:iCs/>
        </w:rPr>
        <w:t>Nature</w:t>
      </w:r>
      <w:r w:rsidRPr="003A44DF">
        <w:rPr>
          <w:rFonts w:ascii="Calibri" w:hAnsi="Calibri" w:cs="Calibri"/>
        </w:rPr>
        <w:t xml:space="preserve"> </w:t>
      </w:r>
      <w:r w:rsidRPr="003A44DF">
        <w:rPr>
          <w:rFonts w:ascii="Calibri" w:hAnsi="Calibri" w:cs="Calibri"/>
          <w:b/>
          <w:bCs/>
        </w:rPr>
        <w:t>590</w:t>
      </w:r>
      <w:r w:rsidRPr="003A44DF">
        <w:rPr>
          <w:rFonts w:ascii="Calibri" w:hAnsi="Calibri" w:cs="Calibri"/>
        </w:rPr>
        <w:t>, 290–299 (2021).</w:t>
      </w:r>
    </w:p>
    <w:p w14:paraId="2FE3FCD7" w14:textId="77777777" w:rsidR="003A44DF" w:rsidRPr="003A44DF" w:rsidRDefault="003A44DF" w:rsidP="00226F2F">
      <w:pPr>
        <w:pStyle w:val="Bibliography"/>
        <w:rPr>
          <w:rFonts w:ascii="Calibri" w:hAnsi="Calibri" w:cs="Calibri"/>
        </w:rPr>
      </w:pPr>
      <w:r w:rsidRPr="003A44DF">
        <w:rPr>
          <w:rFonts w:ascii="Calibri" w:hAnsi="Calibri" w:cs="Calibri"/>
        </w:rPr>
        <w:t>22.</w:t>
      </w:r>
      <w:r w:rsidRPr="003A44DF">
        <w:rPr>
          <w:rFonts w:ascii="Calibri" w:hAnsi="Calibri" w:cs="Calibri"/>
        </w:rPr>
        <w:tab/>
        <w:t xml:space="preserve">Chen, S. </w:t>
      </w:r>
      <w:r w:rsidRPr="003A44DF">
        <w:rPr>
          <w:rFonts w:ascii="Calibri" w:hAnsi="Calibri" w:cs="Calibri"/>
          <w:i/>
          <w:iCs/>
        </w:rPr>
        <w:t>et al.</w:t>
      </w:r>
      <w:r w:rsidRPr="003A44DF">
        <w:rPr>
          <w:rFonts w:ascii="Calibri" w:hAnsi="Calibri" w:cs="Calibri"/>
        </w:rPr>
        <w:t xml:space="preserve"> A genomic mutational constraint map using variation in 76,156 human genomes. </w:t>
      </w:r>
      <w:r w:rsidRPr="003A44DF">
        <w:rPr>
          <w:rFonts w:ascii="Calibri" w:hAnsi="Calibri" w:cs="Calibri"/>
          <w:i/>
          <w:iCs/>
        </w:rPr>
        <w:t>Nature</w:t>
      </w:r>
      <w:r w:rsidRPr="003A44DF">
        <w:rPr>
          <w:rFonts w:ascii="Calibri" w:hAnsi="Calibri" w:cs="Calibri"/>
        </w:rPr>
        <w:t xml:space="preserve"> </w:t>
      </w:r>
      <w:r w:rsidRPr="003A44DF">
        <w:rPr>
          <w:rFonts w:ascii="Calibri" w:hAnsi="Calibri" w:cs="Calibri"/>
          <w:b/>
          <w:bCs/>
        </w:rPr>
        <w:t>625</w:t>
      </w:r>
      <w:r w:rsidRPr="003A44DF">
        <w:rPr>
          <w:rFonts w:ascii="Calibri" w:hAnsi="Calibri" w:cs="Calibri"/>
        </w:rPr>
        <w:t>, 92–100 (2024).</w:t>
      </w:r>
    </w:p>
    <w:p w14:paraId="5867A2AA" w14:textId="77777777" w:rsidR="003A44DF" w:rsidRPr="003A44DF" w:rsidRDefault="003A44DF" w:rsidP="00226F2F">
      <w:pPr>
        <w:pStyle w:val="Bibliography"/>
        <w:rPr>
          <w:rFonts w:ascii="Calibri" w:hAnsi="Calibri" w:cs="Calibri"/>
        </w:rPr>
      </w:pPr>
      <w:r w:rsidRPr="003A44DF">
        <w:rPr>
          <w:rFonts w:ascii="Calibri" w:hAnsi="Calibri" w:cs="Calibri"/>
        </w:rPr>
        <w:t>23.</w:t>
      </w:r>
      <w:r w:rsidRPr="003A44DF">
        <w:rPr>
          <w:rFonts w:ascii="Calibri" w:hAnsi="Calibri" w:cs="Calibri"/>
        </w:rPr>
        <w:tab/>
        <w:t xml:space="preserve">Talevich, E., Shain, A. H., Botton, T. &amp; Bastian, B. C. CNVkit: Genome-Wide Copy Number Detection and Visualization from Targeted DNA Sequencing. </w:t>
      </w:r>
      <w:r w:rsidRPr="003A44DF">
        <w:rPr>
          <w:rFonts w:ascii="Calibri" w:hAnsi="Calibri" w:cs="Calibri"/>
          <w:i/>
          <w:iCs/>
        </w:rPr>
        <w:t>PLOS Computational Biology</w:t>
      </w:r>
      <w:r w:rsidRPr="003A44DF">
        <w:rPr>
          <w:rFonts w:ascii="Calibri" w:hAnsi="Calibri" w:cs="Calibri"/>
        </w:rPr>
        <w:t xml:space="preserve"> </w:t>
      </w:r>
      <w:r w:rsidRPr="003A44DF">
        <w:rPr>
          <w:rFonts w:ascii="Calibri" w:hAnsi="Calibri" w:cs="Calibri"/>
          <w:b/>
          <w:bCs/>
        </w:rPr>
        <w:t>12</w:t>
      </w:r>
      <w:r w:rsidRPr="003A44DF">
        <w:rPr>
          <w:rFonts w:ascii="Calibri" w:hAnsi="Calibri" w:cs="Calibri"/>
        </w:rPr>
        <w:t>, e1004873 (2016).</w:t>
      </w:r>
    </w:p>
    <w:p w14:paraId="1AD83671" w14:textId="77777777" w:rsidR="003A44DF" w:rsidRPr="003A44DF" w:rsidRDefault="003A44DF" w:rsidP="00226F2F">
      <w:pPr>
        <w:pStyle w:val="Bibliography"/>
        <w:rPr>
          <w:rFonts w:ascii="Calibri" w:hAnsi="Calibri" w:cs="Calibri"/>
        </w:rPr>
      </w:pPr>
      <w:r w:rsidRPr="003A44DF">
        <w:rPr>
          <w:rFonts w:ascii="Calibri" w:hAnsi="Calibri" w:cs="Calibri"/>
        </w:rPr>
        <w:lastRenderedPageBreak/>
        <w:t>24.</w:t>
      </w:r>
      <w:r w:rsidRPr="003A44DF">
        <w:rPr>
          <w:rFonts w:ascii="Calibri" w:hAnsi="Calibri" w:cs="Calibri"/>
        </w:rPr>
        <w:tab/>
        <w:t>Venkatraman E. Seshan, A. O. DNAcopy. Bioconductor https://doi.org/10.18129/B9.BIOC.DNACOPY (2017).</w:t>
      </w:r>
    </w:p>
    <w:p w14:paraId="73AD48FE" w14:textId="77777777" w:rsidR="003A44DF" w:rsidRPr="003A44DF" w:rsidRDefault="003A44DF" w:rsidP="00226F2F">
      <w:pPr>
        <w:pStyle w:val="Bibliography"/>
        <w:rPr>
          <w:rFonts w:ascii="Calibri" w:hAnsi="Calibri" w:cs="Calibri"/>
        </w:rPr>
      </w:pPr>
      <w:r w:rsidRPr="003A44DF">
        <w:rPr>
          <w:rFonts w:ascii="Calibri" w:hAnsi="Calibri" w:cs="Calibri"/>
        </w:rPr>
        <w:t>25.</w:t>
      </w:r>
      <w:r w:rsidRPr="003A44DF">
        <w:rPr>
          <w:rFonts w:ascii="Calibri" w:hAnsi="Calibri" w:cs="Calibri"/>
        </w:rPr>
        <w:tab/>
        <w:t xml:space="preserve">Rennert, H. </w:t>
      </w:r>
      <w:r w:rsidRPr="003A44DF">
        <w:rPr>
          <w:rFonts w:ascii="Calibri" w:hAnsi="Calibri" w:cs="Calibri"/>
          <w:i/>
          <w:iCs/>
        </w:rPr>
        <w:t>et al.</w:t>
      </w:r>
      <w:r w:rsidRPr="003A44DF">
        <w:rPr>
          <w:rFonts w:ascii="Calibri" w:hAnsi="Calibri" w:cs="Calibri"/>
        </w:rPr>
        <w:t xml:space="preserve"> Development and validation of a whole-exome sequencing test for simultaneous detection of point mutations, indels and copy-number alterations for precision cancer care. </w:t>
      </w:r>
      <w:r w:rsidRPr="003A44DF">
        <w:rPr>
          <w:rFonts w:ascii="Calibri" w:hAnsi="Calibri" w:cs="Calibri"/>
          <w:i/>
          <w:iCs/>
        </w:rPr>
        <w:t>NPJ Genom Med</w:t>
      </w:r>
      <w:r w:rsidRPr="003A44DF">
        <w:rPr>
          <w:rFonts w:ascii="Calibri" w:hAnsi="Calibri" w:cs="Calibri"/>
        </w:rPr>
        <w:t xml:space="preserve"> </w:t>
      </w:r>
      <w:r w:rsidRPr="003A44DF">
        <w:rPr>
          <w:rFonts w:ascii="Calibri" w:hAnsi="Calibri" w:cs="Calibri"/>
          <w:b/>
          <w:bCs/>
        </w:rPr>
        <w:t>1</w:t>
      </w:r>
      <w:r w:rsidRPr="003A44DF">
        <w:rPr>
          <w:rFonts w:ascii="Calibri" w:hAnsi="Calibri" w:cs="Calibri"/>
        </w:rPr>
        <w:t>, 16019- (2016).</w:t>
      </w:r>
    </w:p>
    <w:p w14:paraId="59D61E1A" w14:textId="77777777" w:rsidR="003A44DF" w:rsidRPr="003A44DF" w:rsidRDefault="003A44DF" w:rsidP="00226F2F">
      <w:pPr>
        <w:pStyle w:val="Bibliography"/>
        <w:rPr>
          <w:rFonts w:ascii="Calibri" w:hAnsi="Calibri" w:cs="Calibri"/>
        </w:rPr>
      </w:pPr>
      <w:r w:rsidRPr="003A44DF">
        <w:rPr>
          <w:rFonts w:ascii="Calibri" w:hAnsi="Calibri" w:cs="Calibri"/>
        </w:rPr>
        <w:t>26.</w:t>
      </w:r>
      <w:r w:rsidRPr="003A44DF">
        <w:rPr>
          <w:rFonts w:ascii="Calibri" w:hAnsi="Calibri" w:cs="Calibri"/>
        </w:rPr>
        <w:tab/>
        <w:t xml:space="preserve">Bolotin, D. A. </w:t>
      </w:r>
      <w:r w:rsidRPr="003A44DF">
        <w:rPr>
          <w:rFonts w:ascii="Calibri" w:hAnsi="Calibri" w:cs="Calibri"/>
          <w:i/>
          <w:iCs/>
        </w:rPr>
        <w:t>et al.</w:t>
      </w:r>
      <w:r w:rsidRPr="003A44DF">
        <w:rPr>
          <w:rFonts w:ascii="Calibri" w:hAnsi="Calibri" w:cs="Calibri"/>
        </w:rPr>
        <w:t xml:space="preserve"> MiXCR: software for comprehensive adaptive immunity profiling. </w:t>
      </w:r>
      <w:r w:rsidRPr="003A44DF">
        <w:rPr>
          <w:rFonts w:ascii="Calibri" w:hAnsi="Calibri" w:cs="Calibri"/>
          <w:i/>
          <w:iCs/>
        </w:rPr>
        <w:t>Nature Methods</w:t>
      </w:r>
      <w:r w:rsidRPr="003A44DF">
        <w:rPr>
          <w:rFonts w:ascii="Calibri" w:hAnsi="Calibri" w:cs="Calibri"/>
        </w:rPr>
        <w:t xml:space="preserve"> </w:t>
      </w:r>
      <w:r w:rsidRPr="003A44DF">
        <w:rPr>
          <w:rFonts w:ascii="Calibri" w:hAnsi="Calibri" w:cs="Calibri"/>
          <w:b/>
          <w:bCs/>
        </w:rPr>
        <w:t>12</w:t>
      </w:r>
      <w:r w:rsidRPr="003A44DF">
        <w:rPr>
          <w:rFonts w:ascii="Calibri" w:hAnsi="Calibri" w:cs="Calibri"/>
        </w:rPr>
        <w:t>, 380–381 (2015).</w:t>
      </w:r>
    </w:p>
    <w:p w14:paraId="064D9F98" w14:textId="77777777" w:rsidR="003A44DF" w:rsidRPr="003A44DF" w:rsidRDefault="003A44DF" w:rsidP="00226F2F">
      <w:pPr>
        <w:pStyle w:val="Bibliography"/>
        <w:rPr>
          <w:rFonts w:ascii="Calibri" w:hAnsi="Calibri" w:cs="Calibri"/>
        </w:rPr>
      </w:pPr>
      <w:r w:rsidRPr="003A44DF">
        <w:rPr>
          <w:rFonts w:ascii="Calibri" w:hAnsi="Calibri" w:cs="Calibri"/>
        </w:rPr>
        <w:t>27.</w:t>
      </w:r>
      <w:r w:rsidRPr="003A44DF">
        <w:rPr>
          <w:rFonts w:ascii="Calibri" w:hAnsi="Calibri" w:cs="Calibri"/>
        </w:rPr>
        <w:tab/>
        <w:t>Picard Tools - By Broad Institute. https://broadinstitute.github.io/picard/.</w:t>
      </w:r>
    </w:p>
    <w:p w14:paraId="6AF03D05" w14:textId="77777777" w:rsidR="003A44DF" w:rsidRPr="003A44DF" w:rsidRDefault="003A44DF" w:rsidP="00226F2F">
      <w:pPr>
        <w:pStyle w:val="Bibliography"/>
        <w:rPr>
          <w:rFonts w:ascii="Calibri" w:hAnsi="Calibri" w:cs="Calibri"/>
        </w:rPr>
      </w:pPr>
      <w:r w:rsidRPr="003A44DF">
        <w:rPr>
          <w:rFonts w:ascii="Calibri" w:hAnsi="Calibri" w:cs="Calibri"/>
        </w:rPr>
        <w:t>28.</w:t>
      </w:r>
      <w:r w:rsidRPr="003A44DF">
        <w:rPr>
          <w:rFonts w:ascii="Calibri" w:hAnsi="Calibri" w:cs="Calibri"/>
        </w:rPr>
        <w:tab/>
        <w:t xml:space="preserve">Robinson, J. T. </w:t>
      </w:r>
      <w:r w:rsidRPr="003A44DF">
        <w:rPr>
          <w:rFonts w:ascii="Calibri" w:hAnsi="Calibri" w:cs="Calibri"/>
          <w:i/>
          <w:iCs/>
        </w:rPr>
        <w:t>et al.</w:t>
      </w:r>
      <w:r w:rsidRPr="003A44DF">
        <w:rPr>
          <w:rFonts w:ascii="Calibri" w:hAnsi="Calibri" w:cs="Calibri"/>
        </w:rPr>
        <w:t xml:space="preserve"> Integrative Genomics Viewer. </w:t>
      </w:r>
      <w:r w:rsidRPr="003A44DF">
        <w:rPr>
          <w:rFonts w:ascii="Calibri" w:hAnsi="Calibri" w:cs="Calibri"/>
          <w:i/>
          <w:iCs/>
        </w:rPr>
        <w:t>Nat Biotechnol</w:t>
      </w:r>
      <w:r w:rsidRPr="003A44DF">
        <w:rPr>
          <w:rFonts w:ascii="Calibri" w:hAnsi="Calibri" w:cs="Calibri"/>
        </w:rPr>
        <w:t xml:space="preserve"> </w:t>
      </w:r>
      <w:r w:rsidRPr="003A44DF">
        <w:rPr>
          <w:rFonts w:ascii="Calibri" w:hAnsi="Calibri" w:cs="Calibri"/>
          <w:b/>
          <w:bCs/>
        </w:rPr>
        <w:t>29</w:t>
      </w:r>
      <w:r w:rsidRPr="003A44DF">
        <w:rPr>
          <w:rFonts w:ascii="Calibri" w:hAnsi="Calibri" w:cs="Calibri"/>
        </w:rPr>
        <w:t>, 24–26 (2011).</w:t>
      </w:r>
    </w:p>
    <w:p w14:paraId="1D61C881" w14:textId="77777777" w:rsidR="003A44DF" w:rsidRPr="003A44DF" w:rsidRDefault="003A44DF" w:rsidP="00226F2F">
      <w:pPr>
        <w:pStyle w:val="Bibliography"/>
        <w:rPr>
          <w:rFonts w:ascii="Calibri" w:hAnsi="Calibri" w:cs="Calibri"/>
        </w:rPr>
      </w:pPr>
      <w:r w:rsidRPr="003A44DF">
        <w:rPr>
          <w:rFonts w:ascii="Calibri" w:hAnsi="Calibri" w:cs="Calibri"/>
        </w:rPr>
        <w:t>29.</w:t>
      </w:r>
      <w:r w:rsidRPr="003A44DF">
        <w:rPr>
          <w:rFonts w:ascii="Calibri" w:hAnsi="Calibri" w:cs="Calibri"/>
        </w:rPr>
        <w:tab/>
        <w:t xml:space="preserve">Niu, B. </w:t>
      </w:r>
      <w:r w:rsidRPr="003A44DF">
        <w:rPr>
          <w:rFonts w:ascii="Calibri" w:hAnsi="Calibri" w:cs="Calibri"/>
          <w:i/>
          <w:iCs/>
        </w:rPr>
        <w:t>et al.</w:t>
      </w:r>
      <w:r w:rsidRPr="003A44DF">
        <w:rPr>
          <w:rFonts w:ascii="Calibri" w:hAnsi="Calibri" w:cs="Calibri"/>
        </w:rPr>
        <w:t xml:space="preserve"> MSIsensor: microsatellite instability detection using paired tumor-normal sequence data. </w:t>
      </w:r>
      <w:r w:rsidRPr="003A44DF">
        <w:rPr>
          <w:rFonts w:ascii="Calibri" w:hAnsi="Calibri" w:cs="Calibri"/>
          <w:i/>
          <w:iCs/>
        </w:rPr>
        <w:t>Bioinformatics</w:t>
      </w:r>
      <w:r w:rsidRPr="003A44DF">
        <w:rPr>
          <w:rFonts w:ascii="Calibri" w:hAnsi="Calibri" w:cs="Calibri"/>
        </w:rPr>
        <w:t xml:space="preserve"> </w:t>
      </w:r>
      <w:r w:rsidRPr="003A44DF">
        <w:rPr>
          <w:rFonts w:ascii="Calibri" w:hAnsi="Calibri" w:cs="Calibri"/>
          <w:b/>
          <w:bCs/>
        </w:rPr>
        <w:t>30</w:t>
      </w:r>
      <w:r w:rsidRPr="003A44DF">
        <w:rPr>
          <w:rFonts w:ascii="Calibri" w:hAnsi="Calibri" w:cs="Calibri"/>
        </w:rPr>
        <w:t>, 1015–1016 (2014).</w:t>
      </w:r>
    </w:p>
    <w:p w14:paraId="418FC2D8" w14:textId="311B8E20" w:rsidR="007E5F22" w:rsidRPr="007E5F22" w:rsidRDefault="00686BC2" w:rsidP="00226F2F">
      <w:r>
        <w:fldChar w:fldCharType="end"/>
      </w:r>
    </w:p>
    <w:sectPr w:rsidR="007E5F22" w:rsidRPr="007E5F22" w:rsidSect="00724CC0">
      <w:footerReference w:type="default" r:id="rId39"/>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2AD7E8" w14:textId="77777777" w:rsidR="00224BD6" w:rsidRDefault="00224BD6" w:rsidP="00050B39">
      <w:r>
        <w:separator/>
      </w:r>
    </w:p>
  </w:endnote>
  <w:endnote w:type="continuationSeparator" w:id="0">
    <w:p w14:paraId="1E8F8CBA" w14:textId="77777777" w:rsidR="00224BD6" w:rsidRDefault="00224BD6" w:rsidP="00050B39">
      <w:r>
        <w:continuationSeparator/>
      </w:r>
    </w:p>
  </w:endnote>
  <w:endnote w:type="continuationNotice" w:id="1">
    <w:p w14:paraId="70521B9E" w14:textId="77777777" w:rsidR="00224BD6" w:rsidRDefault="00224BD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ystem-ui">
    <w:altName w:val="Cambria"/>
    <w:charset w:val="00"/>
    <w:family w:val="roman"/>
    <w:pitch w:val="default"/>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Helvetica Neue">
    <w:altName w:val="Sylfaen"/>
    <w:charset w:val="00"/>
    <w:family w:val="auto"/>
    <w:pitch w:val="variable"/>
    <w:sig w:usb0="E50002FF" w:usb1="500079DB" w:usb2="00000010" w:usb3="00000000" w:csb0="00000001" w:csb1="00000000"/>
  </w:font>
  <w:font w:name="Menlo">
    <w:charset w:val="00"/>
    <w:family w:val="modern"/>
    <w:pitch w:val="fixed"/>
    <w:sig w:usb0="E60022FF" w:usb1="D200F9FB" w:usb2="02000028" w:usb3="00000000" w:csb0="000001D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20884334"/>
      <w:docPartObj>
        <w:docPartGallery w:val="Page Numbers (Bottom of Page)"/>
        <w:docPartUnique/>
      </w:docPartObj>
    </w:sdtPr>
    <w:sdtEndPr>
      <w:rPr>
        <w:noProof/>
      </w:rPr>
    </w:sdtEndPr>
    <w:sdtContent>
      <w:p w14:paraId="3A97A337" w14:textId="243B5036" w:rsidR="00050B39" w:rsidRDefault="00050B39" w:rsidP="00000C83">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F39891D" w14:textId="77777777" w:rsidR="00050B39" w:rsidRDefault="00050B3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FC9032" w14:textId="77777777" w:rsidR="00224BD6" w:rsidRDefault="00224BD6" w:rsidP="00050B39">
      <w:r>
        <w:separator/>
      </w:r>
    </w:p>
  </w:footnote>
  <w:footnote w:type="continuationSeparator" w:id="0">
    <w:p w14:paraId="51274DB0" w14:textId="77777777" w:rsidR="00224BD6" w:rsidRDefault="00224BD6" w:rsidP="00050B39">
      <w:r>
        <w:continuationSeparator/>
      </w:r>
    </w:p>
  </w:footnote>
  <w:footnote w:type="continuationNotice" w:id="1">
    <w:p w14:paraId="790DB40A" w14:textId="77777777" w:rsidR="00224BD6" w:rsidRDefault="00224BD6"/>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4AD6083"/>
    <w:multiLevelType w:val="hybridMultilevel"/>
    <w:tmpl w:val="53B4B0C6"/>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7AE61758"/>
    <w:multiLevelType w:val="hybridMultilevel"/>
    <w:tmpl w:val="A45E56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530796343">
    <w:abstractNumId w:val="1"/>
  </w:num>
  <w:num w:numId="2" w16cid:durableId="12041696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1230"/>
    <w:rsid w:val="00000368"/>
    <w:rsid w:val="00000C83"/>
    <w:rsid w:val="00017910"/>
    <w:rsid w:val="000313AA"/>
    <w:rsid w:val="000350A8"/>
    <w:rsid w:val="00045181"/>
    <w:rsid w:val="00050B39"/>
    <w:rsid w:val="000547C0"/>
    <w:rsid w:val="00055904"/>
    <w:rsid w:val="000617E9"/>
    <w:rsid w:val="00062C40"/>
    <w:rsid w:val="00064A8A"/>
    <w:rsid w:val="000710DB"/>
    <w:rsid w:val="000772A2"/>
    <w:rsid w:val="00081153"/>
    <w:rsid w:val="00085460"/>
    <w:rsid w:val="00087752"/>
    <w:rsid w:val="000A080C"/>
    <w:rsid w:val="000A6C48"/>
    <w:rsid w:val="000A6CA4"/>
    <w:rsid w:val="000A7960"/>
    <w:rsid w:val="000C1224"/>
    <w:rsid w:val="000C3870"/>
    <w:rsid w:val="000C4708"/>
    <w:rsid w:val="000C6A6C"/>
    <w:rsid w:val="000D0FA5"/>
    <w:rsid w:val="000D3837"/>
    <w:rsid w:val="000D6BD5"/>
    <w:rsid w:val="000E5C33"/>
    <w:rsid w:val="000F2B51"/>
    <w:rsid w:val="000F7897"/>
    <w:rsid w:val="00107C4E"/>
    <w:rsid w:val="001105FC"/>
    <w:rsid w:val="001123ED"/>
    <w:rsid w:val="001153F6"/>
    <w:rsid w:val="001156DC"/>
    <w:rsid w:val="0011783C"/>
    <w:rsid w:val="00122029"/>
    <w:rsid w:val="00123112"/>
    <w:rsid w:val="00140B51"/>
    <w:rsid w:val="0014758A"/>
    <w:rsid w:val="00156466"/>
    <w:rsid w:val="00165147"/>
    <w:rsid w:val="00166ECC"/>
    <w:rsid w:val="0016711A"/>
    <w:rsid w:val="001725E8"/>
    <w:rsid w:val="001735E2"/>
    <w:rsid w:val="00184B0C"/>
    <w:rsid w:val="00195E40"/>
    <w:rsid w:val="001A2DF1"/>
    <w:rsid w:val="001A4204"/>
    <w:rsid w:val="001A4AC8"/>
    <w:rsid w:val="001A607B"/>
    <w:rsid w:val="001A64E5"/>
    <w:rsid w:val="001B1D14"/>
    <w:rsid w:val="001B567F"/>
    <w:rsid w:val="001C29E5"/>
    <w:rsid w:val="001C3DFB"/>
    <w:rsid w:val="001C5F91"/>
    <w:rsid w:val="001D1C64"/>
    <w:rsid w:val="001D2FA4"/>
    <w:rsid w:val="001F5688"/>
    <w:rsid w:val="0020100F"/>
    <w:rsid w:val="00202BA9"/>
    <w:rsid w:val="00202ED2"/>
    <w:rsid w:val="00207B51"/>
    <w:rsid w:val="0021173D"/>
    <w:rsid w:val="00221A1F"/>
    <w:rsid w:val="00224BD6"/>
    <w:rsid w:val="0022666C"/>
    <w:rsid w:val="00226F2F"/>
    <w:rsid w:val="002278F0"/>
    <w:rsid w:val="0023048A"/>
    <w:rsid w:val="002324B3"/>
    <w:rsid w:val="002346B1"/>
    <w:rsid w:val="002442A7"/>
    <w:rsid w:val="00246A43"/>
    <w:rsid w:val="00251F72"/>
    <w:rsid w:val="00252984"/>
    <w:rsid w:val="002530ED"/>
    <w:rsid w:val="002541AA"/>
    <w:rsid w:val="00270E4C"/>
    <w:rsid w:val="0027228C"/>
    <w:rsid w:val="0027738E"/>
    <w:rsid w:val="00282B0E"/>
    <w:rsid w:val="002942B6"/>
    <w:rsid w:val="002964E4"/>
    <w:rsid w:val="00296DA7"/>
    <w:rsid w:val="00296FC6"/>
    <w:rsid w:val="002A0348"/>
    <w:rsid w:val="002A33FB"/>
    <w:rsid w:val="002A4EE5"/>
    <w:rsid w:val="002B1782"/>
    <w:rsid w:val="002B2E30"/>
    <w:rsid w:val="002B3AA9"/>
    <w:rsid w:val="002B5E03"/>
    <w:rsid w:val="002C1D12"/>
    <w:rsid w:val="002C7F0B"/>
    <w:rsid w:val="002D0609"/>
    <w:rsid w:val="002D5C78"/>
    <w:rsid w:val="002D6479"/>
    <w:rsid w:val="002D6C10"/>
    <w:rsid w:val="002E18EF"/>
    <w:rsid w:val="002E1969"/>
    <w:rsid w:val="002E1B88"/>
    <w:rsid w:val="002E2250"/>
    <w:rsid w:val="002E50D7"/>
    <w:rsid w:val="002F1A09"/>
    <w:rsid w:val="002F4AE9"/>
    <w:rsid w:val="0030282D"/>
    <w:rsid w:val="00306B12"/>
    <w:rsid w:val="00307B75"/>
    <w:rsid w:val="003105EC"/>
    <w:rsid w:val="0031186D"/>
    <w:rsid w:val="00312CBD"/>
    <w:rsid w:val="00321BB2"/>
    <w:rsid w:val="00331762"/>
    <w:rsid w:val="00350C2B"/>
    <w:rsid w:val="00350DEB"/>
    <w:rsid w:val="00351B52"/>
    <w:rsid w:val="00353EFC"/>
    <w:rsid w:val="0035451A"/>
    <w:rsid w:val="00357FAD"/>
    <w:rsid w:val="003602BF"/>
    <w:rsid w:val="003630A8"/>
    <w:rsid w:val="00370BF1"/>
    <w:rsid w:val="00374896"/>
    <w:rsid w:val="003775EA"/>
    <w:rsid w:val="003829B0"/>
    <w:rsid w:val="003917EB"/>
    <w:rsid w:val="003A0559"/>
    <w:rsid w:val="003A3BD1"/>
    <w:rsid w:val="003A44DF"/>
    <w:rsid w:val="003A4C8A"/>
    <w:rsid w:val="003B3DE3"/>
    <w:rsid w:val="003C5310"/>
    <w:rsid w:val="003C53FF"/>
    <w:rsid w:val="003C5C39"/>
    <w:rsid w:val="003D2F49"/>
    <w:rsid w:val="003E4D9A"/>
    <w:rsid w:val="003E5D0B"/>
    <w:rsid w:val="003E72BA"/>
    <w:rsid w:val="003E7FF2"/>
    <w:rsid w:val="003F6BA0"/>
    <w:rsid w:val="003F75C1"/>
    <w:rsid w:val="003F7A5D"/>
    <w:rsid w:val="00400DAE"/>
    <w:rsid w:val="00410231"/>
    <w:rsid w:val="004228CD"/>
    <w:rsid w:val="00426197"/>
    <w:rsid w:val="0045FC17"/>
    <w:rsid w:val="00461418"/>
    <w:rsid w:val="004615DC"/>
    <w:rsid w:val="00462EFC"/>
    <w:rsid w:val="00476C93"/>
    <w:rsid w:val="00483640"/>
    <w:rsid w:val="00485A0E"/>
    <w:rsid w:val="0048675A"/>
    <w:rsid w:val="004957A9"/>
    <w:rsid w:val="004A00F9"/>
    <w:rsid w:val="004B14AC"/>
    <w:rsid w:val="004B4040"/>
    <w:rsid w:val="004B4E62"/>
    <w:rsid w:val="004B7C6F"/>
    <w:rsid w:val="004B7DAD"/>
    <w:rsid w:val="004C144A"/>
    <w:rsid w:val="004C197C"/>
    <w:rsid w:val="004C3D84"/>
    <w:rsid w:val="004D09FC"/>
    <w:rsid w:val="004D1B21"/>
    <w:rsid w:val="00501481"/>
    <w:rsid w:val="0051624B"/>
    <w:rsid w:val="00520B09"/>
    <w:rsid w:val="0052121F"/>
    <w:rsid w:val="00521BE4"/>
    <w:rsid w:val="005232A7"/>
    <w:rsid w:val="00523414"/>
    <w:rsid w:val="005254E9"/>
    <w:rsid w:val="00525DF9"/>
    <w:rsid w:val="005322A4"/>
    <w:rsid w:val="00541BAD"/>
    <w:rsid w:val="005702C6"/>
    <w:rsid w:val="00575B36"/>
    <w:rsid w:val="00575B84"/>
    <w:rsid w:val="00581FD2"/>
    <w:rsid w:val="0058377C"/>
    <w:rsid w:val="00591E7C"/>
    <w:rsid w:val="005925BA"/>
    <w:rsid w:val="0059434A"/>
    <w:rsid w:val="005A674A"/>
    <w:rsid w:val="005A7B90"/>
    <w:rsid w:val="005B1B77"/>
    <w:rsid w:val="005B3A1C"/>
    <w:rsid w:val="005C312B"/>
    <w:rsid w:val="005C5408"/>
    <w:rsid w:val="005D1D91"/>
    <w:rsid w:val="005D3E67"/>
    <w:rsid w:val="005E170C"/>
    <w:rsid w:val="005E72BA"/>
    <w:rsid w:val="00607274"/>
    <w:rsid w:val="006123E3"/>
    <w:rsid w:val="00612E5A"/>
    <w:rsid w:val="006256EF"/>
    <w:rsid w:val="00645CD4"/>
    <w:rsid w:val="00646625"/>
    <w:rsid w:val="00647AE6"/>
    <w:rsid w:val="00657BD2"/>
    <w:rsid w:val="006609E6"/>
    <w:rsid w:val="006627F8"/>
    <w:rsid w:val="00667AA8"/>
    <w:rsid w:val="006724B2"/>
    <w:rsid w:val="00676483"/>
    <w:rsid w:val="00676F90"/>
    <w:rsid w:val="00681086"/>
    <w:rsid w:val="0068510F"/>
    <w:rsid w:val="00686BC2"/>
    <w:rsid w:val="00694418"/>
    <w:rsid w:val="006A3C80"/>
    <w:rsid w:val="006B4973"/>
    <w:rsid w:val="006C2667"/>
    <w:rsid w:val="006C33E8"/>
    <w:rsid w:val="006C3C59"/>
    <w:rsid w:val="006D21D2"/>
    <w:rsid w:val="006E2FD9"/>
    <w:rsid w:val="006F1EA4"/>
    <w:rsid w:val="006F2408"/>
    <w:rsid w:val="006F3193"/>
    <w:rsid w:val="006F747F"/>
    <w:rsid w:val="006F78E9"/>
    <w:rsid w:val="0070008E"/>
    <w:rsid w:val="0070396B"/>
    <w:rsid w:val="00704F66"/>
    <w:rsid w:val="00711E3B"/>
    <w:rsid w:val="00716401"/>
    <w:rsid w:val="00722936"/>
    <w:rsid w:val="00724CC0"/>
    <w:rsid w:val="00725DBC"/>
    <w:rsid w:val="00730C13"/>
    <w:rsid w:val="00743E34"/>
    <w:rsid w:val="00761BC1"/>
    <w:rsid w:val="00762815"/>
    <w:rsid w:val="00767AD9"/>
    <w:rsid w:val="0077385F"/>
    <w:rsid w:val="00773987"/>
    <w:rsid w:val="007750B6"/>
    <w:rsid w:val="00780D73"/>
    <w:rsid w:val="007843A8"/>
    <w:rsid w:val="00791ACF"/>
    <w:rsid w:val="007B3E10"/>
    <w:rsid w:val="007B461D"/>
    <w:rsid w:val="007B4ECC"/>
    <w:rsid w:val="007B6893"/>
    <w:rsid w:val="007C1230"/>
    <w:rsid w:val="007C4775"/>
    <w:rsid w:val="007C54B3"/>
    <w:rsid w:val="007E5F22"/>
    <w:rsid w:val="007F0DB5"/>
    <w:rsid w:val="007F12A1"/>
    <w:rsid w:val="007F69F7"/>
    <w:rsid w:val="0080470B"/>
    <w:rsid w:val="00815454"/>
    <w:rsid w:val="00817F4C"/>
    <w:rsid w:val="00830480"/>
    <w:rsid w:val="008305CA"/>
    <w:rsid w:val="008326E0"/>
    <w:rsid w:val="008371FA"/>
    <w:rsid w:val="0084235A"/>
    <w:rsid w:val="00843B07"/>
    <w:rsid w:val="00845100"/>
    <w:rsid w:val="00853B95"/>
    <w:rsid w:val="00854741"/>
    <w:rsid w:val="008640D1"/>
    <w:rsid w:val="00864492"/>
    <w:rsid w:val="00866C55"/>
    <w:rsid w:val="00873DE8"/>
    <w:rsid w:val="00875C7A"/>
    <w:rsid w:val="00881910"/>
    <w:rsid w:val="00882BE3"/>
    <w:rsid w:val="008842B3"/>
    <w:rsid w:val="00884665"/>
    <w:rsid w:val="0088483D"/>
    <w:rsid w:val="008919F0"/>
    <w:rsid w:val="008A184E"/>
    <w:rsid w:val="008A7711"/>
    <w:rsid w:val="008B40AE"/>
    <w:rsid w:val="008C088B"/>
    <w:rsid w:val="008C2387"/>
    <w:rsid w:val="008C28A1"/>
    <w:rsid w:val="008C321F"/>
    <w:rsid w:val="008C5D95"/>
    <w:rsid w:val="008C65E9"/>
    <w:rsid w:val="008D1C5F"/>
    <w:rsid w:val="008D5F39"/>
    <w:rsid w:val="008D6BEE"/>
    <w:rsid w:val="008F0513"/>
    <w:rsid w:val="009015D6"/>
    <w:rsid w:val="009020E5"/>
    <w:rsid w:val="0090721D"/>
    <w:rsid w:val="00907D70"/>
    <w:rsid w:val="009109E8"/>
    <w:rsid w:val="00910D20"/>
    <w:rsid w:val="00911408"/>
    <w:rsid w:val="009206C3"/>
    <w:rsid w:val="00921F09"/>
    <w:rsid w:val="00922254"/>
    <w:rsid w:val="00930676"/>
    <w:rsid w:val="00930B8A"/>
    <w:rsid w:val="00931A82"/>
    <w:rsid w:val="00932EE0"/>
    <w:rsid w:val="009337AD"/>
    <w:rsid w:val="00944A84"/>
    <w:rsid w:val="00951589"/>
    <w:rsid w:val="0095600A"/>
    <w:rsid w:val="00960DAB"/>
    <w:rsid w:val="009610B9"/>
    <w:rsid w:val="0097091E"/>
    <w:rsid w:val="009754AC"/>
    <w:rsid w:val="009852C4"/>
    <w:rsid w:val="00991DBB"/>
    <w:rsid w:val="00991EA5"/>
    <w:rsid w:val="00992DAE"/>
    <w:rsid w:val="009940E6"/>
    <w:rsid w:val="009975BE"/>
    <w:rsid w:val="00997D5F"/>
    <w:rsid w:val="009A1CE3"/>
    <w:rsid w:val="009A22AD"/>
    <w:rsid w:val="009A4F6C"/>
    <w:rsid w:val="009A55C8"/>
    <w:rsid w:val="009A5F24"/>
    <w:rsid w:val="009A7BBB"/>
    <w:rsid w:val="009B2638"/>
    <w:rsid w:val="009B485A"/>
    <w:rsid w:val="009C3D53"/>
    <w:rsid w:val="009C761C"/>
    <w:rsid w:val="009D2C5D"/>
    <w:rsid w:val="009E34BE"/>
    <w:rsid w:val="009E677A"/>
    <w:rsid w:val="009E7A1F"/>
    <w:rsid w:val="009F1404"/>
    <w:rsid w:val="009F69F3"/>
    <w:rsid w:val="00A023DF"/>
    <w:rsid w:val="00A02DCC"/>
    <w:rsid w:val="00A0771E"/>
    <w:rsid w:val="00A07B37"/>
    <w:rsid w:val="00A101B3"/>
    <w:rsid w:val="00A11855"/>
    <w:rsid w:val="00A125E6"/>
    <w:rsid w:val="00A15F8B"/>
    <w:rsid w:val="00A205B5"/>
    <w:rsid w:val="00A22F89"/>
    <w:rsid w:val="00A23F50"/>
    <w:rsid w:val="00A247B6"/>
    <w:rsid w:val="00A269ED"/>
    <w:rsid w:val="00A34434"/>
    <w:rsid w:val="00A34596"/>
    <w:rsid w:val="00A4550C"/>
    <w:rsid w:val="00A5088C"/>
    <w:rsid w:val="00A50B63"/>
    <w:rsid w:val="00A5193E"/>
    <w:rsid w:val="00A55D63"/>
    <w:rsid w:val="00A63560"/>
    <w:rsid w:val="00A6360B"/>
    <w:rsid w:val="00A655DD"/>
    <w:rsid w:val="00A65A35"/>
    <w:rsid w:val="00A65D13"/>
    <w:rsid w:val="00A65F82"/>
    <w:rsid w:val="00A8176A"/>
    <w:rsid w:val="00A8257B"/>
    <w:rsid w:val="00A83FB7"/>
    <w:rsid w:val="00A876DF"/>
    <w:rsid w:val="00A945D0"/>
    <w:rsid w:val="00AB1242"/>
    <w:rsid w:val="00AB1751"/>
    <w:rsid w:val="00AB2D11"/>
    <w:rsid w:val="00AB4BAE"/>
    <w:rsid w:val="00AB7DC4"/>
    <w:rsid w:val="00AC076C"/>
    <w:rsid w:val="00AC204C"/>
    <w:rsid w:val="00AC5995"/>
    <w:rsid w:val="00AC7055"/>
    <w:rsid w:val="00AD73B6"/>
    <w:rsid w:val="00AE361F"/>
    <w:rsid w:val="00AF4CA5"/>
    <w:rsid w:val="00B0502C"/>
    <w:rsid w:val="00B05532"/>
    <w:rsid w:val="00B11988"/>
    <w:rsid w:val="00B122CA"/>
    <w:rsid w:val="00B12F3C"/>
    <w:rsid w:val="00B134C6"/>
    <w:rsid w:val="00B160E6"/>
    <w:rsid w:val="00B21224"/>
    <w:rsid w:val="00B21230"/>
    <w:rsid w:val="00B26D3F"/>
    <w:rsid w:val="00B26E0C"/>
    <w:rsid w:val="00B30428"/>
    <w:rsid w:val="00B30DD1"/>
    <w:rsid w:val="00B311C9"/>
    <w:rsid w:val="00B342F4"/>
    <w:rsid w:val="00B4009A"/>
    <w:rsid w:val="00B4711B"/>
    <w:rsid w:val="00B5242B"/>
    <w:rsid w:val="00B55C1E"/>
    <w:rsid w:val="00B57858"/>
    <w:rsid w:val="00B73E1D"/>
    <w:rsid w:val="00B759EA"/>
    <w:rsid w:val="00B800B5"/>
    <w:rsid w:val="00B815AE"/>
    <w:rsid w:val="00B81ADF"/>
    <w:rsid w:val="00B81BE8"/>
    <w:rsid w:val="00B82651"/>
    <w:rsid w:val="00B843E4"/>
    <w:rsid w:val="00B845E9"/>
    <w:rsid w:val="00B860CB"/>
    <w:rsid w:val="00B87323"/>
    <w:rsid w:val="00B90C3A"/>
    <w:rsid w:val="00B9266A"/>
    <w:rsid w:val="00B973B6"/>
    <w:rsid w:val="00BA094E"/>
    <w:rsid w:val="00BA112C"/>
    <w:rsid w:val="00BA4226"/>
    <w:rsid w:val="00BA5A5D"/>
    <w:rsid w:val="00BA5EFA"/>
    <w:rsid w:val="00BB03C7"/>
    <w:rsid w:val="00BB071D"/>
    <w:rsid w:val="00BB3CE3"/>
    <w:rsid w:val="00BE1457"/>
    <w:rsid w:val="00BE17BC"/>
    <w:rsid w:val="00BE3E6B"/>
    <w:rsid w:val="00BE69CF"/>
    <w:rsid w:val="00BF37FB"/>
    <w:rsid w:val="00BF3C5C"/>
    <w:rsid w:val="00BF76FE"/>
    <w:rsid w:val="00C02211"/>
    <w:rsid w:val="00C04034"/>
    <w:rsid w:val="00C0435B"/>
    <w:rsid w:val="00C05142"/>
    <w:rsid w:val="00C22D9D"/>
    <w:rsid w:val="00C26BEB"/>
    <w:rsid w:val="00C46AD6"/>
    <w:rsid w:val="00C50F76"/>
    <w:rsid w:val="00C600E9"/>
    <w:rsid w:val="00C6036B"/>
    <w:rsid w:val="00C60630"/>
    <w:rsid w:val="00C66160"/>
    <w:rsid w:val="00C713C7"/>
    <w:rsid w:val="00C725EF"/>
    <w:rsid w:val="00C820F2"/>
    <w:rsid w:val="00C842DE"/>
    <w:rsid w:val="00C84520"/>
    <w:rsid w:val="00C91B59"/>
    <w:rsid w:val="00C94383"/>
    <w:rsid w:val="00CA045C"/>
    <w:rsid w:val="00CA14B9"/>
    <w:rsid w:val="00CA34B1"/>
    <w:rsid w:val="00CB284D"/>
    <w:rsid w:val="00CB3DAB"/>
    <w:rsid w:val="00CB6258"/>
    <w:rsid w:val="00CD4456"/>
    <w:rsid w:val="00CE10F3"/>
    <w:rsid w:val="00CE3A2A"/>
    <w:rsid w:val="00CF27E9"/>
    <w:rsid w:val="00CF3528"/>
    <w:rsid w:val="00D00722"/>
    <w:rsid w:val="00D062BD"/>
    <w:rsid w:val="00D139C1"/>
    <w:rsid w:val="00D14A66"/>
    <w:rsid w:val="00D14F36"/>
    <w:rsid w:val="00D25556"/>
    <w:rsid w:val="00D30627"/>
    <w:rsid w:val="00D41FC8"/>
    <w:rsid w:val="00D42C2A"/>
    <w:rsid w:val="00D431EB"/>
    <w:rsid w:val="00D45437"/>
    <w:rsid w:val="00D466AA"/>
    <w:rsid w:val="00D52375"/>
    <w:rsid w:val="00D54FF7"/>
    <w:rsid w:val="00D60612"/>
    <w:rsid w:val="00D643FD"/>
    <w:rsid w:val="00D6697B"/>
    <w:rsid w:val="00D671F3"/>
    <w:rsid w:val="00D7043A"/>
    <w:rsid w:val="00D72F91"/>
    <w:rsid w:val="00D730CF"/>
    <w:rsid w:val="00D82039"/>
    <w:rsid w:val="00D9674F"/>
    <w:rsid w:val="00DA4299"/>
    <w:rsid w:val="00DA43A2"/>
    <w:rsid w:val="00DA516C"/>
    <w:rsid w:val="00DA6390"/>
    <w:rsid w:val="00DB1894"/>
    <w:rsid w:val="00DB6F73"/>
    <w:rsid w:val="00DC44F7"/>
    <w:rsid w:val="00DE0062"/>
    <w:rsid w:val="00DE1733"/>
    <w:rsid w:val="00DE5D1B"/>
    <w:rsid w:val="00DE73EC"/>
    <w:rsid w:val="00DF191F"/>
    <w:rsid w:val="00DF1B33"/>
    <w:rsid w:val="00DF557D"/>
    <w:rsid w:val="00E005B3"/>
    <w:rsid w:val="00E023C9"/>
    <w:rsid w:val="00E1320C"/>
    <w:rsid w:val="00E26AF8"/>
    <w:rsid w:val="00E2765B"/>
    <w:rsid w:val="00E325FB"/>
    <w:rsid w:val="00E35A15"/>
    <w:rsid w:val="00E36E49"/>
    <w:rsid w:val="00E41FA0"/>
    <w:rsid w:val="00E442B2"/>
    <w:rsid w:val="00E4458F"/>
    <w:rsid w:val="00E447DC"/>
    <w:rsid w:val="00E478CB"/>
    <w:rsid w:val="00E61240"/>
    <w:rsid w:val="00E6323A"/>
    <w:rsid w:val="00E65BFF"/>
    <w:rsid w:val="00E716BD"/>
    <w:rsid w:val="00E804F4"/>
    <w:rsid w:val="00E8099F"/>
    <w:rsid w:val="00E8525C"/>
    <w:rsid w:val="00E86919"/>
    <w:rsid w:val="00E960A6"/>
    <w:rsid w:val="00EA2492"/>
    <w:rsid w:val="00EA31ED"/>
    <w:rsid w:val="00EA513F"/>
    <w:rsid w:val="00EB3D74"/>
    <w:rsid w:val="00EB5FA5"/>
    <w:rsid w:val="00EB6F51"/>
    <w:rsid w:val="00EC02B5"/>
    <w:rsid w:val="00ED2325"/>
    <w:rsid w:val="00ED3A49"/>
    <w:rsid w:val="00ED51CD"/>
    <w:rsid w:val="00EF7914"/>
    <w:rsid w:val="00F0236A"/>
    <w:rsid w:val="00F0651A"/>
    <w:rsid w:val="00F12134"/>
    <w:rsid w:val="00F17FCA"/>
    <w:rsid w:val="00F2466F"/>
    <w:rsid w:val="00F30B9B"/>
    <w:rsid w:val="00F322F4"/>
    <w:rsid w:val="00F32344"/>
    <w:rsid w:val="00F334CA"/>
    <w:rsid w:val="00F40E6B"/>
    <w:rsid w:val="00F42E9B"/>
    <w:rsid w:val="00F5501E"/>
    <w:rsid w:val="00F61DA3"/>
    <w:rsid w:val="00F77BF9"/>
    <w:rsid w:val="00F82B23"/>
    <w:rsid w:val="00F84546"/>
    <w:rsid w:val="00F8474F"/>
    <w:rsid w:val="00F8655E"/>
    <w:rsid w:val="00F91103"/>
    <w:rsid w:val="00F937D3"/>
    <w:rsid w:val="00F93A3A"/>
    <w:rsid w:val="00F93FAB"/>
    <w:rsid w:val="00F9588E"/>
    <w:rsid w:val="00FB05A0"/>
    <w:rsid w:val="00FB3A82"/>
    <w:rsid w:val="00FC2953"/>
    <w:rsid w:val="00FC2E93"/>
    <w:rsid w:val="00FD7F70"/>
    <w:rsid w:val="00FE4633"/>
    <w:rsid w:val="00FE72BC"/>
    <w:rsid w:val="00FF02C9"/>
    <w:rsid w:val="00FF2225"/>
    <w:rsid w:val="00FF3BB6"/>
    <w:rsid w:val="00FF6CED"/>
    <w:rsid w:val="01E62393"/>
    <w:rsid w:val="036F446C"/>
    <w:rsid w:val="0C04B0F5"/>
    <w:rsid w:val="0D4C994C"/>
    <w:rsid w:val="131B068E"/>
    <w:rsid w:val="148FCAF4"/>
    <w:rsid w:val="176A7B5A"/>
    <w:rsid w:val="3AC5E12B"/>
    <w:rsid w:val="45633D4B"/>
    <w:rsid w:val="46EFF0F0"/>
    <w:rsid w:val="49DF2509"/>
    <w:rsid w:val="4DD1B4B9"/>
    <w:rsid w:val="5157FBE6"/>
    <w:rsid w:val="55C88458"/>
    <w:rsid w:val="5AACFE7C"/>
    <w:rsid w:val="5D34D71B"/>
    <w:rsid w:val="5F86311B"/>
    <w:rsid w:val="6297F841"/>
    <w:rsid w:val="6CFDC3B5"/>
    <w:rsid w:val="6DC3D8D5"/>
    <w:rsid w:val="6E59176F"/>
    <w:rsid w:val="6E78505F"/>
    <w:rsid w:val="6F2543B1"/>
    <w:rsid w:val="6F5D8514"/>
    <w:rsid w:val="7AEB87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356EDF"/>
  <w15:chartTrackingRefBased/>
  <w15:docId w15:val="{F7C38402-D019-4B74-9486-0DF418FE8E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B3A1C"/>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085460"/>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7B3E10"/>
    <w:pPr>
      <w:keepNext/>
      <w:keepLines/>
      <w:spacing w:before="40"/>
      <w:jc w:val="both"/>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7C1230"/>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DefaultParagraphFont"/>
    <w:rsid w:val="007C1230"/>
  </w:style>
  <w:style w:type="character" w:customStyle="1" w:styleId="eop">
    <w:name w:val="eop"/>
    <w:basedOn w:val="DefaultParagraphFont"/>
    <w:rsid w:val="007C1230"/>
  </w:style>
  <w:style w:type="character" w:styleId="Hyperlink">
    <w:name w:val="Hyperlink"/>
    <w:basedOn w:val="DefaultParagraphFont"/>
    <w:uiPriority w:val="99"/>
    <w:unhideWhenUsed/>
    <w:rPr>
      <w:color w:val="0563C1" w:themeColor="hyperlink"/>
      <w:u w:val="single"/>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085460"/>
    <w:rPr>
      <w:rFonts w:asciiTheme="majorHAnsi" w:eastAsiaTheme="majorEastAsia" w:hAnsiTheme="majorHAnsi" w:cstheme="majorBidi"/>
      <w:color w:val="1F3763" w:themeColor="accent1" w:themeShade="7F"/>
    </w:rPr>
  </w:style>
  <w:style w:type="character" w:styleId="CommentReference">
    <w:name w:val="annotation reference"/>
    <w:basedOn w:val="DefaultParagraphFont"/>
    <w:uiPriority w:val="99"/>
    <w:semiHidden/>
    <w:unhideWhenUsed/>
    <w:rsid w:val="00085460"/>
    <w:rPr>
      <w:sz w:val="16"/>
      <w:szCs w:val="16"/>
    </w:rPr>
  </w:style>
  <w:style w:type="paragraph" w:styleId="CommentText">
    <w:name w:val="annotation text"/>
    <w:basedOn w:val="Normal"/>
    <w:link w:val="CommentTextChar"/>
    <w:uiPriority w:val="99"/>
    <w:unhideWhenUsed/>
    <w:rsid w:val="00085460"/>
    <w:pPr>
      <w:spacing w:before="120" w:after="180"/>
    </w:pPr>
    <w:rPr>
      <w:rFonts w:eastAsiaTheme="minorEastAsia"/>
      <w:sz w:val="20"/>
      <w:szCs w:val="20"/>
    </w:rPr>
  </w:style>
  <w:style w:type="character" w:customStyle="1" w:styleId="CommentTextChar">
    <w:name w:val="Comment Text Char"/>
    <w:basedOn w:val="DefaultParagraphFont"/>
    <w:link w:val="CommentText"/>
    <w:uiPriority w:val="99"/>
    <w:rsid w:val="00085460"/>
    <w:rPr>
      <w:rFonts w:eastAsiaTheme="minorEastAsia"/>
      <w:sz w:val="20"/>
      <w:szCs w:val="20"/>
    </w:rPr>
  </w:style>
  <w:style w:type="paragraph" w:styleId="Caption">
    <w:name w:val="caption"/>
    <w:basedOn w:val="Normal"/>
    <w:next w:val="Normal"/>
    <w:uiPriority w:val="35"/>
    <w:unhideWhenUsed/>
    <w:qFormat/>
    <w:rsid w:val="00085460"/>
    <w:pPr>
      <w:spacing w:before="120" w:after="200"/>
    </w:pPr>
    <w:rPr>
      <w:rFonts w:eastAsiaTheme="minorEastAsia"/>
      <w:i/>
      <w:iCs/>
      <w:color w:val="44546A" w:themeColor="text2"/>
      <w:sz w:val="18"/>
      <w:szCs w:val="18"/>
    </w:rPr>
  </w:style>
  <w:style w:type="paragraph" w:styleId="Revision">
    <w:name w:val="Revision"/>
    <w:hidden/>
    <w:uiPriority w:val="99"/>
    <w:semiHidden/>
    <w:rsid w:val="00BF37FB"/>
  </w:style>
  <w:style w:type="paragraph" w:styleId="CommentSubject">
    <w:name w:val="annotation subject"/>
    <w:basedOn w:val="CommentText"/>
    <w:next w:val="CommentText"/>
    <w:link w:val="CommentSubjectChar"/>
    <w:uiPriority w:val="99"/>
    <w:semiHidden/>
    <w:unhideWhenUsed/>
    <w:rsid w:val="003A0559"/>
    <w:pPr>
      <w:spacing w:before="0" w:after="0"/>
    </w:pPr>
    <w:rPr>
      <w:rFonts w:eastAsiaTheme="minorHAnsi"/>
      <w:b/>
      <w:bCs/>
    </w:rPr>
  </w:style>
  <w:style w:type="character" w:customStyle="1" w:styleId="CommentSubjectChar">
    <w:name w:val="Comment Subject Char"/>
    <w:basedOn w:val="CommentTextChar"/>
    <w:link w:val="CommentSubject"/>
    <w:uiPriority w:val="99"/>
    <w:semiHidden/>
    <w:rsid w:val="003A0559"/>
    <w:rPr>
      <w:rFonts w:eastAsiaTheme="minorEastAsia"/>
      <w:b/>
      <w:bCs/>
      <w:sz w:val="20"/>
      <w:szCs w:val="20"/>
    </w:rPr>
  </w:style>
  <w:style w:type="character" w:styleId="Mention">
    <w:name w:val="Mention"/>
    <w:basedOn w:val="DefaultParagraphFont"/>
    <w:uiPriority w:val="99"/>
    <w:unhideWhenUsed/>
    <w:rsid w:val="003A0559"/>
    <w:rPr>
      <w:color w:val="2B579A"/>
      <w:shd w:val="clear" w:color="auto" w:fill="E1DFDD"/>
    </w:rPr>
  </w:style>
  <w:style w:type="character" w:customStyle="1" w:styleId="Heading1Char">
    <w:name w:val="Heading 1 Char"/>
    <w:basedOn w:val="DefaultParagraphFont"/>
    <w:link w:val="Heading1"/>
    <w:uiPriority w:val="9"/>
    <w:rsid w:val="005B3A1C"/>
    <w:rPr>
      <w:rFonts w:asciiTheme="majorHAnsi" w:eastAsiaTheme="majorEastAsia" w:hAnsiTheme="majorHAnsi" w:cstheme="majorBidi"/>
      <w:color w:val="2F5496" w:themeColor="accent1" w:themeShade="BF"/>
      <w:sz w:val="32"/>
      <w:szCs w:val="32"/>
    </w:rPr>
  </w:style>
  <w:style w:type="paragraph" w:styleId="Header">
    <w:name w:val="header"/>
    <w:basedOn w:val="Normal"/>
    <w:link w:val="HeaderChar"/>
    <w:uiPriority w:val="99"/>
    <w:unhideWhenUsed/>
    <w:rsid w:val="00050B39"/>
    <w:pPr>
      <w:tabs>
        <w:tab w:val="center" w:pos="4680"/>
        <w:tab w:val="right" w:pos="9360"/>
      </w:tabs>
    </w:pPr>
  </w:style>
  <w:style w:type="character" w:customStyle="1" w:styleId="HeaderChar">
    <w:name w:val="Header Char"/>
    <w:basedOn w:val="DefaultParagraphFont"/>
    <w:link w:val="Header"/>
    <w:uiPriority w:val="99"/>
    <w:rsid w:val="00050B39"/>
  </w:style>
  <w:style w:type="paragraph" w:styleId="Footer">
    <w:name w:val="footer"/>
    <w:basedOn w:val="Normal"/>
    <w:link w:val="FooterChar"/>
    <w:uiPriority w:val="99"/>
    <w:unhideWhenUsed/>
    <w:rsid w:val="00050B39"/>
    <w:pPr>
      <w:tabs>
        <w:tab w:val="center" w:pos="4680"/>
        <w:tab w:val="right" w:pos="9360"/>
      </w:tabs>
    </w:pPr>
  </w:style>
  <w:style w:type="character" w:customStyle="1" w:styleId="FooterChar">
    <w:name w:val="Footer Char"/>
    <w:basedOn w:val="DefaultParagraphFont"/>
    <w:link w:val="Footer"/>
    <w:uiPriority w:val="99"/>
    <w:rsid w:val="00050B39"/>
  </w:style>
  <w:style w:type="character" w:customStyle="1" w:styleId="Heading4Char">
    <w:name w:val="Heading 4 Char"/>
    <w:basedOn w:val="DefaultParagraphFont"/>
    <w:link w:val="Heading4"/>
    <w:uiPriority w:val="9"/>
    <w:rsid w:val="007B3E10"/>
    <w:rPr>
      <w:rFonts w:asciiTheme="majorHAnsi" w:eastAsiaTheme="majorEastAsia" w:hAnsiTheme="majorHAnsi" w:cstheme="majorBidi"/>
      <w:i/>
      <w:iCs/>
      <w:color w:val="2F5496" w:themeColor="accent1" w:themeShade="BF"/>
    </w:rPr>
  </w:style>
  <w:style w:type="table" w:styleId="TableGrid">
    <w:name w:val="Table Grid"/>
    <w:basedOn w:val="TableNormal"/>
    <w:uiPriority w:val="59"/>
    <w:rsid w:val="00246A43"/>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phy">
    <w:name w:val="Bibliography"/>
    <w:basedOn w:val="Normal"/>
    <w:next w:val="Normal"/>
    <w:uiPriority w:val="37"/>
    <w:unhideWhenUsed/>
    <w:rsid w:val="00686BC2"/>
    <w:pPr>
      <w:tabs>
        <w:tab w:val="left" w:pos="384"/>
      </w:tabs>
      <w:spacing w:line="480" w:lineRule="auto"/>
      <w:ind w:left="384" w:hanging="384"/>
    </w:pPr>
  </w:style>
  <w:style w:type="paragraph" w:styleId="ListParagraph">
    <w:name w:val="List Paragraph"/>
    <w:basedOn w:val="Normal"/>
    <w:uiPriority w:val="34"/>
    <w:qFormat/>
    <w:rsid w:val="00000C8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6981924">
      <w:bodyDiv w:val="1"/>
      <w:marLeft w:val="0"/>
      <w:marRight w:val="0"/>
      <w:marTop w:val="0"/>
      <w:marBottom w:val="0"/>
      <w:divBdr>
        <w:top w:val="none" w:sz="0" w:space="0" w:color="auto"/>
        <w:left w:val="none" w:sz="0" w:space="0" w:color="auto"/>
        <w:bottom w:val="none" w:sz="0" w:space="0" w:color="auto"/>
        <w:right w:val="none" w:sz="0" w:space="0" w:color="auto"/>
      </w:divBdr>
    </w:div>
    <w:div w:id="1884054096">
      <w:bodyDiv w:val="1"/>
      <w:marLeft w:val="0"/>
      <w:marRight w:val="0"/>
      <w:marTop w:val="0"/>
      <w:marBottom w:val="0"/>
      <w:divBdr>
        <w:top w:val="none" w:sz="0" w:space="0" w:color="auto"/>
        <w:left w:val="none" w:sz="0" w:space="0" w:color="auto"/>
        <w:bottom w:val="none" w:sz="0" w:space="0" w:color="auto"/>
        <w:right w:val="none" w:sz="0" w:space="0" w:color="auto"/>
      </w:divBdr>
      <w:divsChild>
        <w:div w:id="664674266">
          <w:marLeft w:val="0"/>
          <w:marRight w:val="0"/>
          <w:marTop w:val="0"/>
          <w:marBottom w:val="0"/>
          <w:divBdr>
            <w:top w:val="none" w:sz="0" w:space="0" w:color="auto"/>
            <w:left w:val="none" w:sz="0" w:space="0" w:color="auto"/>
            <w:bottom w:val="none" w:sz="0" w:space="0" w:color="auto"/>
            <w:right w:val="none" w:sz="0" w:space="0" w:color="auto"/>
          </w:divBdr>
        </w:div>
        <w:div w:id="1095591557">
          <w:marLeft w:val="0"/>
          <w:marRight w:val="0"/>
          <w:marTop w:val="0"/>
          <w:marBottom w:val="0"/>
          <w:divBdr>
            <w:top w:val="none" w:sz="0" w:space="0" w:color="auto"/>
            <w:left w:val="none" w:sz="0" w:space="0" w:color="auto"/>
            <w:bottom w:val="none" w:sz="0" w:space="0" w:color="auto"/>
            <w:right w:val="none" w:sz="0" w:space="0" w:color="auto"/>
          </w:divBdr>
        </w:div>
        <w:div w:id="1341858316">
          <w:marLeft w:val="0"/>
          <w:marRight w:val="0"/>
          <w:marTop w:val="0"/>
          <w:marBottom w:val="0"/>
          <w:divBdr>
            <w:top w:val="none" w:sz="0" w:space="0" w:color="auto"/>
            <w:left w:val="none" w:sz="0" w:space="0" w:color="auto"/>
            <w:bottom w:val="none" w:sz="0" w:space="0" w:color="auto"/>
            <w:right w:val="none" w:sz="0" w:space="0" w:color="auto"/>
          </w:divBdr>
        </w:div>
        <w:div w:id="1370303290">
          <w:marLeft w:val="0"/>
          <w:marRight w:val="0"/>
          <w:marTop w:val="0"/>
          <w:marBottom w:val="0"/>
          <w:divBdr>
            <w:top w:val="none" w:sz="0" w:space="0" w:color="auto"/>
            <w:left w:val="none" w:sz="0" w:space="0" w:color="auto"/>
            <w:bottom w:val="none" w:sz="0" w:space="0" w:color="auto"/>
            <w:right w:val="none" w:sz="0" w:space="0" w:color="auto"/>
          </w:divBdr>
        </w:div>
        <w:div w:id="1652246041">
          <w:marLeft w:val="0"/>
          <w:marRight w:val="0"/>
          <w:marTop w:val="0"/>
          <w:marBottom w:val="0"/>
          <w:divBdr>
            <w:top w:val="none" w:sz="0" w:space="0" w:color="auto"/>
            <w:left w:val="none" w:sz="0" w:space="0" w:color="auto"/>
            <w:bottom w:val="none" w:sz="0" w:space="0" w:color="auto"/>
            <w:right w:val="none" w:sz="0" w:space="0" w:color="auto"/>
          </w:divBdr>
        </w:div>
        <w:div w:id="1807120265">
          <w:marLeft w:val="0"/>
          <w:marRight w:val="0"/>
          <w:marTop w:val="0"/>
          <w:marBottom w:val="0"/>
          <w:divBdr>
            <w:top w:val="none" w:sz="0" w:space="0" w:color="auto"/>
            <w:left w:val="none" w:sz="0" w:space="0" w:color="auto"/>
            <w:bottom w:val="none" w:sz="0" w:space="0" w:color="auto"/>
            <w:right w:val="none" w:sz="0" w:space="0" w:color="auto"/>
          </w:divBdr>
        </w:div>
      </w:divsChild>
    </w:div>
    <w:div w:id="2094888946">
      <w:bodyDiv w:val="1"/>
      <w:marLeft w:val="0"/>
      <w:marRight w:val="0"/>
      <w:marTop w:val="0"/>
      <w:marBottom w:val="0"/>
      <w:divBdr>
        <w:top w:val="none" w:sz="0" w:space="0" w:color="auto"/>
        <w:left w:val="none" w:sz="0" w:space="0" w:color="auto"/>
        <w:bottom w:val="none" w:sz="0" w:space="0" w:color="auto"/>
        <w:right w:val="none" w:sz="0" w:space="0" w:color="auto"/>
      </w:divBdr>
      <w:divsChild>
        <w:div w:id="439762894">
          <w:marLeft w:val="0"/>
          <w:marRight w:val="0"/>
          <w:marTop w:val="0"/>
          <w:marBottom w:val="0"/>
          <w:divBdr>
            <w:top w:val="none" w:sz="0" w:space="0" w:color="auto"/>
            <w:left w:val="none" w:sz="0" w:space="0" w:color="auto"/>
            <w:bottom w:val="none" w:sz="0" w:space="0" w:color="auto"/>
            <w:right w:val="none" w:sz="0" w:space="0" w:color="auto"/>
          </w:divBdr>
        </w:div>
        <w:div w:id="1065420049">
          <w:marLeft w:val="0"/>
          <w:marRight w:val="0"/>
          <w:marTop w:val="0"/>
          <w:marBottom w:val="0"/>
          <w:divBdr>
            <w:top w:val="none" w:sz="0" w:space="0" w:color="auto"/>
            <w:left w:val="none" w:sz="0" w:space="0" w:color="auto"/>
            <w:bottom w:val="none" w:sz="0" w:space="0" w:color="auto"/>
            <w:right w:val="none" w:sz="0" w:space="0" w:color="auto"/>
          </w:divBdr>
        </w:div>
        <w:div w:id="1211652199">
          <w:marLeft w:val="0"/>
          <w:marRight w:val="0"/>
          <w:marTop w:val="0"/>
          <w:marBottom w:val="0"/>
          <w:divBdr>
            <w:top w:val="none" w:sz="0" w:space="0" w:color="auto"/>
            <w:left w:val="none" w:sz="0" w:space="0" w:color="auto"/>
            <w:bottom w:val="none" w:sz="0" w:space="0" w:color="auto"/>
            <w:right w:val="none" w:sz="0" w:space="0" w:color="auto"/>
          </w:divBdr>
        </w:div>
        <w:div w:id="1313755174">
          <w:marLeft w:val="0"/>
          <w:marRight w:val="0"/>
          <w:marTop w:val="0"/>
          <w:marBottom w:val="0"/>
          <w:divBdr>
            <w:top w:val="none" w:sz="0" w:space="0" w:color="auto"/>
            <w:left w:val="none" w:sz="0" w:space="0" w:color="auto"/>
            <w:bottom w:val="none" w:sz="0" w:space="0" w:color="auto"/>
            <w:right w:val="none" w:sz="0" w:space="0" w:color="auto"/>
          </w:divBdr>
        </w:div>
        <w:div w:id="1490825264">
          <w:marLeft w:val="0"/>
          <w:marRight w:val="0"/>
          <w:marTop w:val="0"/>
          <w:marBottom w:val="0"/>
          <w:divBdr>
            <w:top w:val="none" w:sz="0" w:space="0" w:color="auto"/>
            <w:left w:val="none" w:sz="0" w:space="0" w:color="auto"/>
            <w:bottom w:val="none" w:sz="0" w:space="0" w:color="auto"/>
            <w:right w:val="none" w:sz="0" w:space="0" w:color="auto"/>
          </w:divBdr>
        </w:div>
        <w:div w:id="1505171120">
          <w:marLeft w:val="0"/>
          <w:marRight w:val="0"/>
          <w:marTop w:val="0"/>
          <w:marBottom w:val="0"/>
          <w:divBdr>
            <w:top w:val="none" w:sz="0" w:space="0" w:color="auto"/>
            <w:left w:val="none" w:sz="0" w:space="0" w:color="auto"/>
            <w:bottom w:val="none" w:sz="0" w:space="0" w:color="auto"/>
            <w:right w:val="none" w:sz="0" w:space="0" w:color="auto"/>
          </w:divBdr>
        </w:div>
        <w:div w:id="1557009634">
          <w:marLeft w:val="0"/>
          <w:marRight w:val="0"/>
          <w:marTop w:val="0"/>
          <w:marBottom w:val="0"/>
          <w:divBdr>
            <w:top w:val="none" w:sz="0" w:space="0" w:color="auto"/>
            <w:left w:val="none" w:sz="0" w:space="0" w:color="auto"/>
            <w:bottom w:val="none" w:sz="0" w:space="0" w:color="auto"/>
            <w:right w:val="none" w:sz="0" w:space="0" w:color="auto"/>
          </w:divBdr>
        </w:div>
        <w:div w:id="1630548571">
          <w:marLeft w:val="0"/>
          <w:marRight w:val="0"/>
          <w:marTop w:val="0"/>
          <w:marBottom w:val="0"/>
          <w:divBdr>
            <w:top w:val="none" w:sz="0" w:space="0" w:color="auto"/>
            <w:left w:val="none" w:sz="0" w:space="0" w:color="auto"/>
            <w:bottom w:val="none" w:sz="0" w:space="0" w:color="auto"/>
            <w:right w:val="none" w:sz="0" w:space="0" w:color="auto"/>
          </w:divBdr>
        </w:div>
        <w:div w:id="167498995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footer" Target="footer1.xml"/><Relationship Id="rId21" Type="http://schemas.openxmlformats.org/officeDocument/2006/relationships/image" Target="media/image12.svg"/><Relationship Id="rId34" Type="http://schemas.openxmlformats.org/officeDocument/2006/relationships/image" Target="media/image25.png"/><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7.svg"/><Relationship Id="rId20" Type="http://schemas.openxmlformats.org/officeDocument/2006/relationships/image" Target="media/image11.png"/><Relationship Id="rId29" Type="http://schemas.openxmlformats.org/officeDocument/2006/relationships/image" Target="media/image20.sv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sv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svg"/><Relationship Id="rId40"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4.sv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image" Target="media/image1.png"/><Relationship Id="rId19" Type="http://schemas.openxmlformats.org/officeDocument/2006/relationships/image" Target="media/image10.svg"/><Relationship Id="rId31" Type="http://schemas.openxmlformats.org/officeDocument/2006/relationships/image" Target="media/image22.sv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svg"/><Relationship Id="rId22" Type="http://schemas.openxmlformats.org/officeDocument/2006/relationships/image" Target="media/image13.png"/><Relationship Id="rId27" Type="http://schemas.openxmlformats.org/officeDocument/2006/relationships/image" Target="media/image18.svg"/><Relationship Id="rId30" Type="http://schemas.openxmlformats.org/officeDocument/2006/relationships/image" Target="media/image21.png"/><Relationship Id="rId35" Type="http://schemas.openxmlformats.org/officeDocument/2006/relationships/image" Target="media/image26.svg"/><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svg"/><Relationship Id="rId33" Type="http://schemas.openxmlformats.org/officeDocument/2006/relationships/image" Target="media/image24.svg"/><Relationship Id="rId38" Type="http://schemas.openxmlformats.org/officeDocument/2006/relationships/image" Target="media/image2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8902E96FF2A5946B6507C4FAA315FD2" ma:contentTypeVersion="13" ma:contentTypeDescription="Create a new document." ma:contentTypeScope="" ma:versionID="e1b52cb7ae4a9098149cdd95db05ceab">
  <xsd:schema xmlns:xsd="http://www.w3.org/2001/XMLSchema" xmlns:xs="http://www.w3.org/2001/XMLSchema" xmlns:p="http://schemas.microsoft.com/office/2006/metadata/properties" xmlns:ns2="ee89df84-cb54-4c7d-a350-2d72f34db2c9" xmlns:ns3="c79705d0-4dcc-4a89-be2c-279940824093" targetNamespace="http://schemas.microsoft.com/office/2006/metadata/properties" ma:root="true" ma:fieldsID="e7aeaeb5a7f7fa02b77a6c6ff3044c2b" ns2:_="" ns3:_="">
    <xsd:import namespace="ee89df84-cb54-4c7d-a350-2d72f34db2c9"/>
    <xsd:import namespace="c79705d0-4dcc-4a89-be2c-27994082409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lcf76f155ced4ddcb4097134ff3c332f" minOccurs="0"/>
                <xsd:element ref="ns2:MediaServiceOCR" minOccurs="0"/>
                <xsd:element ref="ns2:MediaServiceGenerationTime" minOccurs="0"/>
                <xsd:element ref="ns2:MediaServiceEventHashCode" minOccurs="0"/>
                <xsd:element ref="ns2:MediaServiceSearchProperties"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e89df84-cb54-4c7d-a350-2d72f34db2c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8639ff72-3dc9-4ee0-b413-752fc3030586"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SearchProperties" ma:index="18" nillable="true" ma:displayName="MediaServiceSearchProperties" ma:hidden="true" ma:internalName="MediaServiceSearchProperties" ma:readOnly="true">
      <xsd:simpleType>
        <xsd:restriction base="dms:Note"/>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Location" ma:index="20"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79705d0-4dcc-4a89-be2c-27994082409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ee89df84-cb54-4c7d-a350-2d72f34db2c9">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9047EAA7-A2CE-4A82-8AA8-BD10DB12B6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e89df84-cb54-4c7d-a350-2d72f34db2c9"/>
    <ds:schemaRef ds:uri="c79705d0-4dcc-4a89-be2c-27994082409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58E5ACC-9D42-4915-B95A-711E9FAD42AB}">
  <ds:schemaRefs>
    <ds:schemaRef ds:uri="http://schemas.microsoft.com/sharepoint/v3/contenttype/forms"/>
  </ds:schemaRefs>
</ds:datastoreItem>
</file>

<file path=customXml/itemProps3.xml><?xml version="1.0" encoding="utf-8"?>
<ds:datastoreItem xmlns:ds="http://schemas.openxmlformats.org/officeDocument/2006/customXml" ds:itemID="{0D0BAFF4-ECE8-4716-ADF8-EF93B107E90A}">
  <ds:schemaRefs>
    <ds:schemaRef ds:uri="http://schemas.microsoft.com/office/2006/metadata/properties"/>
    <ds:schemaRef ds:uri="http://schemas.microsoft.com/office/infopath/2007/PartnerControls"/>
    <ds:schemaRef ds:uri="ee89df84-cb54-4c7d-a350-2d72f34db2c9"/>
  </ds:schemaRefs>
</ds:datastoreItem>
</file>

<file path=docProps/app.xml><?xml version="1.0" encoding="utf-8"?>
<Properties xmlns="http://schemas.openxmlformats.org/officeDocument/2006/extended-properties" xmlns:vt="http://schemas.openxmlformats.org/officeDocument/2006/docPropsVTypes">
  <Template>Normal.dotm</Template>
  <TotalTime>1170</TotalTime>
  <Pages>22</Pages>
  <Words>24328</Words>
  <Characters>138674</Characters>
  <Application>Microsoft Office Word</Application>
  <DocSecurity>0</DocSecurity>
  <Lines>1155</Lines>
  <Paragraphs>325</Paragraphs>
  <ScaleCrop>false</ScaleCrop>
  <Company/>
  <LinksUpToDate>false</LinksUpToDate>
  <CharactersWithSpaces>162677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Pooja Chandra</dc:creator>
  <cp:keywords/>
  <dc:description/>
  <cp:lastModifiedBy>Peter Waltman</cp:lastModifiedBy>
  <cp:revision>549</cp:revision>
  <dcterms:created xsi:type="dcterms:W3CDTF">2023-12-13T21:14:00Z</dcterms:created>
  <dcterms:modified xsi:type="dcterms:W3CDTF">2025-05-05T22:01:00Z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0x01010008902E96FF2A5946B6507C4FAA315FD2</vt:lpwstr>
  </property>
  <property fmtid="{D5CDD505-2E9C-101B-9397-08002B2CF9AE}" pid="3" name="MediaServiceImageTags">
    <vt:lpwstr/>
  </property>
  <property fmtid="{D5CDD505-2E9C-101B-9397-08002B2CF9AE}" pid="4" name="ZOTERO_PREF_1">
    <vt:lpwstr>&lt;data data-version="3" zotero-version="7.0.15"&gt;&lt;session id="2zr4zOqQ"/&gt;&lt;style id="http://www.zotero.org/styles/nature" hasBibliography="1" bibliographyStyleHasBeenSet="1"/&gt;&lt;prefs&gt;&lt;pref name="fieldType" value="Field"/&gt;&lt;/prefs&gt;&lt;/data&gt;</vt:lpwstr>
  </property>
</Properties>
</file>